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tslx-20230331.htm"/>
      <w:bookmarkStart w:id="1" w:name="kstslx20230331"/>
      <w:bookmarkEnd w:id="0"/>
      <w:bookmarkEnd w:id="1"/>
      <w:r>
        <w:rPr/>
        <w:t> </w:t>
      </w:r>
    </w:p>
    <w:p>
      <w:pPr>
        <w:pStyle w:val="TextBody"/>
        <w:pBdr>
          <w:bottom w:val="double" w:sz="6" w:space="1" w:color="000000"/>
        </w:pBdr>
        <w:spacing w:before="0" w:after="0"/>
        <w:jc w:val="left"/>
        <w:rPr/>
      </w:pPr>
      <w:r>
        <w:rPr/>
        <w:t> </w:t>
      </w:r>
    </w:p>
    <w:p>
      <w:pPr>
        <w:pStyle w:val="TextBody"/>
        <w:spacing w:before="80" w:after="0"/>
        <w:jc w:val="center"/>
        <w:rPr>
          <w:rFonts w:ascii="Times New Roman;serif" w:hAnsi="Times New Roman;serif"/>
          <w:b/>
          <w:sz w:val="32"/>
        </w:rPr>
      </w:pPr>
      <w:r>
        <w:rPr>
          <w:rFonts w:ascii="Times New Roman;serif" w:hAnsi="Times New Roman;serif"/>
          <w:b/>
          <w:sz w:val="32"/>
        </w:rPr>
        <w:t>UNITED STATES</w:t>
      </w:r>
    </w:p>
    <w:p>
      <w:pPr>
        <w:pStyle w:val="TextBody"/>
        <w:spacing w:before="0" w:after="0"/>
        <w:jc w:val="center"/>
        <w:rPr>
          <w:rFonts w:ascii="Times New Roman;serif" w:hAnsi="Times New Roman;serif"/>
          <w:b/>
          <w:sz w:val="32"/>
        </w:rPr>
      </w:pPr>
      <w:r>
        <w:rPr>
          <w:rFonts w:ascii="Times New Roman;serif" w:hAnsi="Times New Roman;serif"/>
          <w:b/>
          <w:sz w:val="32"/>
        </w:rPr>
        <w:t>SECURITIES AND EXCHANGE COMMISSION</w:t>
      </w:r>
    </w:p>
    <w:p>
      <w:pPr>
        <w:pStyle w:val="TextBody"/>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6" w:space="1" w:color="000000"/>
        </w:pBdr>
        <w:spacing w:before="0" w:after="0"/>
        <w:jc w:val="center"/>
        <w:rPr/>
      </w:pPr>
      <w:r>
        <w:rPr/>
        <w:t> </w:t>
      </w:r>
    </w:p>
    <w:p>
      <w:pPr>
        <w:pStyle w:val="TextBody"/>
        <w:spacing w:before="80" w:after="0"/>
        <w:jc w:val="center"/>
        <w:rPr>
          <w:rFonts w:ascii="Times New Roman;serif" w:hAnsi="Times New Roman;serif"/>
          <w:b/>
          <w:sz w:val="32"/>
        </w:rPr>
      </w:pPr>
      <w:r>
        <w:rPr>
          <w:rFonts w:ascii="Times New Roman;serif" w:hAnsi="Times New Roman;serif"/>
          <w:b/>
          <w:sz w:val="32"/>
        </w:rPr>
        <w:t>FORM 10-Q</w:t>
      </w:r>
    </w:p>
    <w:p>
      <w:pPr>
        <w:pStyle w:val="TextBody"/>
        <w:pBdr>
          <w:bottom w:val="single" w:sz="6" w:space="1" w:color="000000"/>
        </w:pBdr>
        <w:spacing w:before="0" w:after="0"/>
        <w:jc w:val="center"/>
        <w:rPr/>
      </w:pPr>
      <w:r>
        <w:rPr/>
        <w:t> </w:t>
      </w:r>
    </w:p>
    <w:p>
      <w:pPr>
        <w:pStyle w:val="TextBody"/>
        <w:spacing w:before="80" w:after="0"/>
        <w:jc w:val="left"/>
        <w:rPr>
          <w:rFonts w:ascii="Times New Roman;serif" w:hAnsi="Times New Roman;serif"/>
          <w:b/>
          <w:sz w:val="20"/>
        </w:rPr>
      </w:pPr>
      <w:r>
        <w:rPr>
          <w:rFonts w:ascii="Times New Roman;serif" w:hAnsi="Times New Roman;serif"/>
          <w:b/>
          <w:sz w:val="20"/>
        </w:rPr>
        <w:t>(Mark One)</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4"/>
              </w:rPr>
            </w:pPr>
            <w:r>
              <w:rPr>
                <w:rFonts w:ascii="Times New Roman;serif" w:hAnsi="Times New Roman;serif"/>
                <w:b/>
                <w:sz w:val="24"/>
              </w:rPr>
              <w:t>QUARTERLY REPORT PURSUANT TO SECTION 13 OR 15(d) OF THE SECURITIES EXCHANGE ACT OF 1934.</w:t>
            </w:r>
          </w:p>
        </w:tc>
      </w:tr>
    </w:tbl>
    <w:p>
      <w:pPr>
        <w:pStyle w:val="TextBody"/>
        <w:spacing w:before="8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spacing w:before="80" w:after="0"/>
        <w:jc w:val="center"/>
        <w:rPr>
          <w:rFonts w:ascii="Times New Roman;serif" w:hAnsi="Times New Roman;serif"/>
          <w:b/>
          <w:sz w:val="20"/>
        </w:rPr>
      </w:pPr>
      <w:r>
        <w:rPr>
          <w:rFonts w:ascii="Times New Roman;serif" w:hAnsi="Times New Roman;serif"/>
          <w:b/>
          <w:sz w:val="20"/>
        </w:rPr>
        <w:t>OR</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8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before="80" w:after="0"/>
              <w:ind w:left="0" w:right="0" w:hanging="0"/>
              <w:jc w:val="left"/>
              <w:rPr>
                <w:rFonts w:ascii="Times New Roman" w:hAnsi="Times New Roman"/>
                <w:sz w:val="24"/>
              </w:rPr>
            </w:pPr>
            <w:r>
              <w:rPr>
                <w:rFonts w:ascii="Times New Roman;serif" w:hAnsi="Times New Roman;serif"/>
                <w:b/>
                <w:sz w:val="24"/>
              </w:rPr>
              <w:t>TRANSITION REPORT PURSUANT TO SECTION 13 OR 15(d) OF THE SECURITIES EXCHANGE ACT OF 1934.</w:t>
            </w:r>
            <w:r>
              <w:rPr>
                <w:rFonts w:ascii="Times New Roman" w:hAnsi="Times New Roman"/>
                <w:sz w:val="24"/>
              </w:rPr>
              <w:t xml:space="preserve"> </w:t>
            </w:r>
          </w:p>
        </w:tc>
      </w:tr>
    </w:tbl>
    <w:p>
      <w:pPr>
        <w:pStyle w:val="TextBody"/>
        <w:spacing w:before="8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spacing w:before="80" w:after="0"/>
        <w:jc w:val="center"/>
        <w:rPr>
          <w:rFonts w:ascii="Times New Roman;serif" w:hAnsi="Times New Roman;serif"/>
          <w:b/>
          <w:sz w:val="20"/>
        </w:rPr>
      </w:pPr>
      <w:r>
        <w:rPr>
          <w:rFonts w:ascii="Times New Roman;serif" w:hAnsi="Times New Roman;serif"/>
          <w:b/>
          <w:sz w:val="20"/>
        </w:rPr>
        <w:t>Commission File Number 001-36364</w:t>
      </w:r>
    </w:p>
    <w:p>
      <w:pPr>
        <w:pStyle w:val="TextBody"/>
        <w:pBdr>
          <w:bottom w:val="single" w:sz="6" w:space="1" w:color="000000"/>
        </w:pBdr>
        <w:spacing w:before="0" w:after="0"/>
        <w:jc w:val="center"/>
        <w:rPr/>
      </w:pPr>
      <w:r>
        <w:rPr/>
        <w:t> </w:t>
      </w:r>
    </w:p>
    <w:p>
      <w:pPr>
        <w:pStyle w:val="TextBody"/>
        <w:spacing w:before="80" w:after="0"/>
        <w:jc w:val="center"/>
        <w:rPr>
          <w:rFonts w:ascii="Times New Roman;serif" w:hAnsi="Times New Roman;serif"/>
          <w:b/>
          <w:sz w:val="44"/>
        </w:rPr>
      </w:pPr>
      <w:r>
        <w:rPr>
          <w:rFonts w:ascii="Times New Roman;serif" w:hAnsi="Times New Roman;serif"/>
          <w:b/>
          <w:sz w:val="44"/>
        </w:rPr>
        <w:t>Sixth Street Specialty Lending, Inc.</w:t>
      </w:r>
    </w:p>
    <w:p>
      <w:pPr>
        <w:pStyle w:val="TextBody"/>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6" w:space="1" w:color="000000"/>
        </w:pBdr>
        <w:spacing w:before="0" w:after="0"/>
        <w:jc w:val="center"/>
        <w:rPr/>
      </w:pPr>
      <w:r>
        <w:rPr/>
        <w:t> </w:t>
      </w:r>
    </w:p>
    <w:p>
      <w:pPr>
        <w:pStyle w:val="TextBody"/>
        <w:spacing w:before="0" w:after="0"/>
        <w:jc w:val="left"/>
        <w:rPr/>
      </w:pPr>
      <w:r>
        <w:rPr/>
        <w:t> </w:t>
      </w:r>
    </w:p>
    <w:tbl>
      <w:tblPr>
        <w:tblW w:w="4652" w:type="dxa"/>
        <w:jc w:val="left"/>
        <w:tblInd w:w="0" w:type="dxa"/>
        <w:tblCellMar>
          <w:top w:w="28" w:type="dxa"/>
          <w:left w:w="28" w:type="dxa"/>
          <w:bottom w:w="28" w:type="dxa"/>
          <w:right w:w="28" w:type="dxa"/>
        </w:tblCellMar>
      </w:tblPr>
      <w:tblGrid>
        <w:gridCol w:w="3166"/>
        <w:gridCol w:w="1486"/>
      </w:tblGrid>
      <w:tr>
        <w:trPr/>
        <w:tc>
          <w:tcPr>
            <w:tcW w:w="3166"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r>
      <w:tr>
        <w:trPr/>
        <w:tc>
          <w:tcPr>
            <w:tcW w:w="316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27-3380000</w:t>
            </w:r>
          </w:p>
        </w:tc>
      </w:tr>
      <w:tr>
        <w:trPr/>
        <w:tc>
          <w:tcPr>
            <w:tcW w:w="316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Identification No.)</w:t>
            </w:r>
          </w:p>
        </w:tc>
      </w:tr>
      <w:tr>
        <w:trPr/>
        <w:tc>
          <w:tcPr>
            <w:tcW w:w="3166" w:type="dxa"/>
            <w:tcBorders/>
            <w:shd w:fill="auto" w:val="clear"/>
            <w:vAlign w:val="center"/>
          </w:tcPr>
          <w:p>
            <w:pPr>
              <w:pStyle w:val="TableContents"/>
              <w:spacing w:before="0" w:after="0"/>
              <w:ind w:left="0" w:right="0" w:hanging="0"/>
              <w:jc w:val="center"/>
              <w:rPr/>
            </w:pPr>
            <w:r>
              <w:rPr/>
              <w:t> </w:t>
            </w:r>
          </w:p>
        </w:tc>
        <w:tc>
          <w:tcPr>
            <w:tcW w:w="1486" w:type="dxa"/>
            <w:tcBorders/>
            <w:shd w:fill="auto" w:val="clear"/>
            <w:vAlign w:val="center"/>
          </w:tcPr>
          <w:p>
            <w:pPr>
              <w:pStyle w:val="TableContents"/>
              <w:spacing w:before="0" w:after="0"/>
              <w:ind w:left="0" w:right="0" w:hanging="0"/>
              <w:jc w:val="center"/>
              <w:rPr/>
            </w:pPr>
            <w:r>
              <w:rPr/>
              <w:t> </w:t>
            </w:r>
          </w:p>
        </w:tc>
      </w:tr>
      <w:tr>
        <w:trPr/>
        <w:tc>
          <w:tcPr>
            <w:tcW w:w="316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2100 McKinney Avenue, Suite 1500,</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Dallas, TX</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75201</w:t>
            </w:r>
          </w:p>
        </w:tc>
      </w:tr>
      <w:tr>
        <w:trPr/>
        <w:tc>
          <w:tcPr>
            <w:tcW w:w="316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48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spacing w:before="80" w:after="0"/>
        <w:jc w:val="center"/>
        <w:rPr>
          <w:rFonts w:ascii="Times New Roman;serif" w:hAnsi="Times New Roman;serif"/>
          <w:b/>
          <w:sz w:val="20"/>
        </w:rPr>
      </w:pPr>
      <w:r>
        <w:rPr>
          <w:rFonts w:ascii="Times New Roman;serif" w:hAnsi="Times New Roman;serif"/>
          <w:b/>
          <w:sz w:val="20"/>
        </w:rPr>
        <w:t>Registrant’s telephone number, including area code: (469) 621-3001</w:t>
      </w:r>
    </w:p>
    <w:p>
      <w:pPr>
        <w:pStyle w:val="TextBody"/>
        <w:spacing w:before="80" w:after="0"/>
        <w:jc w:val="center"/>
        <w:rPr>
          <w:rFonts w:ascii="Times New Roman;serif" w:hAnsi="Times New Roman;serif"/>
          <w:b/>
          <w:sz w:val="20"/>
        </w:rPr>
      </w:pPr>
      <w:r>
        <w:rPr>
          <w:rFonts w:ascii="Times New Roman;serif" w:hAnsi="Times New Roman;serif"/>
          <w:b/>
          <w:sz w:val="20"/>
        </w:rPr>
        <w:t>Not applicable</w:t>
      </w:r>
    </w:p>
    <w:p>
      <w:pPr>
        <w:pStyle w:val="TextBody"/>
        <w:spacing w:before="0" w:after="0"/>
        <w:jc w:val="center"/>
        <w:rPr>
          <w:rFonts w:ascii="Times New Roman;serif" w:hAnsi="Times New Roman;serif"/>
          <w:b/>
          <w:sz w:val="16"/>
        </w:rPr>
      </w:pPr>
      <w:r>
        <w:rPr>
          <w:rFonts w:ascii="Times New Roman;serif" w:hAnsi="Times New Roman;serif"/>
          <w:b/>
          <w:sz w:val="16"/>
        </w:rPr>
        <w:t>Former name, former address and former fiscal year, if changed since last report.</w:t>
      </w:r>
    </w:p>
    <w:p>
      <w:pPr>
        <w:pStyle w:val="TextBody"/>
        <w:pBdr>
          <w:bottom w:val="single" w:sz="6" w:space="1" w:color="000000"/>
        </w:pBdr>
        <w:spacing w:before="0" w:after="0"/>
        <w:jc w:val="center"/>
        <w:rPr/>
      </w:pPr>
      <w:r>
        <w:rPr/>
        <w:t> </w:t>
      </w:r>
    </w:p>
    <w:p>
      <w:pPr>
        <w:pStyle w:val="TextBody"/>
        <w:spacing w:before="60" w:after="0"/>
        <w:jc w:val="left"/>
        <w:rPr>
          <w:rFonts w:ascii="Times New Roman" w:hAnsi="Times New Roman"/>
          <w:sz w:val="20"/>
        </w:rPr>
      </w:pPr>
      <w:r>
        <w:rPr>
          <w:rFonts w:ascii="Times New Roman;serif" w:hAnsi="Times New Roman;serif"/>
          <w:b/>
          <w:sz w:val="16"/>
        </w:rPr>
        <w:t>Securities registered pursuant to Section 12(b) of the Act:</w:t>
      </w:r>
      <w:r>
        <w:rPr>
          <w:rFonts w:ascii="Times New Roman" w:hAnsi="Times New Roman"/>
          <w:sz w:val="20"/>
        </w:rPr>
        <w:t xml:space="preserve"> </w:t>
      </w:r>
    </w:p>
    <w:p>
      <w:pPr>
        <w:pStyle w:val="TextBody"/>
        <w:spacing w:before="0" w:after="0"/>
        <w:jc w:val="left"/>
        <w:rPr/>
      </w:pPr>
      <w:r>
        <w:rPr/>
        <w:t> </w:t>
      </w:r>
    </w:p>
    <w:tbl>
      <w:tblPr>
        <w:tblW w:w="7953" w:type="dxa"/>
        <w:jc w:val="left"/>
        <w:tblInd w:w="0" w:type="dxa"/>
        <w:tblCellMar>
          <w:top w:w="28" w:type="dxa"/>
          <w:left w:w="28" w:type="dxa"/>
          <w:bottom w:w="28" w:type="dxa"/>
          <w:right w:w="28" w:type="dxa"/>
        </w:tblCellMar>
      </w:tblPr>
      <w:tblGrid>
        <w:gridCol w:w="3181"/>
        <w:gridCol w:w="1456"/>
        <w:gridCol w:w="3316"/>
      </w:tblGrid>
      <w:tr>
        <w:trPr/>
        <w:tc>
          <w:tcPr>
            <w:tcW w:w="3181"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3181" w:type="dxa"/>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56" w:type="dxa"/>
            <w:tcBorders>
              <w:top w:val="single" w:sz="4" w:space="0" w:color="000000"/>
              <w:bottom w:val="single" w:sz="4" w:space="0" w:color="000000"/>
              <w:right w:val="single" w:sz="4" w:space="0" w:color="000000"/>
            </w:tcBorders>
            <w:shd w:fill="auto" w:val="clear"/>
            <w:tcMar>
              <w:lef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Trading Symbol(s)</w:t>
            </w:r>
          </w:p>
        </w:tc>
        <w:tc>
          <w:tcPr>
            <w:tcW w:w="3316" w:type="dxa"/>
            <w:tcBorders>
              <w:top w:val="single" w:sz="4" w:space="0" w:color="000000"/>
              <w:bottom w:val="single" w:sz="4" w:space="0" w:color="000000"/>
              <w:right w:val="single" w:sz="4" w:space="0" w:color="000000"/>
            </w:tcBorders>
            <w:shd w:fill="auto" w:val="clear"/>
            <w:tcMar>
              <w:lef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181" w:type="dxa"/>
            <w:tcBorders>
              <w:left w:val="single" w:sz="4" w:space="0" w:color="000000"/>
              <w:bottom w:val="single" w:sz="4" w:space="0" w:color="000000"/>
              <w:right w:val="single" w:sz="4" w:space="0" w:color="000000"/>
            </w:tcBorders>
            <w:shd w:fill="auto" w:val="clear"/>
            <w:tcMar>
              <w:top w:w="0" w:type="dxa"/>
            </w:tcMar>
            <w:vAlign w:val="center"/>
          </w:tcPr>
          <w:p>
            <w:pPr>
              <w:pStyle w:val="TableContents"/>
              <w:spacing w:before="60" w:after="0"/>
              <w:ind w:left="0" w:right="0" w:hanging="0"/>
              <w:jc w:val="center"/>
              <w:rPr>
                <w:rFonts w:ascii="Times New Roman;serif" w:hAnsi="Times New Roman;serif"/>
                <w:b/>
                <w:sz w:val="16"/>
              </w:rPr>
            </w:pPr>
            <w:r>
              <w:rPr>
                <w:rFonts w:ascii="Times New Roman;serif" w:hAnsi="Times New Roman;serif"/>
                <w:b/>
                <w:sz w:val="16"/>
              </w:rPr>
              <w:t>Common Stock, par value $0.01 per share</w:t>
            </w:r>
          </w:p>
        </w:tc>
        <w:tc>
          <w:tcPr>
            <w:tcW w:w="1456" w:type="dxa"/>
            <w:tcBorders>
              <w:bottom w:val="single" w:sz="4" w:space="0" w:color="000000"/>
              <w:right w:val="single" w:sz="4" w:space="0" w:color="000000"/>
            </w:tcBorders>
            <w:shd w:fill="auto" w:val="clear"/>
            <w:tcMar>
              <w:top w:w="0" w:type="dxa"/>
              <w:left w:w="0" w:type="dxa"/>
            </w:tcMar>
            <w:vAlign w:val="center"/>
          </w:tcPr>
          <w:p>
            <w:pPr>
              <w:pStyle w:val="TableContents"/>
              <w:spacing w:before="60" w:after="0"/>
              <w:ind w:left="0" w:right="0" w:hanging="0"/>
              <w:jc w:val="center"/>
              <w:rPr>
                <w:rFonts w:ascii="Times New Roman;serif" w:hAnsi="Times New Roman;serif"/>
                <w:b/>
                <w:sz w:val="16"/>
              </w:rPr>
            </w:pPr>
            <w:r>
              <w:rPr>
                <w:rFonts w:ascii="Times New Roman;serif" w:hAnsi="Times New Roman;serif"/>
                <w:b/>
                <w:sz w:val="16"/>
              </w:rPr>
              <w:t>TSLX</w:t>
            </w:r>
          </w:p>
        </w:tc>
        <w:tc>
          <w:tcPr>
            <w:tcW w:w="3316" w:type="dxa"/>
            <w:tcBorders>
              <w:bottom w:val="single" w:sz="4" w:space="0" w:color="000000"/>
              <w:right w:val="single" w:sz="4" w:space="0" w:color="000000"/>
            </w:tcBorders>
            <w:shd w:fill="auto" w:val="clear"/>
            <w:tcMar>
              <w:top w:w="0" w:type="dxa"/>
              <w:left w:w="0" w:type="dxa"/>
            </w:tcMar>
            <w:vAlign w:val="center"/>
          </w:tcPr>
          <w:p>
            <w:pPr>
              <w:pStyle w:val="TableContents"/>
              <w:spacing w:before="60" w:after="0"/>
              <w:ind w:left="0" w:right="0" w:hanging="0"/>
              <w:jc w:val="center"/>
              <w:rPr>
                <w:rFonts w:ascii="Times New Roman;serif" w:hAnsi="Times New Roman;serif"/>
                <w:b/>
                <w:sz w:val="16"/>
              </w:rPr>
            </w:pPr>
            <w:r>
              <w:rPr>
                <w:rFonts w:ascii="Times New Roman;serif" w:hAnsi="Times New Roman;serif"/>
                <w:b/>
                <w:sz w:val="16"/>
              </w:rPr>
              <w:t>The New York Stock Exchange</w:t>
            </w:r>
          </w:p>
        </w:tc>
      </w:tr>
    </w:tbl>
    <w:p>
      <w:pPr>
        <w:pStyle w:val="TextBody"/>
        <w:spacing w:before="80" w:after="0"/>
        <w:jc w:val="left"/>
        <w:rPr>
          <w:rFonts w:ascii="Times New Roman" w:hAnsi="Times New Roman"/>
          <w:sz w:val="20"/>
        </w:rPr>
      </w:pPr>
      <w:r>
        <w:rPr>
          <w:rFonts w:ascii="Times New Roman;serif" w:hAnsi="Times New Roman;serif"/>
          <w:b w:val="false"/>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6"/>
        </w:rPr>
        <w:t xml:space="preserve">No </w:t>
      </w:r>
      <w:r>
        <w:rPr>
          <w:rFonts w:ascii="Times New Roman" w:hAnsi="Times New Roman"/>
          <w:sz w:val="20"/>
        </w:rPr>
        <w:t>☐</w:t>
      </w:r>
    </w:p>
    <w:p>
      <w:pPr>
        <w:pStyle w:val="TextBody"/>
        <w:spacing w:before="80" w:after="0"/>
        <w:jc w:val="left"/>
        <w:rPr>
          <w:rFonts w:ascii="Times New Roman" w:hAnsi="Times New Roman"/>
          <w:sz w:val="20"/>
        </w:rPr>
      </w:pPr>
      <w:r>
        <w:rPr>
          <w:rFonts w:ascii="Times New Roman;serif" w:hAnsi="Times New Roman;serif"/>
          <w:b w:val="false"/>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6"/>
        </w:rPr>
        <w:t xml:space="preserve">No </w:t>
      </w:r>
      <w:r>
        <w:rPr>
          <w:rFonts w:ascii="Times New Roman" w:hAnsi="Times New Roman"/>
          <w:sz w:val="20"/>
        </w:rPr>
        <w:t>☐</w:t>
      </w:r>
    </w:p>
    <w:p>
      <w:pPr>
        <w:pStyle w:val="TextBody"/>
        <w:spacing w:before="80" w:after="0"/>
        <w:jc w:val="left"/>
        <w:rPr>
          <w:rFonts w:ascii="Times New Roman" w:hAnsi="Times New Roman"/>
          <w:sz w:val="20"/>
        </w:rPr>
      </w:pPr>
      <w:r>
        <w:rPr>
          <w:rFonts w:ascii="Times New Roman;serif" w:hAnsi="Times New Roman;serif"/>
          <w:b w:val="false"/>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spacing w:before="0" w:after="0"/>
        <w:jc w:val="left"/>
        <w:rPr/>
      </w:pPr>
      <w:r>
        <w:rPr/>
        <w:t> </w:t>
      </w:r>
    </w:p>
    <w:tbl>
      <w:tblPr>
        <w:tblW w:w="4474" w:type="dxa"/>
        <w:jc w:val="left"/>
        <w:tblInd w:w="0" w:type="dxa"/>
        <w:tblCellMar>
          <w:top w:w="28" w:type="dxa"/>
          <w:left w:w="28" w:type="dxa"/>
          <w:bottom w:w="28" w:type="dxa"/>
          <w:right w:w="28" w:type="dxa"/>
        </w:tblCellMar>
      </w:tblPr>
      <w:tblGrid>
        <w:gridCol w:w="1666"/>
        <w:gridCol w:w="376"/>
        <w:gridCol w:w="2071"/>
        <w:gridCol w:w="361"/>
      </w:tblGrid>
      <w:tr>
        <w:trPr/>
        <w:tc>
          <w:tcPr>
            <w:tcW w:w="166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07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6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Large accelerated filer</w:t>
            </w:r>
          </w:p>
        </w:tc>
        <w:tc>
          <w:tcPr>
            <w:tcW w:w="376" w:type="dxa"/>
            <w:tcBorders/>
            <w:shd w:fill="auto" w:val="clear"/>
            <w:vAlign w:val="center"/>
          </w:tcPr>
          <w:p>
            <w:pPr>
              <w:pStyle w:val="TableContents"/>
              <w:spacing w:before="0" w:after="0"/>
              <w:ind w:left="0" w:right="0" w:hanging="0"/>
              <w:jc w:val="left"/>
              <w:rPr/>
            </w:pPr>
            <w:r>
              <w:rPr/>
              <w:t>☒</w:t>
            </w:r>
          </w:p>
        </w:tc>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Accelerated filer</w:t>
            </w:r>
          </w:p>
        </w:tc>
        <w:tc>
          <w:tcPr>
            <w:tcW w:w="361" w:type="dxa"/>
            <w:tcBorders/>
            <w:shd w:fill="auto" w:val="clear"/>
            <w:vAlign w:val="center"/>
          </w:tcPr>
          <w:p>
            <w:pPr>
              <w:pStyle w:val="TableContents"/>
              <w:spacing w:before="0" w:after="0"/>
              <w:ind w:left="0" w:right="0" w:hanging="0"/>
              <w:jc w:val="left"/>
              <w:rPr/>
            </w:pPr>
            <w:r>
              <w:rPr/>
              <w:t>☐</w:t>
            </w:r>
          </w:p>
        </w:tc>
      </w:tr>
      <w:tr>
        <w:trPr/>
        <w:tc>
          <w:tcPr>
            <w:tcW w:w="16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Non-accelerated filer</w:t>
            </w:r>
          </w:p>
        </w:tc>
        <w:tc>
          <w:tcPr>
            <w:tcW w:w="376" w:type="dxa"/>
            <w:tcBorders/>
            <w:shd w:fill="auto" w:val="clear"/>
            <w:vAlign w:val="center"/>
          </w:tcPr>
          <w:p>
            <w:pPr>
              <w:pStyle w:val="TableContents"/>
              <w:spacing w:before="0" w:after="0"/>
              <w:ind w:left="0" w:right="0" w:hanging="0"/>
              <w:jc w:val="left"/>
              <w:rPr/>
            </w:pPr>
            <w:r>
              <w:rPr/>
              <w:t xml:space="preserve">☐ </w:t>
            </w:r>
          </w:p>
        </w:tc>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Smaller reporting company</w:t>
            </w:r>
          </w:p>
        </w:tc>
        <w:tc>
          <w:tcPr>
            <w:tcW w:w="361" w:type="dxa"/>
            <w:tcBorders/>
            <w:shd w:fill="auto" w:val="clear"/>
            <w:vAlign w:val="center"/>
          </w:tcPr>
          <w:p>
            <w:pPr>
              <w:pStyle w:val="TableContents"/>
              <w:spacing w:before="0" w:after="0"/>
              <w:ind w:left="0" w:right="0" w:hanging="0"/>
              <w:jc w:val="left"/>
              <w:rPr/>
            </w:pPr>
            <w:r>
              <w:rPr/>
              <w:t>☐</w:t>
            </w:r>
          </w:p>
        </w:tc>
      </w:tr>
      <w:tr>
        <w:trPr/>
        <w:tc>
          <w:tcPr>
            <w:tcW w:w="1666" w:type="dxa"/>
            <w:tcBorders/>
            <w:shd w:fill="auto" w:val="clear"/>
            <w:vAlign w:val="center"/>
          </w:tcPr>
          <w:p>
            <w:pPr>
              <w:pStyle w:val="TableContents"/>
              <w:spacing w:before="0" w:after="283"/>
              <w:ind w:left="0" w:right="0" w:hanging="0"/>
              <w:rPr>
                <w:sz w:val="4"/>
                <w:szCs w:val="4"/>
              </w:rPr>
            </w:pPr>
            <w:r>
              <w:rPr>
                <w:sz w:val="4"/>
                <w:szCs w:val="4"/>
              </w:rPr>
            </w:r>
          </w:p>
        </w:tc>
        <w:tc>
          <w:tcPr>
            <w:tcW w:w="376" w:type="dxa"/>
            <w:tcBorders/>
            <w:shd w:fill="auto" w:val="clear"/>
            <w:vAlign w:val="center"/>
          </w:tcPr>
          <w:p>
            <w:pPr>
              <w:pStyle w:val="TableContents"/>
              <w:spacing w:before="0" w:after="0"/>
              <w:ind w:left="0" w:right="0" w:hanging="0"/>
              <w:jc w:val="left"/>
              <w:rPr/>
            </w:pPr>
            <w:r>
              <w:rPr/>
              <w:t> </w:t>
            </w:r>
          </w:p>
        </w:tc>
        <w:tc>
          <w:tcPr>
            <w:tcW w:w="2071"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Emerging growth company</w:t>
            </w:r>
            <w:r>
              <w:rPr>
                <w:rFonts w:ascii="Times New Roman" w:hAnsi="Times New Roman"/>
                <w:sz w:val="16"/>
              </w:rPr>
              <w:t xml:space="preserve"> </w:t>
            </w:r>
          </w:p>
        </w:tc>
        <w:tc>
          <w:tcPr>
            <w:tcW w:w="361" w:type="dxa"/>
            <w:tcBorders/>
            <w:shd w:fill="auto" w:val="clear"/>
            <w:vAlign w:val="center"/>
          </w:tcPr>
          <w:p>
            <w:pPr>
              <w:pStyle w:val="TableContents"/>
              <w:spacing w:before="0" w:after="0"/>
              <w:ind w:left="0" w:right="0" w:hanging="0"/>
              <w:jc w:val="left"/>
              <w:rPr/>
            </w:pPr>
            <w:r>
              <w:rPr/>
              <w:t>☐</w:t>
            </w:r>
          </w:p>
        </w:tc>
      </w:tr>
    </w:tbl>
    <w:p>
      <w:pPr>
        <w:pStyle w:val="TextBody"/>
        <w:spacing w:before="80" w:after="0"/>
        <w:jc w:val="left"/>
        <w:rPr>
          <w:rFonts w:ascii="Times New Roman" w:hAnsi="Times New Roman"/>
          <w:sz w:val="20"/>
        </w:rPr>
      </w:pPr>
      <w:r>
        <w:rPr>
          <w:rFonts w:ascii="Times New Roman;serif" w:hAnsi="Times New Roman;serif"/>
          <w:b w:val="false"/>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w:t>
      </w:r>
    </w:p>
    <w:p>
      <w:pPr>
        <w:pStyle w:val="TextBody"/>
        <w:spacing w:before="80" w:after="0"/>
        <w:jc w:val="left"/>
        <w:rPr>
          <w:rFonts w:ascii="Times New Roman" w:hAnsi="Times New Roman"/>
          <w:sz w:val="20"/>
        </w:rPr>
      </w:pPr>
      <w:r>
        <w:rPr>
          <w:rFonts w:ascii="Times New Roman;serif" w:hAnsi="Times New Roman;serif"/>
          <w:b w:val="false"/>
          <w:sz w:val="16"/>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6"/>
        </w:rPr>
        <w:t xml:space="preserve">No </w:t>
      </w:r>
      <w:r>
        <w:rPr>
          <w:rFonts w:ascii="Times New Roman" w:hAnsi="Times New Roman"/>
          <w:sz w:val="20"/>
        </w:rPr>
        <w:t>☒</w:t>
      </w:r>
    </w:p>
    <w:p>
      <w:pPr>
        <w:pStyle w:val="TextBody"/>
        <w:spacing w:before="80" w:after="0"/>
        <w:jc w:val="left"/>
        <w:rPr>
          <w:rFonts w:ascii="Times New Roman" w:hAnsi="Times New Roman"/>
          <w:sz w:val="20"/>
        </w:rPr>
      </w:pPr>
      <w:r>
        <w:rPr>
          <w:rFonts w:ascii="Times New Roman;serif" w:hAnsi="Times New Roman;serif"/>
          <w:b w:val="false"/>
          <w:sz w:val="16"/>
        </w:rPr>
        <w:t>The number of shares of the registrant’s common stock, $.01 par value per share, outstanding at May 8, 2023 was 81,751,865.</w:t>
      </w:r>
      <w:r>
        <w:rPr>
          <w:rFonts w:ascii="Times New Roman" w:hAnsi="Times New Roman"/>
          <w:sz w:val="20"/>
        </w:rPr>
        <w:t xml:space="preserve"> </w:t>
      </w:r>
    </w:p>
    <w:p>
      <w:pPr>
        <w:pStyle w:val="TextBody"/>
        <w:spacing w:before="0" w:after="0"/>
        <w:jc w:val="left"/>
        <w:rPr/>
      </w:pPr>
      <w:r>
        <w:rPr/>
        <w:t> </w:t>
      </w:r>
    </w:p>
    <w:p>
      <w:pPr>
        <w:pStyle w:val="TextBody"/>
        <w:pBdr>
          <w:bottom w:val="double" w:sz="6" w:space="1" w:color="000000"/>
        </w:pBdr>
        <w:spacing w:before="0" w:after="0"/>
        <w:jc w:val="center"/>
        <w:rPr/>
      </w:pPr>
      <w:r>
        <w:rPr/>
        <w:t> </w:t>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SIXTH STREET SPECIALTY LENDING, INC.</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798"/>
        <w:gridCol w:w="146"/>
        <w:gridCol w:w="8498"/>
        <w:gridCol w:w="146"/>
        <w:gridCol w:w="617"/>
      </w:tblGrid>
      <w:tr>
        <w:trPr/>
        <w:tc>
          <w:tcPr>
            <w:tcW w:w="7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r>
      <w:tr>
        <w:trPr/>
        <w:tc>
          <w:tcPr>
            <w:tcW w:w="79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4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INDEX</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PAGE</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NO.</w:t>
            </w:r>
          </w:p>
        </w:tc>
      </w:tr>
      <w:tr>
        <w:trPr/>
        <w:tc>
          <w:tcPr>
            <w:tcW w:w="7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left"/>
              <w:rPr/>
            </w:pPr>
            <w:r>
              <w:rPr/>
              <w:t> </w:t>
            </w:r>
          </w:p>
        </w:tc>
      </w:tr>
      <w:tr>
        <w:trPr/>
        <w:tc>
          <w:tcPr>
            <w:tcW w:w="79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PART I.</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hyperlink w:anchor="part_i_financial_information">
              <w:r>
                <w:rPr>
                  <w:rStyle w:val="InternetLink"/>
                  <w:rFonts w:ascii="Times New Roman;serif" w:hAnsi="Times New Roman;serif"/>
                  <w:b w:val="false"/>
                  <w:sz w:val="20"/>
                  <w:u w:val="single"/>
                </w:rPr>
                <w:t>FINANCIAL INFORMATION</w:t>
              </w:r>
            </w:hyperlink>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7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pPr>
            <w:r>
              <w:rPr/>
              <w:t> </w:t>
            </w:r>
          </w:p>
        </w:tc>
      </w:tr>
      <w:tr>
        <w:trPr/>
        <w:tc>
          <w:tcPr>
            <w:tcW w:w="79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w:t>
              </w:r>
            </w:hyperlink>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7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pPr>
            <w:r>
              <w:rPr/>
              <w:t> </w:t>
            </w:r>
          </w:p>
        </w:tc>
      </w:tr>
      <w:tr>
        <w:trPr/>
        <w:tc>
          <w:tcPr>
            <w:tcW w:w="7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hyperlink w:anchor="consolidated_balance_sheets">
              <w:r>
                <w:rPr>
                  <w:rStyle w:val="InternetLink"/>
                  <w:rFonts w:ascii="Times New Roman;serif" w:hAnsi="Times New Roman;serif"/>
                  <w:b w:val="false"/>
                  <w:sz w:val="20"/>
                  <w:u w:val="single"/>
                </w:rPr>
                <w:t>Consolidated Balance Sheets as of March 31, 2023 (Unaudited) and December 31, 2022</w:t>
              </w:r>
            </w:hyperlink>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7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pPr>
            <w:r>
              <w:rPr/>
              <w:t> </w:t>
            </w:r>
          </w:p>
        </w:tc>
      </w:tr>
      <w:tr>
        <w:trPr/>
        <w:tc>
          <w:tcPr>
            <w:tcW w:w="7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hyperlink w:anchor="consolidated_statements_operations">
              <w:r>
                <w:rPr>
                  <w:rStyle w:val="InternetLink"/>
                  <w:rFonts w:ascii="Times New Roman;serif" w:hAnsi="Times New Roman;serif"/>
                  <w:b w:val="false"/>
                  <w:sz w:val="20"/>
                  <w:u w:val="single"/>
                </w:rPr>
                <w:t>Consolidated Statements of Operations for the three months ended March 31, 2023 and 2022 (Unaudited)</w:t>
              </w:r>
            </w:hyperlink>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7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pPr>
            <w:r>
              <w:rPr/>
              <w:t> </w:t>
            </w:r>
          </w:p>
        </w:tc>
      </w:tr>
      <w:tr>
        <w:trPr/>
        <w:tc>
          <w:tcPr>
            <w:tcW w:w="7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hyperlink w:anchor="consolidated_schedule_investments_as_mar">
              <w:r>
                <w:rPr>
                  <w:rStyle w:val="InternetLink"/>
                  <w:rFonts w:ascii="Times New Roman;serif" w:hAnsi="Times New Roman;serif"/>
                  <w:b w:val="false"/>
                  <w:sz w:val="20"/>
                  <w:u w:val="single"/>
                </w:rPr>
                <w:t>Consolidated Schedules of Investments as of March 31, 2023 (Unaudited) and December 31, 2022</w:t>
              </w:r>
            </w:hyperlink>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7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pPr>
            <w:r>
              <w:rPr/>
              <w:t> </w:t>
            </w:r>
          </w:p>
        </w:tc>
      </w:tr>
      <w:tr>
        <w:trPr/>
        <w:tc>
          <w:tcPr>
            <w:tcW w:w="7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hyperlink w:anchor="consolidated_statements_changes_in_net_a">
              <w:r>
                <w:rPr>
                  <w:rStyle w:val="InternetLink"/>
                  <w:rFonts w:ascii="Times New Roman;serif" w:hAnsi="Times New Roman;serif"/>
                  <w:b w:val="false"/>
                  <w:sz w:val="20"/>
                  <w:u w:val="single"/>
                </w:rPr>
                <w:t>Consolidated Statements of Changes in Net Assets for the three months ended March 31, 2023 and 2022 (Unaudited)</w:t>
              </w:r>
            </w:hyperlink>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r>
      <w:tr>
        <w:trPr/>
        <w:tc>
          <w:tcPr>
            <w:tcW w:w="7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pPr>
            <w:r>
              <w:rPr/>
              <w:t> </w:t>
            </w:r>
          </w:p>
        </w:tc>
      </w:tr>
      <w:tr>
        <w:trPr/>
        <w:tc>
          <w:tcPr>
            <w:tcW w:w="7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hyperlink w:anchor="consolidated_statements_cash_flows">
              <w:r>
                <w:rPr>
                  <w:rStyle w:val="InternetLink"/>
                  <w:rFonts w:ascii="Times New Roman;serif" w:hAnsi="Times New Roman;serif"/>
                  <w:b w:val="false"/>
                  <w:sz w:val="20"/>
                  <w:u w:val="single"/>
                </w:rPr>
                <w:t>Consolidated Statements of Cash Flows for the three months ended March 31, 2023 and 2022 (Unaudited)</w:t>
              </w:r>
            </w:hyperlink>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r>
      <w:tr>
        <w:trPr/>
        <w:tc>
          <w:tcPr>
            <w:tcW w:w="7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pPr>
            <w:r>
              <w:rPr/>
              <w:t> </w:t>
            </w:r>
          </w:p>
        </w:tc>
      </w:tr>
      <w:tr>
        <w:trPr/>
        <w:tc>
          <w:tcPr>
            <w:tcW w:w="7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hyperlink w:anchor="notes_to_consolidated_financial_statemen">
              <w:r>
                <w:rPr>
                  <w:rStyle w:val="InternetLink"/>
                  <w:rFonts w:ascii="Times New Roman;serif" w:hAnsi="Times New Roman;serif"/>
                  <w:b w:val="false"/>
                  <w:sz w:val="20"/>
                  <w:u w:val="single"/>
                </w:rPr>
                <w:t>Notes to Consolidated Financial Statements (Unaudited)</w:t>
              </w:r>
            </w:hyperlink>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r>
      <w:tr>
        <w:trPr/>
        <w:tc>
          <w:tcPr>
            <w:tcW w:w="7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pPr>
            <w:r>
              <w:rPr/>
              <w:t> </w:t>
            </w:r>
          </w:p>
        </w:tc>
      </w:tr>
      <w:tr>
        <w:trPr/>
        <w:tc>
          <w:tcPr>
            <w:tcW w:w="79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r>
      <w:tr>
        <w:trPr/>
        <w:tc>
          <w:tcPr>
            <w:tcW w:w="7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pPr>
            <w:r>
              <w:rPr/>
              <w:t> </w:t>
            </w:r>
          </w:p>
        </w:tc>
      </w:tr>
      <w:tr>
        <w:trPr/>
        <w:tc>
          <w:tcPr>
            <w:tcW w:w="79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w:t>
            </w:r>
          </w:p>
        </w:tc>
      </w:tr>
      <w:tr>
        <w:trPr/>
        <w:tc>
          <w:tcPr>
            <w:tcW w:w="7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pPr>
            <w:r>
              <w:rPr/>
              <w:t> </w:t>
            </w:r>
          </w:p>
        </w:tc>
      </w:tr>
      <w:tr>
        <w:trPr/>
        <w:tc>
          <w:tcPr>
            <w:tcW w:w="79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hyperlink w:anchor="item_4_controls_procedures">
              <w:r>
                <w:rPr>
                  <w:rStyle w:val="InternetLink"/>
                  <w:rFonts w:ascii="Times New Roman;serif" w:hAnsi="Times New Roman;serif"/>
                  <w:b w:val="false"/>
                  <w:sz w:val="20"/>
                  <w:u w:val="single"/>
                </w:rPr>
                <w:t>Controls and Procedures</w:t>
              </w:r>
            </w:hyperlink>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r>
      <w:tr>
        <w:trPr/>
        <w:tc>
          <w:tcPr>
            <w:tcW w:w="7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pPr>
            <w:r>
              <w:rPr/>
              <w:t> </w:t>
            </w:r>
          </w:p>
        </w:tc>
      </w:tr>
      <w:tr>
        <w:trPr/>
        <w:tc>
          <w:tcPr>
            <w:tcW w:w="79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PART II.</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hyperlink w:anchor="part_ii_or_information">
              <w:r>
                <w:rPr>
                  <w:rStyle w:val="InternetLink"/>
                  <w:rFonts w:ascii="Times New Roman;serif" w:hAnsi="Times New Roman;serif"/>
                  <w:b w:val="false"/>
                  <w:sz w:val="20"/>
                  <w:u w:val="single"/>
                </w:rPr>
                <w:t>OTHER INFORMATION</w:t>
              </w:r>
            </w:hyperlink>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r>
      <w:tr>
        <w:trPr/>
        <w:tc>
          <w:tcPr>
            <w:tcW w:w="7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pPr>
            <w:r>
              <w:rPr/>
              <w:t> </w:t>
            </w:r>
          </w:p>
        </w:tc>
      </w:tr>
      <w:tr>
        <w:trPr/>
        <w:tc>
          <w:tcPr>
            <w:tcW w:w="79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r>
      <w:tr>
        <w:trPr/>
        <w:tc>
          <w:tcPr>
            <w:tcW w:w="7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pPr>
            <w:r>
              <w:rPr/>
              <w:t> </w:t>
            </w:r>
          </w:p>
        </w:tc>
      </w:tr>
      <w:tr>
        <w:trPr/>
        <w:tc>
          <w:tcPr>
            <w:tcW w:w="79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r>
      <w:tr>
        <w:trPr/>
        <w:tc>
          <w:tcPr>
            <w:tcW w:w="7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pPr>
            <w:r>
              <w:rPr/>
              <w:t> </w:t>
            </w:r>
          </w:p>
        </w:tc>
      </w:tr>
      <w:tr>
        <w:trPr/>
        <w:tc>
          <w:tcPr>
            <w:tcW w:w="79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hyperlink w:anchor="item_2_unregistered_sales_of_equity">
              <w:r>
                <w:rPr>
                  <w:rStyle w:val="InternetLink"/>
                  <w:rFonts w:ascii="Times New Roman;serif" w:hAnsi="Times New Roman;serif"/>
                  <w:b w:val="false"/>
                  <w:sz w:val="20"/>
                  <w:u w:val="single"/>
                </w:rPr>
                <w:t>Unregistered Sales of Equity Securities and Use of Proceeds</w:t>
              </w:r>
            </w:hyperlink>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r>
      <w:tr>
        <w:trPr/>
        <w:tc>
          <w:tcPr>
            <w:tcW w:w="7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pPr>
            <w:r>
              <w:rPr/>
              <w:t> </w:t>
            </w:r>
          </w:p>
        </w:tc>
      </w:tr>
      <w:tr>
        <w:trPr/>
        <w:tc>
          <w:tcPr>
            <w:tcW w:w="79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r>
      <w:tr>
        <w:trPr/>
        <w:tc>
          <w:tcPr>
            <w:tcW w:w="7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pPr>
            <w:r>
              <w:rPr/>
              <w:t> </w:t>
            </w:r>
          </w:p>
        </w:tc>
      </w:tr>
      <w:tr>
        <w:trPr/>
        <w:tc>
          <w:tcPr>
            <w:tcW w:w="79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r>
      <w:tr>
        <w:trPr/>
        <w:tc>
          <w:tcPr>
            <w:tcW w:w="7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pPr>
            <w:r>
              <w:rPr/>
              <w:t> </w:t>
            </w:r>
          </w:p>
        </w:tc>
      </w:tr>
      <w:tr>
        <w:trPr/>
        <w:tc>
          <w:tcPr>
            <w:tcW w:w="79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hyperlink w:anchor="item_5_or_information">
              <w:r>
                <w:rPr>
                  <w:rStyle w:val="InternetLink"/>
                  <w:rFonts w:ascii="Times New Roman;serif" w:hAnsi="Times New Roman;serif"/>
                  <w:b w:val="false"/>
                  <w:sz w:val="20"/>
                  <w:u w:val="single"/>
                </w:rPr>
                <w:t>Other Information</w:t>
              </w:r>
            </w:hyperlink>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w:t>
            </w:r>
          </w:p>
        </w:tc>
      </w:tr>
      <w:tr>
        <w:trPr/>
        <w:tc>
          <w:tcPr>
            <w:tcW w:w="7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pPr>
            <w:r>
              <w:rPr/>
              <w:t> </w:t>
            </w:r>
          </w:p>
        </w:tc>
      </w:tr>
      <w:tr>
        <w:trPr/>
        <w:tc>
          <w:tcPr>
            <w:tcW w:w="79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r>
      <w:tr>
        <w:trPr/>
        <w:tc>
          <w:tcPr>
            <w:tcW w:w="7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9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pPr>
            <w:r>
              <w:rPr/>
              <w:t> </w:t>
            </w:r>
          </w:p>
        </w:tc>
      </w:tr>
      <w:tr>
        <w:trPr/>
        <w:tc>
          <w:tcPr>
            <w:tcW w:w="9442" w:type="dxa"/>
            <w:gridSpan w:val="3"/>
            <w:tcBorders/>
            <w:shd w:fill="auto" w:val="clear"/>
            <w:vAlign w:val="center"/>
          </w:tcPr>
          <w:p>
            <w:pPr>
              <w:pStyle w:val="TableContents"/>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146" w:type="dxa"/>
            <w:tcBorders/>
            <w:shd w:fill="auto" w:val="clear"/>
            <w:vAlign w:val="center"/>
          </w:tcPr>
          <w:p>
            <w:pPr>
              <w:pStyle w:val="TableContents"/>
              <w:spacing w:before="0" w:after="0"/>
              <w:ind w:left="0" w:right="0" w:hanging="0"/>
              <w:jc w:val="left"/>
              <w:rPr/>
            </w:pPr>
            <w:r>
              <w:rPr/>
              <w:t> </w:t>
            </w:r>
          </w:p>
        </w:tc>
        <w:tc>
          <w:tcPr>
            <w:tcW w:w="6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r>
    </w:tbl>
    <w:p>
      <w:pPr>
        <w:pStyle w:val="TextBody"/>
        <w:spacing w:before="0" w:after="0"/>
        <w:jc w:val="both"/>
        <w:rPr/>
      </w:pPr>
      <w:r>
        <w:rPr/>
        <w:t> </w:t>
      </w:r>
    </w:p>
    <w:p>
      <w:pPr>
        <w:pStyle w:val="TextBody"/>
        <w:spacing w:before="0" w:after="0"/>
        <w:jc w:val="both"/>
        <w:rPr/>
      </w:pPr>
      <w:r>
        <w:rPr/>
        <w:t> </w:t>
      </w:r>
    </w:p>
    <w:p>
      <w:pPr>
        <w:pStyle w:val="TextBody"/>
        <w:spacing w:before="0" w:after="0"/>
        <w:jc w:val="both"/>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CAUTIONARY STATEMENT REGARDING FORWARD-LOOKING STATEMENTS</w:t>
      </w:r>
      <w:r>
        <w:rPr>
          <w:rFonts w:ascii="Times New Roman" w:hAnsi="Times New Roman"/>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addition to factors previously identified elsewhere in the reports and other documents Sixth Street Specialty Lending, Inc. has filed with the Securities and Exchange Commission, or SEC, the following factors, among others, could cause actual results to differ materially from forward-looking statements or historical performance:</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an economic downturn, including the current and future economic effects of the COVID-19 pandemic, could impair our portfolio companies’ abilities to continue to operate, which could lead to the loss of some or all of our investments in those portfolio companies;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such an economic downturn could disproportionately impact the companies in which we have invested and others that we intend to target for investment, potentially causing us to experience a decrease in investment opportunities and diminished demand for capital from these companies;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such an economic downturn could also impact availability and pricing of our financing;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 inability to access the capital markets could impair our ability to raise capital and our investment activities;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inflation could negatively impact our business, including our ability to access the debt markets on favorable terms, or could negatively impact our portfolio companies;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risks, uncertainties and other factors we identify in the section entitled “Risk Factors” in this report, in our Annual Report on Form 10-K for the year ended December 31, 2022, filed with the SEC on February 16, 2023, and elsewhere in our filings with the SEC. </w:t>
      </w:r>
    </w:p>
    <w:p>
      <w:pPr>
        <w:pStyle w:val="TextBody"/>
        <w:spacing w:before="240" w:after="0"/>
        <w:jc w:val="left"/>
        <w:rPr>
          <w:rFonts w:ascii="Times New Roman" w:hAnsi="Times New Roman"/>
          <w:sz w:val="20"/>
        </w:rPr>
      </w:pPr>
      <w:r>
        <w:rPr>
          <w:rFonts w:ascii="Times New Roman;serif" w:hAnsi="Times New Roman;serif"/>
          <w:b w:val="false"/>
          <w:sz w:val="20"/>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“TSLX” and “TAO” marks are marks of Sixth Street.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2" w:name="part_i_financial_information"/>
      <w:bookmarkEnd w:id="2"/>
      <w:r>
        <w:rPr>
          <w:rFonts w:ascii="Times New Roman;serif" w:hAnsi="Times New Roman;serif"/>
          <w:b/>
          <w:sz w:val="20"/>
        </w:rPr>
        <w:t>PART I. FINANCIAL INFORMATION</w:t>
      </w:r>
      <w:r>
        <w:rPr>
          <w:rFonts w:ascii="Times New Roman" w:hAnsi="Times New Roman"/>
          <w:sz w:val="20"/>
        </w:rPr>
        <w:t xml:space="preserve"> </w:t>
      </w:r>
    </w:p>
    <w:p>
      <w:pPr>
        <w:pStyle w:val="TextBody"/>
        <w:spacing w:before="240" w:after="0"/>
        <w:jc w:val="left"/>
        <w:rPr>
          <w:rFonts w:ascii="Times New Roman" w:hAnsi="Times New Roman"/>
          <w:sz w:val="20"/>
        </w:rPr>
      </w:pPr>
      <w:bookmarkStart w:id="3" w:name="item_1_financial_statements"/>
      <w:bookmarkEnd w:id="3"/>
      <w:r>
        <w:rPr>
          <w:rFonts w:ascii="Times New Roman;serif" w:hAnsi="Times New Roman;serif"/>
          <w:b/>
          <w:sz w:val="20"/>
        </w:rPr>
        <w:t>Item 1. Financial Statements</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rPr>
        <w:t>Sixth Street Specialty Lending, Inc.</w:t>
      </w:r>
      <w:r>
        <w:rPr>
          <w:rFonts w:ascii="Times New Roman" w:hAnsi="Times New Roman"/>
          <w:sz w:val="20"/>
        </w:rPr>
        <w:t xml:space="preserve"> </w:t>
      </w:r>
    </w:p>
    <w:p>
      <w:pPr>
        <w:pStyle w:val="TextBody"/>
        <w:spacing w:before="240" w:after="0"/>
        <w:jc w:val="center"/>
        <w:rPr>
          <w:rFonts w:ascii="Times New Roman" w:hAnsi="Times New Roman"/>
          <w:sz w:val="20"/>
        </w:rPr>
      </w:pPr>
      <w:bookmarkStart w:id="4" w:name="consolidated_balance_sheets"/>
      <w:bookmarkEnd w:id="4"/>
      <w:r>
        <w:rPr>
          <w:rFonts w:ascii="Times New Roman;serif" w:hAnsi="Times New Roman;serif"/>
          <w:b/>
          <w:sz w:val="20"/>
        </w:rPr>
        <w:t>Consolidated Balance Sheets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(Amounts in thousands, except share and per share amounts)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872"/>
        <w:gridCol w:w="146"/>
        <w:gridCol w:w="211"/>
        <w:gridCol w:w="931"/>
        <w:gridCol w:w="166"/>
        <w:gridCol w:w="146"/>
        <w:gridCol w:w="211"/>
        <w:gridCol w:w="931"/>
        <w:gridCol w:w="591"/>
      </w:tblGrid>
      <w:tr>
        <w:trPr/>
        <w:tc>
          <w:tcPr>
            <w:tcW w:w="687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687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591" w:type="dxa"/>
            <w:tcBorders/>
            <w:shd w:fill="auto" w:val="clear"/>
            <w:vAlign w:val="center"/>
          </w:tcPr>
          <w:p>
            <w:pPr>
              <w:pStyle w:val="TableContents"/>
              <w:spacing w:before="0" w:after="0"/>
              <w:ind w:left="0" w:right="0" w:hanging="0"/>
              <w:jc w:val="center"/>
              <w:rPr/>
            </w:pPr>
            <w:r>
              <w:rPr/>
              <w:t> </w:t>
            </w:r>
          </w:p>
        </w:tc>
      </w:tr>
      <w:tr>
        <w:trPr/>
        <w:tc>
          <w:tcPr>
            <w:tcW w:w="687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87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68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Investments at fair value</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6872"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Non-controlled, non-affiliated investments (amortized cost of $2,830,361</w:t>
            </w:r>
            <w:r>
              <w:rPr>
                <w:rFonts w:ascii="Times New Roman" w:hAnsi="Times New Roman"/>
                <w:sz w:val="20"/>
              </w:rPr>
              <w:t> </w:t>
            </w:r>
            <w:r>
              <w:rPr>
                <w:rFonts w:ascii="Times New Roman;serif" w:hAnsi="Times New Roman;serif"/>
                <w:b w:val="false"/>
                <w:sz w:val="20"/>
              </w:rPr>
              <w:t>and $2,707,442, respectively)</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2,851,842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2,717,170</w:t>
            </w:r>
          </w:p>
        </w:tc>
        <w:tc>
          <w:tcPr>
            <w:tcW w:w="591" w:type="dxa"/>
            <w:tcBorders/>
            <w:shd w:fill="auto" w:val="clear"/>
            <w:vAlign w:val="center"/>
          </w:tcPr>
          <w:p>
            <w:pPr>
              <w:pStyle w:val="TableContents"/>
              <w:spacing w:before="0" w:after="0"/>
              <w:ind w:left="0" w:right="0" w:firstLine="200"/>
              <w:jc w:val="left"/>
              <w:rPr/>
            </w:pPr>
            <w:r>
              <w:rPr/>
              <w:t> </w:t>
            </w:r>
          </w:p>
        </w:tc>
      </w:tr>
      <w:tr>
        <w:trPr/>
        <w:tc>
          <w:tcPr>
            <w:tcW w:w="6872"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Controlled, affiliated investments (amortized cost of $69,474</w:t>
            </w:r>
            <w:r>
              <w:rPr>
                <w:rFonts w:ascii="Times New Roman" w:hAnsi="Times New Roman"/>
                <w:sz w:val="20"/>
              </w:rPr>
              <w:t> </w:t>
            </w:r>
            <w:r>
              <w:rPr>
                <w:rFonts w:ascii="Times New Roman;serif" w:hAnsi="Times New Roman;serif"/>
                <w:b w:val="false"/>
                <w:sz w:val="20"/>
              </w:rPr>
              <w:t>and $67,284, respectively)</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66,742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70,755</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872"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Total investments at fair value (amortized cost of $2,899,835</w:t>
            </w:r>
            <w:r>
              <w:rPr>
                <w:rFonts w:ascii="Times New Roman" w:hAnsi="Times New Roman"/>
                <w:sz w:val="20"/>
              </w:rPr>
              <w:t> </w:t>
            </w:r>
            <w:r>
              <w:rPr>
                <w:rFonts w:ascii="Times New Roman;serif" w:hAnsi="Times New Roman;serif"/>
                <w:b w:val="false"/>
                <w:sz w:val="20"/>
              </w:rPr>
              <w:t>and $2,774,726, respectively)</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2,918,584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2,787,925</w:t>
            </w:r>
          </w:p>
        </w:tc>
        <w:tc>
          <w:tcPr>
            <w:tcW w:w="591" w:type="dxa"/>
            <w:tcBorders/>
            <w:shd w:fill="auto" w:val="clear"/>
            <w:vAlign w:val="center"/>
          </w:tcPr>
          <w:p>
            <w:pPr>
              <w:pStyle w:val="TableContents"/>
              <w:spacing w:before="0" w:after="0"/>
              <w:ind w:left="0" w:right="0" w:hanging="0"/>
              <w:jc w:val="left"/>
              <w:rPr/>
            </w:pPr>
            <w:r>
              <w:rPr/>
              <w:t> </w:t>
            </w:r>
          </w:p>
        </w:tc>
      </w:tr>
      <w:tr>
        <w:trPr/>
        <w:tc>
          <w:tcPr>
            <w:tcW w:w="6872"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Cash and cash equivalents (restricted cash of $16,162</w:t>
            </w:r>
            <w:r>
              <w:rPr>
                <w:rFonts w:ascii="Times New Roman" w:hAnsi="Times New Roman"/>
                <w:sz w:val="20"/>
              </w:rPr>
              <w:t> </w:t>
            </w:r>
            <w:r>
              <w:rPr>
                <w:rFonts w:ascii="Times New Roman;serif" w:hAnsi="Times New Roman;serif"/>
                <w:b w:val="false"/>
                <w:sz w:val="20"/>
              </w:rPr>
              <w:t>and $15,437, respectively)</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25,737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25,647</w:t>
            </w:r>
          </w:p>
        </w:tc>
        <w:tc>
          <w:tcPr>
            <w:tcW w:w="591" w:type="dxa"/>
            <w:tcBorders/>
            <w:shd w:fill="auto" w:val="clear"/>
            <w:vAlign w:val="center"/>
          </w:tcPr>
          <w:p>
            <w:pPr>
              <w:pStyle w:val="TableContents"/>
              <w:spacing w:before="0" w:after="0"/>
              <w:ind w:left="0" w:right="0" w:hanging="0"/>
              <w:jc w:val="left"/>
              <w:rPr/>
            </w:pPr>
            <w:r>
              <w:rPr/>
              <w:t> </w:t>
            </w:r>
          </w:p>
        </w:tc>
      </w:tr>
      <w:tr>
        <w:trPr/>
        <w:tc>
          <w:tcPr>
            <w:tcW w:w="68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receivable</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24,631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18,846</w:t>
            </w:r>
          </w:p>
        </w:tc>
        <w:tc>
          <w:tcPr>
            <w:tcW w:w="591" w:type="dxa"/>
            <w:tcBorders/>
            <w:shd w:fill="auto" w:val="clear"/>
            <w:vAlign w:val="center"/>
          </w:tcPr>
          <w:p>
            <w:pPr>
              <w:pStyle w:val="TableContents"/>
              <w:spacing w:before="0" w:after="0"/>
              <w:ind w:left="0" w:right="0" w:hanging="0"/>
              <w:jc w:val="left"/>
              <w:rPr/>
            </w:pPr>
            <w:r>
              <w:rPr/>
              <w:t> </w:t>
            </w:r>
          </w:p>
        </w:tc>
      </w:tr>
      <w:tr>
        <w:trPr/>
        <w:tc>
          <w:tcPr>
            <w:tcW w:w="68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expenses and other assets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3,728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4,529</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872" w:type="dxa"/>
            <w:tcBorders/>
            <w:shd w:fill="auto" w:val="clear"/>
            <w:vAlign w:val="center"/>
          </w:tcPr>
          <w:p>
            <w:pPr>
              <w:pStyle w:val="TableContents"/>
              <w:spacing w:before="0" w:after="0"/>
              <w:ind w:left="400" w:right="0" w:hanging="0"/>
              <w:jc w:val="left"/>
              <w:rPr>
                <w:rFonts w:ascii="Times New Roman;serif" w:hAnsi="Times New Roman;serif"/>
                <w:b/>
                <w:sz w:val="20"/>
              </w:rPr>
            </w:pPr>
            <w:r>
              <w:rPr>
                <w:rFonts w:ascii="Times New Roman;serif" w:hAnsi="Times New Roman;serif"/>
                <w:b/>
                <w:sz w:val="20"/>
              </w:rPr>
              <w:t>Total Assets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2,972,680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2,836,947</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87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Liabilities</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6872"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Debt (net of deferred financing costs of $16,533</w:t>
            </w:r>
            <w:r>
              <w:rPr>
                <w:rFonts w:ascii="Times New Roman" w:hAnsi="Times New Roman"/>
                <w:sz w:val="20"/>
              </w:rPr>
              <w:t> </w:t>
            </w:r>
            <w:r>
              <w:rPr>
                <w:rFonts w:ascii="Times New Roman;serif" w:hAnsi="Times New Roman;serif"/>
                <w:b w:val="false"/>
                <w:sz w:val="20"/>
              </w:rPr>
              <w:t>and $17,760, respectively)</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1,563,036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1,441,796</w:t>
            </w:r>
          </w:p>
        </w:tc>
        <w:tc>
          <w:tcPr>
            <w:tcW w:w="591" w:type="dxa"/>
            <w:tcBorders/>
            <w:shd w:fill="auto" w:val="clear"/>
            <w:vAlign w:val="center"/>
          </w:tcPr>
          <w:p>
            <w:pPr>
              <w:pStyle w:val="TableContents"/>
              <w:spacing w:before="0" w:after="0"/>
              <w:ind w:left="0" w:right="0" w:hanging="0"/>
              <w:jc w:val="left"/>
              <w:rPr/>
            </w:pPr>
            <w:r>
              <w:rPr/>
              <w:t> </w:t>
            </w:r>
          </w:p>
        </w:tc>
      </w:tr>
      <w:tr>
        <w:trPr/>
        <w:tc>
          <w:tcPr>
            <w:tcW w:w="68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Management fees payable to affiliate</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10,477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10,526</w:t>
            </w:r>
          </w:p>
        </w:tc>
        <w:tc>
          <w:tcPr>
            <w:tcW w:w="591" w:type="dxa"/>
            <w:tcBorders/>
            <w:shd w:fill="auto" w:val="clear"/>
            <w:vAlign w:val="center"/>
          </w:tcPr>
          <w:p>
            <w:pPr>
              <w:pStyle w:val="TableContents"/>
              <w:spacing w:before="0" w:after="0"/>
              <w:ind w:left="0" w:right="0" w:hanging="0"/>
              <w:jc w:val="left"/>
              <w:rPr/>
            </w:pPr>
            <w:r>
              <w:rPr/>
              <w:t> </w:t>
            </w:r>
          </w:p>
        </w:tc>
      </w:tr>
      <w:tr>
        <w:trPr/>
        <w:tc>
          <w:tcPr>
            <w:tcW w:w="68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Incentive fees on net investment income payable to affiliate</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9,481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10,918</w:t>
            </w:r>
          </w:p>
        </w:tc>
        <w:tc>
          <w:tcPr>
            <w:tcW w:w="591" w:type="dxa"/>
            <w:tcBorders/>
            <w:shd w:fill="auto" w:val="clear"/>
            <w:vAlign w:val="center"/>
          </w:tcPr>
          <w:p>
            <w:pPr>
              <w:pStyle w:val="TableContents"/>
              <w:spacing w:before="0" w:after="0"/>
              <w:ind w:left="0" w:right="0" w:hanging="0"/>
              <w:jc w:val="left"/>
              <w:rPr/>
            </w:pPr>
            <w:r>
              <w:rPr/>
              <w:t> </w:t>
            </w:r>
          </w:p>
        </w:tc>
      </w:tr>
      <w:tr>
        <w:trPr/>
        <w:tc>
          <w:tcPr>
            <w:tcW w:w="68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Incentive fees on net capital gains accrued to affiliate</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6,064</w:t>
            </w:r>
          </w:p>
        </w:tc>
        <w:tc>
          <w:tcPr>
            <w:tcW w:w="591" w:type="dxa"/>
            <w:tcBorders/>
            <w:shd w:fill="auto" w:val="clear"/>
            <w:vAlign w:val="center"/>
          </w:tcPr>
          <w:p>
            <w:pPr>
              <w:pStyle w:val="TableContents"/>
              <w:spacing w:before="0" w:after="0"/>
              <w:ind w:left="0" w:right="0" w:hanging="0"/>
              <w:jc w:val="left"/>
              <w:rPr/>
            </w:pPr>
            <w:r>
              <w:rPr/>
              <w:t> </w:t>
            </w:r>
          </w:p>
        </w:tc>
      </w:tr>
      <w:tr>
        <w:trPr/>
        <w:tc>
          <w:tcPr>
            <w:tcW w:w="68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payables to affiliate</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3,707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3,265</w:t>
            </w:r>
          </w:p>
        </w:tc>
        <w:tc>
          <w:tcPr>
            <w:tcW w:w="591" w:type="dxa"/>
            <w:tcBorders/>
            <w:shd w:fill="auto" w:val="clear"/>
            <w:vAlign w:val="center"/>
          </w:tcPr>
          <w:p>
            <w:pPr>
              <w:pStyle w:val="TableContents"/>
              <w:spacing w:before="0" w:after="0"/>
              <w:ind w:left="0" w:right="0" w:hanging="0"/>
              <w:jc w:val="left"/>
              <w:rPr/>
            </w:pPr>
            <w:r>
              <w:rPr/>
              <w:t> </w:t>
            </w:r>
          </w:p>
        </w:tc>
      </w:tr>
      <w:tr>
        <w:trPr/>
        <w:tc>
          <w:tcPr>
            <w:tcW w:w="68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22,152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22,809</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872" w:type="dxa"/>
            <w:tcBorders/>
            <w:shd w:fill="auto" w:val="clear"/>
            <w:vAlign w:val="center"/>
          </w:tcPr>
          <w:p>
            <w:pPr>
              <w:pStyle w:val="TableContents"/>
              <w:spacing w:before="0" w:after="0"/>
              <w:ind w:left="400" w:right="0" w:hanging="0"/>
              <w:jc w:val="left"/>
              <w:rPr>
                <w:rFonts w:ascii="Times New Roman;serif" w:hAnsi="Times New Roman;serif"/>
                <w:b/>
                <w:sz w:val="20"/>
              </w:rPr>
            </w:pPr>
            <w:r>
              <w:rPr>
                <w:rFonts w:ascii="Times New Roman;serif" w:hAnsi="Times New Roman;serif"/>
                <w:b/>
                <w:sz w:val="20"/>
              </w:rPr>
              <w:t>Total Liabilities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1,616,675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1,495,378</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8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8)</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6872"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Assets</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6872"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Preferred stock, $0.01</w:t>
            </w:r>
            <w:r>
              <w:rPr>
                <w:rFonts w:ascii="Times New Roman" w:hAnsi="Times New Roman"/>
                <w:sz w:val="20"/>
              </w:rPr>
              <w:t> </w:t>
            </w:r>
            <w:r>
              <w:rPr>
                <w:rFonts w:ascii="Times New Roman;serif" w:hAnsi="Times New Roman;serif"/>
                <w:b w:val="false"/>
                <w:sz w:val="20"/>
              </w:rPr>
              <w:t>par value; 100,000,000</w:t>
            </w:r>
            <w:r>
              <w:rPr>
                <w:rFonts w:ascii="Times New Roman" w:hAnsi="Times New Roman"/>
                <w:sz w:val="20"/>
              </w:rPr>
              <w:t> </w:t>
            </w:r>
            <w:r>
              <w:rPr>
                <w:rFonts w:ascii="Times New Roman;serif" w:hAnsi="Times New Roman;serif"/>
                <w:b w:val="false"/>
                <w:sz w:val="20"/>
              </w:rPr>
              <w:t>shares authorized; no</w:t>
            </w:r>
            <w:r>
              <w:rPr>
                <w:rFonts w:ascii="Times New Roman" w:hAnsi="Times New Roman"/>
                <w:sz w:val="20"/>
              </w:rPr>
              <w:t> </w:t>
            </w:r>
            <w:r>
              <w:rPr>
                <w:rFonts w:ascii="Times New Roman;serif" w:hAnsi="Times New Roman;serif"/>
                <w:b w:val="false"/>
                <w:sz w:val="20"/>
              </w:rPr>
              <w:t>shares</w:t>
              <w:br/>
              <w:t>   issued and outstanding</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6872"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Common stock, $0.01</w:t>
            </w:r>
            <w:r>
              <w:rPr>
                <w:rFonts w:ascii="Times New Roman" w:hAnsi="Times New Roman"/>
                <w:sz w:val="20"/>
              </w:rPr>
              <w:t> </w:t>
            </w:r>
            <w:r>
              <w:rPr>
                <w:rFonts w:ascii="Times New Roman;serif" w:hAnsi="Times New Roman;serif"/>
                <w:b w:val="false"/>
                <w:sz w:val="20"/>
              </w:rPr>
              <w:t>par value; 400,000,000</w:t>
            </w:r>
            <w:r>
              <w:rPr>
                <w:rFonts w:ascii="Times New Roman" w:hAnsi="Times New Roman"/>
                <w:sz w:val="20"/>
              </w:rPr>
              <w:t> </w:t>
            </w:r>
            <w:r>
              <w:rPr>
                <w:rFonts w:ascii="Times New Roman;serif" w:hAnsi="Times New Roman;serif"/>
                <w:b w:val="false"/>
                <w:sz w:val="20"/>
              </w:rPr>
              <w:t>shares authorized, 82,416,115</w:t>
              <w:br/>
              <w:t>   and 82,053,537</w:t>
            </w:r>
            <w:r>
              <w:rPr>
                <w:rFonts w:ascii="Times New Roman" w:hAnsi="Times New Roman"/>
                <w:sz w:val="20"/>
              </w:rPr>
              <w:t> </w:t>
            </w:r>
            <w:r>
              <w:rPr>
                <w:rFonts w:ascii="Times New Roman;serif" w:hAnsi="Times New Roman;serif"/>
                <w:b w:val="false"/>
                <w:sz w:val="20"/>
              </w:rPr>
              <w:t>shares issued, respectively; and 81,751,865</w:t>
            </w:r>
            <w:r>
              <w:rPr>
                <w:rFonts w:ascii="Times New Roman" w:hAnsi="Times New Roman"/>
                <w:sz w:val="20"/>
              </w:rPr>
              <w:t> </w:t>
            </w:r>
            <w:r>
              <w:rPr>
                <w:rFonts w:ascii="Times New Roman;serif" w:hAnsi="Times New Roman;serif"/>
                <w:b w:val="false"/>
                <w:sz w:val="20"/>
              </w:rPr>
              <w:t>and 81,389,287</w:t>
              <w:br/>
              <w:t>   shares outstanding, respectively</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821</w:t>
            </w:r>
          </w:p>
        </w:tc>
        <w:tc>
          <w:tcPr>
            <w:tcW w:w="591" w:type="dxa"/>
            <w:tcBorders/>
            <w:shd w:fill="auto" w:val="clear"/>
            <w:vAlign w:val="center"/>
          </w:tcPr>
          <w:p>
            <w:pPr>
              <w:pStyle w:val="TableContents"/>
              <w:spacing w:before="0" w:after="0"/>
              <w:ind w:left="0" w:right="0" w:hanging="0"/>
              <w:jc w:val="left"/>
              <w:rPr/>
            </w:pPr>
            <w:r>
              <w:rPr/>
              <w:t> </w:t>
            </w:r>
          </w:p>
        </w:tc>
      </w:tr>
      <w:tr>
        <w:trPr/>
        <w:tc>
          <w:tcPr>
            <w:tcW w:w="68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1,300,593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1,294,751</w:t>
            </w:r>
          </w:p>
        </w:tc>
        <w:tc>
          <w:tcPr>
            <w:tcW w:w="591" w:type="dxa"/>
            <w:tcBorders/>
            <w:shd w:fill="auto" w:val="clear"/>
            <w:vAlign w:val="center"/>
          </w:tcPr>
          <w:p>
            <w:pPr>
              <w:pStyle w:val="TableContents"/>
              <w:spacing w:before="0" w:after="0"/>
              <w:ind w:left="0" w:right="0" w:hanging="0"/>
              <w:jc w:val="left"/>
              <w:rPr/>
            </w:pPr>
            <w:r>
              <w:rPr/>
              <w:t> </w:t>
            </w:r>
          </w:p>
        </w:tc>
      </w:tr>
      <w:tr>
        <w:trPr/>
        <w:tc>
          <w:tcPr>
            <w:tcW w:w="6872"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Treasury stock at cost; 664,250</w:t>
            </w:r>
            <w:r>
              <w:rPr>
                <w:rFonts w:ascii="Times New Roman" w:hAnsi="Times New Roman"/>
                <w:sz w:val="20"/>
              </w:rPr>
              <w:t> </w:t>
            </w:r>
            <w:r>
              <w:rPr>
                <w:rFonts w:ascii="Times New Roman;serif" w:hAnsi="Times New Roman;serif"/>
                <w:b w:val="false"/>
                <w:sz w:val="20"/>
              </w:rPr>
              <w:t>and 664,250</w:t>
            </w:r>
            <w:r>
              <w:rPr>
                <w:rFonts w:ascii="Times New Roman" w:hAnsi="Times New Roman"/>
                <w:sz w:val="20"/>
              </w:rPr>
              <w:t> </w:t>
            </w:r>
            <w:r>
              <w:rPr>
                <w:rFonts w:ascii="Times New Roman;serif" w:hAnsi="Times New Roman;serif"/>
                <w:b w:val="false"/>
                <w:sz w:val="20"/>
              </w:rPr>
              <w:t>shares held, respectively</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(10,459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(10,459</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8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Distributable earnings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65,047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56,456</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872" w:type="dxa"/>
            <w:tcBorders/>
            <w:shd w:fill="auto" w:val="clear"/>
            <w:vAlign w:val="center"/>
          </w:tcPr>
          <w:p>
            <w:pPr>
              <w:pStyle w:val="TableContents"/>
              <w:spacing w:before="0" w:after="0"/>
              <w:ind w:left="400" w:right="0" w:hanging="0"/>
              <w:jc w:val="left"/>
              <w:rPr>
                <w:rFonts w:ascii="Times New Roman;serif" w:hAnsi="Times New Roman;serif"/>
                <w:b/>
                <w:sz w:val="20"/>
              </w:rPr>
            </w:pPr>
            <w:r>
              <w:rPr>
                <w:rFonts w:ascii="Times New Roman;serif" w:hAnsi="Times New Roman;serif"/>
                <w:b/>
                <w:sz w:val="20"/>
              </w:rPr>
              <w:t>Total Net Assets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1,356,005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1,341,569</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872" w:type="dxa"/>
            <w:tcBorders/>
            <w:shd w:fill="auto" w:val="clear"/>
            <w:vAlign w:val="center"/>
          </w:tcPr>
          <w:p>
            <w:pPr>
              <w:pStyle w:val="TableContents"/>
              <w:spacing w:before="0" w:after="0"/>
              <w:ind w:left="400" w:right="0" w:hanging="0"/>
              <w:jc w:val="left"/>
              <w:rPr>
                <w:rFonts w:ascii="Times New Roman;serif" w:hAnsi="Times New Roman;serif"/>
                <w:b/>
                <w:sz w:val="20"/>
              </w:rPr>
            </w:pPr>
            <w:r>
              <w:rPr>
                <w:rFonts w:ascii="Times New Roman;serif" w:hAnsi="Times New Roman;serif"/>
                <w:b/>
                <w:sz w:val="20"/>
              </w:rPr>
              <w:t>Total Liabilities and Net Assets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2,972,680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2,836,947</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872" w:type="dxa"/>
            <w:tcBorders/>
            <w:shd w:fill="auto" w:val="clear"/>
            <w:vAlign w:val="center"/>
          </w:tcPr>
          <w:p>
            <w:pPr>
              <w:pStyle w:val="TableContents"/>
              <w:spacing w:before="0" w:after="0"/>
              <w:ind w:left="400" w:right="0" w:hanging="0"/>
              <w:jc w:val="left"/>
              <w:rPr>
                <w:rFonts w:ascii="Times New Roman;serif" w:hAnsi="Times New Roman;serif"/>
                <w:b/>
                <w:sz w:val="20"/>
              </w:rPr>
            </w:pPr>
            <w:r>
              <w:rPr>
                <w:rFonts w:ascii="Times New Roman;serif" w:hAnsi="Times New Roman;serif"/>
                <w:b/>
                <w:sz w:val="20"/>
              </w:rPr>
              <w:t>Net Asset Value Per Share</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16.48</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center"/>
        <w:rPr>
          <w:rFonts w:ascii="Times New Roman" w:hAnsi="Times New Roman"/>
          <w:sz w:val="20"/>
        </w:rPr>
      </w:pPr>
      <w:r>
        <w:rPr>
          <w:rFonts w:ascii="Times New Roman;serif" w:hAnsi="Times New Roman;serif"/>
          <w:b w:val="false"/>
          <w:sz w:val="20"/>
        </w:rPr>
        <w:t>The accompanying notes are an integral part of these consolidated financial statements.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Sixth Street Specialty Lending, Inc.</w:t>
      </w:r>
      <w:r>
        <w:rPr>
          <w:rFonts w:ascii="Times New Roman" w:hAnsi="Times New Roman"/>
          <w:sz w:val="20"/>
        </w:rPr>
        <w:t xml:space="preserve"> </w:t>
      </w:r>
    </w:p>
    <w:p>
      <w:pPr>
        <w:pStyle w:val="TextBody"/>
        <w:spacing w:before="240" w:after="0"/>
        <w:jc w:val="center"/>
        <w:rPr>
          <w:rFonts w:ascii="Times New Roman" w:hAnsi="Times New Roman"/>
          <w:sz w:val="20"/>
        </w:rPr>
      </w:pPr>
      <w:bookmarkStart w:id="5" w:name="consolidated_statements_operations"/>
      <w:bookmarkEnd w:id="5"/>
      <w:r>
        <w:rPr>
          <w:rFonts w:ascii="Times New Roman;serif" w:hAnsi="Times New Roman;serif"/>
          <w:b/>
          <w:sz w:val="20"/>
        </w:rPr>
        <w:t>Consolidated Statements of Operations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(Amounts in thousands, except share and per share amounts)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tbl>
      <w:tblPr>
        <w:tblW w:w="9160" w:type="dxa"/>
        <w:jc w:val="left"/>
        <w:tblInd w:w="0" w:type="dxa"/>
        <w:tblCellMar>
          <w:top w:w="28" w:type="dxa"/>
          <w:left w:w="28" w:type="dxa"/>
          <w:bottom w:w="28" w:type="dxa"/>
          <w:right w:w="28" w:type="dxa"/>
        </w:tblCellMar>
      </w:tblPr>
      <w:tblGrid>
        <w:gridCol w:w="5191"/>
        <w:gridCol w:w="146"/>
        <w:gridCol w:w="222"/>
        <w:gridCol w:w="1038"/>
        <w:gridCol w:w="166"/>
        <w:gridCol w:w="146"/>
        <w:gridCol w:w="222"/>
        <w:gridCol w:w="1038"/>
        <w:gridCol w:w="991"/>
      </w:tblGrid>
      <w:tr>
        <w:trPr/>
        <w:tc>
          <w:tcPr>
            <w:tcW w:w="51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r>
      <w:tr>
        <w:trPr/>
        <w:tc>
          <w:tcPr>
            <w:tcW w:w="51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32"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991" w:type="dxa"/>
            <w:tcBorders/>
            <w:shd w:fill="auto" w:val="clear"/>
            <w:vAlign w:val="center"/>
          </w:tcPr>
          <w:p>
            <w:pPr>
              <w:pStyle w:val="TableContents"/>
              <w:spacing w:before="0" w:after="0"/>
              <w:ind w:left="0" w:right="0" w:hanging="0"/>
              <w:jc w:val="center"/>
              <w:rPr/>
            </w:pPr>
            <w:r>
              <w:rPr/>
              <w:t> </w:t>
            </w:r>
          </w:p>
        </w:tc>
      </w:tr>
      <w:tr>
        <w:trPr/>
        <w:tc>
          <w:tcPr>
            <w:tcW w:w="51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2022</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Income</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991" w:type="dxa"/>
            <w:tcBorders/>
            <w:shd w:fill="auto" w:val="clear"/>
            <w:vAlign w:val="center"/>
          </w:tcPr>
          <w:p>
            <w:pPr>
              <w:pStyle w:val="TableContents"/>
              <w:spacing w:before="0" w:after="0"/>
              <w:ind w:left="0" w:right="0" w:hanging="0"/>
              <w:jc w:val="right"/>
              <w:rPr/>
            </w:pPr>
            <w:r>
              <w:rPr/>
              <w:t> </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Investment income from non-controlled, non-affiliated investments:</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991" w:type="dxa"/>
            <w:tcBorders/>
            <w:shd w:fill="auto" w:val="clear"/>
            <w:vAlign w:val="center"/>
          </w:tcPr>
          <w:p>
            <w:pPr>
              <w:pStyle w:val="TableContents"/>
              <w:spacing w:before="0" w:after="0"/>
              <w:ind w:left="0" w:right="0" w:firstLine="200"/>
              <w:jc w:val="right"/>
              <w:rPr/>
            </w:pPr>
            <w:r>
              <w:rPr/>
              <w:t> </w:t>
            </w:r>
          </w:p>
        </w:tc>
      </w:tr>
      <w:tr>
        <w:trPr/>
        <w:tc>
          <w:tcPr>
            <w:tcW w:w="519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 from investments</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91,437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64,233</w:t>
            </w:r>
          </w:p>
        </w:tc>
        <w:tc>
          <w:tcPr>
            <w:tcW w:w="991" w:type="dxa"/>
            <w:tcBorders/>
            <w:shd w:fill="auto" w:val="clear"/>
            <w:vAlign w:val="center"/>
          </w:tcPr>
          <w:p>
            <w:pPr>
              <w:pStyle w:val="TableContents"/>
              <w:spacing w:before="0" w:after="0"/>
              <w:ind w:left="0" w:right="0" w:firstLine="200"/>
              <w:jc w:val="left"/>
              <w:rPr/>
            </w:pPr>
            <w:r>
              <w:rPr/>
              <w:t> </w:t>
            </w:r>
          </w:p>
        </w:tc>
      </w:tr>
      <w:tr>
        <w:trPr/>
        <w:tc>
          <w:tcPr>
            <w:tcW w:w="519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Dividend income</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608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235</w:t>
            </w:r>
          </w:p>
        </w:tc>
        <w:tc>
          <w:tcPr>
            <w:tcW w:w="991" w:type="dxa"/>
            <w:tcBorders/>
            <w:shd w:fill="auto" w:val="clear"/>
            <w:vAlign w:val="center"/>
          </w:tcPr>
          <w:p>
            <w:pPr>
              <w:pStyle w:val="TableContents"/>
              <w:spacing w:before="0" w:after="0"/>
              <w:ind w:left="0" w:right="0" w:firstLine="200"/>
              <w:jc w:val="left"/>
              <w:rPr/>
            </w:pPr>
            <w:r>
              <w:rPr/>
              <w:t> </w:t>
            </w:r>
          </w:p>
        </w:tc>
      </w:tr>
      <w:tr>
        <w:trPr/>
        <w:tc>
          <w:tcPr>
            <w:tcW w:w="519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income</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2,757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1,762</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191"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investment income from non-controlled, non-affiliated investments</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94,802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66,230</w:t>
            </w:r>
          </w:p>
        </w:tc>
        <w:tc>
          <w:tcPr>
            <w:tcW w:w="991" w:type="dxa"/>
            <w:tcBorders/>
            <w:shd w:fill="auto" w:val="clear"/>
            <w:vAlign w:val="center"/>
          </w:tcPr>
          <w:p>
            <w:pPr>
              <w:pStyle w:val="TableContents"/>
              <w:spacing w:before="0" w:after="0"/>
              <w:ind w:left="0" w:right="0" w:hanging="0"/>
              <w:jc w:val="left"/>
              <w:rPr/>
            </w:pPr>
            <w:r>
              <w:rPr/>
              <w:t> </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Investment income from non-controlled, affiliated investments:</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991" w:type="dxa"/>
            <w:tcBorders/>
            <w:shd w:fill="auto" w:val="clear"/>
            <w:vAlign w:val="center"/>
          </w:tcPr>
          <w:p>
            <w:pPr>
              <w:pStyle w:val="TableContents"/>
              <w:spacing w:before="0" w:after="0"/>
              <w:ind w:left="0" w:right="0" w:firstLine="200"/>
              <w:jc w:val="right"/>
              <w:rPr/>
            </w:pPr>
            <w:r>
              <w:rPr/>
              <w:t> </w:t>
            </w:r>
          </w:p>
        </w:tc>
      </w:tr>
      <w:tr>
        <w:trPr/>
        <w:tc>
          <w:tcPr>
            <w:tcW w:w="519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 from investments</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133</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191"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investment income from non-controlled, affiliated investments</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133</w:t>
            </w:r>
          </w:p>
        </w:tc>
        <w:tc>
          <w:tcPr>
            <w:tcW w:w="991" w:type="dxa"/>
            <w:tcBorders/>
            <w:shd w:fill="auto" w:val="clear"/>
            <w:vAlign w:val="center"/>
          </w:tcPr>
          <w:p>
            <w:pPr>
              <w:pStyle w:val="TableContents"/>
              <w:spacing w:before="0" w:after="0"/>
              <w:ind w:left="0" w:right="0" w:hanging="0"/>
              <w:jc w:val="left"/>
              <w:rPr/>
            </w:pPr>
            <w:r>
              <w:rPr/>
              <w:t> </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Investment income from controlled, affiliated investments:</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991" w:type="dxa"/>
            <w:tcBorders/>
            <w:shd w:fill="auto" w:val="clear"/>
            <w:vAlign w:val="center"/>
          </w:tcPr>
          <w:p>
            <w:pPr>
              <w:pStyle w:val="TableContents"/>
              <w:spacing w:before="0" w:after="0"/>
              <w:ind w:left="0" w:right="0" w:firstLine="200"/>
              <w:jc w:val="right"/>
              <w:rPr/>
            </w:pPr>
            <w:r>
              <w:rPr/>
              <w:t> </w:t>
            </w:r>
          </w:p>
        </w:tc>
      </w:tr>
      <w:tr>
        <w:trPr/>
        <w:tc>
          <w:tcPr>
            <w:tcW w:w="519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 from investments</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1,065</w:t>
            </w:r>
          </w:p>
        </w:tc>
        <w:tc>
          <w:tcPr>
            <w:tcW w:w="991" w:type="dxa"/>
            <w:tcBorders/>
            <w:shd w:fill="auto" w:val="clear"/>
            <w:vAlign w:val="center"/>
          </w:tcPr>
          <w:p>
            <w:pPr>
              <w:pStyle w:val="TableContents"/>
              <w:spacing w:before="0" w:after="0"/>
              <w:ind w:left="0" w:right="0" w:firstLine="200"/>
              <w:jc w:val="left"/>
              <w:rPr/>
            </w:pPr>
            <w:r>
              <w:rPr/>
              <w:t> </w:t>
            </w:r>
          </w:p>
        </w:tc>
      </w:tr>
      <w:tr>
        <w:trPr/>
        <w:tc>
          <w:tcPr>
            <w:tcW w:w="519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income</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191"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investment income from controlled, affiliated investments</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1,703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1,066</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5191" w:type="dxa"/>
            <w:tcBorders/>
            <w:shd w:fill="auto" w:val="clear"/>
            <w:vAlign w:val="center"/>
          </w:tcPr>
          <w:p>
            <w:pPr>
              <w:pStyle w:val="TableContents"/>
              <w:spacing w:before="0" w:after="0"/>
              <w:ind w:left="600" w:right="0" w:hanging="0"/>
              <w:jc w:val="left"/>
              <w:rPr>
                <w:rFonts w:ascii="Times New Roman;serif" w:hAnsi="Times New Roman;serif"/>
                <w:b/>
                <w:sz w:val="16"/>
              </w:rPr>
            </w:pPr>
            <w:r>
              <w:rPr>
                <w:rFonts w:ascii="Times New Roman;serif" w:hAnsi="Times New Roman;serif"/>
                <w:b/>
                <w:sz w:val="16"/>
              </w:rPr>
              <w:t>Total Investment Income</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96,505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67,429</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Expenses</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991" w:type="dxa"/>
            <w:tcBorders/>
            <w:shd w:fill="auto" w:val="clear"/>
            <w:vAlign w:val="center"/>
          </w:tcPr>
          <w:p>
            <w:pPr>
              <w:pStyle w:val="TableContents"/>
              <w:spacing w:before="0" w:after="0"/>
              <w:ind w:left="0" w:right="0" w:hanging="0"/>
              <w:jc w:val="right"/>
              <w:rPr/>
            </w:pPr>
            <w:r>
              <w:rPr/>
              <w:t> </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28,486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9,602</w:t>
            </w:r>
          </w:p>
        </w:tc>
        <w:tc>
          <w:tcPr>
            <w:tcW w:w="991" w:type="dxa"/>
            <w:tcBorders/>
            <w:shd w:fill="auto" w:val="clear"/>
            <w:vAlign w:val="center"/>
          </w:tcPr>
          <w:p>
            <w:pPr>
              <w:pStyle w:val="TableContents"/>
              <w:spacing w:before="0" w:after="0"/>
              <w:ind w:left="0" w:right="0" w:hanging="0"/>
              <w:jc w:val="left"/>
              <w:rPr/>
            </w:pPr>
            <w:r>
              <w:rPr/>
              <w:t> </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Management fees</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10,733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9,330</w:t>
            </w:r>
          </w:p>
        </w:tc>
        <w:tc>
          <w:tcPr>
            <w:tcW w:w="991" w:type="dxa"/>
            <w:tcBorders/>
            <w:shd w:fill="auto" w:val="clear"/>
            <w:vAlign w:val="center"/>
          </w:tcPr>
          <w:p>
            <w:pPr>
              <w:pStyle w:val="TableContents"/>
              <w:spacing w:before="0" w:after="0"/>
              <w:ind w:left="0" w:right="0" w:hanging="0"/>
              <w:jc w:val="left"/>
              <w:rPr/>
            </w:pPr>
            <w:r>
              <w:rPr/>
              <w:t> </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Incentive fees on net investment income</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9,481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7,877</w:t>
            </w:r>
          </w:p>
        </w:tc>
        <w:tc>
          <w:tcPr>
            <w:tcW w:w="991" w:type="dxa"/>
            <w:tcBorders/>
            <w:shd w:fill="auto" w:val="clear"/>
            <w:vAlign w:val="center"/>
          </w:tcPr>
          <w:p>
            <w:pPr>
              <w:pStyle w:val="TableContents"/>
              <w:spacing w:before="0" w:after="0"/>
              <w:ind w:left="0" w:right="0" w:hanging="0"/>
              <w:jc w:val="left"/>
              <w:rPr/>
            </w:pPr>
            <w:r>
              <w:rPr/>
              <w:t> </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Incentive fees on net capital gains</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1,424</w:t>
            </w:r>
          </w:p>
        </w:tc>
        <w:tc>
          <w:tcPr>
            <w:tcW w:w="991" w:type="dxa"/>
            <w:tcBorders/>
            <w:shd w:fill="auto" w:val="clear"/>
            <w:vAlign w:val="center"/>
          </w:tcPr>
          <w:p>
            <w:pPr>
              <w:pStyle w:val="TableContents"/>
              <w:spacing w:before="0" w:after="0"/>
              <w:ind w:left="0" w:right="0" w:hanging="0"/>
              <w:jc w:val="left"/>
              <w:rPr/>
            </w:pPr>
            <w:r>
              <w:rPr/>
              <w:t> </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Professional fees</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1,756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1,484</w:t>
            </w:r>
          </w:p>
        </w:tc>
        <w:tc>
          <w:tcPr>
            <w:tcW w:w="991" w:type="dxa"/>
            <w:tcBorders/>
            <w:shd w:fill="auto" w:val="clear"/>
            <w:vAlign w:val="center"/>
          </w:tcPr>
          <w:p>
            <w:pPr>
              <w:pStyle w:val="TableContents"/>
              <w:spacing w:before="0" w:after="0"/>
              <w:ind w:left="0" w:right="0" w:hanging="0"/>
              <w:jc w:val="left"/>
              <w:rPr/>
            </w:pPr>
            <w:r>
              <w:rPr/>
              <w:t> </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Directors’ fees</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191</w:t>
            </w:r>
          </w:p>
        </w:tc>
        <w:tc>
          <w:tcPr>
            <w:tcW w:w="991" w:type="dxa"/>
            <w:tcBorders/>
            <w:shd w:fill="auto" w:val="clear"/>
            <w:vAlign w:val="center"/>
          </w:tcPr>
          <w:p>
            <w:pPr>
              <w:pStyle w:val="TableContents"/>
              <w:spacing w:before="0" w:after="0"/>
              <w:ind w:left="0" w:right="0" w:hanging="0"/>
              <w:jc w:val="left"/>
              <w:rPr/>
            </w:pPr>
            <w:r>
              <w:rPr/>
              <w:t> </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Other general and administrative</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1,014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1,459</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191"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expenses</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53,411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31,367</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Management fees waived (Note 3)</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pPr>
            <w:r>
              <w:rPr/>
              <w:t> </w:t>
            </w:r>
          </w:p>
        </w:tc>
      </w:tr>
      <w:tr>
        <w:trPr/>
        <w:tc>
          <w:tcPr>
            <w:tcW w:w="5191" w:type="dxa"/>
            <w:tcBorders/>
            <w:shd w:fill="auto" w:val="clear"/>
            <w:vAlign w:val="center"/>
          </w:tcPr>
          <w:p>
            <w:pPr>
              <w:pStyle w:val="TableContents"/>
              <w:spacing w:before="0" w:after="0"/>
              <w:ind w:left="600" w:right="0" w:hanging="0"/>
              <w:jc w:val="left"/>
              <w:rPr>
                <w:rFonts w:ascii="Times New Roman;serif" w:hAnsi="Times New Roman;serif"/>
                <w:b/>
                <w:sz w:val="16"/>
              </w:rPr>
            </w:pPr>
            <w:r>
              <w:rPr>
                <w:rFonts w:ascii="Times New Roman;serif" w:hAnsi="Times New Roman;serif"/>
                <w:b/>
                <w:sz w:val="16"/>
              </w:rPr>
              <w:t>Net Expenses</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53,155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31,367</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Net Investment Income Before Income Taxes</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43,350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36,062</w:t>
            </w:r>
          </w:p>
        </w:tc>
        <w:tc>
          <w:tcPr>
            <w:tcW w:w="991" w:type="dxa"/>
            <w:tcBorders/>
            <w:shd w:fill="auto" w:val="clear"/>
            <w:vAlign w:val="center"/>
          </w:tcPr>
          <w:p>
            <w:pPr>
              <w:pStyle w:val="TableContents"/>
              <w:spacing w:before="0" w:after="0"/>
              <w:ind w:left="0" w:right="0" w:hanging="0"/>
              <w:jc w:val="left"/>
              <w:rPr/>
            </w:pPr>
            <w:r>
              <w:rPr/>
              <w:t> </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Income taxes, including excise taxes</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350</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Net Investment Income</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42,937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35,712</w:t>
            </w:r>
          </w:p>
        </w:tc>
        <w:tc>
          <w:tcPr>
            <w:tcW w:w="991" w:type="dxa"/>
            <w:tcBorders/>
            <w:shd w:fill="auto" w:val="clear"/>
            <w:vAlign w:val="center"/>
          </w:tcPr>
          <w:p>
            <w:pPr>
              <w:pStyle w:val="TableContents"/>
              <w:spacing w:before="0" w:after="0"/>
              <w:ind w:left="0" w:right="0" w:hanging="0"/>
              <w:jc w:val="left"/>
              <w:rPr/>
            </w:pPr>
            <w:r>
              <w:rPr/>
              <w:t> </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Unrealized and Realized Gains (Losses)</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991" w:type="dxa"/>
            <w:tcBorders/>
            <w:shd w:fill="auto" w:val="clear"/>
            <w:vAlign w:val="center"/>
          </w:tcPr>
          <w:p>
            <w:pPr>
              <w:pStyle w:val="TableContents"/>
              <w:spacing w:before="0" w:after="0"/>
              <w:ind w:left="0" w:right="0" w:hanging="0"/>
              <w:jc w:val="right"/>
              <w:rPr/>
            </w:pPr>
            <w:r>
              <w:rPr/>
              <w:t> </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change in unrealized gains (losses):</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991" w:type="dxa"/>
            <w:tcBorders/>
            <w:shd w:fill="auto" w:val="clear"/>
            <w:vAlign w:val="center"/>
          </w:tcPr>
          <w:p>
            <w:pPr>
              <w:pStyle w:val="TableContents"/>
              <w:spacing w:before="0" w:after="0"/>
              <w:ind w:left="0" w:right="0" w:firstLine="200"/>
              <w:jc w:val="right"/>
              <w:rPr/>
            </w:pPr>
            <w:r>
              <w:rPr/>
              <w:t> </w:t>
            </w:r>
          </w:p>
        </w:tc>
      </w:tr>
      <w:tr>
        <w:trPr/>
        <w:tc>
          <w:tcPr>
            <w:tcW w:w="519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Non-controlled, non-affiliated investments</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11,754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(5,622</w:t>
            </w:r>
          </w:p>
        </w:tc>
        <w:tc>
          <w:tcPr>
            <w:tcW w:w="99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519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Non-controlled, affiliated investments</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(14,350</w:t>
            </w:r>
          </w:p>
        </w:tc>
        <w:tc>
          <w:tcPr>
            <w:tcW w:w="99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519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Controlled, affiliated investments</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(6,204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16,220</w:t>
            </w:r>
          </w:p>
        </w:tc>
        <w:tc>
          <w:tcPr>
            <w:tcW w:w="991" w:type="dxa"/>
            <w:tcBorders/>
            <w:shd w:fill="auto" w:val="clear"/>
            <w:vAlign w:val="center"/>
          </w:tcPr>
          <w:p>
            <w:pPr>
              <w:pStyle w:val="TableContents"/>
              <w:spacing w:before="0" w:after="0"/>
              <w:ind w:left="0" w:right="0" w:firstLine="200"/>
              <w:jc w:val="left"/>
              <w:rPr/>
            </w:pPr>
            <w:r>
              <w:rPr/>
              <w:t> </w:t>
            </w:r>
          </w:p>
        </w:tc>
      </w:tr>
      <w:tr>
        <w:trPr/>
        <w:tc>
          <w:tcPr>
            <w:tcW w:w="519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Translation of other assets and liabilities in foreign currencies</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(1,800</w:t>
            </w:r>
          </w:p>
        </w:tc>
        <w:tc>
          <w:tcPr>
            <w:tcW w:w="991"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519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 rate swaps</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(2,943</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5191" w:type="dxa"/>
            <w:tcBorders/>
            <w:shd w:fill="auto" w:val="clear"/>
            <w:vAlign w:val="center"/>
          </w:tcPr>
          <w:p>
            <w:pPr>
              <w:pStyle w:val="TableContents"/>
              <w:spacing w:before="0" w:after="0"/>
              <w:ind w:left="600" w:right="0" w:hanging="0"/>
              <w:jc w:val="left"/>
              <w:rPr>
                <w:rFonts w:ascii="Times New Roman;serif" w:hAnsi="Times New Roman;serif"/>
                <w:b w:val="false"/>
                <w:sz w:val="16"/>
              </w:rPr>
            </w:pPr>
            <w:r>
              <w:rPr>
                <w:rFonts w:ascii="Times New Roman;serif" w:hAnsi="Times New Roman;serif"/>
                <w:b w:val="false"/>
                <w:sz w:val="16"/>
              </w:rPr>
              <w:t>Total net change in unrealized gains (losses)</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4,777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(8,495</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Realized gains (losses):</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991" w:type="dxa"/>
            <w:tcBorders/>
            <w:shd w:fill="auto" w:val="clear"/>
            <w:vAlign w:val="center"/>
          </w:tcPr>
          <w:p>
            <w:pPr>
              <w:pStyle w:val="TableContents"/>
              <w:spacing w:before="0" w:after="0"/>
              <w:ind w:left="0" w:right="0" w:firstLine="200"/>
              <w:jc w:val="right"/>
              <w:rPr/>
            </w:pPr>
            <w:r>
              <w:rPr/>
              <w:t> </w:t>
            </w:r>
          </w:p>
        </w:tc>
      </w:tr>
      <w:tr>
        <w:trPr/>
        <w:tc>
          <w:tcPr>
            <w:tcW w:w="519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Non-controlled, non-affiliated investments</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w:t>
            </w:r>
          </w:p>
        </w:tc>
        <w:tc>
          <w:tcPr>
            <w:tcW w:w="991" w:type="dxa"/>
            <w:tcBorders/>
            <w:shd w:fill="auto" w:val="clear"/>
            <w:vAlign w:val="center"/>
          </w:tcPr>
          <w:p>
            <w:pPr>
              <w:pStyle w:val="TableContents"/>
              <w:spacing w:before="0" w:after="0"/>
              <w:ind w:left="0" w:right="0" w:firstLine="200"/>
              <w:jc w:val="left"/>
              <w:rPr/>
            </w:pPr>
            <w:r>
              <w:rPr/>
              <w:t> </w:t>
            </w:r>
          </w:p>
        </w:tc>
      </w:tr>
      <w:tr>
        <w:trPr/>
        <w:tc>
          <w:tcPr>
            <w:tcW w:w="519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Non-controlled, affiliated investments</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shd w:fill="auto" w:val="clear"/>
            <w:vAlign w:val="center"/>
          </w:tcPr>
          <w:p>
            <w:pPr>
              <w:pStyle w:val="TableContents"/>
              <w:spacing w:before="0" w:after="0"/>
              <w:ind w:left="0" w:right="0" w:hanging="0"/>
              <w:jc w:val="left"/>
              <w:rPr/>
            </w:pPr>
            <w:r>
              <w:rPr/>
              <w:t> </w:t>
            </w:r>
          </w:p>
        </w:tc>
        <w:tc>
          <w:tcPr>
            <w:tcW w:w="103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13,673</w:t>
            </w:r>
          </w:p>
        </w:tc>
        <w:tc>
          <w:tcPr>
            <w:tcW w:w="991" w:type="dxa"/>
            <w:tcBorders/>
            <w:shd w:fill="auto" w:val="clear"/>
            <w:vAlign w:val="center"/>
          </w:tcPr>
          <w:p>
            <w:pPr>
              <w:pStyle w:val="TableContents"/>
              <w:spacing w:before="0" w:after="0"/>
              <w:ind w:left="0" w:right="0" w:firstLine="200"/>
              <w:jc w:val="left"/>
              <w:rPr/>
            </w:pPr>
            <w:r>
              <w:rPr/>
              <w:t> </w:t>
            </w:r>
          </w:p>
        </w:tc>
      </w:tr>
      <w:tr>
        <w:trPr/>
        <w:tc>
          <w:tcPr>
            <w:tcW w:w="5191"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Foreign currency transactions</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5191" w:type="dxa"/>
            <w:tcBorders/>
            <w:shd w:fill="auto" w:val="clear"/>
            <w:vAlign w:val="center"/>
          </w:tcPr>
          <w:p>
            <w:pPr>
              <w:pStyle w:val="TableContents"/>
              <w:spacing w:before="0" w:after="0"/>
              <w:ind w:left="600" w:right="0" w:hanging="0"/>
              <w:jc w:val="left"/>
              <w:rPr>
                <w:rFonts w:ascii="Times New Roman;serif" w:hAnsi="Times New Roman;serif"/>
                <w:b w:val="false"/>
                <w:sz w:val="16"/>
              </w:rPr>
            </w:pPr>
            <w:r>
              <w:rPr>
                <w:rFonts w:ascii="Times New Roman;serif" w:hAnsi="Times New Roman;serif"/>
                <w:b w:val="false"/>
                <w:sz w:val="16"/>
              </w:rPr>
              <w:t>Total net realized gains (losses)</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5,238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13,668</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00"/>
              <w:jc w:val="left"/>
              <w:rPr/>
            </w:pPr>
            <w:r>
              <w:rPr/>
              <w:t> </w:t>
            </w:r>
          </w:p>
        </w:tc>
      </w:tr>
      <w:tr>
        <w:trPr/>
        <w:tc>
          <w:tcPr>
            <w:tcW w:w="5191" w:type="dxa"/>
            <w:tcBorders/>
            <w:shd w:fill="auto" w:val="clear"/>
            <w:vAlign w:val="center"/>
          </w:tcPr>
          <w:p>
            <w:pPr>
              <w:pStyle w:val="TableContents"/>
              <w:spacing w:before="0" w:after="0"/>
              <w:ind w:left="800" w:right="0" w:hanging="0"/>
              <w:jc w:val="left"/>
              <w:rPr>
                <w:rFonts w:ascii="Times New Roman;serif" w:hAnsi="Times New Roman;serif"/>
                <w:b/>
                <w:sz w:val="16"/>
              </w:rPr>
            </w:pPr>
            <w:r>
              <w:rPr>
                <w:rFonts w:ascii="Times New Roman;serif" w:hAnsi="Times New Roman;serif"/>
                <w:b/>
                <w:sz w:val="16"/>
              </w:rPr>
              <w:t>Total Net Unrealized and Realized Gains (Losses)</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10,015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5,173</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00"/>
              <w:jc w:val="left"/>
              <w:rPr/>
            </w:pPr>
            <w:r>
              <w:rPr/>
              <w:t> </w:t>
            </w:r>
          </w:p>
        </w:tc>
      </w:tr>
      <w:tr>
        <w:trPr/>
        <w:tc>
          <w:tcPr>
            <w:tcW w:w="5191" w:type="dxa"/>
            <w:tcBorders/>
            <w:shd w:fill="auto" w:val="clear"/>
            <w:vAlign w:val="center"/>
          </w:tcPr>
          <w:p>
            <w:pPr>
              <w:pStyle w:val="TableContents"/>
              <w:spacing w:before="0" w:after="0"/>
              <w:ind w:left="800" w:right="0" w:hanging="0"/>
              <w:jc w:val="left"/>
              <w:rPr>
                <w:rFonts w:ascii="Times New Roman;serif" w:hAnsi="Times New Roman;serif"/>
                <w:b/>
                <w:sz w:val="16"/>
              </w:rPr>
            </w:pPr>
            <w:r>
              <w:rPr>
                <w:rFonts w:ascii="Times New Roman;serif" w:hAnsi="Times New Roman;serif"/>
                <w:b/>
                <w:sz w:val="16"/>
              </w:rPr>
              <w:t>Increase in Net Assets Resulting from Operations</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52,952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40,885</w:t>
            </w:r>
          </w:p>
        </w:tc>
        <w:tc>
          <w:tcPr>
            <w:tcW w:w="9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Earnings per common share—basic</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0.65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0.54</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Weighted average shares of common stock outstanding—basic</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81,400,843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75,972,079</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Earnings per common share—diluted</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0.65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0.51</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19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Weighted average shares of common stock outstanding—diluted</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81,400,843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81,536,251</w:t>
            </w:r>
          </w:p>
        </w:tc>
        <w:tc>
          <w:tcPr>
            <w:tcW w:w="9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40" w:after="0"/>
        <w:jc w:val="center"/>
        <w:rPr/>
      </w:pPr>
      <w:r>
        <w:rPr/>
        <w:t> </w:t>
      </w:r>
    </w:p>
    <w:p>
      <w:pPr>
        <w:pStyle w:val="TextBody"/>
        <w:spacing w:before="40" w:after="0"/>
        <w:jc w:val="center"/>
        <w:rPr>
          <w:rFonts w:ascii="Times New Roman" w:hAnsi="Times New Roman"/>
          <w:sz w:val="20"/>
        </w:rPr>
      </w:pPr>
      <w:r>
        <w:rPr>
          <w:rFonts w:ascii="Times New Roman;serif" w:hAnsi="Times New Roman;serif"/>
          <w:b w:val="false"/>
          <w:sz w:val="20"/>
        </w:rPr>
        <w:t>The accompanying notes are an integral part of these consolidated financial statements.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Sixth Street Specialty Lending, Inc.</w:t>
      </w:r>
    </w:p>
    <w:p>
      <w:pPr>
        <w:pStyle w:val="TextBody"/>
        <w:spacing w:before="240" w:after="0"/>
        <w:jc w:val="center"/>
        <w:rPr>
          <w:rFonts w:ascii="Times New Roman;serif" w:hAnsi="Times New Roman;serif"/>
          <w:b/>
          <w:sz w:val="20"/>
        </w:rPr>
      </w:pPr>
      <w:bookmarkStart w:id="6" w:name="consolidated_schedule_investments_as_mar"/>
      <w:bookmarkEnd w:id="6"/>
      <w:r>
        <w:rPr>
          <w:rFonts w:ascii="Times New Roman;serif" w:hAnsi="Times New Roman;serif"/>
          <w:b/>
          <w:sz w:val="20"/>
        </w:rPr>
        <w:t>Consolidated Schedule of Investments as of March 31, 2023</w:t>
      </w:r>
    </w:p>
    <w:p>
      <w:pPr>
        <w:pStyle w:val="TextBody"/>
        <w:spacing w:before="0" w:after="0"/>
        <w:jc w:val="center"/>
        <w:rPr>
          <w:rFonts w:ascii="Times New Roman" w:hAnsi="Times New Roman"/>
          <w:sz w:val="20"/>
        </w:rPr>
      </w:pPr>
      <w:r>
        <w:rPr>
          <w:rFonts w:ascii="Times New Roman;serif" w:hAnsi="Times New Roman;serif"/>
          <w:b/>
          <w:sz w:val="20"/>
        </w:rPr>
        <w:t>(Amounts in thousands, except share amounts)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341"/>
        <w:gridCol w:w="146"/>
        <w:gridCol w:w="1900"/>
        <w:gridCol w:w="146"/>
        <w:gridCol w:w="676"/>
        <w:gridCol w:w="146"/>
        <w:gridCol w:w="792"/>
        <w:gridCol w:w="146"/>
        <w:gridCol w:w="995"/>
        <w:gridCol w:w="146"/>
        <w:gridCol w:w="166"/>
        <w:gridCol w:w="676"/>
        <w:gridCol w:w="146"/>
        <w:gridCol w:w="166"/>
        <w:gridCol w:w="668"/>
        <w:gridCol w:w="146"/>
        <w:gridCol w:w="803"/>
      </w:tblGrid>
      <w:tr>
        <w:trPr/>
        <w:tc>
          <w:tcPr>
            <w:tcW w:w="23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0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r>
      <w:tr>
        <w:trPr/>
        <w:tc>
          <w:tcPr>
            <w:tcW w:w="23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sz w:val="12"/>
              </w:rPr>
              <w:t xml:space="preserve">Company </w:t>
            </w:r>
            <w:r>
              <w:rPr>
                <w:rFonts w:ascii="Times New Roman;serif" w:hAnsi="Times New Roman;serif"/>
                <w:b/>
                <w:sz w:val="8"/>
              </w:rPr>
              <w:t>(1)(6)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Investment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Initial</w:t>
              <w:br/>
              <w:t>Acquisition</w:t>
              <w:br/>
              <w:t>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7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Reference</w:t>
              <w:br/>
              <w:t>Rate and</w:t>
              <w:br/>
              <w:t>Spread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9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Interest Rate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Amortized</w:t>
              <w:br/>
              <w:t xml:space="preserve">Cost </w:t>
            </w:r>
            <w:r>
              <w:rPr>
                <w:rFonts w:ascii="Times New Roman;serif" w:hAnsi="Times New Roman;serif"/>
                <w:b/>
                <w:sz w:val="8"/>
              </w:rPr>
              <w:t>(2)(8)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Percentage</w:t>
              <w:br/>
              <w:t>of Net Assets</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Debt Investments</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pPr>
            <w:r>
              <w:rPr/>
              <w:t> </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Automotive</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pPr>
            <w:r>
              <w:rPr/>
              <w:t> </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Carlstar Group, LLC</w:t>
            </w:r>
            <w:r>
              <w:rPr>
                <w:rFonts w:ascii="Times New Roman" w:hAnsi="Times New Roman"/>
                <w:sz w:val="12"/>
              </w:rPr>
              <w:t>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($33,150</w:t>
            </w:r>
            <w:r>
              <w:rPr>
                <w:rFonts w:ascii="Times New Roman" w:hAnsi="Times New Roman"/>
                <w:sz w:val="20"/>
              </w:rPr>
              <w:t> </w:t>
            </w:r>
            <w:r>
              <w:rPr>
                <w:rFonts w:ascii="Times New Roman;serif" w:hAnsi="Times New Roman;serif"/>
                <w:b w:val="false"/>
                <w:sz w:val="12"/>
              </w:rPr>
              <w:t>par, due 7/2027)</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7/8/2022</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+ 6.60%</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32,353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32,734</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Business Services</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pPr>
            <w:r>
              <w:rPr/>
              <w:t> </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Acceo Solutions, Inc.</w:t>
            </w:r>
            <w:r>
              <w:rPr>
                <w:rFonts w:ascii="Times New Roman" w:hAnsi="Times New Roman"/>
                <w:sz w:val="12"/>
              </w:rPr>
              <w:t> </w:t>
            </w:r>
            <w:r>
              <w:rPr>
                <w:rFonts w:ascii="Times New Roman;serif" w:hAnsi="Times New Roman;serif"/>
                <w:b w:val="false"/>
                <w:sz w:val="8"/>
              </w:rPr>
              <w:t>(3)(4)(5)</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(CAD 57,353</w:t>
            </w:r>
            <w:r>
              <w:rPr>
                <w:rFonts w:ascii="Times New Roman" w:hAnsi="Times New Roman"/>
                <w:sz w:val="20"/>
              </w:rPr>
              <w:t> </w:t>
            </w:r>
            <w:r>
              <w:rPr>
                <w:rFonts w:ascii="Times New Roman;serif" w:hAnsi="Times New Roman;serif"/>
                <w:b w:val="false"/>
                <w:sz w:val="12"/>
              </w:rPr>
              <w:t>par, due 10/2025)</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7/6/2018</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C + 4.75%</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9.78%</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43,273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serif" w:hAnsi="Times New Roman;serif"/>
                <w:b w:val="false"/>
                <w:sz w:val="12"/>
              </w:rPr>
              <w:t>42,696</w:t>
            </w:r>
            <w:r>
              <w:rPr>
                <w:rFonts w:ascii="Times New Roman" w:hAnsi="Times New Roman"/>
                <w:sz w:val="20"/>
              </w:rPr>
              <w:t> </w:t>
            </w:r>
            <w:r>
              <w:rPr>
                <w:rFonts w:ascii="Times New Roman;serif" w:hAnsi="Times New Roman;serif"/>
                <w:b w:val="false"/>
                <w:sz w:val="12"/>
              </w:rPr>
              <w:br/>
              <w:t>(CAD 57,783)</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Alpha Midco, Inc.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($68,751</w:t>
            </w:r>
            <w:r>
              <w:rPr>
                <w:rFonts w:ascii="Times New Roman" w:hAnsi="Times New Roman"/>
                <w:sz w:val="20"/>
              </w:rPr>
              <w:t> </w:t>
            </w:r>
            <w:r>
              <w:rPr>
                <w:rFonts w:ascii="Times New Roman;serif" w:hAnsi="Times New Roman;serif"/>
                <w:b w:val="false"/>
                <w:sz w:val="12"/>
              </w:rPr>
              <w:t>par, due 8/2025)</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8/15/2019</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+ 7.63%</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12.52%</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67,932</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69,621</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Dye &amp; Durham Corp.</w:t>
            </w:r>
            <w:r>
              <w:rPr>
                <w:rFonts w:ascii="Times New Roman" w:hAnsi="Times New Roman"/>
                <w:sz w:val="12"/>
              </w:rPr>
              <w:t> </w:t>
            </w:r>
            <w:r>
              <w:rPr>
                <w:rFonts w:ascii="Times New Roman;serif" w:hAnsi="Times New Roman;serif"/>
                <w:b w:val="false"/>
                <w:sz w:val="8"/>
              </w:rPr>
              <w:t>(3)(4)</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(CAD 35,315</w:t>
            </w:r>
            <w:r>
              <w:rPr>
                <w:rFonts w:ascii="Times New Roman" w:hAnsi="Times New Roman"/>
                <w:sz w:val="20"/>
              </w:rPr>
              <w:t> </w:t>
            </w:r>
            <w:r>
              <w:rPr>
                <w:rFonts w:ascii="Times New Roman;serif" w:hAnsi="Times New Roman;serif"/>
                <w:b w:val="false"/>
                <w:sz w:val="12"/>
              </w:rPr>
              <w:t>par, due 12/2027)</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12/3/2021</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C + 5.75%</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10.78%</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26,960</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26,391</w:t>
              <w:br/>
              <w:t>(CAD 35,716)</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w:t>
            </w:r>
          </w:p>
        </w:tc>
      </w:tr>
      <w:tr>
        <w:trPr/>
        <w:tc>
          <w:tcPr>
            <w:tcW w:w="2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revolving loan (CAD 1,448</w:t>
            </w:r>
            <w:r>
              <w:rPr>
                <w:rFonts w:ascii="Times New Roman" w:hAnsi="Times New Roman"/>
                <w:sz w:val="20"/>
              </w:rPr>
              <w:t> </w:t>
            </w:r>
            <w:r>
              <w:rPr>
                <w:rFonts w:ascii="Times New Roman;serif" w:hAnsi="Times New Roman;serif"/>
                <w:b w:val="false"/>
                <w:sz w:val="12"/>
              </w:rPr>
              <w:t>par, due 12/2026)</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12/3/2021</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C + 5.75%</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10.78%</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1,070</w:t>
              <w:br/>
              <w:t>(CAD 1,448)</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ExtraHop Networks, Inc.</w:t>
            </w:r>
            <w:r>
              <w:rPr>
                <w:rFonts w:ascii="Times New Roman" w:hAnsi="Times New Roman"/>
                <w:sz w:val="12"/>
              </w:rPr>
              <w:t>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($60,200</w:t>
            </w:r>
            <w:r>
              <w:rPr>
                <w:rFonts w:ascii="Times New Roman" w:hAnsi="Times New Roman"/>
                <w:sz w:val="20"/>
              </w:rPr>
              <w:t> </w:t>
            </w:r>
            <w:r>
              <w:rPr>
                <w:rFonts w:ascii="Times New Roman;serif" w:hAnsi="Times New Roman;serif"/>
                <w:b w:val="false"/>
                <w:sz w:val="12"/>
              </w:rPr>
              <w:t>par, due 7/2027)</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7/22/2021</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+ 7.60%</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12.41%</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59,093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59,147</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4.4%</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ForeScout Technologies, Inc.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($2,666</w:t>
            </w:r>
            <w:r>
              <w:rPr>
                <w:rFonts w:ascii="Times New Roman" w:hAnsi="Times New Roman"/>
                <w:sz w:val="20"/>
              </w:rPr>
              <w:t> </w:t>
            </w:r>
            <w:r>
              <w:rPr>
                <w:rFonts w:ascii="Times New Roman;serif" w:hAnsi="Times New Roman;serif"/>
                <w:b w:val="false"/>
                <w:sz w:val="12"/>
              </w:rPr>
              <w:t>par, due 8/2026)</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7/1/2022</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+ 9.00%</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14.16% (incl. 9.00% PIK)</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2,605</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2,596</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0.2%</w:t>
            </w:r>
          </w:p>
        </w:tc>
      </w:tr>
      <w:tr>
        <w:trPr/>
        <w:tc>
          <w:tcPr>
            <w:tcW w:w="2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($6,658</w:t>
            </w:r>
            <w:r>
              <w:rPr>
                <w:rFonts w:ascii="Times New Roman" w:hAnsi="Times New Roman"/>
                <w:sz w:val="20"/>
              </w:rPr>
              <w:t> </w:t>
            </w:r>
            <w:r>
              <w:rPr>
                <w:rFonts w:ascii="Times New Roman;serif" w:hAnsi="Times New Roman;serif"/>
                <w:b w:val="false"/>
                <w:sz w:val="12"/>
              </w:rPr>
              <w:t>par, due 8/2026)</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8/17/2020</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+ 9.50%</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14.66% (incl. 9.50% PIK)</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6,573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6,625</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0.5%</w:t>
            </w:r>
          </w:p>
        </w:tc>
      </w:tr>
      <w:tr>
        <w:trPr/>
        <w:tc>
          <w:tcPr>
            <w:tcW w:w="2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revolving loan ($500</w:t>
            </w:r>
            <w:r>
              <w:rPr>
                <w:rFonts w:ascii="Times New Roman" w:hAnsi="Times New Roman"/>
                <w:sz w:val="20"/>
              </w:rPr>
              <w:t> </w:t>
            </w:r>
            <w:r>
              <w:rPr>
                <w:rFonts w:ascii="Times New Roman;serif" w:hAnsi="Times New Roman;serif"/>
                <w:b w:val="false"/>
                <w:sz w:val="12"/>
              </w:rPr>
              <w:t>par, due 8/2025)</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8/17/2020</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+ 8.50%</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13.44%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498</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Hornetsecurity Holding GmbH</w:t>
            </w:r>
            <w:r>
              <w:rPr>
                <w:rFonts w:ascii="Times New Roman" w:hAnsi="Times New Roman"/>
                <w:sz w:val="12"/>
              </w:rPr>
              <w:t> </w:t>
            </w:r>
            <w:r>
              <w:rPr>
                <w:rFonts w:ascii="Times New Roman;serif" w:hAnsi="Times New Roman;serif"/>
                <w:b w:val="false"/>
                <w:sz w:val="8"/>
              </w:rPr>
              <w:t>(3)(4)</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(EUR 3,422</w:t>
            </w:r>
            <w:r>
              <w:rPr>
                <w:rFonts w:ascii="Times New Roman" w:hAnsi="Times New Roman"/>
                <w:sz w:val="20"/>
              </w:rPr>
              <w:t> </w:t>
            </w:r>
            <w:r>
              <w:rPr>
                <w:rFonts w:ascii="Times New Roman;serif" w:hAnsi="Times New Roman;serif"/>
                <w:b w:val="false"/>
                <w:sz w:val="12"/>
              </w:rPr>
              <w:t>par, due 11/2029)</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11/14/2022</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E + 6.50%</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9.15%</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3,143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3,312</w:t>
              <w:br/>
              <w:t>(EUR 3,049)</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0.2%</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Information Clearinghouse, LLC and MS Market Service, LLC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($17,775</w:t>
            </w:r>
            <w:r>
              <w:rPr>
                <w:rFonts w:ascii="Times New Roman" w:hAnsi="Times New Roman"/>
                <w:sz w:val="20"/>
              </w:rPr>
              <w:t> </w:t>
            </w:r>
            <w:r>
              <w:rPr>
                <w:rFonts w:ascii="Times New Roman;serif" w:hAnsi="Times New Roman;serif"/>
                <w:b w:val="false"/>
                <w:sz w:val="12"/>
              </w:rPr>
              <w:t>par, due 12/2026)</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12/20/2021</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+ 6.65%</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11.50%</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17,409</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17,507</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Mitnick Corporate Purchaser, Inc.</w:t>
            </w:r>
            <w:r>
              <w:rPr>
                <w:rFonts w:ascii="Times New Roman" w:hAnsi="Times New Roman"/>
                <w:sz w:val="12"/>
              </w:rPr>
              <w:t> </w:t>
            </w:r>
            <w:r>
              <w:rPr>
                <w:rFonts w:ascii="Times New Roman;serif" w:hAnsi="Times New Roman;serif"/>
                <w:b w:val="false"/>
                <w:sz w:val="8"/>
              </w:rPr>
              <w:t>(3)(9)</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($332</w:t>
            </w:r>
            <w:r>
              <w:rPr>
                <w:rFonts w:ascii="Times New Roman" w:hAnsi="Times New Roman"/>
                <w:sz w:val="20"/>
              </w:rPr>
              <w:t> </w:t>
            </w:r>
            <w:r>
              <w:rPr>
                <w:rFonts w:ascii="Times New Roman;serif" w:hAnsi="Times New Roman;serif"/>
                <w:b w:val="false"/>
                <w:sz w:val="12"/>
              </w:rPr>
              <w:t>par, due 5/2029)</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5/2/2022</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+ 4.85%</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332</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312</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Netwrix Corp.</w:t>
            </w:r>
            <w:r>
              <w:rPr>
                <w:rFonts w:ascii="Times New Roman" w:hAnsi="Times New Roman"/>
                <w:sz w:val="12"/>
              </w:rPr>
              <w:t>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($36,171</w:t>
            </w:r>
            <w:r>
              <w:rPr>
                <w:rFonts w:ascii="Times New Roman" w:hAnsi="Times New Roman"/>
                <w:sz w:val="20"/>
              </w:rPr>
              <w:t> </w:t>
            </w:r>
            <w:r>
              <w:rPr>
                <w:rFonts w:ascii="Times New Roman;serif" w:hAnsi="Times New Roman;serif"/>
                <w:b w:val="false"/>
                <w:sz w:val="12"/>
              </w:rPr>
              <w:t>par, due 6/2029)</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6/9/2022</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+ 5.00%</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9.71%</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35,628</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35,809</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w:t>
            </w:r>
          </w:p>
        </w:tc>
      </w:tr>
      <w:tr>
        <w:trPr/>
        <w:tc>
          <w:tcPr>
            <w:tcW w:w="2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revolving loan ($718</w:t>
            </w:r>
            <w:r>
              <w:rPr>
                <w:rFonts w:ascii="Times New Roman" w:hAnsi="Times New Roman"/>
                <w:sz w:val="20"/>
              </w:rPr>
              <w:t> </w:t>
            </w:r>
            <w:r>
              <w:rPr>
                <w:rFonts w:ascii="Times New Roman;serif" w:hAnsi="Times New Roman;serif"/>
                <w:b w:val="false"/>
                <w:sz w:val="12"/>
              </w:rPr>
              <w:t>par, due 6/2029)</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6/9/2022</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+ 5.00%</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9.90%</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679</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689</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OutSystems Luxco SARL</w:t>
            </w:r>
            <w:r>
              <w:rPr>
                <w:rFonts w:ascii="Times New Roman;serif" w:hAnsi="Times New Roman;serif"/>
                <w:b w:val="false"/>
                <w:sz w:val="8"/>
              </w:rPr>
              <w:t>(3)(4)(5)</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(EUR 3,263</w:t>
            </w:r>
            <w:r>
              <w:rPr>
                <w:rFonts w:ascii="Times New Roman" w:hAnsi="Times New Roman"/>
                <w:sz w:val="20"/>
              </w:rPr>
              <w:t> </w:t>
            </w:r>
            <w:r>
              <w:rPr>
                <w:rFonts w:ascii="Times New Roman;serif" w:hAnsi="Times New Roman;serif"/>
                <w:b w:val="false"/>
                <w:sz w:val="12"/>
              </w:rPr>
              <w:t>par, due 12/2028)</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12/8/2022</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E + 5.75%</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3,068</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3,223</w:t>
              <w:br/>
              <w:t>(EUR 2,966)</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0.2%</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ReliaQuest Holdings, LLC</w:t>
            </w:r>
            <w:r>
              <w:rPr>
                <w:rFonts w:ascii="Times New Roman" w:hAnsi="Times New Roman"/>
                <w:sz w:val="12"/>
              </w:rPr>
              <w:t>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($64,634</w:t>
            </w:r>
            <w:r>
              <w:rPr>
                <w:rFonts w:ascii="Times New Roman" w:hAnsi="Times New Roman"/>
                <w:sz w:val="20"/>
              </w:rPr>
              <w:t> </w:t>
            </w:r>
            <w:r>
              <w:rPr>
                <w:rFonts w:ascii="Times New Roman;serif" w:hAnsi="Times New Roman;serif"/>
                <w:b w:val="false"/>
                <w:sz w:val="12"/>
              </w:rPr>
              <w:t>par, due 10/2026)</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10/8/2020</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+ 7.25%</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12.07%</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63,629</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65,119</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TIBCO Software Inc.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note ($13,000</w:t>
            </w:r>
            <w:r>
              <w:rPr>
                <w:rFonts w:ascii="Times New Roman" w:hAnsi="Times New Roman"/>
                <w:sz w:val="20"/>
              </w:rPr>
              <w:t> </w:t>
            </w:r>
            <w:r>
              <w:rPr>
                <w:rFonts w:ascii="Times New Roman;serif" w:hAnsi="Times New Roman;serif"/>
                <w:b w:val="false"/>
                <w:sz w:val="12"/>
              </w:rPr>
              <w:t>par, due 3/2029)</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9/20/2022</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6.50%</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6.50%</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10,984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11,468</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0.8%</w:t>
            </w:r>
          </w:p>
        </w:tc>
      </w:tr>
      <w:tr>
        <w:trPr/>
        <w:tc>
          <w:tcPr>
            <w:tcW w:w="2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First-lien loan ($12,000</w:t>
            </w:r>
            <w:r>
              <w:rPr>
                <w:rFonts w:ascii="Times New Roman" w:hAnsi="Times New Roman"/>
                <w:sz w:val="12"/>
              </w:rPr>
              <w:t> </w:t>
            </w:r>
            <w:r>
              <w:rPr>
                <w:rFonts w:ascii="Times New Roman;serif" w:hAnsi="Times New Roman;serif"/>
                <w:b w:val="false"/>
                <w:sz w:val="12"/>
              </w:rPr>
              <w:t>par, due 3/2029)</w:t>
            </w:r>
            <w:r>
              <w:rPr>
                <w:rFonts w:ascii="Times New Roman" w:hAnsi="Times New Roman"/>
                <w:sz w:val="12"/>
              </w:rPr>
              <w:t>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9/20/2022</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+ 4.60%</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9.50%</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10,977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10,880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0.8%</w:t>
            </w:r>
          </w:p>
        </w:tc>
      </w:tr>
      <w:tr>
        <w:trPr/>
        <w:tc>
          <w:tcPr>
            <w:tcW w:w="2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353,793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356,963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26.1%</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Chemicals</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pPr>
            <w:r>
              <w:rPr/>
              <w:t> </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Erling Lux Bidco SARL</w:t>
            </w:r>
            <w:r>
              <w:rPr>
                <w:rFonts w:ascii="Times New Roman;serif" w:hAnsi="Times New Roman;serif"/>
                <w:b w:val="false"/>
                <w:sz w:val="8"/>
              </w:rPr>
              <w:t>(3)(4)</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(EUR 7,239</w:t>
            </w:r>
            <w:r>
              <w:rPr>
                <w:rFonts w:ascii="Times New Roman" w:hAnsi="Times New Roman"/>
                <w:sz w:val="20"/>
              </w:rPr>
              <w:t> </w:t>
            </w:r>
            <w:r>
              <w:rPr>
                <w:rFonts w:ascii="Times New Roman;serif" w:hAnsi="Times New Roman;serif"/>
                <w:b w:val="false"/>
                <w:sz w:val="12"/>
              </w:rPr>
              <w:t>par, due 9/2028)</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9/6/2022</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E + 6.75%</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9.20%</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6,898</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7,594</w:t>
              <w:br/>
              <w:t>(EUR 6,989)</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0.6%</w:t>
            </w:r>
          </w:p>
        </w:tc>
      </w:tr>
      <w:tr>
        <w:trPr/>
        <w:tc>
          <w:tcPr>
            <w:tcW w:w="2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(GBP 10,217</w:t>
            </w:r>
            <w:r>
              <w:rPr>
                <w:rFonts w:ascii="Times New Roman" w:hAnsi="Times New Roman"/>
                <w:sz w:val="20"/>
              </w:rPr>
              <w:t> </w:t>
            </w:r>
            <w:r>
              <w:rPr>
                <w:rFonts w:ascii="Times New Roman;serif" w:hAnsi="Times New Roman;serif"/>
                <w:b w:val="false"/>
                <w:sz w:val="12"/>
              </w:rPr>
              <w:t>par, due 9/2028)</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9/6/2022</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 + 6.75%</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10.94%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11,255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12,381</w:t>
              <w:br/>
              <w:t>(GBP 10,013)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0.9%</w:t>
            </w:r>
          </w:p>
        </w:tc>
      </w:tr>
      <w:tr>
        <w:trPr/>
        <w:tc>
          <w:tcPr>
            <w:tcW w:w="2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18,153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19,975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Communications</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pPr>
            <w:r>
              <w:rPr/>
              <w:t> </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Banyan Software Holdings, LLC </w:t>
            </w:r>
            <w:r>
              <w:rPr>
                <w:rFonts w:ascii="Times New Roman;serif" w:hAnsi="Times New Roman;serif"/>
                <w:b w:val="false"/>
                <w:sz w:val="8"/>
              </w:rPr>
              <w:t>(3)(4)</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($19,950</w:t>
            </w:r>
            <w:r>
              <w:rPr>
                <w:rFonts w:ascii="Times New Roman" w:hAnsi="Times New Roman"/>
                <w:sz w:val="20"/>
              </w:rPr>
              <w:t> </w:t>
            </w:r>
            <w:r>
              <w:rPr>
                <w:rFonts w:ascii="Times New Roman;serif" w:hAnsi="Times New Roman;serif"/>
                <w:b w:val="false"/>
                <w:sz w:val="12"/>
              </w:rPr>
              <w:t>par, due 10/2026)</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1/27/2023</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+ 7.35%</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18,789</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19,151</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Celtra Technologies, Inc.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($34,563</w:t>
            </w:r>
            <w:r>
              <w:rPr>
                <w:rFonts w:ascii="Times New Roman" w:hAnsi="Times New Roman"/>
                <w:sz w:val="20"/>
              </w:rPr>
              <w:t> </w:t>
            </w:r>
            <w:r>
              <w:rPr>
                <w:rFonts w:ascii="Times New Roman;serif" w:hAnsi="Times New Roman;serif"/>
                <w:b w:val="false"/>
                <w:sz w:val="12"/>
              </w:rPr>
              <w:t>par, due 11/2026)</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11/19/2021</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+ 7.10%</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11.91%</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33,725</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33,526</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IntelePeer Holdings, Inc.</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First-lien loan ($34,484</w:t>
            </w:r>
            <w:r>
              <w:rPr>
                <w:rFonts w:ascii="Times New Roman" w:hAnsi="Times New Roman"/>
                <w:sz w:val="12"/>
              </w:rPr>
              <w:t> </w:t>
            </w:r>
            <w:r>
              <w:rPr>
                <w:rFonts w:ascii="Times New Roman;serif" w:hAnsi="Times New Roman;serif"/>
                <w:b w:val="false"/>
                <w:sz w:val="12"/>
              </w:rPr>
              <w:t xml:space="preserve">par, due 12/2024)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12/2/2019</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+ 8.40%</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13.30%</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34,446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33,794</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w:t>
            </w:r>
          </w:p>
        </w:tc>
      </w:tr>
      <w:tr>
        <w:trPr/>
        <w:tc>
          <w:tcPr>
            <w:tcW w:w="2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Convertible note ($4,465</w:t>
            </w:r>
            <w:r>
              <w:rPr>
                <w:rFonts w:ascii="Times New Roman" w:hAnsi="Times New Roman"/>
                <w:sz w:val="20"/>
              </w:rPr>
              <w:t> </w:t>
            </w:r>
            <w:r>
              <w:rPr>
                <w:rFonts w:ascii="Times New Roman;serif" w:hAnsi="Times New Roman;serif"/>
                <w:b w:val="false"/>
                <w:sz w:val="12"/>
              </w:rPr>
              <w:t>par, due</w:t>
            </w:r>
            <w:r>
              <w:rPr>
                <w:rFonts w:ascii="Times New Roman" w:hAnsi="Times New Roman"/>
                <w:sz w:val="20"/>
              </w:rPr>
              <w:t xml:space="preserve"> </w:t>
            </w:r>
            <w:r>
              <w:rPr>
                <w:rFonts w:ascii="Times New Roman;serif" w:hAnsi="Times New Roman;serif"/>
                <w:b w:val="false"/>
                <w:sz w:val="12"/>
              </w:rPr>
              <w:t>5/2028)</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5/12/2021</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6.50%</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6.50% PIK</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4,434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4,532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0.3%</w:t>
            </w:r>
          </w:p>
        </w:tc>
      </w:tr>
      <w:tr>
        <w:trPr/>
        <w:tc>
          <w:tcPr>
            <w:tcW w:w="2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91,394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91,003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6.7%</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Education</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pPr>
            <w:r>
              <w:rPr/>
              <w:t> </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Astra Acquisition Corp.</w:t>
            </w:r>
            <w:r>
              <w:rPr>
                <w:rFonts w:ascii="Times New Roman" w:hAnsi="Times New Roman"/>
                <w:sz w:val="12"/>
              </w:rPr>
              <w:t>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Second-lien loan ($43,479</w:t>
            </w:r>
            <w:r>
              <w:rPr>
                <w:rFonts w:ascii="Times New Roman" w:hAnsi="Times New Roman"/>
                <w:sz w:val="20"/>
              </w:rPr>
              <w:t> </w:t>
            </w:r>
            <w:r>
              <w:rPr>
                <w:rFonts w:ascii="Times New Roman;serif" w:hAnsi="Times New Roman;serif"/>
                <w:b w:val="false"/>
                <w:sz w:val="12"/>
              </w:rPr>
              <w:t>par, due 10/2029)</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10/25/2021</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+ 8.88%</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13.72%</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42,760</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39,892</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Destiny Solutions Parent Holding Company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($60,000</w:t>
            </w:r>
            <w:r>
              <w:rPr>
                <w:rFonts w:ascii="Times New Roman" w:hAnsi="Times New Roman"/>
                <w:sz w:val="20"/>
              </w:rPr>
              <w:t> </w:t>
            </w:r>
            <w:r>
              <w:rPr>
                <w:rFonts w:ascii="Times New Roman;serif" w:hAnsi="Times New Roman;serif"/>
                <w:b w:val="false"/>
                <w:sz w:val="12"/>
              </w:rPr>
              <w:t>par, due 6/2026)</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6/8/2021</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+ 5.75%</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10.59%</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59,108</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58,950</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EMS Linq, Inc.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($56,216</w:t>
            </w:r>
            <w:r>
              <w:rPr>
                <w:rFonts w:ascii="Times New Roman" w:hAnsi="Times New Roman"/>
                <w:sz w:val="20"/>
              </w:rPr>
              <w:t> </w:t>
            </w:r>
            <w:r>
              <w:rPr>
                <w:rFonts w:ascii="Times New Roman;serif" w:hAnsi="Times New Roman;serif"/>
                <w:b w:val="false"/>
                <w:sz w:val="12"/>
              </w:rPr>
              <w:t>par, due 12/2027)</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12/22/2021</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+ 6.25%</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11.09%</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55,286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54,248</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w:t>
            </w:r>
          </w:p>
        </w:tc>
      </w:tr>
      <w:tr>
        <w:trPr/>
        <w:tc>
          <w:tcPr>
            <w:tcW w:w="2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revolving loan ($2,635</w:t>
            </w:r>
            <w:r>
              <w:rPr>
                <w:rFonts w:ascii="Times New Roman" w:hAnsi="Times New Roman"/>
                <w:sz w:val="20"/>
              </w:rPr>
              <w:t> </w:t>
            </w:r>
            <w:r>
              <w:rPr>
                <w:rFonts w:ascii="Times New Roman;serif" w:hAnsi="Times New Roman;serif"/>
                <w:b w:val="false"/>
                <w:sz w:val="12"/>
              </w:rPr>
              <w:t>par, due 12/2027)</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12/22/2021</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+ 6.25%</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11.09%</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2,497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2,328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0.2%</w:t>
            </w:r>
          </w:p>
        </w:tc>
      </w:tr>
      <w:tr>
        <w:trPr/>
        <w:tc>
          <w:tcPr>
            <w:tcW w:w="2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159,651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155,418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11.4%</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Financial Services</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pPr>
            <w:r>
              <w:rPr/>
              <w:t> </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BTRS Holdings, Inc.</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($45,632</w:t>
            </w:r>
            <w:r>
              <w:rPr>
                <w:rFonts w:ascii="Times New Roman" w:hAnsi="Times New Roman"/>
                <w:sz w:val="20"/>
              </w:rPr>
              <w:t> </w:t>
            </w:r>
            <w:r>
              <w:rPr>
                <w:rFonts w:ascii="Times New Roman;serif" w:hAnsi="Times New Roman;serif"/>
                <w:b w:val="false"/>
                <w:sz w:val="12"/>
              </w:rPr>
              <w:t>par, due 12/2028)</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12/16/2022</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+ 8.00%</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12.74%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44,342</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44,605</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w:t>
            </w:r>
          </w:p>
        </w:tc>
      </w:tr>
      <w:tr>
        <w:trPr/>
        <w:tc>
          <w:tcPr>
            <w:tcW w:w="2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revolving loan ($663</w:t>
            </w:r>
            <w:r>
              <w:rPr>
                <w:rFonts w:ascii="Times New Roman" w:hAnsi="Times New Roman"/>
                <w:sz w:val="20"/>
              </w:rPr>
              <w:t> </w:t>
            </w:r>
            <w:r>
              <w:rPr>
                <w:rFonts w:ascii="Times New Roman;serif" w:hAnsi="Times New Roman;serif"/>
                <w:b w:val="false"/>
                <w:sz w:val="12"/>
              </w:rPr>
              <w:t>par, due 12/2028)</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12/16/2022</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+ 7.25%</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12.06%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525</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554</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Bear OpCo, LLC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($20,469</w:t>
            </w:r>
            <w:r>
              <w:rPr>
                <w:rFonts w:ascii="Times New Roman" w:hAnsi="Times New Roman"/>
                <w:sz w:val="20"/>
              </w:rPr>
              <w:t> </w:t>
            </w:r>
            <w:r>
              <w:rPr>
                <w:rFonts w:ascii="Times New Roman;serif" w:hAnsi="Times New Roman;serif"/>
                <w:b w:val="false"/>
                <w:sz w:val="12"/>
              </w:rPr>
              <w:t>par, due 10/2024)</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10/10/2019</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+ 7.65%</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12.46%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20,281</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20,673</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BlueSnap, Inc.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($42,000</w:t>
            </w:r>
            <w:r>
              <w:rPr>
                <w:rFonts w:ascii="Times New Roman" w:hAnsi="Times New Roman"/>
                <w:sz w:val="20"/>
              </w:rPr>
              <w:t> </w:t>
            </w:r>
            <w:r>
              <w:rPr>
                <w:rFonts w:ascii="Times New Roman;serif" w:hAnsi="Times New Roman;serif"/>
                <w:b w:val="false"/>
                <w:sz w:val="12"/>
              </w:rPr>
              <w:t>par, due 10/2024)</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10/25/2019</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+ 7.15%</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12.05%</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41,691</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42,111</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G Treasury SS, LLC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($66,260</w:t>
            </w:r>
            <w:r>
              <w:rPr>
                <w:rFonts w:ascii="Times New Roman" w:hAnsi="Times New Roman"/>
                <w:sz w:val="20"/>
              </w:rPr>
              <w:t> </w:t>
            </w:r>
            <w:r>
              <w:rPr>
                <w:rFonts w:ascii="Times New Roman;serif" w:hAnsi="Times New Roman;serif"/>
                <w:b w:val="false"/>
                <w:sz w:val="12"/>
              </w:rPr>
              <w:t>par, due 4/2024)</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4/9/2018</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+ 8.40%</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13.13%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66,222</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66,260</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Ibis Intermediate Co.</w:t>
            </w:r>
            <w:r>
              <w:rPr>
                <w:rFonts w:ascii="Times New Roman" w:hAnsi="Times New Roman"/>
                <w:sz w:val="12"/>
              </w:rPr>
              <w:t>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($1,522</w:t>
            </w:r>
            <w:r>
              <w:rPr>
                <w:rFonts w:ascii="Times New Roman" w:hAnsi="Times New Roman"/>
                <w:sz w:val="20"/>
              </w:rPr>
              <w:t> </w:t>
            </w:r>
            <w:r>
              <w:rPr>
                <w:rFonts w:ascii="Times New Roman;serif" w:hAnsi="Times New Roman;serif"/>
                <w:b w:val="false"/>
                <w:sz w:val="12"/>
              </w:rPr>
              <w:t>par, due 5/2027)</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5/28/2021</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+ 4.50%</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9.45%</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1,417</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1,640</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Ibis US Blocker Co.</w:t>
            </w:r>
            <w:r>
              <w:rPr>
                <w:rFonts w:ascii="Times New Roman" w:hAnsi="Times New Roman"/>
                <w:sz w:val="12"/>
              </w:rPr>
              <w:t>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($14,411</w:t>
            </w:r>
            <w:r>
              <w:rPr>
                <w:rFonts w:ascii="Times New Roman" w:hAnsi="Times New Roman"/>
                <w:sz w:val="20"/>
              </w:rPr>
              <w:t> </w:t>
            </w:r>
            <w:r>
              <w:rPr>
                <w:rFonts w:ascii="Times New Roman;serif" w:hAnsi="Times New Roman;serif"/>
                <w:b w:val="false"/>
                <w:sz w:val="12"/>
              </w:rPr>
              <w:t>par, due 5/2028)</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5/28/2021</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+ 8.25%</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13.20% PIK</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14,173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14,194</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Jonas Collections and Recovery, Inc.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($19,063</w:t>
            </w:r>
            <w:r>
              <w:rPr>
                <w:rFonts w:ascii="Times New Roman" w:hAnsi="Times New Roman"/>
                <w:sz w:val="20"/>
              </w:rPr>
              <w:t> </w:t>
            </w:r>
            <w:r>
              <w:rPr>
                <w:rFonts w:ascii="Times New Roman;serif" w:hAnsi="Times New Roman;serif"/>
                <w:b w:val="false"/>
                <w:sz w:val="12"/>
              </w:rPr>
              <w:t>par, due 6/2026)</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6/21/2021</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+ 5.40%</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10.30%</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18,788</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18,824</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Kyriba Corp.</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($19,485</w:t>
            </w:r>
            <w:r>
              <w:rPr>
                <w:rFonts w:ascii="Times New Roman" w:hAnsi="Times New Roman"/>
                <w:sz w:val="20"/>
              </w:rPr>
              <w:t> </w:t>
            </w:r>
            <w:r>
              <w:rPr>
                <w:rFonts w:ascii="Times New Roman;serif" w:hAnsi="Times New Roman;serif"/>
                <w:b w:val="false"/>
                <w:sz w:val="12"/>
              </w:rPr>
              <w:t>par, due 4/2025)</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4/9/2019</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+ 9.00%</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14.21% (incl. 9.00% PIK)</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19,321</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19,631</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r>
      <w:tr>
        <w:trPr/>
        <w:tc>
          <w:tcPr>
            <w:tcW w:w="2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(EUR 10,150</w:t>
            </w:r>
            <w:r>
              <w:rPr>
                <w:rFonts w:ascii="Times New Roman" w:hAnsi="Times New Roman"/>
                <w:sz w:val="20"/>
              </w:rPr>
              <w:t> </w:t>
            </w:r>
            <w:r>
              <w:rPr>
                <w:rFonts w:ascii="Times New Roman;serif" w:hAnsi="Times New Roman;serif"/>
                <w:b w:val="false"/>
                <w:sz w:val="12"/>
              </w:rPr>
              <w:t>par, due 4/2025)</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4/9/2019</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E + 9.00%</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12.29% (incl. 9.00% PIK)</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11,259</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11,110</w:t>
              <w:br/>
              <w:t>(EUR 10,226)</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0.8%</w:t>
            </w:r>
          </w:p>
        </w:tc>
      </w:tr>
      <w:tr>
        <w:trPr/>
        <w:tc>
          <w:tcPr>
            <w:tcW w:w="2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revolving loan ($1,411</w:t>
            </w:r>
            <w:r>
              <w:rPr>
                <w:rFonts w:ascii="Times New Roman" w:hAnsi="Times New Roman"/>
                <w:sz w:val="20"/>
              </w:rPr>
              <w:t> </w:t>
            </w:r>
            <w:r>
              <w:rPr>
                <w:rFonts w:ascii="Times New Roman;serif" w:hAnsi="Times New Roman;serif"/>
                <w:b w:val="false"/>
                <w:sz w:val="12"/>
              </w:rPr>
              <w:t>par, due 4/2025)</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4/9/2019</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+ 7.25%</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12.46%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1,396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1,421</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2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revolving loan (EUR 336</w:t>
            </w:r>
            <w:r>
              <w:rPr>
                <w:rFonts w:ascii="Times New Roman" w:hAnsi="Times New Roman"/>
                <w:sz w:val="20"/>
              </w:rPr>
              <w:t> </w:t>
            </w:r>
            <w:r>
              <w:rPr>
                <w:rFonts w:ascii="Times New Roman;serif" w:hAnsi="Times New Roman;serif"/>
                <w:b w:val="false"/>
                <w:sz w:val="12"/>
              </w:rPr>
              <w:t>par, due 4/2025)</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4/9/2019</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E + 7.25%</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10.54%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365</w:t>
              <w:br/>
              <w:t>(EUR 336)</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Passport Labs, Inc.</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First-lien loan ($23,850</w:t>
            </w:r>
            <w:r>
              <w:rPr>
                <w:rFonts w:ascii="Times New Roman" w:hAnsi="Times New Roman"/>
                <w:sz w:val="12"/>
              </w:rPr>
              <w:t> </w:t>
            </w:r>
            <w:r>
              <w:rPr>
                <w:rFonts w:ascii="Times New Roman;serif" w:hAnsi="Times New Roman;serif"/>
                <w:b w:val="false"/>
                <w:sz w:val="12"/>
              </w:rPr>
              <w:t xml:space="preserve">par, due 4/2026)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4/28/2021</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+ 8.40%</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13.30%</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23,643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23,426</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w:t>
            </w:r>
          </w:p>
        </w:tc>
      </w:tr>
      <w:tr>
        <w:trPr/>
        <w:tc>
          <w:tcPr>
            <w:tcW w:w="2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Convertible Promissory Note A ($694</w:t>
            </w:r>
            <w:r>
              <w:rPr>
                <w:rFonts w:ascii="Times New Roman" w:hAnsi="Times New Roman"/>
                <w:sz w:val="20"/>
              </w:rPr>
              <w:t> </w:t>
            </w:r>
            <w:r>
              <w:rPr>
                <w:rFonts w:ascii="Times New Roman;serif" w:hAnsi="Times New Roman;serif"/>
                <w:b w:val="false"/>
                <w:sz w:val="12"/>
              </w:rPr>
              <w:t>par, due 9/2024)</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3/2/2023</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8.00%</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8.00%</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Ping Identity Holding Corp.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($22,727</w:t>
            </w:r>
            <w:r>
              <w:rPr>
                <w:rFonts w:ascii="Times New Roman" w:hAnsi="Times New Roman"/>
                <w:sz w:val="20"/>
              </w:rPr>
              <w:t> </w:t>
            </w:r>
            <w:r>
              <w:rPr>
                <w:rFonts w:ascii="Times New Roman;serif" w:hAnsi="Times New Roman;serif"/>
                <w:b w:val="false"/>
                <w:sz w:val="12"/>
              </w:rPr>
              <w:t>par, due 10/2029)</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10/17/2022</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+ 7.00%</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11.76%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22,132</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22,227</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PrimeRevenue, Inc.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($16,507</w:t>
            </w:r>
            <w:r>
              <w:rPr>
                <w:rFonts w:ascii="Times New Roman" w:hAnsi="Times New Roman"/>
                <w:sz w:val="20"/>
              </w:rPr>
              <w:t> </w:t>
            </w:r>
            <w:r>
              <w:rPr>
                <w:rFonts w:ascii="Times New Roman;serif" w:hAnsi="Times New Roman;serif"/>
                <w:b w:val="false"/>
                <w:sz w:val="12"/>
              </w:rPr>
              <w:t>par, due 12/2023)</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12/31/2018</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+ 7.00%</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11.84%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16,464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16,507</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TradingScreen, Inc.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($44,550</w:t>
            </w:r>
            <w:r>
              <w:rPr>
                <w:rFonts w:ascii="Times New Roman" w:hAnsi="Times New Roman"/>
                <w:sz w:val="20"/>
              </w:rPr>
              <w:t> </w:t>
            </w:r>
            <w:r>
              <w:rPr>
                <w:rFonts w:ascii="Times New Roman;serif" w:hAnsi="Times New Roman;serif"/>
                <w:b w:val="false"/>
                <w:sz w:val="12"/>
              </w:rPr>
              <w:t>par, due 4/2027)</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4/30/2021</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+ 6.25%</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11.08%</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43,589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43,882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w:t>
            </w:r>
          </w:p>
        </w:tc>
      </w:tr>
      <w:tr>
        <w:trPr/>
        <w:tc>
          <w:tcPr>
            <w:tcW w:w="2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346,310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348,430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25.4%</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Healthcare</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pPr>
            <w:r>
              <w:rPr/>
              <w:t> </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BCTO Ace Purchaser, Inc.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($65,619</w:t>
            </w:r>
            <w:r>
              <w:rPr>
                <w:rFonts w:ascii="Times New Roman" w:hAnsi="Times New Roman"/>
                <w:sz w:val="20"/>
              </w:rPr>
              <w:t> </w:t>
            </w:r>
            <w:r>
              <w:rPr>
                <w:rFonts w:ascii="Times New Roman;serif" w:hAnsi="Times New Roman;serif"/>
                <w:b w:val="false"/>
                <w:sz w:val="12"/>
              </w:rPr>
              <w:t>par, due 11/2027)</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11/23/2020</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+ 8.45%</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13.27%</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64,541</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65,455</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w:t>
            </w:r>
          </w:p>
        </w:tc>
      </w:tr>
      <w:tr>
        <w:trPr/>
        <w:tc>
          <w:tcPr>
            <w:tcW w:w="2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Second-lien loan ($5,000</w:t>
            </w:r>
            <w:r>
              <w:rPr>
                <w:rFonts w:ascii="Times New Roman" w:hAnsi="Times New Roman"/>
                <w:sz w:val="20"/>
              </w:rPr>
              <w:t> </w:t>
            </w:r>
            <w:r>
              <w:rPr>
                <w:rFonts w:ascii="Times New Roman;serif" w:hAnsi="Times New Roman;serif"/>
                <w:b w:val="false"/>
                <w:sz w:val="12"/>
              </w:rPr>
              <w:t>par, due</w:t>
            </w:r>
            <w:r>
              <w:rPr>
                <w:rFonts w:ascii="Times New Roman" w:hAnsi="Times New Roman"/>
                <w:sz w:val="20"/>
              </w:rPr>
              <w:t xml:space="preserve"> </w:t>
            </w:r>
            <w:r>
              <w:rPr>
                <w:rFonts w:ascii="Times New Roman;serif" w:hAnsi="Times New Roman;serif"/>
                <w:b w:val="false"/>
                <w:sz w:val="12"/>
              </w:rPr>
              <w:t>1/2030)</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1/23/2023</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+ 10.70%</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15.35% PIK</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4,853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4,913</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0.4%</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Caris Life Sciences, Inc.</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Convertible note ($2,602</w:t>
            </w:r>
            <w:r>
              <w:rPr>
                <w:rFonts w:ascii="Times New Roman" w:hAnsi="Times New Roman"/>
                <w:sz w:val="20"/>
              </w:rPr>
              <w:t> </w:t>
            </w:r>
            <w:r>
              <w:rPr>
                <w:rFonts w:ascii="Times New Roman;serif" w:hAnsi="Times New Roman;serif"/>
                <w:b w:val="false"/>
                <w:sz w:val="12"/>
              </w:rPr>
              <w:t>par, due 9/2023)</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9/21/2018</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8.00%</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8.00%</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2,602</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5,490</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0.4%</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Edge Bidco B.V </w:t>
            </w:r>
            <w:r>
              <w:rPr>
                <w:rFonts w:ascii="Times New Roman;serif" w:hAnsi="Times New Roman;serif"/>
                <w:b w:val="false"/>
                <w:sz w:val="8"/>
              </w:rPr>
              <w:t>(3)(4)(5)</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(EUR 3,423</w:t>
            </w:r>
            <w:r>
              <w:rPr>
                <w:rFonts w:ascii="Times New Roman" w:hAnsi="Times New Roman"/>
                <w:sz w:val="20"/>
              </w:rPr>
              <w:t> </w:t>
            </w:r>
            <w:r>
              <w:rPr>
                <w:rFonts w:ascii="Times New Roman;serif" w:hAnsi="Times New Roman;serif"/>
                <w:b w:val="false"/>
                <w:sz w:val="12"/>
              </w:rPr>
              <w:t>par, due 2/2029)</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2/24/2023</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E + 7.00%</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10.02% (incl. 3.25% PIK)</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3,473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3,579</w:t>
              <w:br/>
              <w:t>(EUR 3,294)</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0.3%</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Homecare Software Solutions, LLC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($65,000</w:t>
            </w:r>
            <w:r>
              <w:rPr>
                <w:rFonts w:ascii="Times New Roman" w:hAnsi="Times New Roman"/>
                <w:sz w:val="20"/>
              </w:rPr>
              <w:t> </w:t>
            </w:r>
            <w:r>
              <w:rPr>
                <w:rFonts w:ascii="Times New Roman;serif" w:hAnsi="Times New Roman;serif"/>
                <w:b w:val="false"/>
                <w:sz w:val="12"/>
              </w:rPr>
              <w:t>par, due 10/2026)</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10/6/2021</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+ 5.70%</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10.39%</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63,800</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64,025</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Integrated Practice Solutions, Inc.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($45,999</w:t>
            </w:r>
            <w:r>
              <w:rPr>
                <w:rFonts w:ascii="Times New Roman" w:hAnsi="Times New Roman"/>
                <w:sz w:val="20"/>
              </w:rPr>
              <w:t> </w:t>
            </w:r>
            <w:r>
              <w:rPr>
                <w:rFonts w:ascii="Times New Roman;serif" w:hAnsi="Times New Roman;serif"/>
                <w:b w:val="false"/>
                <w:sz w:val="12"/>
              </w:rPr>
              <w:t>par, due 10/2024)</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6/30/2017</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+ 7.00%</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11.85%</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45,374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46,114</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3.4%</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Merative L.P.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($70,103</w:t>
            </w:r>
            <w:r>
              <w:rPr>
                <w:rFonts w:ascii="Times New Roman" w:hAnsi="Times New Roman"/>
                <w:sz w:val="20"/>
              </w:rPr>
              <w:t> </w:t>
            </w:r>
            <w:r>
              <w:rPr>
                <w:rFonts w:ascii="Times New Roman;serif" w:hAnsi="Times New Roman;serif"/>
                <w:b w:val="false"/>
                <w:sz w:val="12"/>
              </w:rPr>
              <w:t>par, due</w:t>
            </w:r>
            <w:r>
              <w:rPr>
                <w:rFonts w:ascii="Times New Roman" w:hAnsi="Times New Roman"/>
                <w:sz w:val="20"/>
              </w:rPr>
              <w:t xml:space="preserve"> </w:t>
            </w:r>
            <w:r>
              <w:rPr>
                <w:rFonts w:ascii="Times New Roman;serif" w:hAnsi="Times New Roman;serif"/>
                <w:b w:val="false"/>
                <w:sz w:val="12"/>
              </w:rPr>
              <w:t>6/2028)</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6/30/2022</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+ 7.25%</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12.15%</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67,978</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68,175</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Raptor US Buyer II Corp.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($13,636</w:t>
            </w:r>
            <w:r>
              <w:rPr>
                <w:rFonts w:ascii="Times New Roman" w:hAnsi="Times New Roman"/>
                <w:sz w:val="20"/>
              </w:rPr>
              <w:t> </w:t>
            </w:r>
            <w:r>
              <w:rPr>
                <w:rFonts w:ascii="Times New Roman;serif" w:hAnsi="Times New Roman;serif"/>
                <w:b w:val="false"/>
                <w:sz w:val="12"/>
              </w:rPr>
              <w:t>par, due 3/2029)</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3/24/2023</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+ 6.75%</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11.63%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13,134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13,193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w:t>
            </w:r>
          </w:p>
        </w:tc>
      </w:tr>
      <w:tr>
        <w:trPr/>
        <w:tc>
          <w:tcPr>
            <w:tcW w:w="2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265,755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270,944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Hotel, Gaming and Leisure</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pPr>
            <w:r>
              <w:rPr/>
              <w:t> </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ASG II, LLC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($58,963</w:t>
            </w:r>
            <w:r>
              <w:rPr>
                <w:rFonts w:ascii="Times New Roman" w:hAnsi="Times New Roman"/>
                <w:sz w:val="20"/>
              </w:rPr>
              <w:t> </w:t>
            </w:r>
            <w:r>
              <w:rPr>
                <w:rFonts w:ascii="Times New Roman;serif" w:hAnsi="Times New Roman;serif"/>
                <w:b w:val="false"/>
                <w:sz w:val="12"/>
              </w:rPr>
              <w:t>par, due 5/2028)</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5/25/2022</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+ 6.40%</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11.08%</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57,578</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57,826</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w:t>
            </w:r>
          </w:p>
        </w:tc>
      </w:tr>
      <w:tr>
        <w:trPr/>
        <w:tc>
          <w:tcPr>
            <w:tcW w:w="2341"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IRGSE Holding Corp. </w:t>
            </w:r>
            <w:r>
              <w:rPr>
                <w:rFonts w:ascii="Times New Roman;serif" w:hAnsi="Times New Roman;serif"/>
                <w:b w:val="false"/>
                <w:sz w:val="8"/>
              </w:rPr>
              <w:t>(3)(6)</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($30,261</w:t>
            </w:r>
            <w:r>
              <w:rPr>
                <w:rFonts w:ascii="Times New Roman" w:hAnsi="Times New Roman"/>
                <w:sz w:val="20"/>
              </w:rPr>
              <w:t> </w:t>
            </w:r>
            <w:r>
              <w:rPr>
                <w:rFonts w:ascii="Times New Roman;serif" w:hAnsi="Times New Roman;serif"/>
                <w:b w:val="false"/>
                <w:sz w:val="12"/>
              </w:rPr>
              <w:t>par, due 6/2023)</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9/29/2015</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+ 9.50%</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14.66%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28,594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29,958</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w:t>
            </w:r>
          </w:p>
        </w:tc>
      </w:tr>
      <w:tr>
        <w:trPr/>
        <w:tc>
          <w:tcPr>
            <w:tcW w:w="2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revolving loan ($18,937</w:t>
            </w:r>
            <w:r>
              <w:rPr>
                <w:rFonts w:ascii="Times New Roman" w:hAnsi="Times New Roman"/>
                <w:sz w:val="20"/>
              </w:rPr>
              <w:t> </w:t>
            </w:r>
            <w:r>
              <w:rPr>
                <w:rFonts w:ascii="Times New Roman;serif" w:hAnsi="Times New Roman;serif"/>
                <w:b w:val="false"/>
                <w:sz w:val="12"/>
              </w:rPr>
              <w:t>par, due 6/2023)</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9/29/2015</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+ 9.50%</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14.47%</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18,937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18,748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r>
      <w:tr>
        <w:trPr/>
        <w:tc>
          <w:tcPr>
            <w:tcW w:w="23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105,109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106,532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7.9%</w:t>
            </w:r>
          </w:p>
        </w:tc>
      </w:tr>
      <w:tr>
        <w:trPr/>
        <w:tc>
          <w:tcPr>
            <w:tcW w:w="2341"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Human Resource Support Services</w:t>
            </w:r>
          </w:p>
        </w:tc>
        <w:tc>
          <w:tcPr>
            <w:tcW w:w="146" w:type="dxa"/>
            <w:tcBorders/>
            <w:shd w:fill="auto" w:val="clear"/>
            <w:vAlign w:val="center"/>
          </w:tcPr>
          <w:p>
            <w:pPr>
              <w:pStyle w:val="TableContents"/>
              <w:spacing w:before="0" w:after="0"/>
              <w:ind w:left="0" w:right="0" w:hanging="0"/>
              <w:jc w:val="right"/>
              <w:rPr/>
            </w:pPr>
            <w:r>
              <w:rPr/>
              <w:t> </w:t>
            </w:r>
          </w:p>
        </w:tc>
        <w:tc>
          <w:tcPr>
            <w:tcW w:w="190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9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5"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03"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053"/>
        <w:gridCol w:w="146"/>
        <w:gridCol w:w="2337"/>
        <w:gridCol w:w="146"/>
        <w:gridCol w:w="590"/>
        <w:gridCol w:w="146"/>
        <w:gridCol w:w="774"/>
        <w:gridCol w:w="146"/>
        <w:gridCol w:w="1262"/>
        <w:gridCol w:w="146"/>
        <w:gridCol w:w="146"/>
        <w:gridCol w:w="586"/>
        <w:gridCol w:w="146"/>
        <w:gridCol w:w="146"/>
        <w:gridCol w:w="781"/>
        <w:gridCol w:w="146"/>
        <w:gridCol w:w="508"/>
      </w:tblGrid>
      <w:tr>
        <w:trPr/>
        <w:tc>
          <w:tcPr>
            <w:tcW w:w="205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Axonify, Inc. </w:t>
            </w:r>
            <w:r>
              <w:rPr>
                <w:rFonts w:ascii="Times New Roman;serif" w:hAnsi="Times New Roman;serif"/>
                <w:b w:val="false"/>
                <w:sz w:val="8"/>
              </w:rPr>
              <w:t>(3)(4)(5)</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($48,147</w:t>
            </w:r>
            <w:r>
              <w:rPr>
                <w:rFonts w:ascii="Times New Roman" w:hAnsi="Times New Roman"/>
                <w:sz w:val="20"/>
              </w:rPr>
              <w:t> </w:t>
            </w:r>
            <w:r>
              <w:rPr>
                <w:rFonts w:ascii="Times New Roman;serif" w:hAnsi="Times New Roman;serif"/>
                <w:b w:val="false"/>
                <w:sz w:val="12"/>
              </w:rPr>
              <w:t>par, due 5/2026)</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5/5/2021</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+ 7.65%</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12.34%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47,285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47,481</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bswift, LLC</w:t>
            </w:r>
            <w:r>
              <w:rPr>
                <w:rFonts w:ascii="Times New Roman" w:hAnsi="Times New Roman"/>
                <w:sz w:val="12"/>
              </w:rPr>
              <w:t>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($44,694</w:t>
            </w:r>
            <w:r>
              <w:rPr>
                <w:rFonts w:ascii="Times New Roman" w:hAnsi="Times New Roman"/>
                <w:sz w:val="20"/>
              </w:rPr>
              <w:t> </w:t>
            </w:r>
            <w:r>
              <w:rPr>
                <w:rFonts w:ascii="Times New Roman;serif" w:hAnsi="Times New Roman;serif"/>
                <w:b w:val="false"/>
                <w:sz w:val="12"/>
              </w:rPr>
              <w:t>par, due 11/2028)</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11/7/2022</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+ 6.63%</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11.33%</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43,388</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43,912</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Elysian Finco Ltd. </w:t>
            </w:r>
            <w:r>
              <w:rPr>
                <w:rFonts w:ascii="Times New Roman;serif" w:hAnsi="Times New Roman;serif"/>
                <w:b w:val="false"/>
                <w:sz w:val="8"/>
              </w:rPr>
              <w:t>(3)(4)(5)</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($17,852</w:t>
            </w:r>
            <w:r>
              <w:rPr>
                <w:rFonts w:ascii="Times New Roman" w:hAnsi="Times New Roman"/>
                <w:sz w:val="20"/>
              </w:rPr>
              <w:t> </w:t>
            </w:r>
            <w:r>
              <w:rPr>
                <w:rFonts w:ascii="Times New Roman;serif" w:hAnsi="Times New Roman;serif"/>
                <w:b w:val="false"/>
                <w:sz w:val="12"/>
              </w:rPr>
              <w:t>par, due 1/2028)</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1/31/2022</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+ 6.65%</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17,387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17,931</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Employment Hero Holdings Pty Ltd. </w:t>
            </w:r>
            <w:r>
              <w:rPr>
                <w:rFonts w:ascii="Times New Roman;serif" w:hAnsi="Times New Roman;serif"/>
                <w:b w:val="false"/>
                <w:sz w:val="8"/>
              </w:rPr>
              <w:t>(3)(4)</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(AUD 33,488</w:t>
            </w:r>
            <w:r>
              <w:rPr>
                <w:rFonts w:ascii="Times New Roman" w:hAnsi="Times New Roman"/>
                <w:sz w:val="20"/>
              </w:rPr>
              <w:t> </w:t>
            </w:r>
            <w:r>
              <w:rPr>
                <w:rFonts w:ascii="Times New Roman;serif" w:hAnsi="Times New Roman;serif"/>
                <w:b w:val="false"/>
                <w:sz w:val="12"/>
              </w:rPr>
              <w:t>par, due 12/2026)</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12/6/2021</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B + 6.50%</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34,707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32,855</w:t>
              <w:br/>
              <w:t>(AUD 49,055)</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PageUp People, Ltd. </w:t>
            </w:r>
            <w:r>
              <w:rPr>
                <w:rFonts w:ascii="Times New Roman;serif" w:hAnsi="Times New Roman;serif"/>
                <w:b w:val="false"/>
                <w:sz w:val="8"/>
              </w:rPr>
              <w:t>(3)(4)(5)</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(AUD 14,476</w:t>
            </w:r>
            <w:r>
              <w:rPr>
                <w:rFonts w:ascii="Times New Roman" w:hAnsi="Times New Roman"/>
                <w:sz w:val="20"/>
              </w:rPr>
              <w:t> </w:t>
            </w:r>
            <w:r>
              <w:rPr>
                <w:rFonts w:ascii="Times New Roman;serif" w:hAnsi="Times New Roman;serif"/>
                <w:b w:val="false"/>
                <w:sz w:val="12"/>
              </w:rPr>
              <w:t>par, due 12/2025)</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1/11/2018</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B + 5.50%</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9.28%</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10,875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9,541</w:t>
              <w:br/>
              <w:t>(AUD 14,246)</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0.7%</w:t>
            </w:r>
          </w:p>
        </w:tc>
      </w:tr>
      <w:tr>
        <w:trPr/>
        <w:tc>
          <w:tcPr>
            <w:tcW w:w="205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(GBP 3,754</w:t>
            </w:r>
            <w:r>
              <w:rPr>
                <w:rFonts w:ascii="Times New Roman" w:hAnsi="Times New Roman"/>
                <w:sz w:val="20"/>
              </w:rPr>
              <w:t> </w:t>
            </w:r>
            <w:r>
              <w:rPr>
                <w:rFonts w:ascii="Times New Roman;serif" w:hAnsi="Times New Roman;serif"/>
                <w:b w:val="false"/>
                <w:sz w:val="12"/>
              </w:rPr>
              <w:t>par, due 12/2025)</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10/28/2021</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 + 5.78%</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9.73%</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5,169</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4,595</w:t>
              <w:br/>
              <w:t>(GBP 3,716)</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0.3%</w:t>
            </w:r>
          </w:p>
        </w:tc>
      </w:tr>
      <w:tr>
        <w:trPr/>
        <w:tc>
          <w:tcPr>
            <w:tcW w:w="205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($11,979</w:t>
            </w:r>
            <w:r>
              <w:rPr>
                <w:rFonts w:ascii="Times New Roman" w:hAnsi="Times New Roman"/>
                <w:sz w:val="20"/>
              </w:rPr>
              <w:t> </w:t>
            </w:r>
            <w:r>
              <w:rPr>
                <w:rFonts w:ascii="Times New Roman;serif" w:hAnsi="Times New Roman;serif"/>
                <w:b w:val="false"/>
                <w:sz w:val="12"/>
              </w:rPr>
              <w:t>par, due 12/2025)</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10/28/2021</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+ 5.50%</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10.65%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11,966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11,859</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0.9%</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PayScale Holdings, Inc.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($68,600</w:t>
            </w:r>
            <w:r>
              <w:rPr>
                <w:rFonts w:ascii="Times New Roman" w:hAnsi="Times New Roman"/>
                <w:sz w:val="20"/>
              </w:rPr>
              <w:t> </w:t>
            </w:r>
            <w:r>
              <w:rPr>
                <w:rFonts w:ascii="Times New Roman;serif" w:hAnsi="Times New Roman;serif"/>
                <w:b w:val="false"/>
                <w:sz w:val="12"/>
              </w:rPr>
              <w:t>par, due 5/2024)</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5/3/2019</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+ 6.00%</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10.84%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68,127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67,571</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PrimePay Intermediate, LLC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($33,858</w:t>
            </w:r>
            <w:r>
              <w:rPr>
                <w:rFonts w:ascii="Times New Roman" w:hAnsi="Times New Roman"/>
                <w:sz w:val="20"/>
              </w:rPr>
              <w:t> </w:t>
            </w:r>
            <w:r>
              <w:rPr>
                <w:rFonts w:ascii="Times New Roman;serif" w:hAnsi="Times New Roman;serif"/>
                <w:b w:val="false"/>
                <w:sz w:val="12"/>
              </w:rPr>
              <w:t>par, due 12/2026)</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12/17/2021</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+ 7.15%</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12.05%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32,971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33,350</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Modern Hire, Inc.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($28,688</w:t>
            </w:r>
            <w:r>
              <w:rPr>
                <w:rFonts w:ascii="Times New Roman" w:hAnsi="Times New Roman"/>
                <w:sz w:val="20"/>
              </w:rPr>
              <w:t> </w:t>
            </w:r>
            <w:r>
              <w:rPr>
                <w:rFonts w:ascii="Times New Roman;serif" w:hAnsi="Times New Roman;serif"/>
                <w:b w:val="false"/>
                <w:sz w:val="12"/>
              </w:rPr>
              <w:t>par, due 5/2024)</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5/15/2019</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+ 6.00%</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10.84%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28,479</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28,831</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Workwell Acquisition Co.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($23,646</w:t>
            </w:r>
            <w:r>
              <w:rPr>
                <w:rFonts w:ascii="Times New Roman" w:hAnsi="Times New Roman"/>
                <w:sz w:val="20"/>
              </w:rPr>
              <w:t> </w:t>
            </w:r>
            <w:r>
              <w:rPr>
                <w:rFonts w:ascii="Times New Roman;serif" w:hAnsi="Times New Roman;serif"/>
                <w:b w:val="false"/>
                <w:sz w:val="12"/>
              </w:rPr>
              <w:t>par, due 10/2025)</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10/19/2020</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+ 7.40%</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12.29%</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23,312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23,410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w:t>
            </w:r>
          </w:p>
        </w:tc>
      </w:tr>
      <w:tr>
        <w:trPr/>
        <w:tc>
          <w:tcPr>
            <w:tcW w:w="205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323,666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321,336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23.6%</w:t>
            </w:r>
          </w:p>
        </w:tc>
      </w:tr>
      <w:tr>
        <w:trPr/>
        <w:tc>
          <w:tcPr>
            <w:tcW w:w="2053"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Insurance</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pPr>
            <w:r>
              <w:rPr/>
              <w:t> </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Disco Parent, Inc.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($4,545</w:t>
            </w:r>
            <w:r>
              <w:rPr>
                <w:rFonts w:ascii="Times New Roman" w:hAnsi="Times New Roman"/>
                <w:sz w:val="20"/>
              </w:rPr>
              <w:t> </w:t>
            </w:r>
            <w:r>
              <w:rPr>
                <w:rFonts w:ascii="Times New Roman;serif" w:hAnsi="Times New Roman;serif"/>
                <w:b w:val="false"/>
                <w:sz w:val="12"/>
              </w:rPr>
              <w:t>par, due 3/2029)</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3/30/2023</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+ 7.50%</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12.39%</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4,421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4,433</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0.3%</w:t>
            </w:r>
          </w:p>
        </w:tc>
      </w:tr>
      <w:tr>
        <w:trPr/>
        <w:tc>
          <w:tcPr>
            <w:tcW w:w="2053"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Internet Services</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pPr>
            <w:r>
              <w:rPr/>
              <w:t> </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Bayshore Intermediate #2, L.P.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($33,218</w:t>
            </w:r>
            <w:r>
              <w:rPr>
                <w:rFonts w:ascii="Times New Roman" w:hAnsi="Times New Roman"/>
                <w:sz w:val="20"/>
              </w:rPr>
              <w:t> </w:t>
            </w:r>
            <w:r>
              <w:rPr>
                <w:rFonts w:ascii="Times New Roman;serif" w:hAnsi="Times New Roman;serif"/>
                <w:b w:val="false"/>
                <w:sz w:val="12"/>
              </w:rPr>
              <w:t>par, due 10/2028)</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10/1/2021</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+ 7.75%</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12.46% PIK</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32,670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32,720</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w:t>
            </w:r>
          </w:p>
        </w:tc>
      </w:tr>
      <w:tr>
        <w:trPr/>
        <w:tc>
          <w:tcPr>
            <w:tcW w:w="205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revolving loan ($468</w:t>
            </w:r>
            <w:r>
              <w:rPr>
                <w:rFonts w:ascii="Times New Roman" w:hAnsi="Times New Roman"/>
                <w:sz w:val="20"/>
              </w:rPr>
              <w:t> </w:t>
            </w:r>
            <w:r>
              <w:rPr>
                <w:rFonts w:ascii="Times New Roman;serif" w:hAnsi="Times New Roman;serif"/>
                <w:b w:val="false"/>
                <w:sz w:val="12"/>
              </w:rPr>
              <w:t>par, due 10/2027)</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10/1/2021</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+ 6.75%</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11.42%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432</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Coupa Holdings, LLC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($43,191</w:t>
            </w:r>
            <w:r>
              <w:rPr>
                <w:rFonts w:ascii="Times New Roman" w:hAnsi="Times New Roman"/>
                <w:sz w:val="20"/>
              </w:rPr>
              <w:t> </w:t>
            </w:r>
            <w:r>
              <w:rPr>
                <w:rFonts w:ascii="Times New Roman;serif" w:hAnsi="Times New Roman;serif"/>
                <w:b w:val="false"/>
                <w:sz w:val="12"/>
              </w:rPr>
              <w:t>par, due 2/2030)</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2/27/2023</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+ 7.50%</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12.29%</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42,005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42,316</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CrunchTime Information, Systems, Inc.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($52,988</w:t>
            </w:r>
            <w:r>
              <w:rPr>
                <w:rFonts w:ascii="Times New Roman" w:hAnsi="Times New Roman"/>
                <w:sz w:val="20"/>
              </w:rPr>
              <w:t> </w:t>
            </w:r>
            <w:r>
              <w:rPr>
                <w:rFonts w:ascii="Times New Roman;serif" w:hAnsi="Times New Roman;serif"/>
                <w:b w:val="false"/>
                <w:sz w:val="12"/>
              </w:rPr>
              <w:t>par, due 6/2028)</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6/17/2022</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+ 6.00%</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10.76%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51,890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52,087</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EDB Parent, LLC</w:t>
            </w:r>
            <w:r>
              <w:rPr>
                <w:rFonts w:ascii="Times New Roman" w:hAnsi="Times New Roman"/>
                <w:sz w:val="12"/>
              </w:rPr>
              <w:t>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($58,589</w:t>
            </w:r>
            <w:r>
              <w:rPr>
                <w:rFonts w:ascii="Times New Roman" w:hAnsi="Times New Roman"/>
                <w:sz w:val="20"/>
              </w:rPr>
              <w:t> </w:t>
            </w:r>
            <w:r>
              <w:rPr>
                <w:rFonts w:ascii="Times New Roman;serif" w:hAnsi="Times New Roman;serif"/>
                <w:b w:val="false"/>
                <w:sz w:val="12"/>
              </w:rPr>
              <w:t>par, due 7/2028)</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7/7/2022</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+ 7.00%</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11.90%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57,269</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57,564</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Higher Logic, LLC</w:t>
            </w:r>
            <w:r>
              <w:rPr>
                <w:rFonts w:ascii="Times New Roman" w:hAnsi="Times New Roman"/>
                <w:sz w:val="12"/>
              </w:rPr>
              <w:t>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($55,100</w:t>
            </w:r>
            <w:r>
              <w:rPr>
                <w:rFonts w:ascii="Times New Roman" w:hAnsi="Times New Roman"/>
                <w:sz w:val="20"/>
              </w:rPr>
              <w:t> </w:t>
            </w:r>
            <w:r>
              <w:rPr>
                <w:rFonts w:ascii="Times New Roman;serif" w:hAnsi="Times New Roman;serif"/>
                <w:b w:val="false"/>
                <w:sz w:val="12"/>
              </w:rPr>
              <w:t>par, due 1/2025)</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6/18/2018</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+ 7.25%</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54,824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55,100</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LeanTaaS Holdings, Inc.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First-lien loan ($32,519 par, due 7/2028)</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7/12/2022</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+ 7.50%</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12.40%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31,641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31,833</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Lithium Technologies, LLC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($54,700</w:t>
            </w:r>
            <w:r>
              <w:rPr>
                <w:rFonts w:ascii="Times New Roman" w:hAnsi="Times New Roman"/>
                <w:sz w:val="20"/>
              </w:rPr>
              <w:t> </w:t>
            </w:r>
            <w:r>
              <w:rPr>
                <w:rFonts w:ascii="Times New Roman;serif" w:hAnsi="Times New Roman;serif"/>
                <w:b w:val="false"/>
                <w:sz w:val="12"/>
              </w:rPr>
              <w:t>par, due 1/2024)</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10/3/2017</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+ 8.00%</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12.67%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54,662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53,469</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w:t>
            </w:r>
          </w:p>
        </w:tc>
      </w:tr>
      <w:tr>
        <w:trPr/>
        <w:tc>
          <w:tcPr>
            <w:tcW w:w="205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revolving loan ($1,320</w:t>
            </w:r>
            <w:r>
              <w:rPr>
                <w:rFonts w:ascii="Times New Roman" w:hAnsi="Times New Roman"/>
                <w:sz w:val="20"/>
              </w:rPr>
              <w:t> </w:t>
            </w:r>
            <w:r>
              <w:rPr>
                <w:rFonts w:ascii="Times New Roman;serif" w:hAnsi="Times New Roman;serif"/>
                <w:b w:val="false"/>
                <w:sz w:val="12"/>
              </w:rPr>
              <w:t>par, due 1/2024)</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10/3/2017</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+ 8.00%</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12.67%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1,322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1,245</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Lucidworks, Inc.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($8,474</w:t>
            </w:r>
            <w:r>
              <w:rPr>
                <w:rFonts w:ascii="Times New Roman" w:hAnsi="Times New Roman"/>
                <w:sz w:val="20"/>
              </w:rPr>
              <w:t> </w:t>
            </w:r>
            <w:r>
              <w:rPr>
                <w:rFonts w:ascii="Times New Roman;serif" w:hAnsi="Times New Roman;serif"/>
                <w:b w:val="false"/>
                <w:sz w:val="12"/>
              </w:rPr>
              <w:t>par, due 2/2027)</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2/11/2022</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+ 7.50%</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12.31% (incl. 3.50% PIK)</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8,474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8,381</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0.6%</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Piano Software, Inc.</w:t>
            </w:r>
            <w:r>
              <w:rPr>
                <w:rFonts w:ascii="Times New Roman" w:hAnsi="Times New Roman"/>
                <w:sz w:val="12"/>
              </w:rPr>
              <w:t>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($50,985</w:t>
            </w:r>
            <w:r>
              <w:rPr>
                <w:rFonts w:ascii="Times New Roman" w:hAnsi="Times New Roman"/>
                <w:sz w:val="20"/>
              </w:rPr>
              <w:t> </w:t>
            </w:r>
            <w:r>
              <w:rPr>
                <w:rFonts w:ascii="Times New Roman;serif" w:hAnsi="Times New Roman;serif"/>
                <w:b w:val="false"/>
                <w:sz w:val="12"/>
              </w:rPr>
              <w:t>par, due 2/2026)</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2/25/2021</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+ 7.10%</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11.91%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50,190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50,093</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SMA Technologies Holdings, LLC</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($36,833</w:t>
            </w:r>
            <w:r>
              <w:rPr>
                <w:rFonts w:ascii="Times New Roman" w:hAnsi="Times New Roman"/>
                <w:sz w:val="20"/>
              </w:rPr>
              <w:t> </w:t>
            </w:r>
            <w:r>
              <w:rPr>
                <w:rFonts w:ascii="Times New Roman;serif" w:hAnsi="Times New Roman;serif"/>
                <w:b w:val="false"/>
                <w:sz w:val="12"/>
              </w:rPr>
              <w:t>par, due 10/2028)</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10/31/2022</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+ 6.75%</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11.56%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35,307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35,820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w:t>
            </w:r>
          </w:p>
        </w:tc>
      </w:tr>
      <w:tr>
        <w:trPr/>
        <w:tc>
          <w:tcPr>
            <w:tcW w:w="205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420,681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421,060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30.8%</w:t>
            </w:r>
          </w:p>
        </w:tc>
      </w:tr>
      <w:tr>
        <w:trPr/>
        <w:tc>
          <w:tcPr>
            <w:tcW w:w="2053"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Manufacturing</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pPr>
            <w:r>
              <w:rPr/>
              <w:t> </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Avalara, Inc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($38,636</w:t>
            </w:r>
            <w:r>
              <w:rPr>
                <w:rFonts w:ascii="Times New Roman" w:hAnsi="Times New Roman"/>
                <w:sz w:val="20"/>
              </w:rPr>
              <w:t> </w:t>
            </w:r>
            <w:r>
              <w:rPr>
                <w:rFonts w:ascii="Times New Roman;serif" w:hAnsi="Times New Roman;serif"/>
                <w:b w:val="false"/>
                <w:sz w:val="12"/>
              </w:rPr>
              <w:t>par, due 10/2028)</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10/19/2022</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+ 7.25%</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37,633</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37,680</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w:t>
            </w:r>
          </w:p>
        </w:tc>
      </w:tr>
      <w:tr>
        <w:trPr/>
        <w:tc>
          <w:tcPr>
            <w:tcW w:w="2053"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Office Products</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pPr>
            <w:r>
              <w:rPr/>
              <w:t> </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USR Parent, Inc.</w:t>
            </w:r>
            <w:r>
              <w:rPr>
                <w:rFonts w:ascii="Times New Roman" w:hAnsi="Times New Roman"/>
                <w:sz w:val="12"/>
              </w:rPr>
              <w:t>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ABL FILO term loan ($18,500</w:t>
            </w:r>
            <w:r>
              <w:rPr>
                <w:rFonts w:ascii="Times New Roman" w:hAnsi="Times New Roman"/>
                <w:sz w:val="20"/>
              </w:rPr>
              <w:t> </w:t>
            </w:r>
            <w:r>
              <w:rPr>
                <w:rFonts w:ascii="Times New Roman;serif" w:hAnsi="Times New Roman;serif"/>
                <w:b w:val="false"/>
                <w:sz w:val="12"/>
              </w:rPr>
              <w:t>par, due</w:t>
            </w:r>
            <w:r>
              <w:rPr>
                <w:rFonts w:ascii="Times New Roman" w:hAnsi="Times New Roman"/>
                <w:sz w:val="20"/>
              </w:rPr>
              <w:t xml:space="preserve"> </w:t>
            </w:r>
            <w:r>
              <w:rPr>
                <w:rFonts w:ascii="Times New Roman;serif" w:hAnsi="Times New Roman;serif"/>
                <w:b w:val="false"/>
                <w:sz w:val="12"/>
              </w:rPr>
              <w:t>4/2027)</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4/25/2022</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+ 6.50%</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18,151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18,130</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w:t>
            </w:r>
          </w:p>
        </w:tc>
      </w:tr>
      <w:tr>
        <w:trPr/>
        <w:tc>
          <w:tcPr>
            <w:tcW w:w="2053"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Oil, Gas and Consumable Fuels</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pPr>
            <w:r>
              <w:rPr/>
              <w:t> </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Laramie Energy, LLC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($27,317</w:t>
            </w:r>
            <w:r>
              <w:rPr>
                <w:rFonts w:ascii="Times New Roman" w:hAnsi="Times New Roman"/>
                <w:sz w:val="20"/>
              </w:rPr>
              <w:t> </w:t>
            </w:r>
            <w:r>
              <w:rPr>
                <w:rFonts w:ascii="Times New Roman;serif" w:hAnsi="Times New Roman;serif"/>
                <w:b w:val="false"/>
                <w:sz w:val="12"/>
              </w:rPr>
              <w:t>par, due 2/2027)</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2/21/2023</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+ 7.10%</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11.86%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26,636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26,705</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Murchison Oil and Gas, LLC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($33,388</w:t>
            </w:r>
            <w:r>
              <w:rPr>
                <w:rFonts w:ascii="Times New Roman" w:hAnsi="Times New Roman"/>
                <w:sz w:val="20"/>
              </w:rPr>
              <w:t> </w:t>
            </w:r>
            <w:r>
              <w:rPr>
                <w:rFonts w:ascii="Times New Roman;serif" w:hAnsi="Times New Roman;serif"/>
                <w:b w:val="false"/>
                <w:sz w:val="12"/>
              </w:rPr>
              <w:t>par, due 6/2026)</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6/30/2022</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+ 8.65%</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13.55%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32,754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33,479</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TRP Assets, LLC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($57,818</w:t>
            </w:r>
            <w:r>
              <w:rPr>
                <w:rFonts w:ascii="Times New Roman" w:hAnsi="Times New Roman"/>
                <w:sz w:val="20"/>
              </w:rPr>
              <w:t> </w:t>
            </w:r>
            <w:r>
              <w:rPr>
                <w:rFonts w:ascii="Times New Roman;serif" w:hAnsi="Times New Roman;serif"/>
                <w:b w:val="false"/>
                <w:sz w:val="12"/>
              </w:rPr>
              <w:t>par, due</w:t>
            </w:r>
            <w:r>
              <w:rPr>
                <w:rFonts w:ascii="Times New Roman" w:hAnsi="Times New Roman"/>
                <w:sz w:val="20"/>
              </w:rPr>
              <w:t xml:space="preserve"> </w:t>
            </w:r>
            <w:r>
              <w:rPr>
                <w:rFonts w:ascii="Times New Roman;serif" w:hAnsi="Times New Roman;serif"/>
                <w:b w:val="false"/>
                <w:sz w:val="12"/>
              </w:rPr>
              <w:t>12/2025)</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12/3/2021</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+ 7.76%</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12.66%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56,996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58,468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w:t>
            </w:r>
          </w:p>
        </w:tc>
      </w:tr>
      <w:tr>
        <w:trPr/>
        <w:tc>
          <w:tcPr>
            <w:tcW w:w="205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116,386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118,652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w:t>
            </w:r>
          </w:p>
        </w:tc>
      </w:tr>
      <w:tr>
        <w:trPr/>
        <w:tc>
          <w:tcPr>
            <w:tcW w:w="2053"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Other</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pPr>
            <w:r>
              <w:rPr/>
              <w:t> </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Omnigo Software, LLC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($40,250</w:t>
            </w:r>
            <w:r>
              <w:rPr>
                <w:rFonts w:ascii="Times New Roman" w:hAnsi="Times New Roman"/>
                <w:sz w:val="20"/>
              </w:rPr>
              <w:t> </w:t>
            </w:r>
            <w:r>
              <w:rPr>
                <w:rFonts w:ascii="Times New Roman;serif" w:hAnsi="Times New Roman;serif"/>
                <w:b w:val="false"/>
                <w:sz w:val="12"/>
              </w:rPr>
              <w:t>par, due</w:t>
            </w:r>
            <w:r>
              <w:rPr>
                <w:rFonts w:ascii="Times New Roman" w:hAnsi="Times New Roman"/>
                <w:sz w:val="20"/>
              </w:rPr>
              <w:t xml:space="preserve"> </w:t>
            </w:r>
            <w:r>
              <w:rPr>
                <w:rFonts w:ascii="Times New Roman;serif" w:hAnsi="Times New Roman;serif"/>
                <w:b w:val="false"/>
                <w:sz w:val="12"/>
              </w:rPr>
              <w:t>3/2026)</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3/31/2021</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+ 6.60%</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11.41%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39,600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39,747</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w:t>
            </w:r>
          </w:p>
        </w:tc>
      </w:tr>
      <w:tr>
        <w:trPr/>
        <w:tc>
          <w:tcPr>
            <w:tcW w:w="2053"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Retail and Consumer Products</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pPr>
            <w:r>
              <w:rPr/>
              <w:t> </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99 Cents Only Stores LLC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ABL FILO term loan ($25,000</w:t>
            </w:r>
            <w:r>
              <w:rPr>
                <w:rFonts w:ascii="Times New Roman" w:hAnsi="Times New Roman"/>
                <w:sz w:val="20"/>
              </w:rPr>
              <w:t> </w:t>
            </w:r>
            <w:r>
              <w:rPr>
                <w:rFonts w:ascii="Times New Roman;serif" w:hAnsi="Times New Roman;serif"/>
                <w:b w:val="false"/>
                <w:sz w:val="12"/>
              </w:rPr>
              <w:t>par, due</w:t>
            </w:r>
            <w:r>
              <w:rPr>
                <w:rFonts w:ascii="Times New Roman" w:hAnsi="Times New Roman"/>
                <w:sz w:val="20"/>
              </w:rPr>
              <w:t xml:space="preserve"> </w:t>
            </w:r>
            <w:r>
              <w:rPr>
                <w:rFonts w:ascii="Times New Roman;serif" w:hAnsi="Times New Roman;serif"/>
                <w:b w:val="false"/>
                <w:sz w:val="12"/>
              </w:rPr>
              <w:t>5/2025)</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9/6/2017</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+ 8.50%</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13.51%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24,803</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25,063</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American Achievement, Corp. </w:t>
            </w:r>
            <w:r>
              <w:rPr>
                <w:rFonts w:ascii="Times New Roman;serif" w:hAnsi="Times New Roman;serif"/>
                <w:b w:val="false"/>
                <w:sz w:val="8"/>
              </w:rPr>
              <w:t>(3)(14)</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($27,171</w:t>
            </w:r>
            <w:r>
              <w:rPr>
                <w:rFonts w:ascii="Times New Roman" w:hAnsi="Times New Roman"/>
                <w:sz w:val="20"/>
              </w:rPr>
              <w:t> </w:t>
            </w:r>
            <w:r>
              <w:rPr>
                <w:rFonts w:ascii="Times New Roman;serif" w:hAnsi="Times New Roman;serif"/>
                <w:b w:val="false"/>
                <w:sz w:val="12"/>
              </w:rPr>
              <w:t>par, due 9/2026)</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9/30/2015</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+ 6.25%</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10.92% (incl. 10.42% PIK)</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26,340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19,631</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r>
      <w:tr>
        <w:trPr/>
        <w:tc>
          <w:tcPr>
            <w:tcW w:w="205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($1,360</w:t>
            </w:r>
            <w:r>
              <w:rPr>
                <w:rFonts w:ascii="Times New Roman" w:hAnsi="Times New Roman"/>
                <w:sz w:val="20"/>
              </w:rPr>
              <w:t> </w:t>
            </w:r>
            <w:r>
              <w:rPr>
                <w:rFonts w:ascii="Times New Roman;serif" w:hAnsi="Times New Roman;serif"/>
                <w:b w:val="false"/>
                <w:sz w:val="12"/>
              </w:rPr>
              <w:t>par, due 9/2026)</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6/10/2021</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+ 14.00%</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18.67% (incl. 18.17% PIK)</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75</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205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Subordinated note ($4,740</w:t>
            </w:r>
            <w:r>
              <w:rPr>
                <w:rFonts w:ascii="Times New Roman" w:hAnsi="Times New Roman"/>
                <w:sz w:val="20"/>
              </w:rPr>
              <w:t> </w:t>
            </w:r>
            <w:r>
              <w:rPr>
                <w:rFonts w:ascii="Times New Roman;serif" w:hAnsi="Times New Roman;serif"/>
                <w:b w:val="false"/>
                <w:sz w:val="12"/>
              </w:rPr>
              <w:t>par, due 9/2026)</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3/16/2021</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+ 1.00%</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5.76% PIK</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545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70</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Bed Bath and Beyond Inc. </w:t>
            </w:r>
            <w:r>
              <w:rPr>
                <w:rFonts w:ascii="Times New Roman;serif" w:hAnsi="Times New Roman;serif"/>
                <w:b w:val="false"/>
                <w:sz w:val="8"/>
              </w:rPr>
              <w:t>(3)(15)</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ABL FILO term loan ($69,667</w:t>
            </w:r>
            <w:r>
              <w:rPr>
                <w:rFonts w:ascii="Times New Roman" w:hAnsi="Times New Roman"/>
                <w:sz w:val="20"/>
              </w:rPr>
              <w:t> </w:t>
            </w:r>
            <w:r>
              <w:rPr>
                <w:rFonts w:ascii="Times New Roman;serif" w:hAnsi="Times New Roman;serif"/>
                <w:b w:val="false"/>
                <w:sz w:val="12"/>
              </w:rPr>
              <w:t>par, due</w:t>
            </w:r>
            <w:r>
              <w:rPr>
                <w:rFonts w:ascii="Times New Roman" w:hAnsi="Times New Roman"/>
                <w:sz w:val="20"/>
              </w:rPr>
              <w:t xml:space="preserve"> </w:t>
            </w:r>
            <w:r>
              <w:rPr>
                <w:rFonts w:ascii="Times New Roman;serif" w:hAnsi="Times New Roman;serif"/>
                <w:b w:val="false"/>
                <w:sz w:val="12"/>
              </w:rPr>
              <w:t>8/2027)</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9/2/2022</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+ 7.90%</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68,024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68,273</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Cordance Operations, LLC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($40,165</w:t>
            </w:r>
            <w:r>
              <w:rPr>
                <w:rFonts w:ascii="Times New Roman" w:hAnsi="Times New Roman"/>
                <w:sz w:val="20"/>
              </w:rPr>
              <w:t> </w:t>
            </w:r>
            <w:r>
              <w:rPr>
                <w:rFonts w:ascii="Times New Roman;serif" w:hAnsi="Times New Roman;serif"/>
                <w:b w:val="false"/>
                <w:sz w:val="12"/>
              </w:rPr>
              <w:t>par, due</w:t>
            </w:r>
            <w:r>
              <w:rPr>
                <w:rFonts w:ascii="Times New Roman" w:hAnsi="Times New Roman"/>
                <w:sz w:val="20"/>
              </w:rPr>
              <w:t xml:space="preserve"> </w:t>
            </w:r>
            <w:r>
              <w:rPr>
                <w:rFonts w:ascii="Times New Roman;serif" w:hAnsi="Times New Roman;serif"/>
                <w:b w:val="false"/>
                <w:sz w:val="12"/>
              </w:rPr>
              <w:t>7/2028)</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7/25/2022</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+ 9.25%</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14.06%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39,273</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39,639</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Neuintel, LLC</w:t>
            </w:r>
            <w:r>
              <w:rPr>
                <w:rFonts w:ascii="Times New Roman" w:hAnsi="Times New Roman"/>
                <w:sz w:val="12"/>
              </w:rPr>
              <w:t>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($52,201</w:t>
            </w:r>
            <w:r>
              <w:rPr>
                <w:rFonts w:ascii="Times New Roman" w:hAnsi="Times New Roman"/>
                <w:sz w:val="20"/>
              </w:rPr>
              <w:t> </w:t>
            </w:r>
            <w:r>
              <w:rPr>
                <w:rFonts w:ascii="Times New Roman;serif" w:hAnsi="Times New Roman;serif"/>
                <w:b w:val="false"/>
                <w:sz w:val="12"/>
              </w:rPr>
              <w:t>par, due 12/2026)</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12/20/2021</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+ 6.25%</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11.08%</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51,265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51,940</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w:t>
            </w:r>
          </w:p>
        </w:tc>
      </w:tr>
      <w:tr>
        <w:trPr/>
        <w:tc>
          <w:tcPr>
            <w:tcW w:w="205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Delayed draw term loan ($5,500</w:t>
            </w:r>
            <w:r>
              <w:rPr>
                <w:rFonts w:ascii="Times New Roman" w:hAnsi="Times New Roman"/>
                <w:sz w:val="20"/>
              </w:rPr>
              <w:t> </w:t>
            </w:r>
            <w:r>
              <w:rPr>
                <w:rFonts w:ascii="Times New Roman;serif" w:hAnsi="Times New Roman;serif"/>
                <w:b w:val="false"/>
                <w:sz w:val="12"/>
              </w:rPr>
              <w:t>par, due</w:t>
            </w:r>
            <w:r>
              <w:rPr>
                <w:rFonts w:ascii="Times New Roman" w:hAnsi="Times New Roman"/>
                <w:sz w:val="20"/>
              </w:rPr>
              <w:t xml:space="preserve"> </w:t>
            </w:r>
            <w:r>
              <w:rPr>
                <w:rFonts w:ascii="Times New Roman;serif" w:hAnsi="Times New Roman;serif"/>
                <w:b w:val="false"/>
                <w:sz w:val="12"/>
              </w:rPr>
              <w:t>12/2026)</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12/20/2021</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+ 7.60%</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12.41%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5,500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5,473</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0.4%</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Project P Intermediate 2, LLC</w:t>
            </w:r>
            <w:r>
              <w:rPr>
                <w:rFonts w:ascii="Times New Roman" w:hAnsi="Times New Roman"/>
                <w:sz w:val="12"/>
              </w:rPr>
              <w:t>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ABL FILO term loan ($73,125</w:t>
            </w:r>
            <w:r>
              <w:rPr>
                <w:rFonts w:ascii="Times New Roman" w:hAnsi="Times New Roman"/>
                <w:sz w:val="20"/>
              </w:rPr>
              <w:t> </w:t>
            </w:r>
            <w:r>
              <w:rPr>
                <w:rFonts w:ascii="Times New Roman;serif" w:hAnsi="Times New Roman;serif"/>
                <w:b w:val="false"/>
                <w:sz w:val="12"/>
              </w:rPr>
              <w:t>par, due 5/2026)</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11/8/2021</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+ 8.00%</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12.83%</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72,047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73,856</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5.4%</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Tango Management Consulting, LLC</w:t>
            </w:r>
            <w:r>
              <w:rPr>
                <w:rFonts w:ascii="Times New Roman" w:hAnsi="Times New Roman"/>
                <w:sz w:val="12"/>
              </w:rPr>
              <w:t>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($46,945</w:t>
            </w:r>
            <w:r>
              <w:rPr>
                <w:rFonts w:ascii="Times New Roman" w:hAnsi="Times New Roman"/>
                <w:sz w:val="20"/>
              </w:rPr>
              <w:t> </w:t>
            </w:r>
            <w:r>
              <w:rPr>
                <w:rFonts w:ascii="Times New Roman;serif" w:hAnsi="Times New Roman;serif"/>
                <w:b w:val="false"/>
                <w:sz w:val="12"/>
              </w:rPr>
              <w:t>par, due 12/2027)</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12/1/2021</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+ 6.75%</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11.52%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46,139</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45,817</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3.4%</w:t>
            </w:r>
          </w:p>
        </w:tc>
      </w:tr>
      <w:tr>
        <w:trPr/>
        <w:tc>
          <w:tcPr>
            <w:tcW w:w="205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revolving loan ($28</w:t>
            </w:r>
            <w:r>
              <w:rPr>
                <w:rFonts w:ascii="Times New Roman" w:hAnsi="Times New Roman"/>
                <w:sz w:val="20"/>
              </w:rPr>
              <w:t> </w:t>
            </w:r>
            <w:r>
              <w:rPr>
                <w:rFonts w:ascii="Times New Roman;serif" w:hAnsi="Times New Roman;serif"/>
                <w:b w:val="false"/>
                <w:sz w:val="12"/>
              </w:rPr>
              <w:t>par, due</w:t>
            </w:r>
            <w:r>
              <w:rPr>
                <w:rFonts w:ascii="Times New Roman" w:hAnsi="Times New Roman"/>
                <w:sz w:val="20"/>
              </w:rPr>
              <w:t xml:space="preserve"> </w:t>
            </w:r>
            <w:r>
              <w:rPr>
                <w:rFonts w:ascii="Times New Roman;serif" w:hAnsi="Times New Roman;serif"/>
                <w:b w:val="false"/>
                <w:sz w:val="12"/>
              </w:rPr>
              <w:t>12/2027)</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12/1/2021</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P + 6.75%</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14.75%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205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335,251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329,781</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24.1%</w:t>
            </w:r>
          </w:p>
        </w:tc>
      </w:tr>
      <w:tr>
        <w:trPr/>
        <w:tc>
          <w:tcPr>
            <w:tcW w:w="2053"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Transportation</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pPr>
            <w:r>
              <w:rPr/>
              <w:t> </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Project44, Inc.</w:t>
            </w:r>
            <w:r>
              <w:rPr>
                <w:rFonts w:ascii="Times New Roman" w:hAnsi="Times New Roman"/>
                <w:sz w:val="12"/>
              </w:rPr>
              <w:t>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($35,139</w:t>
            </w:r>
            <w:r>
              <w:rPr>
                <w:rFonts w:ascii="Times New Roman" w:hAnsi="Times New Roman"/>
                <w:sz w:val="20"/>
              </w:rPr>
              <w:t> </w:t>
            </w:r>
            <w:r>
              <w:rPr>
                <w:rFonts w:ascii="Times New Roman;serif" w:hAnsi="Times New Roman;serif"/>
                <w:b w:val="false"/>
                <w:sz w:val="12"/>
              </w:rPr>
              <w:t>par, due 11/2027)</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11/12/2021</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+ 6.25%</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11.41%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34,098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34,589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w:t>
            </w:r>
          </w:p>
        </w:tc>
      </w:tr>
      <w:tr>
        <w:trPr/>
        <w:tc>
          <w:tcPr>
            <w:tcW w:w="2053"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Debt Investments</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2,702,405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2,707,407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198.6%</w:t>
            </w:r>
          </w:p>
        </w:tc>
      </w:tr>
      <w:tr>
        <w:trPr/>
        <w:tc>
          <w:tcPr>
            <w:tcW w:w="205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pPr>
            <w:r>
              <w:rPr/>
              <w:t> </w:t>
            </w:r>
          </w:p>
        </w:tc>
      </w:tr>
      <w:tr>
        <w:trPr/>
        <w:tc>
          <w:tcPr>
            <w:tcW w:w="2053"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Equity and Other Investments</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pPr>
            <w:r>
              <w:rPr/>
              <w:t> </w:t>
            </w:r>
          </w:p>
        </w:tc>
      </w:tr>
      <w:tr>
        <w:trPr/>
        <w:tc>
          <w:tcPr>
            <w:tcW w:w="2053"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Business Services</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pPr>
            <w:r>
              <w:rPr/>
              <w:t> </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Dye &amp; Durham, Ltd. </w:t>
            </w:r>
            <w:r>
              <w:rPr>
                <w:rFonts w:ascii="Times New Roman;serif" w:hAnsi="Times New Roman;serif"/>
                <w:b w:val="false"/>
                <w:sz w:val="8"/>
              </w:rPr>
              <w:t>(4)(10)</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Common Shares (126,968</w:t>
            </w:r>
            <w:r>
              <w:rPr>
                <w:rFonts w:ascii="Times New Roman" w:hAnsi="Times New Roman"/>
                <w:sz w:val="20"/>
              </w:rPr>
              <w:t> </w:t>
            </w:r>
            <w:r>
              <w:rPr>
                <w:rFonts w:ascii="Times New Roman;serif" w:hAnsi="Times New Roman;serif"/>
                <w:b w:val="false"/>
                <w:sz w:val="12"/>
              </w:rPr>
              <w:t>shares)</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12/3/2021</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3,909</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1,687</w:t>
              <w:br/>
              <w:t>(CAD 2,283)</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Mitnick TA Aggregator, LP</w:t>
            </w:r>
            <w:r>
              <w:rPr>
                <w:rFonts w:ascii="Times New Roman" w:hAnsi="Times New Roman"/>
                <w:sz w:val="12"/>
              </w:rPr>
              <w:t> </w:t>
            </w:r>
            <w:r>
              <w:rPr>
                <w:rFonts w:ascii="Times New Roman;serif" w:hAnsi="Times New Roman;serif"/>
                <w:b w:val="false"/>
                <w:sz w:val="8"/>
              </w:rPr>
              <w:t>(11)(12)(13)</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Membership Interest (0.43% ownership)</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5/2/2022</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5,243</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5,245</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0.4%</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ReliaQuest, LLC </w:t>
            </w:r>
            <w:r>
              <w:rPr>
                <w:rFonts w:ascii="Times New Roman;serif" w:hAnsi="Times New Roman;serif"/>
                <w:b w:val="false"/>
                <w:sz w:val="8"/>
              </w:rPr>
              <w:t>(11)(13)</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Class A-1 Units (567,683</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11/23/2021</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1,512</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205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Class A-2 Units (2,580</w:t>
            </w:r>
            <w:r>
              <w:rPr>
                <w:rFonts w:ascii="Times New Roman" w:hAnsi="Times New Roman"/>
                <w:sz w:val="12"/>
              </w:rPr>
              <w:t> </w:t>
            </w:r>
            <w:r>
              <w:rPr>
                <w:rFonts w:ascii="Times New Roman;serif" w:hAnsi="Times New Roman;serif"/>
                <w:b w:val="false"/>
                <w:sz w:val="12"/>
              </w:rPr>
              <w:t>units)</w:t>
            </w:r>
            <w:r>
              <w:rPr>
                <w:rFonts w:ascii="Times New Roman;serif" w:hAnsi="Times New Roman;serif"/>
                <w:b w:val="false"/>
                <w:sz w:val="8"/>
              </w:rPr>
              <w:t>(12)</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6/21/2022</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Sprinklr, Inc. </w:t>
            </w:r>
            <w:r>
              <w:rPr>
                <w:rFonts w:ascii="Times New Roman;serif" w:hAnsi="Times New Roman;serif"/>
                <w:b w:val="false"/>
                <w:sz w:val="8"/>
              </w:rPr>
              <w:t>(10)(11)</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Common Shares (484,700</w:t>
            </w:r>
            <w:r>
              <w:rPr>
                <w:rFonts w:ascii="Times New Roman" w:hAnsi="Times New Roman"/>
                <w:sz w:val="20"/>
              </w:rPr>
              <w:t> </w:t>
            </w:r>
            <w:r>
              <w:rPr>
                <w:rFonts w:ascii="Times New Roman;serif" w:hAnsi="Times New Roman;serif"/>
                <w:b w:val="false"/>
                <w:sz w:val="12"/>
              </w:rPr>
              <w:t>shares)</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6/24/2021</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4,180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6,282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0.5%</w:t>
            </w:r>
          </w:p>
        </w:tc>
      </w:tr>
      <w:tr>
        <w:trPr/>
        <w:tc>
          <w:tcPr>
            <w:tcW w:w="205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14,458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14,735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w:t>
            </w:r>
          </w:p>
        </w:tc>
      </w:tr>
      <w:tr>
        <w:trPr/>
        <w:tc>
          <w:tcPr>
            <w:tcW w:w="2053"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Communications</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pPr>
            <w:r>
              <w:rPr/>
              <w:t> </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Celtra Technologies, Inc. </w:t>
            </w:r>
            <w:r>
              <w:rPr>
                <w:rFonts w:ascii="Times New Roman;serif" w:hAnsi="Times New Roman;serif"/>
                <w:b w:val="false"/>
                <w:sz w:val="8"/>
              </w:rPr>
              <w:t>(11)</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Class A Units (1,250,000</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11/19/2021</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1,250</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IntelePeer Holdings, Inc. </w:t>
            </w:r>
            <w:r>
              <w:rPr>
                <w:rFonts w:ascii="Times New Roman;serif" w:hAnsi="Times New Roman;serif"/>
                <w:b w:val="false"/>
                <w:sz w:val="8"/>
              </w:rPr>
              <w:t>(11)</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Series C Preferred Shares (1,816,295</w:t>
            </w:r>
            <w:r>
              <w:rPr>
                <w:rFonts w:ascii="Times New Roman" w:hAnsi="Times New Roman"/>
                <w:sz w:val="20"/>
              </w:rPr>
              <w:t> </w:t>
            </w:r>
            <w:r>
              <w:rPr>
                <w:rFonts w:ascii="Times New Roman;serif" w:hAnsi="Times New Roman;serif"/>
                <w:b w:val="false"/>
                <w:sz w:val="12"/>
              </w:rPr>
              <w:t>shares)</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4/8/2021</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1,816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1,666</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205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Series D Preferred Shares (1,598,874</w:t>
            </w:r>
            <w:r>
              <w:rPr>
                <w:rFonts w:ascii="Times New Roman" w:hAnsi="Times New Roman"/>
                <w:sz w:val="20"/>
              </w:rPr>
              <w:t> </w:t>
            </w:r>
            <w:r>
              <w:rPr>
                <w:rFonts w:ascii="Times New Roman;serif" w:hAnsi="Times New Roman;serif"/>
                <w:b w:val="false"/>
                <w:sz w:val="12"/>
              </w:rPr>
              <w:t>shares)</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4/8/2021</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1,792</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205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280,000</w:t>
            </w:r>
            <w:r>
              <w:rPr>
                <w:rFonts w:ascii="Times New Roman" w:hAnsi="Times New Roman"/>
                <w:sz w:val="20"/>
              </w:rPr>
              <w:t> </w:t>
            </w:r>
            <w:r>
              <w:rPr>
                <w:rFonts w:ascii="Times New Roman;serif" w:hAnsi="Times New Roman;serif"/>
                <w:b w:val="false"/>
                <w:sz w:val="12"/>
              </w:rPr>
              <w:t>Warrants</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2/28/2020</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183</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205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106,592</w:t>
            </w:r>
            <w:r>
              <w:rPr>
                <w:rFonts w:ascii="Times New Roman" w:hAnsi="Times New Roman"/>
                <w:sz w:val="20"/>
              </w:rPr>
              <w:t> </w:t>
            </w:r>
            <w:r>
              <w:rPr>
                <w:rFonts w:ascii="Times New Roman;serif" w:hAnsi="Times New Roman;serif"/>
                <w:b w:val="false"/>
                <w:sz w:val="12"/>
              </w:rPr>
              <w:t>Warrants</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4/8/2021</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205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6,174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4,708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0.3%</w:t>
            </w:r>
          </w:p>
        </w:tc>
      </w:tr>
      <w:tr>
        <w:trPr/>
        <w:tc>
          <w:tcPr>
            <w:tcW w:w="2053"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Education</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pPr>
            <w:r>
              <w:rPr/>
              <w:t> </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Astra 2L Holdings II LLC</w:t>
            </w:r>
            <w:r>
              <w:rPr>
                <w:rFonts w:ascii="Times New Roman" w:hAnsi="Times New Roman"/>
                <w:sz w:val="12"/>
              </w:rPr>
              <w:t> </w:t>
            </w:r>
            <w:r>
              <w:rPr>
                <w:rFonts w:ascii="Times New Roman;serif" w:hAnsi="Times New Roman;serif"/>
                <w:b w:val="false"/>
                <w:sz w:val="8"/>
              </w:rPr>
              <w:t>(11)</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Membership Interest (10.17% ownership)</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1/13/2022</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3,255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2,417</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0.2%</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EMS Linq, Inc. </w:t>
            </w:r>
            <w:r>
              <w:rPr>
                <w:rFonts w:ascii="Times New Roman;serif" w:hAnsi="Times New Roman;serif"/>
                <w:b w:val="false"/>
                <w:sz w:val="8"/>
              </w:rPr>
              <w:t>(11)</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Class B Units (5,522,526</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12/22/2021</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5,523</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4,763</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0.4%</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RMCF IV CIV XXXV,</w:t>
              <w:br/>
              <w:t xml:space="preserve">   LP. </w:t>
            </w:r>
            <w:r>
              <w:rPr>
                <w:rFonts w:ascii="Times New Roman;serif" w:hAnsi="Times New Roman;serif"/>
                <w:b w:val="false"/>
                <w:sz w:val="8"/>
              </w:rPr>
              <w:t>(11)</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Partnership Interest (11.94% ownership)</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6/8/2021</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1,293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205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9,778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8,473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0.7%</w:t>
            </w:r>
          </w:p>
        </w:tc>
      </w:tr>
      <w:tr>
        <w:trPr/>
        <w:tc>
          <w:tcPr>
            <w:tcW w:w="2053"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Financial Services</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pPr>
            <w:r>
              <w:rPr/>
              <w:t> </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AvidXchange, Inc. </w:t>
            </w:r>
            <w:r>
              <w:rPr>
                <w:rFonts w:ascii="Times New Roman;serif" w:hAnsi="Times New Roman;serif"/>
                <w:b w:val="false"/>
                <w:sz w:val="8"/>
              </w:rPr>
              <w:t>(10)(11)</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Common Shares (200,721</w:t>
            </w:r>
            <w:r>
              <w:rPr>
                <w:rFonts w:ascii="Times New Roman" w:hAnsi="Times New Roman"/>
                <w:sz w:val="20"/>
              </w:rPr>
              <w:t> </w:t>
            </w:r>
            <w:r>
              <w:rPr>
                <w:rFonts w:ascii="Times New Roman;serif" w:hAnsi="Times New Roman;serif"/>
                <w:b w:val="false"/>
                <w:sz w:val="12"/>
              </w:rPr>
              <w:t>shares)</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10/15/2021</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1,022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1,566</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Newport Parent Holdings, LP </w:t>
            </w:r>
            <w:r>
              <w:rPr>
                <w:rFonts w:ascii="Times New Roman;serif" w:hAnsi="Times New Roman;serif"/>
                <w:b w:val="false"/>
                <w:sz w:val="8"/>
              </w:rPr>
              <w:t>(11)</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Class A-2 Units (131,569</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12/10/2020</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4,177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4,887</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0.4%</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Oxford Square Capital Corp. </w:t>
            </w:r>
            <w:r>
              <w:rPr>
                <w:rFonts w:ascii="Times New Roman;serif" w:hAnsi="Times New Roman;serif"/>
                <w:b w:val="false"/>
                <w:sz w:val="8"/>
              </w:rPr>
              <w:t>(4)(10)</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Common Shares (1,620</w:t>
            </w:r>
            <w:r>
              <w:rPr>
                <w:rFonts w:ascii="Times New Roman" w:hAnsi="Times New Roman"/>
                <w:sz w:val="20"/>
              </w:rPr>
              <w:t> </w:t>
            </w:r>
            <w:r>
              <w:rPr>
                <w:rFonts w:ascii="Times New Roman;serif" w:hAnsi="Times New Roman;serif"/>
                <w:b w:val="false"/>
                <w:sz w:val="12"/>
              </w:rPr>
              <w:t>shares)</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8/5/2015</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205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Passport Labs, Inc. </w:t>
            </w:r>
            <w:r>
              <w:rPr>
                <w:rFonts w:ascii="Times New Roman;serif" w:hAnsi="Times New Roman;serif"/>
                <w:b w:val="false"/>
                <w:sz w:val="8"/>
              </w:rPr>
              <w:t>(11)</w:t>
            </w:r>
          </w:p>
        </w:tc>
        <w:tc>
          <w:tcPr>
            <w:tcW w:w="146" w:type="dxa"/>
            <w:tcBorders/>
            <w:shd w:fill="auto" w:val="clear"/>
            <w:vAlign w:val="center"/>
          </w:tcPr>
          <w:p>
            <w:pPr>
              <w:pStyle w:val="TableContents"/>
              <w:spacing w:before="0" w:after="0"/>
              <w:ind w:left="0" w:right="0" w:hanging="0"/>
              <w:jc w:val="right"/>
              <w:rPr/>
            </w:pPr>
            <w:r>
              <w:rPr/>
              <w:t> </w:t>
            </w:r>
          </w:p>
        </w:tc>
        <w:tc>
          <w:tcPr>
            <w:tcW w:w="233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17,534</w:t>
            </w:r>
            <w:r>
              <w:rPr>
                <w:rFonts w:ascii="Times New Roman" w:hAnsi="Times New Roman"/>
                <w:sz w:val="20"/>
              </w:rPr>
              <w:t> </w:t>
            </w:r>
            <w:r>
              <w:rPr>
                <w:rFonts w:ascii="Times New Roman;serif" w:hAnsi="Times New Roman;serif"/>
                <w:b w:val="false"/>
                <w:sz w:val="12"/>
              </w:rPr>
              <w:t>Warrants</w:t>
            </w:r>
          </w:p>
        </w:tc>
        <w:tc>
          <w:tcPr>
            <w:tcW w:w="146" w:type="dxa"/>
            <w:tcBorders/>
            <w:shd w:fill="auto" w:val="clear"/>
            <w:vAlign w:val="center"/>
          </w:tcPr>
          <w:p>
            <w:pPr>
              <w:pStyle w:val="TableContents"/>
              <w:spacing w:before="0" w:after="0"/>
              <w:ind w:left="0" w:right="0" w:hanging="0"/>
              <w:jc w:val="right"/>
              <w:rPr/>
            </w:pPr>
            <w:r>
              <w:rPr/>
              <w:t> </w:t>
            </w:r>
          </w:p>
        </w:tc>
        <w:tc>
          <w:tcPr>
            <w:tcW w:w="59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4/28/2021</w:t>
            </w:r>
          </w:p>
        </w:tc>
        <w:tc>
          <w:tcPr>
            <w:tcW w:w="146" w:type="dxa"/>
            <w:tcBorders/>
            <w:shd w:fill="auto" w:val="clear"/>
            <w:vAlign w:val="center"/>
          </w:tcPr>
          <w:p>
            <w:pPr>
              <w:pStyle w:val="TableContents"/>
              <w:spacing w:before="0" w:after="0"/>
              <w:ind w:left="0" w:right="0" w:hanging="0"/>
              <w:jc w:val="right"/>
              <w:rPr/>
            </w:pPr>
            <w:r>
              <w:rPr/>
              <w:t> </w:t>
            </w:r>
          </w:p>
        </w:tc>
        <w:tc>
          <w:tcPr>
            <w:tcW w:w="77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w:t>
            </w:r>
          </w:p>
        </w:tc>
        <w:tc>
          <w:tcPr>
            <w:tcW w:w="146" w:type="dxa"/>
            <w:tcBorders/>
            <w:shd w:fill="auto" w:val="clear"/>
            <w:vAlign w:val="center"/>
          </w:tcPr>
          <w:p>
            <w:pPr>
              <w:pStyle w:val="TableContents"/>
              <w:spacing w:before="0" w:after="0"/>
              <w:ind w:left="0" w:right="0" w:hanging="0"/>
              <w:jc w:val="right"/>
              <w:rPr/>
            </w:pPr>
            <w:r>
              <w:rPr/>
              <w:t> </w:t>
            </w:r>
          </w:p>
        </w:tc>
        <w:tc>
          <w:tcPr>
            <w:tcW w:w="5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bl>
    <w:p>
      <w:pPr>
        <w:pStyle w:val="TextBody"/>
        <w:spacing w:before="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3345"/>
        <w:gridCol w:w="146"/>
        <w:gridCol w:w="2293"/>
        <w:gridCol w:w="146"/>
        <w:gridCol w:w="613"/>
        <w:gridCol w:w="146"/>
        <w:gridCol w:w="608"/>
        <w:gridCol w:w="146"/>
        <w:gridCol w:w="469"/>
        <w:gridCol w:w="146"/>
        <w:gridCol w:w="146"/>
        <w:gridCol w:w="436"/>
        <w:gridCol w:w="146"/>
        <w:gridCol w:w="146"/>
        <w:gridCol w:w="730"/>
        <w:gridCol w:w="146"/>
        <w:gridCol w:w="397"/>
      </w:tblGrid>
      <w:tr>
        <w:trPr/>
        <w:tc>
          <w:tcPr>
            <w:tcW w:w="33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TradingScreen, Inc. </w:t>
            </w:r>
            <w:r>
              <w:rPr>
                <w:rFonts w:ascii="Times New Roman;serif" w:hAnsi="Times New Roman;serif"/>
                <w:b w:val="false"/>
                <w:sz w:val="8"/>
              </w:rPr>
              <w:t>(11)(13)</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Class A Units (600,000</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5/14/2021</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33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5,997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0.5%</w:t>
            </w:r>
          </w:p>
        </w:tc>
      </w:tr>
      <w:tr>
        <w:trPr/>
        <w:tc>
          <w:tcPr>
            <w:tcW w:w="3345"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Healthcare</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pPr>
            <w:r>
              <w:rPr/>
              <w:t> </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Caris Life Sciences, Inc. </w:t>
            </w:r>
            <w:r>
              <w:rPr>
                <w:rFonts w:ascii="Times New Roman;serif" w:hAnsi="Times New Roman;serif"/>
                <w:b w:val="false"/>
                <w:sz w:val="8"/>
              </w:rPr>
              <w:t>(11)</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Series C Preferred Shares (362,319</w:t>
            </w:r>
            <w:r>
              <w:rPr>
                <w:rFonts w:ascii="Times New Roman" w:hAnsi="Times New Roman"/>
                <w:sz w:val="20"/>
              </w:rPr>
              <w:t> </w:t>
            </w:r>
            <w:r>
              <w:rPr>
                <w:rFonts w:ascii="Times New Roman;serif" w:hAnsi="Times New Roman;serif"/>
                <w:b w:val="false"/>
                <w:sz w:val="12"/>
              </w:rPr>
              <w:t>shares)</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10/13/2020</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1,272</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Series D Preferred Shares (1,240,740</w:t>
            </w:r>
            <w:r>
              <w:rPr>
                <w:rFonts w:ascii="Times New Roman" w:hAnsi="Times New Roman"/>
                <w:sz w:val="20"/>
              </w:rPr>
              <w:t> </w:t>
            </w:r>
            <w:r>
              <w:rPr>
                <w:rFonts w:ascii="Times New Roman;serif" w:hAnsi="Times New Roman;serif"/>
                <w:b w:val="false"/>
                <w:sz w:val="12"/>
              </w:rPr>
              <w:t>shares)</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5/11/2021</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9,070</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0.7%</w:t>
            </w:r>
          </w:p>
        </w:tc>
      </w:tr>
      <w:tr>
        <w:trPr/>
        <w:tc>
          <w:tcPr>
            <w:tcW w:w="33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633,376</w:t>
            </w:r>
            <w:r>
              <w:rPr>
                <w:rFonts w:ascii="Times New Roman" w:hAnsi="Times New Roman"/>
                <w:sz w:val="20"/>
              </w:rPr>
              <w:t> </w:t>
            </w:r>
            <w:r>
              <w:rPr>
                <w:rFonts w:ascii="Times New Roman;serif" w:hAnsi="Times New Roman;serif"/>
                <w:b w:val="false"/>
                <w:sz w:val="12"/>
              </w:rPr>
              <w:t>Warrants</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9/21/2018</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1,205</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569,991</w:t>
            </w:r>
            <w:r>
              <w:rPr>
                <w:rFonts w:ascii="Times New Roman" w:hAnsi="Times New Roman"/>
                <w:sz w:val="20"/>
              </w:rPr>
              <w:t> </w:t>
            </w:r>
            <w:r>
              <w:rPr>
                <w:rFonts w:ascii="Times New Roman;serif" w:hAnsi="Times New Roman;serif"/>
                <w:b w:val="false"/>
                <w:sz w:val="12"/>
              </w:rPr>
              <w:t>Warrants</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4/2/2020</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901</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Merative L.P. </w:t>
            </w:r>
            <w:r>
              <w:rPr>
                <w:rFonts w:ascii="Times New Roman;serif" w:hAnsi="Times New Roman;serif"/>
                <w:b w:val="false"/>
                <w:sz w:val="8"/>
              </w:rPr>
              <w:t>(11)(12)(13)</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989,691</w:t>
            </w:r>
            <w:r>
              <w:rPr>
                <w:rFonts w:ascii="Times New Roman" w:hAnsi="Times New Roman"/>
                <w:sz w:val="20"/>
              </w:rPr>
              <w:t> </w:t>
            </w:r>
            <w:r>
              <w:rPr>
                <w:rFonts w:ascii="Times New Roman;serif" w:hAnsi="Times New Roman;serif"/>
                <w:b w:val="false"/>
                <w:sz w:val="12"/>
              </w:rPr>
              <w:t>Class A-1 Units</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6/30/2022</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9,897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9,897</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0.7%</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Raptor US Buyer II Corp. </w:t>
            </w:r>
            <w:r>
              <w:rPr>
                <w:rFonts w:ascii="Times New Roman;serif" w:hAnsi="Times New Roman;serif"/>
                <w:b w:val="false"/>
                <w:sz w:val="8"/>
              </w:rPr>
              <w:t>(11)(12)</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1,364</w:t>
            </w:r>
            <w:r>
              <w:rPr>
                <w:rFonts w:ascii="Times New Roman" w:hAnsi="Times New Roman"/>
                <w:sz w:val="20"/>
              </w:rPr>
              <w:t> </w:t>
            </w:r>
            <w:r>
              <w:rPr>
                <w:rFonts w:ascii="Times New Roman;serif" w:hAnsi="Times New Roman;serif"/>
                <w:b w:val="false"/>
                <w:sz w:val="12"/>
              </w:rPr>
              <w:t>Ordinary Shares</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3/24/2023</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33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1,364</w:t>
            </w:r>
            <w:r>
              <w:rPr>
                <w:rFonts w:ascii="Times New Roman" w:hAnsi="Times New Roman"/>
                <w:sz w:val="20"/>
              </w:rPr>
              <w:t> </w:t>
            </w:r>
            <w:r>
              <w:rPr>
                <w:rFonts w:ascii="Times New Roman;serif" w:hAnsi="Times New Roman;serif"/>
                <w:b w:val="false"/>
                <w:sz w:val="12"/>
              </w:rPr>
              <w:t>Class A</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3/24/2023</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33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1,364</w:t>
            </w:r>
            <w:r>
              <w:rPr>
                <w:rFonts w:ascii="Times New Roman" w:hAnsi="Times New Roman"/>
                <w:sz w:val="20"/>
              </w:rPr>
              <w:t> </w:t>
            </w:r>
            <w:r>
              <w:rPr>
                <w:rFonts w:ascii="Times New Roman;serif" w:hAnsi="Times New Roman;serif"/>
                <w:b w:val="false"/>
                <w:sz w:val="12"/>
              </w:rPr>
              <w:t>Class B</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3/24/2023</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33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1,364</w:t>
            </w:r>
            <w:r>
              <w:rPr>
                <w:rFonts w:ascii="Times New Roman" w:hAnsi="Times New Roman"/>
                <w:sz w:val="20"/>
              </w:rPr>
              <w:t> </w:t>
            </w:r>
            <w:r>
              <w:rPr>
                <w:rFonts w:ascii="Times New Roman;serif" w:hAnsi="Times New Roman;serif"/>
                <w:b w:val="false"/>
                <w:sz w:val="12"/>
              </w:rPr>
              <w:t>Class C</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3/24/2023</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33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1,364</w:t>
            </w:r>
            <w:r>
              <w:rPr>
                <w:rFonts w:ascii="Times New Roman" w:hAnsi="Times New Roman"/>
                <w:sz w:val="20"/>
              </w:rPr>
              <w:t> </w:t>
            </w:r>
            <w:r>
              <w:rPr>
                <w:rFonts w:ascii="Times New Roman;serif" w:hAnsi="Times New Roman;serif"/>
                <w:b w:val="false"/>
                <w:sz w:val="12"/>
              </w:rPr>
              <w:t>Class D</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3/24/2023</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33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1,364</w:t>
            </w:r>
            <w:r>
              <w:rPr>
                <w:rFonts w:ascii="Times New Roman" w:hAnsi="Times New Roman"/>
                <w:sz w:val="20"/>
              </w:rPr>
              <w:t> </w:t>
            </w:r>
            <w:r>
              <w:rPr>
                <w:rFonts w:ascii="Times New Roman;serif" w:hAnsi="Times New Roman;serif"/>
                <w:b w:val="false"/>
                <w:sz w:val="12"/>
              </w:rPr>
              <w:t>Class E</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3/24/2023</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33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1,364</w:t>
            </w:r>
            <w:r>
              <w:rPr>
                <w:rFonts w:ascii="Times New Roman" w:hAnsi="Times New Roman"/>
                <w:sz w:val="20"/>
              </w:rPr>
              <w:t> </w:t>
            </w:r>
            <w:r>
              <w:rPr>
                <w:rFonts w:ascii="Times New Roman;serif" w:hAnsi="Times New Roman;serif"/>
                <w:b w:val="false"/>
                <w:sz w:val="12"/>
              </w:rPr>
              <w:t>Class F</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3/24/2023</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33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1,364</w:t>
            </w:r>
            <w:r>
              <w:rPr>
                <w:rFonts w:ascii="Times New Roman" w:hAnsi="Times New Roman"/>
                <w:sz w:val="20"/>
              </w:rPr>
              <w:t> </w:t>
            </w:r>
            <w:r>
              <w:rPr>
                <w:rFonts w:ascii="Times New Roman;serif" w:hAnsi="Times New Roman;serif"/>
                <w:b w:val="false"/>
                <w:sz w:val="12"/>
              </w:rPr>
              <w:t>Class G</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3/24/2023</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33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1,364</w:t>
            </w:r>
            <w:r>
              <w:rPr>
                <w:rFonts w:ascii="Times New Roman" w:hAnsi="Times New Roman"/>
                <w:sz w:val="20"/>
              </w:rPr>
              <w:t> </w:t>
            </w:r>
            <w:r>
              <w:rPr>
                <w:rFonts w:ascii="Times New Roman;serif" w:hAnsi="Times New Roman;serif"/>
                <w:b w:val="false"/>
                <w:sz w:val="12"/>
              </w:rPr>
              <w:t>Class H</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3/24/2023</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33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1,364</w:t>
            </w:r>
            <w:r>
              <w:rPr>
                <w:rFonts w:ascii="Times New Roman" w:hAnsi="Times New Roman"/>
                <w:sz w:val="20"/>
              </w:rPr>
              <w:t> </w:t>
            </w:r>
            <w:r>
              <w:rPr>
                <w:rFonts w:ascii="Times New Roman;serif" w:hAnsi="Times New Roman;serif"/>
                <w:b w:val="false"/>
                <w:sz w:val="12"/>
              </w:rPr>
              <w:t>Class I</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3/24/2023</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33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22,749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23,705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w:t>
            </w:r>
          </w:p>
        </w:tc>
      </w:tr>
      <w:tr>
        <w:trPr/>
        <w:tc>
          <w:tcPr>
            <w:tcW w:w="3345"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Hotel, Gaming and Leisure</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pPr>
            <w:r>
              <w:rPr/>
              <w:t> </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IRGSE Holding Corp. </w:t>
            </w:r>
            <w:r>
              <w:rPr>
                <w:rFonts w:ascii="Times New Roman;serif" w:hAnsi="Times New Roman;serif"/>
                <w:b w:val="false"/>
                <w:sz w:val="8"/>
              </w:rPr>
              <w:t>(7)(11)</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Class A Units (33,790,171</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12/21/2018</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21,842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17,993</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w:t>
            </w:r>
          </w:p>
        </w:tc>
      </w:tr>
      <w:tr>
        <w:trPr/>
        <w:tc>
          <w:tcPr>
            <w:tcW w:w="33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Class C-1 Units (8,800,000</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12/21/2018</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33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21,942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18,036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w:t>
            </w:r>
          </w:p>
        </w:tc>
      </w:tr>
      <w:tr>
        <w:trPr/>
        <w:tc>
          <w:tcPr>
            <w:tcW w:w="3345"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Human Resource Support Services</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pPr>
            <w:r>
              <w:rPr/>
              <w:t> </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Axonify, Inc. </w:t>
            </w:r>
            <w:r>
              <w:rPr>
                <w:rFonts w:ascii="Times New Roman;serif" w:hAnsi="Times New Roman;serif"/>
                <w:b w:val="false"/>
                <w:sz w:val="8"/>
              </w:rPr>
              <w:t>(4)(11)(13)</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Class A-1 Units (3,780,000</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5/5/2021</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3,780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4,035</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0.3%</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bswift, LLC</w:t>
            </w:r>
            <w:r>
              <w:rPr>
                <w:rFonts w:ascii="Times New Roman" w:hAnsi="Times New Roman"/>
                <w:sz w:val="12"/>
              </w:rPr>
              <w:t> </w:t>
            </w:r>
            <w:r>
              <w:rPr>
                <w:rFonts w:ascii="Times New Roman;serif" w:hAnsi="Times New Roman;serif"/>
                <w:b w:val="false"/>
                <w:sz w:val="8"/>
              </w:rPr>
              <w:t>(11)(12)</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Class A-1 Units (2,393,509</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11/7/2022</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2,394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2,394</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0.2%</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ClearCompany, LLC </w:t>
            </w:r>
            <w:r>
              <w:rPr>
                <w:rFonts w:ascii="Times New Roman;serif" w:hAnsi="Times New Roman;serif"/>
                <w:b w:val="false"/>
                <w:sz w:val="8"/>
              </w:rPr>
              <w:t>(11)(13)</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Series A Preferred Units (1,429,228</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8/24/2018</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2,014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4,839</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0.4%</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DaySmart Holdings, LLC </w:t>
            </w:r>
            <w:r>
              <w:rPr>
                <w:rFonts w:ascii="Times New Roman;serif" w:hAnsi="Times New Roman;serif"/>
                <w:b w:val="false"/>
                <w:sz w:val="8"/>
              </w:rPr>
              <w:t>(11)(13)</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Class A Units (166,811</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10/1/2019</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1,347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1,882</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Employment Hero Holdings Pty Ltd. </w:t>
            </w:r>
            <w:r>
              <w:rPr>
                <w:rFonts w:ascii="Times New Roman;serif" w:hAnsi="Times New Roman;serif"/>
                <w:b w:val="false"/>
                <w:sz w:val="8"/>
              </w:rPr>
              <w:t>(4)(11)</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Series E Preferred Shares (113,250</w:t>
            </w:r>
            <w:r>
              <w:rPr>
                <w:rFonts w:ascii="Times New Roman" w:hAnsi="Times New Roman"/>
                <w:sz w:val="20"/>
              </w:rPr>
              <w:t> </w:t>
            </w:r>
            <w:r>
              <w:rPr>
                <w:rFonts w:ascii="Times New Roman;serif" w:hAnsi="Times New Roman;serif"/>
                <w:b w:val="false"/>
                <w:sz w:val="12"/>
              </w:rPr>
              <w:t>shares)</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3/1/2022</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2,134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2,009</w:t>
              <w:br/>
              <w:t>(AUD 3,000)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11,669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15,159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w:t>
            </w:r>
          </w:p>
        </w:tc>
      </w:tr>
      <w:tr>
        <w:trPr/>
        <w:tc>
          <w:tcPr>
            <w:tcW w:w="3345"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Internet Services</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pPr>
            <w:r>
              <w:rPr/>
              <w:t> </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Bayshore Intermediate #2, L.P. </w:t>
            </w:r>
            <w:r>
              <w:rPr>
                <w:rFonts w:ascii="Times New Roman;serif" w:hAnsi="Times New Roman;serif"/>
                <w:b w:val="false"/>
                <w:sz w:val="8"/>
              </w:rPr>
              <w:t>(11)(13)</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Common Units (12,330,709</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10/1/2021</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12,331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11,375</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0.8%</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Lucidworks, Inc. </w:t>
            </w:r>
            <w:r>
              <w:rPr>
                <w:rFonts w:ascii="Times New Roman;serif" w:hAnsi="Times New Roman;serif"/>
                <w:b w:val="false"/>
                <w:sz w:val="8"/>
              </w:rPr>
              <w:t>(11)</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Series F Preferred Shares (199,054</w:t>
            </w:r>
            <w:r>
              <w:rPr>
                <w:rFonts w:ascii="Times New Roman" w:hAnsi="Times New Roman"/>
                <w:sz w:val="20"/>
              </w:rPr>
              <w:t> </w:t>
            </w:r>
            <w:r>
              <w:rPr>
                <w:rFonts w:ascii="Times New Roman;serif" w:hAnsi="Times New Roman;serif"/>
                <w:b w:val="false"/>
                <w:sz w:val="12"/>
              </w:rPr>
              <w:t>shares)</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8/2/2019</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800</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Piano Software, Inc. </w:t>
            </w:r>
            <w:r>
              <w:rPr>
                <w:rFonts w:ascii="Times New Roman;serif" w:hAnsi="Times New Roman;serif"/>
                <w:b w:val="false"/>
                <w:sz w:val="8"/>
              </w:rPr>
              <w:t>(11)</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Series C-1 Preferred Shares (418,527</w:t>
            </w:r>
            <w:r>
              <w:rPr>
                <w:rFonts w:ascii="Times New Roman" w:hAnsi="Times New Roman"/>
                <w:sz w:val="20"/>
              </w:rPr>
              <w:t> </w:t>
            </w:r>
            <w:r>
              <w:rPr>
                <w:rFonts w:ascii="Times New Roman;serif" w:hAnsi="Times New Roman;serif"/>
                <w:b w:val="false"/>
                <w:sz w:val="12"/>
              </w:rPr>
              <w:t>shares)</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12/22/2021</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3,000</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0.2%</w:t>
            </w:r>
          </w:p>
        </w:tc>
      </w:tr>
      <w:tr>
        <w:trPr/>
        <w:tc>
          <w:tcPr>
            <w:tcW w:w="33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Series C-2 Preferred Shares (27,588</w:t>
            </w:r>
            <w:r>
              <w:rPr>
                <w:rFonts w:ascii="Times New Roman" w:hAnsi="Times New Roman"/>
                <w:sz w:val="12"/>
              </w:rPr>
              <w:t> </w:t>
            </w:r>
            <w:r>
              <w:rPr>
                <w:rFonts w:ascii="Times New Roman;serif" w:hAnsi="Times New Roman;serif"/>
                <w:b w:val="false"/>
                <w:sz w:val="12"/>
              </w:rPr>
              <w:t>shares)</w:t>
            </w:r>
            <w:r>
              <w:rPr>
                <w:rFonts w:ascii="Times New Roman;serif" w:hAnsi="Times New Roman;serif"/>
                <w:b w:val="false"/>
                <w:sz w:val="8"/>
              </w:rPr>
              <w:t>(12)</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11/18/2022</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198</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198</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SMA Technologies Holdings, LLC</w:t>
            </w:r>
            <w:r>
              <w:rPr>
                <w:rFonts w:ascii="Times New Roman" w:hAnsi="Times New Roman"/>
                <w:sz w:val="12"/>
              </w:rPr>
              <w:t> </w:t>
            </w:r>
            <w:r>
              <w:rPr>
                <w:rFonts w:ascii="Times New Roman;serif" w:hAnsi="Times New Roman;serif"/>
                <w:b w:val="false"/>
                <w:sz w:val="8"/>
              </w:rPr>
              <w:t>(11)(12)</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Class A Units (1,300</w:t>
            </w:r>
            <w:r>
              <w:rPr>
                <w:rFonts w:ascii="Times New Roman" w:hAnsi="Times New Roman"/>
                <w:sz w:val="20"/>
              </w:rPr>
              <w:t> </w:t>
            </w:r>
            <w:r>
              <w:rPr>
                <w:rFonts w:ascii="Times New Roman;serif" w:hAnsi="Times New Roman;serif"/>
                <w:b w:val="false"/>
                <w:sz w:val="12"/>
              </w:rPr>
              <w:t>shares)</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11/21/2022</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1,300</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Class B Units (923,250</w:t>
            </w:r>
            <w:r>
              <w:rPr>
                <w:rFonts w:ascii="Times New Roman" w:hAnsi="Times New Roman"/>
                <w:sz w:val="20"/>
              </w:rPr>
              <w:t> </w:t>
            </w:r>
            <w:r>
              <w:rPr>
                <w:rFonts w:ascii="Times New Roman;serif" w:hAnsi="Times New Roman;serif"/>
                <w:b w:val="false"/>
                <w:sz w:val="12"/>
              </w:rPr>
              <w:t>shares)</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11/21/2022</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33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17,629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16,673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w:t>
            </w:r>
          </w:p>
        </w:tc>
      </w:tr>
      <w:tr>
        <w:trPr/>
        <w:tc>
          <w:tcPr>
            <w:tcW w:w="3345"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Marketing Services</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pPr>
            <w:r>
              <w:rPr/>
              <w:t> </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Validity, Inc. </w:t>
            </w:r>
            <w:r>
              <w:rPr>
                <w:rFonts w:ascii="Times New Roman;serif" w:hAnsi="Times New Roman;serif"/>
                <w:b w:val="false"/>
                <w:sz w:val="8"/>
              </w:rPr>
              <w:t>(11)</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Series A Preferred Shares (3,840,000</w:t>
            </w:r>
            <w:r>
              <w:rPr>
                <w:rFonts w:ascii="Times New Roman" w:hAnsi="Times New Roman"/>
                <w:sz w:val="20"/>
              </w:rPr>
              <w:t> </w:t>
            </w:r>
            <w:r>
              <w:rPr>
                <w:rFonts w:ascii="Times New Roman;serif" w:hAnsi="Times New Roman;serif"/>
                <w:b w:val="false"/>
                <w:sz w:val="12"/>
              </w:rPr>
              <w:t>shares)</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5/31/2018</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3,840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10,944</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0.8%</w:t>
            </w:r>
          </w:p>
        </w:tc>
      </w:tr>
      <w:tr>
        <w:trPr/>
        <w:tc>
          <w:tcPr>
            <w:tcW w:w="3345"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Oil, Gas and Consumable Fuels</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pPr>
            <w:r>
              <w:rPr/>
              <w:t> </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Murchison Oil and Gas, LLC </w:t>
            </w:r>
            <w:r>
              <w:rPr>
                <w:rFonts w:ascii="Times New Roman;serif" w:hAnsi="Times New Roman;serif"/>
                <w:b w:val="false"/>
                <w:sz w:val="8"/>
              </w:rPr>
              <w:t>(12)(13)</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13,355</w:t>
            </w:r>
            <w:r>
              <w:rPr>
                <w:rFonts w:ascii="Times New Roman" w:hAnsi="Times New Roman"/>
                <w:sz w:val="20"/>
              </w:rPr>
              <w:t> </w:t>
            </w:r>
            <w:r>
              <w:rPr>
                <w:rFonts w:ascii="Times New Roman;serif" w:hAnsi="Times New Roman;serif"/>
                <w:b w:val="false"/>
                <w:sz w:val="12"/>
              </w:rPr>
              <w:t>Preferred Units</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6/30/2022</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13,355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13,857</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TRP Assets, LLC </w:t>
            </w:r>
            <w:r>
              <w:rPr>
                <w:rFonts w:ascii="Times New Roman;serif" w:hAnsi="Times New Roman;serif"/>
                <w:b w:val="false"/>
                <w:sz w:val="8"/>
              </w:rPr>
              <w:t>(11)(12)(13)</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Partnership Interest (1.89% ownership)</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8/25/2022</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8,070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9,967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0.7%</w:t>
            </w:r>
          </w:p>
        </w:tc>
      </w:tr>
      <w:tr>
        <w:trPr/>
        <w:tc>
          <w:tcPr>
            <w:tcW w:w="33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21,425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23,824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w:t>
            </w:r>
          </w:p>
        </w:tc>
      </w:tr>
      <w:tr>
        <w:trPr/>
        <w:tc>
          <w:tcPr>
            <w:tcW w:w="3345"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Pharmaceuticals</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pPr>
            <w:r>
              <w:rPr/>
              <w:t> </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TherapeuticsMD, Inc. </w:t>
            </w:r>
            <w:r>
              <w:rPr>
                <w:rFonts w:ascii="Times New Roman;serif" w:hAnsi="Times New Roman;serif"/>
                <w:b w:val="false"/>
                <w:sz w:val="8"/>
              </w:rPr>
              <w:t>(4)(11)</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18,750</w:t>
            </w:r>
            <w:r>
              <w:rPr>
                <w:rFonts w:ascii="Times New Roman" w:hAnsi="Times New Roman"/>
                <w:sz w:val="20"/>
              </w:rPr>
              <w:t> </w:t>
            </w:r>
            <w:r>
              <w:rPr>
                <w:rFonts w:ascii="Times New Roman;serif" w:hAnsi="Times New Roman;serif"/>
                <w:b w:val="false"/>
                <w:sz w:val="12"/>
              </w:rPr>
              <w:t>Warrants</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8/5/2020</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1,029</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33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18,750</w:t>
            </w:r>
            <w:r>
              <w:rPr>
                <w:rFonts w:ascii="Times New Roman" w:hAnsi="Times New Roman"/>
                <w:sz w:val="12"/>
              </w:rPr>
              <w:t> </w:t>
            </w:r>
            <w:r>
              <w:rPr>
                <w:rFonts w:ascii="Times New Roman;serif" w:hAnsi="Times New Roman;serif"/>
                <w:b w:val="false"/>
                <w:sz w:val="12"/>
              </w:rPr>
              <w:t xml:space="preserve">Warrants </w:t>
            </w:r>
            <w:r>
              <w:rPr>
                <w:rFonts w:ascii="Times New Roman;serif" w:hAnsi="Times New Roman;serif"/>
                <w:b w:val="false"/>
                <w:sz w:val="8"/>
              </w:rPr>
              <w:t>(12)</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7/29/2022</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70</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33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Common Shares (18,669</w:t>
            </w:r>
            <w:r>
              <w:rPr>
                <w:rFonts w:ascii="Times New Roman" w:hAnsi="Times New Roman"/>
                <w:sz w:val="12"/>
              </w:rPr>
              <w:t> </w:t>
            </w:r>
            <w:r>
              <w:rPr>
                <w:rFonts w:ascii="Times New Roman;serif" w:hAnsi="Times New Roman;serif"/>
                <w:b w:val="false"/>
                <w:sz w:val="12"/>
              </w:rPr>
              <w:t xml:space="preserve">shares) </w:t>
            </w:r>
            <w:r>
              <w:rPr>
                <w:rFonts w:ascii="Times New Roman;serif" w:hAnsi="Times New Roman;serif"/>
                <w:b w:val="false"/>
                <w:sz w:val="8"/>
              </w:rPr>
              <w:t>(10)</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7/29/2022</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33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1,209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3345"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Retail and Consumer Products</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pPr>
            <w:r>
              <w:rPr/>
              <w:t> </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American Achievement, Corp. </w:t>
            </w:r>
            <w:r>
              <w:rPr>
                <w:rFonts w:ascii="Times New Roman;serif" w:hAnsi="Times New Roman;serif"/>
                <w:b w:val="false"/>
                <w:sz w:val="8"/>
              </w:rPr>
              <w:t>(11)</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Class A Units (687</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3/16/2021</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Copper Bidco, LLC </w:t>
            </w:r>
            <w:r>
              <w:rPr>
                <w:rFonts w:ascii="Times New Roman;serif" w:hAnsi="Times New Roman;serif"/>
                <w:b w:val="false"/>
                <w:sz w:val="8"/>
              </w:rPr>
              <w:t>(9)</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Trust Certificates (132,928</w:t>
            </w:r>
            <w:r>
              <w:rPr>
                <w:rFonts w:ascii="Times New Roman" w:hAnsi="Times New Roman"/>
                <w:sz w:val="20"/>
              </w:rPr>
              <w:t> </w:t>
            </w:r>
            <w:r>
              <w:rPr>
                <w:rFonts w:ascii="Times New Roman;serif" w:hAnsi="Times New Roman;serif"/>
                <w:b w:val="false"/>
                <w:sz w:val="12"/>
              </w:rPr>
              <w:t>Certificates)</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12/7/2020</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731</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Trust Certificates (996,958</w:t>
            </w:r>
            <w:r>
              <w:rPr>
                <w:rFonts w:ascii="Times New Roman" w:hAnsi="Times New Roman"/>
                <w:sz w:val="20"/>
              </w:rPr>
              <w:t> </w:t>
            </w:r>
            <w:r>
              <w:rPr>
                <w:rFonts w:ascii="Times New Roman;serif" w:hAnsi="Times New Roman;serif"/>
                <w:b w:val="false"/>
                <w:sz w:val="12"/>
              </w:rPr>
              <w:t>Certificates)</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1/30/2021</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2,836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10,468</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0.8%</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Neuintel, LLC </w:t>
            </w:r>
            <w:r>
              <w:rPr>
                <w:rFonts w:ascii="Times New Roman;serif" w:hAnsi="Times New Roman;serif"/>
                <w:b w:val="false"/>
                <w:sz w:val="8"/>
              </w:rPr>
              <w:t>(11)(13)</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Class A Units (1,176,494</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12/21/2021</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2,761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0.2%</w:t>
            </w:r>
          </w:p>
        </w:tc>
      </w:tr>
      <w:tr>
        <w:trPr/>
        <w:tc>
          <w:tcPr>
            <w:tcW w:w="33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5,836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14,010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w:t>
            </w:r>
          </w:p>
        </w:tc>
      </w:tr>
      <w:tr>
        <w:trPr/>
        <w:tc>
          <w:tcPr>
            <w:tcW w:w="334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pPr>
            <w:r>
              <w:rPr/>
              <w:t> </w:t>
            </w:r>
          </w:p>
        </w:tc>
      </w:tr>
      <w:tr>
        <w:trPr/>
        <w:tc>
          <w:tcPr>
            <w:tcW w:w="3345"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Structured Credit</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pPr>
            <w:r>
              <w:rPr/>
              <w:t> </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Allegro CLO Ltd, Series 2018-1A,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6/2031)</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5/26/2022</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+ 2.85%</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7.64%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942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882</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American Money Management Corp CLO Ltd, Series 2016-18A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($1,500</w:t>
            </w:r>
            <w:r>
              <w:rPr>
                <w:rFonts w:ascii="Times New Roman" w:hAnsi="Times New Roman"/>
                <w:sz w:val="20"/>
              </w:rPr>
              <w:t> </w:t>
            </w:r>
            <w:r>
              <w:rPr>
                <w:rFonts w:ascii="Times New Roman;serif" w:hAnsi="Times New Roman;serif"/>
                <w:b w:val="false"/>
                <w:sz w:val="12"/>
              </w:rPr>
              <w:t>par, due 5/2031)</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6/22/2022</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+ 3.05%</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1,351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1,340</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Ares CLO Ltd, Series 2021-59A</w:t>
            </w:r>
            <w:r>
              <w:rPr>
                <w:rFonts w:ascii="Times New Roman" w:hAnsi="Times New Roman"/>
                <w:sz w:val="12"/>
              </w:rPr>
              <w:t>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4/2034)</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6/23/2022</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+ 6.25%</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885</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Ares Loan Funding I Ltd, Series 2021-ALFA, Class E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10/2034)</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6/24/2022</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+ 6.70%</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11.49%</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935</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Bain Capital Credit CLO Ltd, Series 2018-1A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($500</w:t>
            </w:r>
            <w:r>
              <w:rPr>
                <w:rFonts w:ascii="Times New Roman" w:hAnsi="Times New Roman"/>
                <w:sz w:val="20"/>
              </w:rPr>
              <w:t> </w:t>
            </w:r>
            <w:r>
              <w:rPr>
                <w:rFonts w:ascii="Times New Roman;serif" w:hAnsi="Times New Roman;serif"/>
                <w:b w:val="false"/>
                <w:sz w:val="12"/>
              </w:rPr>
              <w:t>par, due 4/2031)</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10/15/2020</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+ 5.35%</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394</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Battalion CLO Ltd, Series 2021-21A</w:t>
            </w:r>
            <w:r>
              <w:rPr>
                <w:rFonts w:ascii="Times New Roman" w:hAnsi="Times New Roman"/>
                <w:sz w:val="12"/>
              </w:rPr>
              <w:t>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($1,300</w:t>
            </w:r>
            <w:r>
              <w:rPr>
                <w:rFonts w:ascii="Times New Roman" w:hAnsi="Times New Roman"/>
                <w:sz w:val="20"/>
              </w:rPr>
              <w:t> </w:t>
            </w:r>
            <w:r>
              <w:rPr>
                <w:rFonts w:ascii="Times New Roman;serif" w:hAnsi="Times New Roman;serif"/>
                <w:b w:val="false"/>
                <w:sz w:val="12"/>
              </w:rPr>
              <w:t>par, due 7/2034)</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7/13/2022</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+ 3.30%</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8.09%</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1,160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1,152</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Benefit Street Partners CLO Ltd, Series 2015-BR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($2,500</w:t>
            </w:r>
            <w:r>
              <w:rPr>
                <w:rFonts w:ascii="Times New Roman" w:hAnsi="Times New Roman"/>
                <w:sz w:val="20"/>
              </w:rPr>
              <w:t> </w:t>
            </w:r>
            <w:r>
              <w:rPr>
                <w:rFonts w:ascii="Times New Roman;serif" w:hAnsi="Times New Roman;serif"/>
                <w:b w:val="false"/>
                <w:sz w:val="12"/>
              </w:rPr>
              <w:t>par, due 7/2024)</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7/13/2022</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+ 3.85%</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8.66%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2,182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2,302</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0.2%</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Benefit Street Partners CLO Ltd, Series 2015-8A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($1,425</w:t>
            </w:r>
            <w:r>
              <w:rPr>
                <w:rFonts w:ascii="Times New Roman" w:hAnsi="Times New Roman"/>
                <w:sz w:val="20"/>
              </w:rPr>
              <w:t> </w:t>
            </w:r>
            <w:r>
              <w:rPr>
                <w:rFonts w:ascii="Times New Roman;serif" w:hAnsi="Times New Roman;serif"/>
                <w:b w:val="false"/>
                <w:sz w:val="12"/>
              </w:rPr>
              <w:t>par, due</w:t>
            </w:r>
            <w:r>
              <w:rPr>
                <w:rFonts w:ascii="Times New Roman" w:hAnsi="Times New Roman"/>
                <w:sz w:val="20"/>
              </w:rPr>
              <w:t xml:space="preserve"> </w:t>
            </w:r>
            <w:r>
              <w:rPr>
                <w:rFonts w:ascii="Times New Roman;serif" w:hAnsi="Times New Roman;serif"/>
                <w:b w:val="false"/>
                <w:sz w:val="12"/>
              </w:rPr>
              <w:t>1/2031)</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9/13/2022</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+ 2.75%</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7.56%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1,272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1,248</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Carlyle Global Market Strategies CLO Ltd, Series 2014-4RA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7/2030)</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5/26/2022</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+ 2.90%</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7.69%</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898</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875</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Carlyle Global Market Strategies CLO Ltd, Series 2016-1, Ltd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($1,600</w:t>
            </w:r>
            <w:r>
              <w:rPr>
                <w:rFonts w:ascii="Times New Roman" w:hAnsi="Times New Roman"/>
                <w:sz w:val="20"/>
              </w:rPr>
              <w:t> </w:t>
            </w:r>
            <w:r>
              <w:rPr>
                <w:rFonts w:ascii="Times New Roman;serif" w:hAnsi="Times New Roman;serif"/>
                <w:b w:val="false"/>
                <w:sz w:val="12"/>
              </w:rPr>
              <w:t>par, due 4/2034)</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2/15/2023</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+ 6.60%</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11.41%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1,421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1,366</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Carlyle Global Market Strategies CLO Ltd, Series 2018-1A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($1,550</w:t>
            </w:r>
            <w:r>
              <w:rPr>
                <w:rFonts w:ascii="Times New Roman" w:hAnsi="Times New Roman"/>
                <w:sz w:val="20"/>
              </w:rPr>
              <w:t> </w:t>
            </w:r>
            <w:r>
              <w:rPr>
                <w:rFonts w:ascii="Times New Roman;serif" w:hAnsi="Times New Roman;serif"/>
                <w:b w:val="false"/>
                <w:sz w:val="12"/>
              </w:rPr>
              <w:t>par, due 4/2031)</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8/11/2020</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+ 5.75%</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10.56%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1,252</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CarVal CLO III Ltd, Series 2019-2A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w:t>
            </w:r>
            <w:r>
              <w:rPr>
                <w:rFonts w:ascii="Times New Roman" w:hAnsi="Times New Roman"/>
                <w:sz w:val="20"/>
              </w:rPr>
              <w:t xml:space="preserve"> </w:t>
            </w:r>
            <w:r>
              <w:rPr>
                <w:rFonts w:ascii="Times New Roman;serif" w:hAnsi="Times New Roman;serif"/>
                <w:b w:val="false"/>
                <w:sz w:val="12"/>
              </w:rPr>
              <w:t>7/2032)</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6/30/2022</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+ 6.44%</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898</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881</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Cedar Funding CLO Ltd, Series 2018-7A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1/2031)</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7/21/2022</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+ 4.55%</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865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855</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CIFC CLO Ltd, Series 2018-3A</w:t>
            </w:r>
            <w:r>
              <w:rPr>
                <w:rFonts w:ascii="Times New Roman" w:hAnsi="Times New Roman"/>
                <w:sz w:val="12"/>
              </w:rPr>
              <w:t>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7/2031)</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6/16/2022</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+ 5.50%</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10.29%</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899</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867</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45"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CIFC CLO Ltd, Series 2021-4A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9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7/2033)</w:t>
            </w:r>
          </w:p>
        </w:tc>
        <w:tc>
          <w:tcPr>
            <w:tcW w:w="146" w:type="dxa"/>
            <w:tcBorders/>
            <w:shd w:fill="auto" w:val="clear"/>
            <w:vAlign w:val="center"/>
          </w:tcPr>
          <w:p>
            <w:pPr>
              <w:pStyle w:val="TableContents"/>
              <w:spacing w:before="0" w:after="0"/>
              <w:ind w:left="0" w:right="0" w:hanging="0"/>
              <w:jc w:val="right"/>
              <w:rPr/>
            </w:pPr>
            <w:r>
              <w:rPr/>
              <w:t> </w:t>
            </w:r>
          </w:p>
        </w:tc>
        <w:tc>
          <w:tcPr>
            <w:tcW w:w="6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7/14/2022</w:t>
            </w:r>
          </w:p>
        </w:tc>
        <w:tc>
          <w:tcPr>
            <w:tcW w:w="146" w:type="dxa"/>
            <w:tcBorders/>
            <w:shd w:fill="auto" w:val="clear"/>
            <w:vAlign w:val="center"/>
          </w:tcPr>
          <w:p>
            <w:pPr>
              <w:pStyle w:val="TableContents"/>
              <w:spacing w:before="0" w:after="0"/>
              <w:ind w:left="0" w:right="0" w:hanging="0"/>
              <w:jc w:val="right"/>
              <w:rPr/>
            </w:pPr>
            <w:r>
              <w:rPr/>
              <w:t> </w:t>
            </w:r>
          </w:p>
        </w:tc>
        <w:tc>
          <w:tcPr>
            <w:tcW w:w="60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+ 6.00%</w:t>
            </w:r>
          </w:p>
        </w:tc>
        <w:tc>
          <w:tcPr>
            <w:tcW w:w="146" w:type="dxa"/>
            <w:tcBorders/>
            <w:shd w:fill="auto" w:val="clear"/>
            <w:vAlign w:val="center"/>
          </w:tcPr>
          <w:p>
            <w:pPr>
              <w:pStyle w:val="TableContents"/>
              <w:spacing w:before="0" w:after="0"/>
              <w:ind w:left="0" w:right="0" w:hanging="0"/>
              <w:jc w:val="righ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10.79%</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916</w:t>
            </w:r>
          </w:p>
        </w:tc>
        <w:tc>
          <w:tcPr>
            <w:tcW w:w="146" w:type="dxa"/>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bl>
    <w:p>
      <w:pPr>
        <w:pStyle w:val="TextBody"/>
        <w:spacing w:before="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3230"/>
        <w:gridCol w:w="146"/>
        <w:gridCol w:w="2213"/>
        <w:gridCol w:w="146"/>
        <w:gridCol w:w="619"/>
        <w:gridCol w:w="146"/>
        <w:gridCol w:w="612"/>
        <w:gridCol w:w="146"/>
        <w:gridCol w:w="471"/>
        <w:gridCol w:w="146"/>
        <w:gridCol w:w="166"/>
        <w:gridCol w:w="586"/>
        <w:gridCol w:w="146"/>
        <w:gridCol w:w="166"/>
        <w:gridCol w:w="586"/>
        <w:gridCol w:w="146"/>
        <w:gridCol w:w="534"/>
      </w:tblGrid>
      <w:tr>
        <w:trPr/>
        <w:tc>
          <w:tcPr>
            <w:tcW w:w="32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1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r>
      <w:tr>
        <w:trPr/>
        <w:tc>
          <w:tcPr>
            <w:tcW w:w="323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Crown Point CLO Ltd, Series 2021-10A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1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w:t>
            </w:r>
            <w:r>
              <w:rPr>
                <w:rFonts w:ascii="Times New Roman" w:hAnsi="Times New Roman"/>
                <w:sz w:val="20"/>
              </w:rPr>
              <w:t xml:space="preserve"> </w:t>
            </w:r>
            <w:r>
              <w:rPr>
                <w:rFonts w:ascii="Times New Roman;serif" w:hAnsi="Times New Roman;serif"/>
                <w:b w:val="false"/>
                <w:sz w:val="12"/>
              </w:rPr>
              <w:t>7/2034)</w:t>
            </w:r>
          </w:p>
        </w:tc>
        <w:tc>
          <w:tcPr>
            <w:tcW w:w="146" w:type="dxa"/>
            <w:tcBorders/>
            <w:shd w:fill="auto" w:val="clear"/>
            <w:vAlign w:val="center"/>
          </w:tcPr>
          <w:p>
            <w:pPr>
              <w:pStyle w:val="TableContents"/>
              <w:spacing w:before="0" w:after="0"/>
              <w:ind w:left="0" w:right="0" w:hanging="0"/>
              <w:jc w:val="righ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6/14/2022</w:t>
            </w:r>
          </w:p>
        </w:tc>
        <w:tc>
          <w:tcPr>
            <w:tcW w:w="146" w:type="dxa"/>
            <w:tcBorders/>
            <w:shd w:fill="auto" w:val="clear"/>
            <w:vAlign w:val="center"/>
          </w:tcPr>
          <w:p>
            <w:pPr>
              <w:pStyle w:val="TableContents"/>
              <w:spacing w:before="0" w:after="0"/>
              <w:ind w:left="0" w:right="0" w:hanging="0"/>
              <w:jc w:val="righ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+ 6.85%</w:t>
            </w:r>
          </w:p>
        </w:tc>
        <w:tc>
          <w:tcPr>
            <w:tcW w:w="146"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11.66%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901</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860</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3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Dryden Senior Loan Fund, Series 2018-55A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1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w:t>
            </w:r>
            <w:r>
              <w:rPr>
                <w:rFonts w:ascii="Times New Roman" w:hAnsi="Times New Roman"/>
                <w:sz w:val="20"/>
              </w:rPr>
              <w:t xml:space="preserve"> </w:t>
            </w:r>
            <w:r>
              <w:rPr>
                <w:rFonts w:ascii="Times New Roman;serif" w:hAnsi="Times New Roman;serif"/>
                <w:b w:val="false"/>
                <w:sz w:val="12"/>
              </w:rPr>
              <w:t>4/2031)</w:t>
            </w:r>
          </w:p>
        </w:tc>
        <w:tc>
          <w:tcPr>
            <w:tcW w:w="146" w:type="dxa"/>
            <w:tcBorders/>
            <w:shd w:fill="auto" w:val="clear"/>
            <w:vAlign w:val="center"/>
          </w:tcPr>
          <w:p>
            <w:pPr>
              <w:pStyle w:val="TableContents"/>
              <w:spacing w:before="0" w:after="0"/>
              <w:ind w:left="0" w:right="0" w:hanging="0"/>
              <w:jc w:val="righ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7/25/2022</w:t>
            </w:r>
          </w:p>
        </w:tc>
        <w:tc>
          <w:tcPr>
            <w:tcW w:w="146" w:type="dxa"/>
            <w:tcBorders/>
            <w:shd w:fill="auto" w:val="clear"/>
            <w:vAlign w:val="center"/>
          </w:tcPr>
          <w:p>
            <w:pPr>
              <w:pStyle w:val="TableContents"/>
              <w:spacing w:before="0" w:after="0"/>
              <w:ind w:left="0" w:right="0" w:hanging="0"/>
              <w:jc w:val="righ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+ 2.85%</w:t>
            </w:r>
          </w:p>
        </w:tc>
        <w:tc>
          <w:tcPr>
            <w:tcW w:w="146"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7.64%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907</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885</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3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Dryden Senior Loan Fund, Series 2020-86A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1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($1,500</w:t>
            </w:r>
            <w:r>
              <w:rPr>
                <w:rFonts w:ascii="Times New Roman" w:hAnsi="Times New Roman"/>
                <w:sz w:val="20"/>
              </w:rPr>
              <w:t> </w:t>
            </w:r>
            <w:r>
              <w:rPr>
                <w:rFonts w:ascii="Times New Roman;serif" w:hAnsi="Times New Roman;serif"/>
                <w:b w:val="false"/>
                <w:sz w:val="12"/>
              </w:rPr>
              <w:t>par, due 7/2034)</w:t>
            </w:r>
          </w:p>
        </w:tc>
        <w:tc>
          <w:tcPr>
            <w:tcW w:w="146" w:type="dxa"/>
            <w:tcBorders/>
            <w:shd w:fill="auto" w:val="clear"/>
            <w:vAlign w:val="center"/>
          </w:tcPr>
          <w:p>
            <w:pPr>
              <w:pStyle w:val="TableContents"/>
              <w:spacing w:before="0" w:after="0"/>
              <w:ind w:left="0" w:right="0" w:hanging="0"/>
              <w:jc w:val="righ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8/17/2022</w:t>
            </w:r>
          </w:p>
        </w:tc>
        <w:tc>
          <w:tcPr>
            <w:tcW w:w="146" w:type="dxa"/>
            <w:tcBorders/>
            <w:shd w:fill="auto" w:val="clear"/>
            <w:vAlign w:val="center"/>
          </w:tcPr>
          <w:p>
            <w:pPr>
              <w:pStyle w:val="TableContents"/>
              <w:spacing w:before="0" w:after="0"/>
              <w:ind w:left="0" w:right="0" w:hanging="0"/>
              <w:jc w:val="righ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+ 6.50%</w:t>
            </w:r>
          </w:p>
        </w:tc>
        <w:tc>
          <w:tcPr>
            <w:tcW w:w="146"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11.29%</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1,428</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1,334</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3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Eaton CLO Ltd, Series 2015-1A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1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($2,500</w:t>
            </w:r>
            <w:r>
              <w:rPr>
                <w:rFonts w:ascii="Times New Roman" w:hAnsi="Times New Roman"/>
                <w:sz w:val="20"/>
              </w:rPr>
              <w:t> </w:t>
            </w:r>
            <w:r>
              <w:rPr>
                <w:rFonts w:ascii="Times New Roman;serif" w:hAnsi="Times New Roman;serif"/>
                <w:b w:val="false"/>
                <w:sz w:val="12"/>
              </w:rPr>
              <w:t>par, due 1/2030)</w:t>
            </w:r>
          </w:p>
        </w:tc>
        <w:tc>
          <w:tcPr>
            <w:tcW w:w="146" w:type="dxa"/>
            <w:tcBorders/>
            <w:shd w:fill="auto" w:val="clear"/>
            <w:vAlign w:val="center"/>
          </w:tcPr>
          <w:p>
            <w:pPr>
              <w:pStyle w:val="TableContents"/>
              <w:spacing w:before="0" w:after="0"/>
              <w:ind w:left="0" w:right="0" w:hanging="0"/>
              <w:jc w:val="righ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6/23/2022</w:t>
            </w:r>
          </w:p>
        </w:tc>
        <w:tc>
          <w:tcPr>
            <w:tcW w:w="146" w:type="dxa"/>
            <w:tcBorders/>
            <w:shd w:fill="auto" w:val="clear"/>
            <w:vAlign w:val="center"/>
          </w:tcPr>
          <w:p>
            <w:pPr>
              <w:pStyle w:val="TableContents"/>
              <w:spacing w:before="0" w:after="0"/>
              <w:ind w:left="0" w:right="0" w:hanging="0"/>
              <w:jc w:val="righ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+ 2.50%</w:t>
            </w:r>
          </w:p>
        </w:tc>
        <w:tc>
          <w:tcPr>
            <w:tcW w:w="146"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7.31%</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2,235</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2,263</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0.2%</w:t>
            </w:r>
          </w:p>
        </w:tc>
      </w:tr>
      <w:tr>
        <w:trPr/>
        <w:tc>
          <w:tcPr>
            <w:tcW w:w="323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Eaton CLO Ltd, Series 2020-1A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1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10/2034)</w:t>
            </w:r>
          </w:p>
        </w:tc>
        <w:tc>
          <w:tcPr>
            <w:tcW w:w="146" w:type="dxa"/>
            <w:tcBorders/>
            <w:shd w:fill="auto" w:val="clear"/>
            <w:vAlign w:val="center"/>
          </w:tcPr>
          <w:p>
            <w:pPr>
              <w:pStyle w:val="TableContents"/>
              <w:spacing w:before="0" w:after="0"/>
              <w:ind w:left="0" w:right="0" w:hanging="0"/>
              <w:jc w:val="righ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8/11/2022</w:t>
            </w:r>
          </w:p>
        </w:tc>
        <w:tc>
          <w:tcPr>
            <w:tcW w:w="146" w:type="dxa"/>
            <w:tcBorders/>
            <w:shd w:fill="auto" w:val="clear"/>
            <w:vAlign w:val="center"/>
          </w:tcPr>
          <w:p>
            <w:pPr>
              <w:pStyle w:val="TableContents"/>
              <w:spacing w:before="0" w:after="0"/>
              <w:ind w:left="0" w:right="0" w:hanging="0"/>
              <w:jc w:val="righ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+ 6.25%</w:t>
            </w:r>
          </w:p>
        </w:tc>
        <w:tc>
          <w:tcPr>
            <w:tcW w:w="146"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932</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905</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3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GoldenTree CLO Ltd, Series 2020-7A</w:t>
            </w:r>
            <w:r>
              <w:rPr>
                <w:rFonts w:ascii="Times New Roman" w:hAnsi="Times New Roman"/>
                <w:sz w:val="12"/>
              </w:rPr>
              <w:t>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1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4/2034)</w:t>
            </w:r>
          </w:p>
        </w:tc>
        <w:tc>
          <w:tcPr>
            <w:tcW w:w="146" w:type="dxa"/>
            <w:tcBorders/>
            <w:shd w:fill="auto" w:val="clear"/>
            <w:vAlign w:val="center"/>
          </w:tcPr>
          <w:p>
            <w:pPr>
              <w:pStyle w:val="TableContents"/>
              <w:spacing w:before="0" w:after="0"/>
              <w:ind w:left="0" w:right="0" w:hanging="0"/>
              <w:jc w:val="righ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6/17/2022</w:t>
            </w:r>
          </w:p>
        </w:tc>
        <w:tc>
          <w:tcPr>
            <w:tcW w:w="146" w:type="dxa"/>
            <w:tcBorders/>
            <w:shd w:fill="auto" w:val="clear"/>
            <w:vAlign w:val="center"/>
          </w:tcPr>
          <w:p>
            <w:pPr>
              <w:pStyle w:val="TableContents"/>
              <w:spacing w:before="0" w:after="0"/>
              <w:ind w:left="0" w:right="0" w:hanging="0"/>
              <w:jc w:val="righ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+ 6.50%</w:t>
            </w:r>
          </w:p>
        </w:tc>
        <w:tc>
          <w:tcPr>
            <w:tcW w:w="146"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11.31%</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919</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921</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3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Gulf Stream Meridian, Series 2021-4A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1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($1,015</w:t>
            </w:r>
            <w:r>
              <w:rPr>
                <w:rFonts w:ascii="Times New Roman" w:hAnsi="Times New Roman"/>
                <w:sz w:val="20"/>
              </w:rPr>
              <w:t> </w:t>
            </w:r>
            <w:r>
              <w:rPr>
                <w:rFonts w:ascii="Times New Roman;serif" w:hAnsi="Times New Roman;serif"/>
                <w:b w:val="false"/>
                <w:sz w:val="12"/>
              </w:rPr>
              <w:t>par, due 7/2034)</w:t>
            </w:r>
          </w:p>
        </w:tc>
        <w:tc>
          <w:tcPr>
            <w:tcW w:w="146" w:type="dxa"/>
            <w:tcBorders/>
            <w:shd w:fill="auto" w:val="clear"/>
            <w:vAlign w:val="center"/>
          </w:tcPr>
          <w:p>
            <w:pPr>
              <w:pStyle w:val="TableContents"/>
              <w:spacing w:before="0" w:after="0"/>
              <w:ind w:left="0" w:right="0" w:hanging="0"/>
              <w:jc w:val="righ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6/3/2022</w:t>
            </w:r>
          </w:p>
        </w:tc>
        <w:tc>
          <w:tcPr>
            <w:tcW w:w="146" w:type="dxa"/>
            <w:tcBorders/>
            <w:shd w:fill="auto" w:val="clear"/>
            <w:vAlign w:val="center"/>
          </w:tcPr>
          <w:p>
            <w:pPr>
              <w:pStyle w:val="TableContents"/>
              <w:spacing w:before="0" w:after="0"/>
              <w:ind w:left="0" w:right="0" w:hanging="0"/>
              <w:jc w:val="righ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+ 6.35%</w:t>
            </w:r>
          </w:p>
        </w:tc>
        <w:tc>
          <w:tcPr>
            <w:tcW w:w="146"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893</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3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Gulf Stream Meridian, Series 2021-6A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1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($2,000</w:t>
            </w:r>
            <w:r>
              <w:rPr>
                <w:rFonts w:ascii="Times New Roman" w:hAnsi="Times New Roman"/>
                <w:sz w:val="20"/>
              </w:rPr>
              <w:t> </w:t>
            </w:r>
            <w:r>
              <w:rPr>
                <w:rFonts w:ascii="Times New Roman;serif" w:hAnsi="Times New Roman;serif"/>
                <w:b w:val="false"/>
                <w:sz w:val="12"/>
              </w:rPr>
              <w:t>par, due 1/2037)</w:t>
            </w:r>
          </w:p>
        </w:tc>
        <w:tc>
          <w:tcPr>
            <w:tcW w:w="146" w:type="dxa"/>
            <w:tcBorders/>
            <w:shd w:fill="auto" w:val="clear"/>
            <w:vAlign w:val="center"/>
          </w:tcPr>
          <w:p>
            <w:pPr>
              <w:pStyle w:val="TableContents"/>
              <w:spacing w:before="0" w:after="0"/>
              <w:ind w:left="0" w:right="0" w:hanging="0"/>
              <w:jc w:val="righ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9/12/2022</w:t>
            </w:r>
          </w:p>
        </w:tc>
        <w:tc>
          <w:tcPr>
            <w:tcW w:w="146" w:type="dxa"/>
            <w:tcBorders/>
            <w:shd w:fill="auto" w:val="clear"/>
            <w:vAlign w:val="center"/>
          </w:tcPr>
          <w:p>
            <w:pPr>
              <w:pStyle w:val="TableContents"/>
              <w:spacing w:before="0" w:after="0"/>
              <w:ind w:left="0" w:right="0" w:hanging="0"/>
              <w:jc w:val="righ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+ 6.36%</w:t>
            </w:r>
          </w:p>
        </w:tc>
        <w:tc>
          <w:tcPr>
            <w:tcW w:w="146"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11.15%</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1,816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1,744</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3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Jefferson Mill CLO Ltd, Series 2015-1A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1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10/2031)</w:t>
            </w:r>
          </w:p>
        </w:tc>
        <w:tc>
          <w:tcPr>
            <w:tcW w:w="146" w:type="dxa"/>
            <w:tcBorders/>
            <w:shd w:fill="auto" w:val="clear"/>
            <w:vAlign w:val="center"/>
          </w:tcPr>
          <w:p>
            <w:pPr>
              <w:pStyle w:val="TableContents"/>
              <w:spacing w:before="0" w:after="0"/>
              <w:ind w:left="0" w:right="0" w:hanging="0"/>
              <w:jc w:val="righ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5/23/2022</w:t>
            </w:r>
          </w:p>
        </w:tc>
        <w:tc>
          <w:tcPr>
            <w:tcW w:w="146" w:type="dxa"/>
            <w:tcBorders/>
            <w:shd w:fill="auto" w:val="clear"/>
            <w:vAlign w:val="center"/>
          </w:tcPr>
          <w:p>
            <w:pPr>
              <w:pStyle w:val="TableContents"/>
              <w:spacing w:before="0" w:after="0"/>
              <w:ind w:left="0" w:right="0" w:hanging="0"/>
              <w:jc w:val="righ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+ 3.55%</w:t>
            </w:r>
          </w:p>
        </w:tc>
        <w:tc>
          <w:tcPr>
            <w:tcW w:w="146"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8.36%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902</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860</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0.2%</w:t>
            </w:r>
          </w:p>
        </w:tc>
      </w:tr>
      <w:tr>
        <w:trPr/>
        <w:tc>
          <w:tcPr>
            <w:tcW w:w="323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KKR CLO Ltd, 49A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1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7/2035)</w:t>
            </w:r>
          </w:p>
        </w:tc>
        <w:tc>
          <w:tcPr>
            <w:tcW w:w="146" w:type="dxa"/>
            <w:tcBorders/>
            <w:shd w:fill="auto" w:val="clear"/>
            <w:vAlign w:val="center"/>
          </w:tcPr>
          <w:p>
            <w:pPr>
              <w:pStyle w:val="TableContents"/>
              <w:spacing w:before="0" w:after="0"/>
              <w:ind w:left="0" w:right="0" w:hanging="0"/>
              <w:jc w:val="righ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6/2/2022</w:t>
            </w:r>
          </w:p>
        </w:tc>
        <w:tc>
          <w:tcPr>
            <w:tcW w:w="146" w:type="dxa"/>
            <w:tcBorders/>
            <w:shd w:fill="auto" w:val="clear"/>
            <w:vAlign w:val="center"/>
          </w:tcPr>
          <w:p>
            <w:pPr>
              <w:pStyle w:val="TableContents"/>
              <w:spacing w:before="0" w:after="0"/>
              <w:ind w:left="0" w:right="0" w:hanging="0"/>
              <w:jc w:val="righ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+ 8.00%</w:t>
            </w:r>
          </w:p>
        </w:tc>
        <w:tc>
          <w:tcPr>
            <w:tcW w:w="146"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12.64%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969</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945</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3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Madison Park CLO, Series 2018-28A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1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7/2030)</w:t>
            </w:r>
          </w:p>
        </w:tc>
        <w:tc>
          <w:tcPr>
            <w:tcW w:w="146" w:type="dxa"/>
            <w:tcBorders/>
            <w:shd w:fill="auto" w:val="clear"/>
            <w:vAlign w:val="center"/>
          </w:tcPr>
          <w:p>
            <w:pPr>
              <w:pStyle w:val="TableContents"/>
              <w:spacing w:before="0" w:after="0"/>
              <w:ind w:left="0" w:right="0" w:hanging="0"/>
              <w:jc w:val="righ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6/28/2022</w:t>
            </w:r>
          </w:p>
        </w:tc>
        <w:tc>
          <w:tcPr>
            <w:tcW w:w="146" w:type="dxa"/>
            <w:tcBorders/>
            <w:shd w:fill="auto" w:val="clear"/>
            <w:vAlign w:val="center"/>
          </w:tcPr>
          <w:p>
            <w:pPr>
              <w:pStyle w:val="TableContents"/>
              <w:spacing w:before="0" w:after="0"/>
              <w:ind w:left="0" w:right="0" w:hanging="0"/>
              <w:jc w:val="righ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+ 5.25%</w:t>
            </w:r>
          </w:p>
        </w:tc>
        <w:tc>
          <w:tcPr>
            <w:tcW w:w="146"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915</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3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Magnetite CLO Ltd, Series 2021-30A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1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10/2034)</w:t>
            </w:r>
          </w:p>
        </w:tc>
        <w:tc>
          <w:tcPr>
            <w:tcW w:w="146" w:type="dxa"/>
            <w:tcBorders/>
            <w:shd w:fill="auto" w:val="clear"/>
            <w:vAlign w:val="center"/>
          </w:tcPr>
          <w:p>
            <w:pPr>
              <w:pStyle w:val="TableContents"/>
              <w:spacing w:before="0" w:after="0"/>
              <w:ind w:left="0" w:right="0" w:hanging="0"/>
              <w:jc w:val="righ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6/13/2022</w:t>
            </w:r>
          </w:p>
        </w:tc>
        <w:tc>
          <w:tcPr>
            <w:tcW w:w="146" w:type="dxa"/>
            <w:tcBorders/>
            <w:shd w:fill="auto" w:val="clear"/>
            <w:vAlign w:val="center"/>
          </w:tcPr>
          <w:p>
            <w:pPr>
              <w:pStyle w:val="TableContents"/>
              <w:spacing w:before="0" w:after="0"/>
              <w:ind w:left="0" w:right="0" w:hanging="0"/>
              <w:jc w:val="righ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+ 6.20%</w:t>
            </w:r>
          </w:p>
        </w:tc>
        <w:tc>
          <w:tcPr>
            <w:tcW w:w="146"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11.02%</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918</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940</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3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MidOcean Credit CLO Ltd, Series 2016-6A</w:t>
            </w:r>
            <w:r>
              <w:rPr>
                <w:rFonts w:ascii="Times New Roman" w:hAnsi="Times New Roman"/>
                <w:sz w:val="12"/>
              </w:rPr>
              <w:t>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1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($3,500</w:t>
            </w:r>
            <w:r>
              <w:rPr>
                <w:rFonts w:ascii="Times New Roman" w:hAnsi="Times New Roman"/>
                <w:sz w:val="20"/>
              </w:rPr>
              <w:t> </w:t>
            </w:r>
            <w:r>
              <w:rPr>
                <w:rFonts w:ascii="Times New Roman;serif" w:hAnsi="Times New Roman;serif"/>
                <w:b w:val="false"/>
                <w:sz w:val="12"/>
              </w:rPr>
              <w:t>par, due</w:t>
            </w:r>
            <w:r>
              <w:rPr>
                <w:rFonts w:ascii="Times New Roman" w:hAnsi="Times New Roman"/>
                <w:sz w:val="20"/>
              </w:rPr>
              <w:t xml:space="preserve"> </w:t>
            </w:r>
            <w:r>
              <w:rPr>
                <w:rFonts w:ascii="Times New Roman;serif" w:hAnsi="Times New Roman;serif"/>
                <w:b w:val="false"/>
                <w:sz w:val="12"/>
              </w:rPr>
              <w:t>4/2033)</w:t>
            </w:r>
          </w:p>
        </w:tc>
        <w:tc>
          <w:tcPr>
            <w:tcW w:w="146" w:type="dxa"/>
            <w:tcBorders/>
            <w:shd w:fill="auto" w:val="clear"/>
            <w:vAlign w:val="center"/>
          </w:tcPr>
          <w:p>
            <w:pPr>
              <w:pStyle w:val="TableContents"/>
              <w:spacing w:before="0" w:after="0"/>
              <w:ind w:left="0" w:right="0" w:hanging="0"/>
              <w:jc w:val="righ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5/23/2022</w:t>
            </w:r>
          </w:p>
        </w:tc>
        <w:tc>
          <w:tcPr>
            <w:tcW w:w="146" w:type="dxa"/>
            <w:tcBorders/>
            <w:shd w:fill="auto" w:val="clear"/>
            <w:vAlign w:val="center"/>
          </w:tcPr>
          <w:p>
            <w:pPr>
              <w:pStyle w:val="TableContents"/>
              <w:spacing w:before="0" w:after="0"/>
              <w:ind w:left="0" w:right="0" w:hanging="0"/>
              <w:jc w:val="righ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+ 3.52%</w:t>
            </w:r>
          </w:p>
        </w:tc>
        <w:tc>
          <w:tcPr>
            <w:tcW w:w="146"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8.33%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3,155</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2,978</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0.2%</w:t>
            </w:r>
          </w:p>
        </w:tc>
      </w:tr>
      <w:tr>
        <w:trPr/>
        <w:tc>
          <w:tcPr>
            <w:tcW w:w="323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MidOcean Credit CLO Ltd, Series 2018-9A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1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($1,100</w:t>
            </w:r>
            <w:r>
              <w:rPr>
                <w:rFonts w:ascii="Times New Roman" w:hAnsi="Times New Roman"/>
                <w:sz w:val="20"/>
              </w:rPr>
              <w:t> </w:t>
            </w:r>
            <w:r>
              <w:rPr>
                <w:rFonts w:ascii="Times New Roman;serif" w:hAnsi="Times New Roman;serif"/>
                <w:b w:val="false"/>
                <w:sz w:val="12"/>
              </w:rPr>
              <w:t>par, due 7/2031)</w:t>
            </w:r>
          </w:p>
        </w:tc>
        <w:tc>
          <w:tcPr>
            <w:tcW w:w="146" w:type="dxa"/>
            <w:tcBorders/>
            <w:shd w:fill="auto" w:val="clear"/>
            <w:vAlign w:val="center"/>
          </w:tcPr>
          <w:p>
            <w:pPr>
              <w:pStyle w:val="TableContents"/>
              <w:spacing w:before="0" w:after="0"/>
              <w:ind w:left="0" w:right="0" w:hanging="0"/>
              <w:jc w:val="righ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6/1/2022</w:t>
            </w:r>
          </w:p>
        </w:tc>
        <w:tc>
          <w:tcPr>
            <w:tcW w:w="146" w:type="dxa"/>
            <w:tcBorders/>
            <w:shd w:fill="auto" w:val="clear"/>
            <w:vAlign w:val="center"/>
          </w:tcPr>
          <w:p>
            <w:pPr>
              <w:pStyle w:val="TableContents"/>
              <w:spacing w:before="0" w:after="0"/>
              <w:ind w:left="0" w:right="0" w:hanging="0"/>
              <w:jc w:val="righ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+ 6.05%</w:t>
            </w:r>
          </w:p>
        </w:tc>
        <w:tc>
          <w:tcPr>
            <w:tcW w:w="146"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10.86%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962</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882</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3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Octagon 57 LLC, Series 2021-1A</w:t>
            </w:r>
            <w:r>
              <w:rPr>
                <w:rFonts w:ascii="Times New Roman" w:hAnsi="Times New Roman"/>
                <w:sz w:val="12"/>
              </w:rPr>
              <w:t>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1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10/2034)</w:t>
            </w:r>
          </w:p>
        </w:tc>
        <w:tc>
          <w:tcPr>
            <w:tcW w:w="146" w:type="dxa"/>
            <w:tcBorders/>
            <w:shd w:fill="auto" w:val="clear"/>
            <w:vAlign w:val="center"/>
          </w:tcPr>
          <w:p>
            <w:pPr>
              <w:pStyle w:val="TableContents"/>
              <w:spacing w:before="0" w:after="0"/>
              <w:ind w:left="0" w:right="0" w:hanging="0"/>
              <w:jc w:val="righ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5/24/2022</w:t>
            </w:r>
          </w:p>
        </w:tc>
        <w:tc>
          <w:tcPr>
            <w:tcW w:w="146" w:type="dxa"/>
            <w:tcBorders/>
            <w:shd w:fill="auto" w:val="clear"/>
            <w:vAlign w:val="center"/>
          </w:tcPr>
          <w:p>
            <w:pPr>
              <w:pStyle w:val="TableContents"/>
              <w:spacing w:before="0" w:after="0"/>
              <w:ind w:left="0" w:right="0" w:hanging="0"/>
              <w:jc w:val="righ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+ 6.60%</w:t>
            </w:r>
          </w:p>
        </w:tc>
        <w:tc>
          <w:tcPr>
            <w:tcW w:w="146"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11.39%</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932</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911</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3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Octagon Investment Partners 18 Ltd, Series 2018-18A</w:t>
            </w:r>
            <w:r>
              <w:rPr>
                <w:rFonts w:ascii="Times New Roman" w:hAnsi="Times New Roman"/>
                <w:sz w:val="12"/>
              </w:rPr>
              <w:t>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1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4/2031)</w:t>
            </w:r>
          </w:p>
        </w:tc>
        <w:tc>
          <w:tcPr>
            <w:tcW w:w="146" w:type="dxa"/>
            <w:tcBorders/>
            <w:shd w:fill="auto" w:val="clear"/>
            <w:vAlign w:val="center"/>
          </w:tcPr>
          <w:p>
            <w:pPr>
              <w:pStyle w:val="TableContents"/>
              <w:spacing w:before="0" w:after="0"/>
              <w:ind w:left="0" w:right="0" w:hanging="0"/>
              <w:jc w:val="righ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7/26/2022</w:t>
            </w:r>
          </w:p>
        </w:tc>
        <w:tc>
          <w:tcPr>
            <w:tcW w:w="146" w:type="dxa"/>
            <w:tcBorders/>
            <w:shd w:fill="auto" w:val="clear"/>
            <w:vAlign w:val="center"/>
          </w:tcPr>
          <w:p>
            <w:pPr>
              <w:pStyle w:val="TableContents"/>
              <w:spacing w:before="0" w:after="0"/>
              <w:ind w:left="0" w:right="0" w:hanging="0"/>
              <w:jc w:val="righ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+ 2.70%</w:t>
            </w:r>
          </w:p>
        </w:tc>
        <w:tc>
          <w:tcPr>
            <w:tcW w:w="146"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7.49%</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895</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890</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3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Octagon Investment Partners 38 Ltd, Series 2018-1A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1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($2,800</w:t>
            </w:r>
            <w:r>
              <w:rPr>
                <w:rFonts w:ascii="Times New Roman" w:hAnsi="Times New Roman"/>
                <w:sz w:val="20"/>
              </w:rPr>
              <w:t> </w:t>
            </w:r>
            <w:r>
              <w:rPr>
                <w:rFonts w:ascii="Times New Roman;serif" w:hAnsi="Times New Roman;serif"/>
                <w:b w:val="false"/>
                <w:sz w:val="12"/>
              </w:rPr>
              <w:t>par, due 7/2030)</w:t>
            </w:r>
          </w:p>
        </w:tc>
        <w:tc>
          <w:tcPr>
            <w:tcW w:w="146" w:type="dxa"/>
            <w:tcBorders/>
            <w:shd w:fill="auto" w:val="clear"/>
            <w:vAlign w:val="center"/>
          </w:tcPr>
          <w:p>
            <w:pPr>
              <w:pStyle w:val="TableContents"/>
              <w:spacing w:before="0" w:after="0"/>
              <w:ind w:left="0" w:right="0" w:hanging="0"/>
              <w:jc w:val="righ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9/20/2022</w:t>
            </w:r>
          </w:p>
        </w:tc>
        <w:tc>
          <w:tcPr>
            <w:tcW w:w="146" w:type="dxa"/>
            <w:tcBorders/>
            <w:shd w:fill="auto" w:val="clear"/>
            <w:vAlign w:val="center"/>
          </w:tcPr>
          <w:p>
            <w:pPr>
              <w:pStyle w:val="TableContents"/>
              <w:spacing w:before="0" w:after="0"/>
              <w:ind w:left="0" w:right="0" w:hanging="0"/>
              <w:jc w:val="righ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+ 2.95%</w:t>
            </w:r>
          </w:p>
        </w:tc>
        <w:tc>
          <w:tcPr>
            <w:tcW w:w="146"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7.76%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2,472</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2,509</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0.2%</w:t>
            </w:r>
          </w:p>
        </w:tc>
      </w:tr>
      <w:tr>
        <w:trPr/>
        <w:tc>
          <w:tcPr>
            <w:tcW w:w="323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Park Avenue Institutional Advisers CLO Ltd, Series 2018-1A</w:t>
            </w:r>
            <w:r>
              <w:rPr>
                <w:rFonts w:ascii="Times New Roman" w:hAnsi="Times New Roman"/>
                <w:sz w:val="12"/>
              </w:rPr>
              <w:t>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1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10/2031)</w:t>
            </w:r>
          </w:p>
        </w:tc>
        <w:tc>
          <w:tcPr>
            <w:tcW w:w="146" w:type="dxa"/>
            <w:tcBorders/>
            <w:shd w:fill="auto" w:val="clear"/>
            <w:vAlign w:val="center"/>
          </w:tcPr>
          <w:p>
            <w:pPr>
              <w:pStyle w:val="TableContents"/>
              <w:spacing w:before="0" w:after="0"/>
              <w:ind w:left="0" w:right="0" w:hanging="0"/>
              <w:jc w:val="righ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9/23/2022</w:t>
            </w:r>
          </w:p>
        </w:tc>
        <w:tc>
          <w:tcPr>
            <w:tcW w:w="146" w:type="dxa"/>
            <w:tcBorders/>
            <w:shd w:fill="auto" w:val="clear"/>
            <w:vAlign w:val="center"/>
          </w:tcPr>
          <w:p>
            <w:pPr>
              <w:pStyle w:val="TableContents"/>
              <w:spacing w:before="0" w:after="0"/>
              <w:ind w:left="0" w:right="0" w:hanging="0"/>
              <w:jc w:val="righ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+ 3.33%</w:t>
            </w:r>
          </w:p>
        </w:tc>
        <w:tc>
          <w:tcPr>
            <w:tcW w:w="146"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8.14%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865</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853</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0.2%</w:t>
            </w:r>
          </w:p>
        </w:tc>
      </w:tr>
      <w:tr>
        <w:trPr/>
        <w:tc>
          <w:tcPr>
            <w:tcW w:w="323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Pikes Peak CLO, Series 2021-9A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1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($2,000</w:t>
            </w:r>
            <w:r>
              <w:rPr>
                <w:rFonts w:ascii="Times New Roman" w:hAnsi="Times New Roman"/>
                <w:sz w:val="20"/>
              </w:rPr>
              <w:t> </w:t>
            </w:r>
            <w:r>
              <w:rPr>
                <w:rFonts w:ascii="Times New Roman;serif" w:hAnsi="Times New Roman;serif"/>
                <w:b w:val="false"/>
                <w:sz w:val="12"/>
              </w:rPr>
              <w:t>par, due</w:t>
            </w:r>
            <w:r>
              <w:rPr>
                <w:rFonts w:ascii="Times New Roman" w:hAnsi="Times New Roman"/>
                <w:sz w:val="20"/>
              </w:rPr>
              <w:t xml:space="preserve"> </w:t>
            </w:r>
            <w:r>
              <w:rPr>
                <w:rFonts w:ascii="Times New Roman;serif" w:hAnsi="Times New Roman;serif"/>
                <w:b w:val="false"/>
                <w:sz w:val="12"/>
              </w:rPr>
              <w:t>10/2034)</w:t>
            </w:r>
          </w:p>
        </w:tc>
        <w:tc>
          <w:tcPr>
            <w:tcW w:w="146" w:type="dxa"/>
            <w:tcBorders/>
            <w:shd w:fill="auto" w:val="clear"/>
            <w:vAlign w:val="center"/>
          </w:tcPr>
          <w:p>
            <w:pPr>
              <w:pStyle w:val="TableContents"/>
              <w:spacing w:before="0" w:after="0"/>
              <w:ind w:left="0" w:right="0" w:hanging="0"/>
              <w:jc w:val="righ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8/31/2022</w:t>
            </w:r>
          </w:p>
        </w:tc>
        <w:tc>
          <w:tcPr>
            <w:tcW w:w="146" w:type="dxa"/>
            <w:tcBorders/>
            <w:shd w:fill="auto" w:val="clear"/>
            <w:vAlign w:val="center"/>
          </w:tcPr>
          <w:p>
            <w:pPr>
              <w:pStyle w:val="TableContents"/>
              <w:spacing w:before="0" w:after="0"/>
              <w:ind w:left="0" w:right="0" w:hanging="0"/>
              <w:jc w:val="righ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+ 6.58%</w:t>
            </w:r>
          </w:p>
        </w:tc>
        <w:tc>
          <w:tcPr>
            <w:tcW w:w="146"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11.39%</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1,782</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1,786</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3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RR Ltd, Series 2020-8A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1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4/2033)</w:t>
            </w:r>
          </w:p>
        </w:tc>
        <w:tc>
          <w:tcPr>
            <w:tcW w:w="146" w:type="dxa"/>
            <w:tcBorders/>
            <w:shd w:fill="auto" w:val="clear"/>
            <w:vAlign w:val="center"/>
          </w:tcPr>
          <w:p>
            <w:pPr>
              <w:pStyle w:val="TableContents"/>
              <w:spacing w:before="0" w:after="0"/>
              <w:ind w:left="0" w:right="0" w:hanging="0"/>
              <w:jc w:val="righ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8/22/2022</w:t>
            </w:r>
          </w:p>
        </w:tc>
        <w:tc>
          <w:tcPr>
            <w:tcW w:w="146" w:type="dxa"/>
            <w:tcBorders/>
            <w:shd w:fill="auto" w:val="clear"/>
            <w:vAlign w:val="center"/>
          </w:tcPr>
          <w:p>
            <w:pPr>
              <w:pStyle w:val="TableContents"/>
              <w:spacing w:before="0" w:after="0"/>
              <w:ind w:left="0" w:right="0" w:hanging="0"/>
              <w:jc w:val="righ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+ 6.40%</w:t>
            </w:r>
          </w:p>
        </w:tc>
        <w:tc>
          <w:tcPr>
            <w:tcW w:w="146"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11.19%</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937</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914</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3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Shackelton CLO Ltd, Series 2015-7RA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1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7/2031)</w:t>
            </w:r>
          </w:p>
        </w:tc>
        <w:tc>
          <w:tcPr>
            <w:tcW w:w="146" w:type="dxa"/>
            <w:tcBorders/>
            <w:shd w:fill="auto" w:val="clear"/>
            <w:vAlign w:val="center"/>
          </w:tcPr>
          <w:p>
            <w:pPr>
              <w:pStyle w:val="TableContents"/>
              <w:spacing w:before="0" w:after="0"/>
              <w:ind w:left="0" w:right="0" w:hanging="0"/>
              <w:jc w:val="righ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5/23/2022</w:t>
            </w:r>
          </w:p>
        </w:tc>
        <w:tc>
          <w:tcPr>
            <w:tcW w:w="146" w:type="dxa"/>
            <w:tcBorders/>
            <w:shd w:fill="auto" w:val="clear"/>
            <w:vAlign w:val="center"/>
          </w:tcPr>
          <w:p>
            <w:pPr>
              <w:pStyle w:val="TableContents"/>
              <w:spacing w:before="0" w:after="0"/>
              <w:ind w:left="0" w:right="0" w:hanging="0"/>
              <w:jc w:val="righ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+ 3.33%</w:t>
            </w:r>
          </w:p>
        </w:tc>
        <w:tc>
          <w:tcPr>
            <w:tcW w:w="146"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8.12%</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896</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3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Signal Peak CLO LLC, Series 2018-5A</w:t>
            </w:r>
            <w:r>
              <w:rPr>
                <w:rFonts w:ascii="Times New Roman" w:hAnsi="Times New Roman"/>
                <w:sz w:val="12"/>
              </w:rPr>
              <w:t>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1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4/2031)</w:t>
            </w:r>
          </w:p>
        </w:tc>
        <w:tc>
          <w:tcPr>
            <w:tcW w:w="146" w:type="dxa"/>
            <w:tcBorders/>
            <w:shd w:fill="auto" w:val="clear"/>
            <w:vAlign w:val="center"/>
          </w:tcPr>
          <w:p>
            <w:pPr>
              <w:pStyle w:val="TableContents"/>
              <w:spacing w:before="0" w:after="0"/>
              <w:ind w:left="0" w:right="0" w:hanging="0"/>
              <w:jc w:val="righ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8/9/2022</w:t>
            </w:r>
          </w:p>
        </w:tc>
        <w:tc>
          <w:tcPr>
            <w:tcW w:w="146" w:type="dxa"/>
            <w:tcBorders/>
            <w:shd w:fill="auto" w:val="clear"/>
            <w:vAlign w:val="center"/>
          </w:tcPr>
          <w:p>
            <w:pPr>
              <w:pStyle w:val="TableContents"/>
              <w:spacing w:before="0" w:after="0"/>
              <w:ind w:left="0" w:right="0" w:hanging="0"/>
              <w:jc w:val="righ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+ 5.65%</w:t>
            </w:r>
          </w:p>
        </w:tc>
        <w:tc>
          <w:tcPr>
            <w:tcW w:w="146"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10.47%</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898</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882</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3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Southwick Park CLO Ltd, Series 2019-4A</w:t>
            </w:r>
            <w:r>
              <w:rPr>
                <w:rFonts w:ascii="Times New Roman" w:hAnsi="Times New Roman"/>
                <w:sz w:val="12"/>
              </w:rPr>
              <w:t>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1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7/2032)</w:t>
            </w:r>
          </w:p>
        </w:tc>
        <w:tc>
          <w:tcPr>
            <w:tcW w:w="146" w:type="dxa"/>
            <w:tcBorders/>
            <w:shd w:fill="auto" w:val="clear"/>
            <w:vAlign w:val="center"/>
          </w:tcPr>
          <w:p>
            <w:pPr>
              <w:pStyle w:val="TableContents"/>
              <w:spacing w:before="0" w:after="0"/>
              <w:ind w:left="0" w:right="0" w:hanging="0"/>
              <w:jc w:val="righ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5/25/2022</w:t>
            </w:r>
          </w:p>
        </w:tc>
        <w:tc>
          <w:tcPr>
            <w:tcW w:w="146" w:type="dxa"/>
            <w:tcBorders/>
            <w:shd w:fill="auto" w:val="clear"/>
            <w:vAlign w:val="center"/>
          </w:tcPr>
          <w:p>
            <w:pPr>
              <w:pStyle w:val="TableContents"/>
              <w:spacing w:before="0" w:after="0"/>
              <w:ind w:left="0" w:right="0" w:hanging="0"/>
              <w:jc w:val="righ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+ 6.25%</w:t>
            </w:r>
          </w:p>
        </w:tc>
        <w:tc>
          <w:tcPr>
            <w:tcW w:w="146"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929</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870</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3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Stewart Park CLO Ltd, Series 2015-1A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1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1/2030)</w:t>
            </w:r>
          </w:p>
        </w:tc>
        <w:tc>
          <w:tcPr>
            <w:tcW w:w="146" w:type="dxa"/>
            <w:tcBorders/>
            <w:shd w:fill="auto" w:val="clear"/>
            <w:vAlign w:val="center"/>
          </w:tcPr>
          <w:p>
            <w:pPr>
              <w:pStyle w:val="TableContents"/>
              <w:spacing w:before="0" w:after="0"/>
              <w:ind w:left="0" w:right="0" w:hanging="0"/>
              <w:jc w:val="righ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7/25/2022</w:t>
            </w:r>
          </w:p>
        </w:tc>
        <w:tc>
          <w:tcPr>
            <w:tcW w:w="146" w:type="dxa"/>
            <w:tcBorders/>
            <w:shd w:fill="auto" w:val="clear"/>
            <w:vAlign w:val="center"/>
          </w:tcPr>
          <w:p>
            <w:pPr>
              <w:pStyle w:val="TableContents"/>
              <w:spacing w:before="0" w:after="0"/>
              <w:ind w:left="0" w:right="0" w:hanging="0"/>
              <w:jc w:val="righ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+ 2.60%</w:t>
            </w:r>
          </w:p>
        </w:tc>
        <w:tc>
          <w:tcPr>
            <w:tcW w:w="146"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7.39%</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906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899</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3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Voya CLO Ltd, Series 2018-3A</w:t>
            </w:r>
            <w:r>
              <w:rPr>
                <w:rFonts w:ascii="Times New Roman" w:hAnsi="Times New Roman"/>
                <w:sz w:val="12"/>
              </w:rPr>
              <w:t>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1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($2,750</w:t>
            </w:r>
            <w:r>
              <w:rPr>
                <w:rFonts w:ascii="Times New Roman" w:hAnsi="Times New Roman"/>
                <w:sz w:val="20"/>
              </w:rPr>
              <w:t> </w:t>
            </w:r>
            <w:r>
              <w:rPr>
                <w:rFonts w:ascii="Times New Roman;serif" w:hAnsi="Times New Roman;serif"/>
                <w:b w:val="false"/>
                <w:sz w:val="12"/>
              </w:rPr>
              <w:t>par, due 10/2031)</w:t>
            </w:r>
          </w:p>
        </w:tc>
        <w:tc>
          <w:tcPr>
            <w:tcW w:w="146" w:type="dxa"/>
            <w:tcBorders/>
            <w:shd w:fill="auto" w:val="clear"/>
            <w:vAlign w:val="center"/>
          </w:tcPr>
          <w:p>
            <w:pPr>
              <w:pStyle w:val="TableContents"/>
              <w:spacing w:before="0" w:after="0"/>
              <w:ind w:left="0" w:right="0" w:hanging="0"/>
              <w:jc w:val="righ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6/22/2022</w:t>
            </w:r>
          </w:p>
        </w:tc>
        <w:tc>
          <w:tcPr>
            <w:tcW w:w="146" w:type="dxa"/>
            <w:tcBorders/>
            <w:shd w:fill="auto" w:val="clear"/>
            <w:vAlign w:val="center"/>
          </w:tcPr>
          <w:p>
            <w:pPr>
              <w:pStyle w:val="TableContents"/>
              <w:spacing w:before="0" w:after="0"/>
              <w:ind w:left="0" w:right="0" w:hanging="0"/>
              <w:jc w:val="righ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+ 5.75%</w:t>
            </w:r>
          </w:p>
        </w:tc>
        <w:tc>
          <w:tcPr>
            <w:tcW w:w="146"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10.54%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2,395</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2,214</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0.2%</w:t>
            </w:r>
          </w:p>
        </w:tc>
      </w:tr>
      <w:tr>
        <w:trPr/>
        <w:tc>
          <w:tcPr>
            <w:tcW w:w="323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Whitebox CLO I Ltd, Series 2020-2A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1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($1,125</w:t>
            </w:r>
            <w:r>
              <w:rPr>
                <w:rFonts w:ascii="Times New Roman" w:hAnsi="Times New Roman"/>
                <w:sz w:val="20"/>
              </w:rPr>
              <w:t> </w:t>
            </w:r>
            <w:r>
              <w:rPr>
                <w:rFonts w:ascii="Times New Roman;serif" w:hAnsi="Times New Roman;serif"/>
                <w:b w:val="false"/>
                <w:sz w:val="12"/>
              </w:rPr>
              <w:t>par, due 10/2034)</w:t>
            </w:r>
          </w:p>
        </w:tc>
        <w:tc>
          <w:tcPr>
            <w:tcW w:w="146" w:type="dxa"/>
            <w:tcBorders/>
            <w:shd w:fill="auto" w:val="clear"/>
            <w:vAlign w:val="center"/>
          </w:tcPr>
          <w:p>
            <w:pPr>
              <w:pStyle w:val="TableContents"/>
              <w:spacing w:before="0" w:after="0"/>
              <w:ind w:left="0" w:right="0" w:hanging="0"/>
              <w:jc w:val="righ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7/12/2022</w:t>
            </w:r>
          </w:p>
        </w:tc>
        <w:tc>
          <w:tcPr>
            <w:tcW w:w="146" w:type="dxa"/>
            <w:tcBorders/>
            <w:shd w:fill="auto" w:val="clear"/>
            <w:vAlign w:val="center"/>
          </w:tcPr>
          <w:p>
            <w:pPr>
              <w:pStyle w:val="TableContents"/>
              <w:spacing w:before="0" w:after="0"/>
              <w:ind w:left="0" w:right="0" w:hanging="0"/>
              <w:jc w:val="righ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+ 3.35%</w:t>
            </w:r>
          </w:p>
        </w:tc>
        <w:tc>
          <w:tcPr>
            <w:tcW w:w="146"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8.17%</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1,008</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1,032</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3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Wind River CLO Ltd, Series 2014-2A</w:t>
            </w:r>
            <w:r>
              <w:rPr>
                <w:rFonts w:ascii="Times New Roman" w:hAnsi="Times New Roman"/>
                <w:sz w:val="12"/>
              </w:rPr>
              <w:t>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1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($1,500</w:t>
            </w:r>
            <w:r>
              <w:rPr>
                <w:rFonts w:ascii="Times New Roman" w:hAnsi="Times New Roman"/>
                <w:sz w:val="20"/>
              </w:rPr>
              <w:t> </w:t>
            </w:r>
            <w:r>
              <w:rPr>
                <w:rFonts w:ascii="Times New Roman;serif" w:hAnsi="Times New Roman;serif"/>
                <w:b w:val="false"/>
                <w:sz w:val="12"/>
              </w:rPr>
              <w:t>par, due 1/2031)</w:t>
            </w:r>
          </w:p>
        </w:tc>
        <w:tc>
          <w:tcPr>
            <w:tcW w:w="146" w:type="dxa"/>
            <w:tcBorders/>
            <w:shd w:fill="auto" w:val="clear"/>
            <w:vAlign w:val="center"/>
          </w:tcPr>
          <w:p>
            <w:pPr>
              <w:pStyle w:val="TableContents"/>
              <w:spacing w:before="0" w:after="0"/>
              <w:ind w:left="0" w:right="0" w:hanging="0"/>
              <w:jc w:val="righ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6/23/2022</w:t>
            </w:r>
          </w:p>
        </w:tc>
        <w:tc>
          <w:tcPr>
            <w:tcW w:w="146" w:type="dxa"/>
            <w:tcBorders/>
            <w:shd w:fill="auto" w:val="clear"/>
            <w:vAlign w:val="center"/>
          </w:tcPr>
          <w:p>
            <w:pPr>
              <w:pStyle w:val="TableContents"/>
              <w:spacing w:before="0" w:after="0"/>
              <w:ind w:left="0" w:right="0" w:hanging="0"/>
              <w:jc w:val="righ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+ 2.90%</w:t>
            </w:r>
          </w:p>
        </w:tc>
        <w:tc>
          <w:tcPr>
            <w:tcW w:w="146"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7.69%</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1,253</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3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Wind River CLO Ltd, Series 2017-1A</w:t>
            </w:r>
            <w:r>
              <w:rPr>
                <w:rFonts w:ascii="Times New Roman" w:hAnsi="Times New Roman"/>
                <w:sz w:val="12"/>
              </w:rPr>
              <w:t>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1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($3,000</w:t>
            </w:r>
            <w:r>
              <w:rPr>
                <w:rFonts w:ascii="Times New Roman" w:hAnsi="Times New Roman"/>
                <w:sz w:val="20"/>
              </w:rPr>
              <w:t> </w:t>
            </w:r>
            <w:r>
              <w:rPr>
                <w:rFonts w:ascii="Times New Roman;serif" w:hAnsi="Times New Roman;serif"/>
                <w:b w:val="false"/>
                <w:sz w:val="12"/>
              </w:rPr>
              <w:t>par, due 4/2036)</w:t>
            </w:r>
          </w:p>
        </w:tc>
        <w:tc>
          <w:tcPr>
            <w:tcW w:w="146" w:type="dxa"/>
            <w:tcBorders/>
            <w:shd w:fill="auto" w:val="clear"/>
            <w:vAlign w:val="center"/>
          </w:tcPr>
          <w:p>
            <w:pPr>
              <w:pStyle w:val="TableContents"/>
              <w:spacing w:before="0" w:after="0"/>
              <w:ind w:left="0" w:right="0" w:hanging="0"/>
              <w:jc w:val="righ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7/14/2022</w:t>
            </w:r>
          </w:p>
        </w:tc>
        <w:tc>
          <w:tcPr>
            <w:tcW w:w="146" w:type="dxa"/>
            <w:tcBorders/>
            <w:shd w:fill="auto" w:val="clear"/>
            <w:vAlign w:val="center"/>
          </w:tcPr>
          <w:p>
            <w:pPr>
              <w:pStyle w:val="TableContents"/>
              <w:spacing w:before="0" w:after="0"/>
              <w:ind w:left="0" w:right="0" w:hanging="0"/>
              <w:jc w:val="righ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+ 3.72%</w:t>
            </w:r>
          </w:p>
        </w:tc>
        <w:tc>
          <w:tcPr>
            <w:tcW w:w="146"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8.51%</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2,621</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2,621</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0.2%</w:t>
            </w:r>
          </w:p>
        </w:tc>
      </w:tr>
      <w:tr>
        <w:trPr/>
        <w:tc>
          <w:tcPr>
            <w:tcW w:w="323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Wind River CLO Ltd, Series 2018-3A </w:t>
            </w:r>
            <w:r>
              <w:rPr>
                <w:rFonts w:ascii="Times New Roman;serif" w:hAnsi="Times New Roman;serif"/>
                <w:b w:val="false"/>
                <w:sz w:val="8"/>
              </w:rPr>
              <w:t>(3)(4)(9)</w:t>
            </w:r>
          </w:p>
        </w:tc>
        <w:tc>
          <w:tcPr>
            <w:tcW w:w="146" w:type="dxa"/>
            <w:tcBorders/>
            <w:shd w:fill="auto" w:val="clear"/>
            <w:vAlign w:val="center"/>
          </w:tcPr>
          <w:p>
            <w:pPr>
              <w:pStyle w:val="TableContents"/>
              <w:spacing w:before="0" w:after="0"/>
              <w:ind w:left="0" w:right="0" w:hanging="0"/>
              <w:jc w:val="right"/>
              <w:rPr/>
            </w:pPr>
            <w:r>
              <w:rPr/>
              <w:t> </w:t>
            </w:r>
          </w:p>
        </w:tc>
        <w:tc>
          <w:tcPr>
            <w:tcW w:w="2213"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($2,000</w:t>
            </w:r>
            <w:r>
              <w:rPr>
                <w:rFonts w:ascii="Times New Roman" w:hAnsi="Times New Roman"/>
                <w:sz w:val="20"/>
              </w:rPr>
              <w:t> </w:t>
            </w:r>
            <w:r>
              <w:rPr>
                <w:rFonts w:ascii="Times New Roman;serif" w:hAnsi="Times New Roman;serif"/>
                <w:b w:val="false"/>
                <w:sz w:val="12"/>
              </w:rPr>
              <w:t>par, due 1/2031)</w:t>
            </w:r>
          </w:p>
        </w:tc>
        <w:tc>
          <w:tcPr>
            <w:tcW w:w="146" w:type="dxa"/>
            <w:tcBorders/>
            <w:shd w:fill="auto" w:val="clear"/>
            <w:vAlign w:val="center"/>
          </w:tcPr>
          <w:p>
            <w:pPr>
              <w:pStyle w:val="TableContents"/>
              <w:spacing w:before="0" w:after="0"/>
              <w:ind w:left="0" w:right="0" w:hanging="0"/>
              <w:jc w:val="righ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12/12/2022</w:t>
            </w:r>
          </w:p>
        </w:tc>
        <w:tc>
          <w:tcPr>
            <w:tcW w:w="146" w:type="dxa"/>
            <w:tcBorders/>
            <w:shd w:fill="auto" w:val="clear"/>
            <w:vAlign w:val="center"/>
          </w:tcPr>
          <w:p>
            <w:pPr>
              <w:pStyle w:val="TableContents"/>
              <w:spacing w:before="0" w:after="0"/>
              <w:ind w:left="0" w:right="0" w:hanging="0"/>
              <w:jc w:val="right"/>
              <w:rPr/>
            </w:pPr>
            <w:r>
              <w:rPr/>
              <w:t> </w:t>
            </w:r>
          </w:p>
        </w:tc>
        <w:tc>
          <w:tcPr>
            <w:tcW w:w="6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+ 5.65%</w:t>
            </w:r>
          </w:p>
        </w:tc>
        <w:tc>
          <w:tcPr>
            <w:tcW w:w="146"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10.46%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1,694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1,665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3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1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54,724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53,670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w:t>
            </w:r>
          </w:p>
        </w:tc>
      </w:tr>
      <w:tr>
        <w:trPr/>
        <w:tc>
          <w:tcPr>
            <w:tcW w:w="3230"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Equity and Other Investments</w:t>
            </w:r>
          </w:p>
        </w:tc>
        <w:tc>
          <w:tcPr>
            <w:tcW w:w="146" w:type="dxa"/>
            <w:tcBorders/>
            <w:shd w:fill="auto" w:val="clear"/>
            <w:vAlign w:val="center"/>
          </w:tcPr>
          <w:p>
            <w:pPr>
              <w:pStyle w:val="TableContents"/>
              <w:spacing w:before="0" w:after="0"/>
              <w:ind w:left="0" w:right="0" w:hanging="0"/>
              <w:jc w:val="right"/>
              <w:rPr/>
            </w:pPr>
            <w:r>
              <w:rPr/>
              <w:t> </w:t>
            </w:r>
          </w:p>
        </w:tc>
        <w:tc>
          <w:tcPr>
            <w:tcW w:w="221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197,430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211,177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16.6%</w:t>
            </w:r>
          </w:p>
        </w:tc>
      </w:tr>
      <w:tr>
        <w:trPr/>
        <w:tc>
          <w:tcPr>
            <w:tcW w:w="3230"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Investments</w:t>
            </w:r>
          </w:p>
        </w:tc>
        <w:tc>
          <w:tcPr>
            <w:tcW w:w="146" w:type="dxa"/>
            <w:tcBorders/>
            <w:shd w:fill="auto" w:val="clear"/>
            <w:vAlign w:val="center"/>
          </w:tcPr>
          <w:p>
            <w:pPr>
              <w:pStyle w:val="TableContents"/>
              <w:spacing w:before="0" w:after="0"/>
              <w:ind w:left="0" w:right="0" w:hanging="0"/>
              <w:jc w:val="right"/>
              <w:rPr/>
            </w:pPr>
            <w:r>
              <w:rPr/>
              <w:t> </w:t>
            </w:r>
          </w:p>
        </w:tc>
        <w:tc>
          <w:tcPr>
            <w:tcW w:w="221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2,899,835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2,918,584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215.2%</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591"/>
        <w:gridCol w:w="146"/>
        <w:gridCol w:w="884"/>
        <w:gridCol w:w="146"/>
        <w:gridCol w:w="884"/>
        <w:gridCol w:w="146"/>
        <w:gridCol w:w="979"/>
        <w:gridCol w:w="146"/>
        <w:gridCol w:w="211"/>
        <w:gridCol w:w="781"/>
        <w:gridCol w:w="146"/>
        <w:gridCol w:w="146"/>
        <w:gridCol w:w="211"/>
        <w:gridCol w:w="736"/>
        <w:gridCol w:w="166"/>
        <w:gridCol w:w="146"/>
        <w:gridCol w:w="325"/>
        <w:gridCol w:w="653"/>
        <w:gridCol w:w="146"/>
        <w:gridCol w:w="146"/>
        <w:gridCol w:w="289"/>
        <w:gridCol w:w="784"/>
        <w:gridCol w:w="397"/>
      </w:tblGrid>
      <w:tr>
        <w:trPr/>
        <w:tc>
          <w:tcPr>
            <w:tcW w:w="15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r>
      <w:tr>
        <w:trPr/>
        <w:tc>
          <w:tcPr>
            <w:tcW w:w="15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071" w:type="dxa"/>
            <w:gridSpan w:val="2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Interest Rate Swaps as of March 31, 2023</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Company</w:t>
              <w:br/>
              <w:t>Receives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Company</w:t>
              <w:br/>
              <w:t>Pays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9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Maturity 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Notional</w:t>
              <w:b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w:t>
              <w:br/>
              <w:t>Market</w:t>
              <w:br/>
              <w:t>Value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Upfront</w:t>
              <w:br/>
              <w:t>(Payments) /</w:t>
              <w:br/>
              <w:t>Receipts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7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 in</w:t>
              <w:br/>
              <w:t>Unrealized</w:t>
              <w:br/>
              <w:t>Gains / (Losses)</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9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(a)(b)</w:t>
            </w:r>
          </w:p>
        </w:tc>
        <w:tc>
          <w:tcPr>
            <w:tcW w:w="146" w:type="dxa"/>
            <w:tcBorders/>
            <w:shd w:fill="auto" w:val="clear"/>
            <w:vAlign w:val="center"/>
          </w:tcPr>
          <w:p>
            <w:pPr>
              <w:pStyle w:val="TableContents"/>
              <w:spacing w:before="0" w:after="0"/>
              <w:ind w:left="0" w:right="0" w:hanging="0"/>
              <w:jc w:val="right"/>
              <w:rPr/>
            </w:pPr>
            <w:r>
              <w:rPr/>
              <w:t> </w:t>
            </w:r>
          </w:p>
        </w:tc>
        <w:tc>
          <w:tcPr>
            <w:tcW w:w="88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4.50%</w:t>
            </w:r>
          </w:p>
        </w:tc>
        <w:tc>
          <w:tcPr>
            <w:tcW w:w="146" w:type="dxa"/>
            <w:tcBorders/>
            <w:shd w:fill="auto" w:val="clear"/>
            <w:vAlign w:val="center"/>
          </w:tcPr>
          <w:p>
            <w:pPr>
              <w:pStyle w:val="TableContents"/>
              <w:spacing w:before="0" w:after="0"/>
              <w:ind w:left="0" w:right="0" w:hanging="0"/>
              <w:jc w:val="right"/>
              <w:rPr/>
            </w:pPr>
            <w:r>
              <w:rPr/>
              <w:t> </w:t>
            </w:r>
          </w:p>
        </w:tc>
        <w:tc>
          <w:tcPr>
            <w:tcW w:w="88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 + 1.99%</w:t>
            </w:r>
          </w:p>
        </w:tc>
        <w:tc>
          <w:tcPr>
            <w:tcW w:w="146" w:type="dxa"/>
            <w:tcBorders/>
            <w:shd w:fill="auto" w:val="clear"/>
            <w:vAlign w:val="center"/>
          </w:tcPr>
          <w:p>
            <w:pPr>
              <w:pStyle w:val="TableContents"/>
              <w:spacing w:before="0" w:after="0"/>
              <w:ind w:left="0" w:right="0" w:hanging="0"/>
              <w:jc w:val="right"/>
              <w:rPr/>
            </w:pPr>
            <w:r>
              <w:rPr/>
              <w:t> </w:t>
            </w:r>
          </w:p>
        </w:tc>
        <w:tc>
          <w:tcPr>
            <w:tcW w:w="9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1/22/2023</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w:t>
            </w:r>
          </w:p>
        </w:tc>
        <w:tc>
          <w:tcPr>
            <w:tcW w:w="397" w:type="dxa"/>
            <w:tcBorders/>
            <w:shd w:fill="auto" w:val="clear"/>
            <w:vAlign w:val="center"/>
          </w:tcPr>
          <w:p>
            <w:pPr>
              <w:pStyle w:val="TableContents"/>
              <w:spacing w:before="0" w:after="0"/>
              <w:ind w:left="0" w:right="0" w:hanging="0"/>
              <w:jc w:val="left"/>
              <w:rPr/>
            </w:pPr>
            <w:r>
              <w:rPr/>
              <w:t> </w:t>
            </w:r>
          </w:p>
        </w:tc>
      </w:tr>
      <w:tr>
        <w:trPr/>
        <w:tc>
          <w:tcPr>
            <w:tcW w:w="159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(a)(e)</w:t>
            </w:r>
          </w:p>
        </w:tc>
        <w:tc>
          <w:tcPr>
            <w:tcW w:w="146" w:type="dxa"/>
            <w:tcBorders/>
            <w:shd w:fill="auto" w:val="clear"/>
            <w:vAlign w:val="center"/>
          </w:tcPr>
          <w:p>
            <w:pPr>
              <w:pStyle w:val="TableContents"/>
              <w:spacing w:before="0" w:after="0"/>
              <w:ind w:left="0" w:right="0" w:hanging="0"/>
              <w:jc w:val="right"/>
              <w:rPr/>
            </w:pPr>
            <w:r>
              <w:rPr/>
              <w:t> </w:t>
            </w:r>
          </w:p>
        </w:tc>
        <w:tc>
          <w:tcPr>
            <w:tcW w:w="88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 + 2.28%</w:t>
            </w:r>
          </w:p>
        </w:tc>
        <w:tc>
          <w:tcPr>
            <w:tcW w:w="146" w:type="dxa"/>
            <w:tcBorders/>
            <w:shd w:fill="auto" w:val="clear"/>
            <w:vAlign w:val="center"/>
          </w:tcPr>
          <w:p>
            <w:pPr>
              <w:pStyle w:val="TableContents"/>
              <w:spacing w:before="0" w:after="0"/>
              <w:ind w:left="0" w:right="0" w:hanging="0"/>
              <w:jc w:val="right"/>
              <w:rPr/>
            </w:pPr>
            <w:r>
              <w:rPr/>
              <w:t> </w:t>
            </w:r>
          </w:p>
        </w:tc>
        <w:tc>
          <w:tcPr>
            <w:tcW w:w="88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3.875%</w:t>
            </w:r>
          </w:p>
        </w:tc>
        <w:tc>
          <w:tcPr>
            <w:tcW w:w="146" w:type="dxa"/>
            <w:tcBorders/>
            <w:shd w:fill="auto" w:val="clear"/>
            <w:vAlign w:val="center"/>
          </w:tcPr>
          <w:p>
            <w:pPr>
              <w:pStyle w:val="TableContents"/>
              <w:spacing w:before="0" w:after="0"/>
              <w:ind w:left="0" w:right="0" w:hanging="0"/>
              <w:jc w:val="right"/>
              <w:rPr/>
            </w:pPr>
            <w:r>
              <w:rPr/>
              <w:t> </w:t>
            </w:r>
          </w:p>
        </w:tc>
        <w:tc>
          <w:tcPr>
            <w:tcW w:w="9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11/1/2024</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right"/>
              <w:rPr/>
            </w:pPr>
            <w:r>
              <w:rPr/>
              <w:t> </w:t>
            </w:r>
          </w:p>
        </w:tc>
        <w:tc>
          <w:tcPr>
            <w:tcW w:w="88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7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25" w:type="dxa"/>
            <w:tcBorders/>
            <w:shd w:fill="auto" w:val="clear"/>
            <w:vAlign w:val="center"/>
          </w:tcPr>
          <w:p>
            <w:pPr>
              <w:pStyle w:val="TableContents"/>
              <w:spacing w:before="0" w:after="0"/>
              <w:ind w:left="0" w:right="0" w:hanging="0"/>
              <w:jc w:val="left"/>
              <w:rPr/>
            </w:pPr>
            <w:r>
              <w:rPr/>
              <w:t> </w:t>
            </w:r>
          </w:p>
        </w:tc>
        <w:tc>
          <w:tcPr>
            <w:tcW w:w="6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w:t>
            </w:r>
          </w:p>
        </w:tc>
        <w:tc>
          <w:tcPr>
            <w:tcW w:w="397" w:type="dxa"/>
            <w:tcBorders/>
            <w:shd w:fill="auto" w:val="clear"/>
            <w:vAlign w:val="center"/>
          </w:tcPr>
          <w:p>
            <w:pPr>
              <w:pStyle w:val="TableContents"/>
              <w:spacing w:before="0" w:after="0"/>
              <w:ind w:left="0" w:right="0" w:hanging="0"/>
              <w:jc w:val="left"/>
              <w:rPr/>
            </w:pPr>
            <w:r>
              <w:rPr/>
              <w:t> </w:t>
            </w:r>
          </w:p>
        </w:tc>
      </w:tr>
      <w:tr>
        <w:trPr/>
        <w:tc>
          <w:tcPr>
            <w:tcW w:w="15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7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78"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73" w:type="dxa"/>
            <w:gridSpan w:val="2"/>
            <w:tcBorders/>
            <w:shd w:fill="auto" w:val="clear"/>
            <w:vAlign w:val="center"/>
          </w:tcPr>
          <w:p>
            <w:pPr>
              <w:pStyle w:val="TableContents"/>
              <w:spacing w:before="0" w:after="0"/>
              <w:ind w:left="0" w:right="0" w:hanging="0"/>
              <w:jc w:val="right"/>
              <w:rPr/>
            </w:pPr>
            <w:r>
              <w:rPr/>
              <w:t> </w:t>
            </w:r>
          </w:p>
        </w:tc>
        <w:tc>
          <w:tcPr>
            <w:tcW w:w="397" w:type="dxa"/>
            <w:tcBorders/>
            <w:shd w:fill="auto" w:val="clear"/>
            <w:vAlign w:val="center"/>
          </w:tcPr>
          <w:p>
            <w:pPr>
              <w:pStyle w:val="TableContents"/>
              <w:spacing w:before="0" w:after="0"/>
              <w:ind w:left="0" w:right="0" w:hanging="0"/>
              <w:jc w:val="right"/>
              <w:rPr/>
            </w:pPr>
            <w:r>
              <w:rPr/>
              <w:t> </w:t>
            </w:r>
          </w:p>
        </w:tc>
      </w:tr>
      <w:tr>
        <w:trPr/>
        <w:tc>
          <w:tcPr>
            <w:tcW w:w="159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(a)(c)(d)</w:t>
            </w:r>
          </w:p>
        </w:tc>
        <w:tc>
          <w:tcPr>
            <w:tcW w:w="146" w:type="dxa"/>
            <w:tcBorders/>
            <w:shd w:fill="auto" w:val="clear"/>
            <w:vAlign w:val="center"/>
          </w:tcPr>
          <w:p>
            <w:pPr>
              <w:pStyle w:val="TableContents"/>
              <w:spacing w:before="0" w:after="0"/>
              <w:ind w:left="0" w:right="0" w:hanging="0"/>
              <w:jc w:val="right"/>
              <w:rPr/>
            </w:pPr>
            <w:r>
              <w:rPr/>
              <w:t> </w:t>
            </w:r>
          </w:p>
        </w:tc>
        <w:tc>
          <w:tcPr>
            <w:tcW w:w="88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3.875%</w:t>
            </w:r>
          </w:p>
        </w:tc>
        <w:tc>
          <w:tcPr>
            <w:tcW w:w="146" w:type="dxa"/>
            <w:tcBorders/>
            <w:shd w:fill="auto" w:val="clear"/>
            <w:vAlign w:val="center"/>
          </w:tcPr>
          <w:p>
            <w:pPr>
              <w:pStyle w:val="TableContents"/>
              <w:spacing w:before="0" w:after="0"/>
              <w:ind w:left="0" w:right="0" w:hanging="0"/>
              <w:jc w:val="right"/>
              <w:rPr/>
            </w:pPr>
            <w:r>
              <w:rPr/>
              <w:t> </w:t>
            </w:r>
          </w:p>
        </w:tc>
        <w:tc>
          <w:tcPr>
            <w:tcW w:w="88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 + 2.25%</w:t>
            </w:r>
          </w:p>
        </w:tc>
        <w:tc>
          <w:tcPr>
            <w:tcW w:w="146" w:type="dxa"/>
            <w:tcBorders/>
            <w:shd w:fill="auto" w:val="clear"/>
            <w:vAlign w:val="center"/>
          </w:tcPr>
          <w:p>
            <w:pPr>
              <w:pStyle w:val="TableContents"/>
              <w:spacing w:before="0" w:after="0"/>
              <w:ind w:left="0" w:right="0" w:hanging="0"/>
              <w:jc w:val="right"/>
              <w:rPr/>
            </w:pPr>
            <w:r>
              <w:rPr/>
              <w:t> </w:t>
            </w:r>
          </w:p>
        </w:tc>
        <w:tc>
          <w:tcPr>
            <w:tcW w:w="9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11/1/2024</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(13,820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25" w:type="dxa"/>
            <w:tcBorders/>
            <w:shd w:fill="auto" w:val="clear"/>
            <w:vAlign w:val="center"/>
          </w:tcPr>
          <w:p>
            <w:pPr>
              <w:pStyle w:val="TableContents"/>
              <w:spacing w:before="0" w:after="0"/>
              <w:ind w:left="0" w:right="0" w:hanging="0"/>
              <w:jc w:val="left"/>
              <w:rPr/>
            </w:pPr>
            <w:r>
              <w:rPr/>
              <w:t> </w:t>
            </w:r>
          </w:p>
        </w:tc>
        <w:tc>
          <w:tcPr>
            <w:tcW w:w="65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2,673</w:t>
            </w:r>
          </w:p>
        </w:tc>
        <w:tc>
          <w:tcPr>
            <w:tcW w:w="397" w:type="dxa"/>
            <w:tcBorders/>
            <w:shd w:fill="auto" w:val="clear"/>
            <w:vAlign w:val="center"/>
          </w:tcPr>
          <w:p>
            <w:pPr>
              <w:pStyle w:val="TableContents"/>
              <w:spacing w:before="0" w:after="0"/>
              <w:ind w:left="0" w:right="0" w:hanging="0"/>
              <w:jc w:val="left"/>
              <w:rPr/>
            </w:pPr>
            <w:r>
              <w:rPr/>
              <w:t> </w:t>
            </w:r>
          </w:p>
        </w:tc>
      </w:tr>
      <w:tr>
        <w:trPr/>
        <w:tc>
          <w:tcPr>
            <w:tcW w:w="159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(a)(c)(d)</w:t>
            </w:r>
          </w:p>
        </w:tc>
        <w:tc>
          <w:tcPr>
            <w:tcW w:w="146" w:type="dxa"/>
            <w:tcBorders/>
            <w:shd w:fill="auto" w:val="clear"/>
            <w:vAlign w:val="center"/>
          </w:tcPr>
          <w:p>
            <w:pPr>
              <w:pStyle w:val="TableContents"/>
              <w:spacing w:before="0" w:after="0"/>
              <w:ind w:left="0" w:right="0" w:hanging="0"/>
              <w:jc w:val="right"/>
              <w:rPr/>
            </w:pPr>
            <w:r>
              <w:rPr/>
              <w:t> </w:t>
            </w:r>
          </w:p>
        </w:tc>
        <w:tc>
          <w:tcPr>
            <w:tcW w:w="88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3.875%</w:t>
            </w:r>
          </w:p>
        </w:tc>
        <w:tc>
          <w:tcPr>
            <w:tcW w:w="146" w:type="dxa"/>
            <w:tcBorders/>
            <w:shd w:fill="auto" w:val="clear"/>
            <w:vAlign w:val="center"/>
          </w:tcPr>
          <w:p>
            <w:pPr>
              <w:pStyle w:val="TableContents"/>
              <w:spacing w:before="0" w:after="0"/>
              <w:ind w:left="0" w:right="0" w:hanging="0"/>
              <w:jc w:val="right"/>
              <w:rPr/>
            </w:pPr>
            <w:r>
              <w:rPr/>
              <w:t> </w:t>
            </w:r>
          </w:p>
        </w:tc>
        <w:tc>
          <w:tcPr>
            <w:tcW w:w="88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 + 2.46%</w:t>
            </w:r>
          </w:p>
        </w:tc>
        <w:tc>
          <w:tcPr>
            <w:tcW w:w="146" w:type="dxa"/>
            <w:tcBorders/>
            <w:shd w:fill="auto" w:val="clear"/>
            <w:vAlign w:val="center"/>
          </w:tcPr>
          <w:p>
            <w:pPr>
              <w:pStyle w:val="TableContents"/>
              <w:spacing w:before="0" w:after="0"/>
              <w:ind w:left="0" w:right="0" w:hanging="0"/>
              <w:jc w:val="right"/>
              <w:rPr/>
            </w:pPr>
            <w:r>
              <w:rPr/>
              <w:t> </w:t>
            </w:r>
          </w:p>
        </w:tc>
        <w:tc>
          <w:tcPr>
            <w:tcW w:w="9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11/1/2024</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(2,466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25" w:type="dxa"/>
            <w:tcBorders/>
            <w:shd w:fill="auto" w:val="clear"/>
            <w:vAlign w:val="center"/>
          </w:tcPr>
          <w:p>
            <w:pPr>
              <w:pStyle w:val="TableContents"/>
              <w:spacing w:before="0" w:after="0"/>
              <w:ind w:left="0" w:right="0" w:hanging="0"/>
              <w:jc w:val="left"/>
              <w:rPr/>
            </w:pPr>
            <w:r>
              <w:rPr/>
              <w:t> </w:t>
            </w:r>
          </w:p>
        </w:tc>
        <w:tc>
          <w:tcPr>
            <w:tcW w:w="65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459</w:t>
            </w:r>
          </w:p>
        </w:tc>
        <w:tc>
          <w:tcPr>
            <w:tcW w:w="397" w:type="dxa"/>
            <w:tcBorders/>
            <w:shd w:fill="auto" w:val="clear"/>
            <w:vAlign w:val="center"/>
          </w:tcPr>
          <w:p>
            <w:pPr>
              <w:pStyle w:val="TableContents"/>
              <w:spacing w:before="0" w:after="0"/>
              <w:ind w:left="0" w:right="0" w:hanging="0"/>
              <w:jc w:val="left"/>
              <w:rPr/>
            </w:pPr>
            <w:r>
              <w:rPr/>
              <w:t> </w:t>
            </w:r>
          </w:p>
        </w:tc>
      </w:tr>
      <w:tr>
        <w:trPr/>
        <w:tc>
          <w:tcPr>
            <w:tcW w:w="159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(a)(c)</w:t>
            </w:r>
          </w:p>
        </w:tc>
        <w:tc>
          <w:tcPr>
            <w:tcW w:w="146" w:type="dxa"/>
            <w:tcBorders/>
            <w:shd w:fill="auto" w:val="clear"/>
            <w:vAlign w:val="center"/>
          </w:tcPr>
          <w:p>
            <w:pPr>
              <w:pStyle w:val="TableContents"/>
              <w:spacing w:before="0" w:after="0"/>
              <w:ind w:left="0" w:right="0" w:hanging="0"/>
              <w:jc w:val="right"/>
              <w:rPr/>
            </w:pPr>
            <w:r>
              <w:rPr/>
              <w:t> </w:t>
            </w:r>
          </w:p>
        </w:tc>
        <w:tc>
          <w:tcPr>
            <w:tcW w:w="88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2.50%</w:t>
            </w:r>
          </w:p>
        </w:tc>
        <w:tc>
          <w:tcPr>
            <w:tcW w:w="146" w:type="dxa"/>
            <w:tcBorders/>
            <w:shd w:fill="auto" w:val="clear"/>
            <w:vAlign w:val="center"/>
          </w:tcPr>
          <w:p>
            <w:pPr>
              <w:pStyle w:val="TableContents"/>
              <w:spacing w:before="0" w:after="0"/>
              <w:ind w:left="0" w:right="0" w:hanging="0"/>
              <w:jc w:val="right"/>
              <w:rPr/>
            </w:pPr>
            <w:r>
              <w:rPr/>
              <w:t> </w:t>
            </w:r>
          </w:p>
        </w:tc>
        <w:tc>
          <w:tcPr>
            <w:tcW w:w="884"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 + 1.91%</w:t>
            </w:r>
          </w:p>
        </w:tc>
        <w:tc>
          <w:tcPr>
            <w:tcW w:w="146" w:type="dxa"/>
            <w:tcBorders/>
            <w:shd w:fill="auto" w:val="clear"/>
            <w:vAlign w:val="center"/>
          </w:tcPr>
          <w:p>
            <w:pPr>
              <w:pStyle w:val="TableContents"/>
              <w:spacing w:before="0" w:after="0"/>
              <w:ind w:left="0" w:right="0" w:hanging="0"/>
              <w:jc w:val="right"/>
              <w:rPr/>
            </w:pPr>
            <w:r>
              <w:rPr/>
              <w:t> </w:t>
            </w:r>
          </w:p>
        </w:tc>
        <w:tc>
          <w:tcPr>
            <w:tcW w:w="9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8/1/2026</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(31,536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4,129</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right"/>
              <w:rPr/>
            </w:pPr>
            <w:r>
              <w:rPr/>
              <w:t> </w:t>
            </w:r>
          </w:p>
        </w:tc>
        <w:tc>
          <w:tcPr>
            <w:tcW w:w="88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7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(47,822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25" w:type="dxa"/>
            <w:tcBorders/>
            <w:shd w:fill="auto" w:val="clear"/>
            <w:vAlign w:val="center"/>
          </w:tcPr>
          <w:p>
            <w:pPr>
              <w:pStyle w:val="TableContents"/>
              <w:spacing w:before="0" w:after="0"/>
              <w:ind w:left="0" w:right="0" w:hanging="0"/>
              <w:jc w:val="left"/>
              <w:rPr/>
            </w:pPr>
            <w:r>
              <w:rPr/>
              <w:t> </w:t>
            </w:r>
          </w:p>
        </w:tc>
        <w:tc>
          <w:tcPr>
            <w:tcW w:w="65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9" w:type="dxa"/>
            <w:tcBorders/>
            <w:shd w:fill="auto" w:val="clear"/>
            <w:vAlign w:val="center"/>
          </w:tcPr>
          <w:p>
            <w:pPr>
              <w:pStyle w:val="TableContents"/>
              <w:spacing w:before="0" w:after="0"/>
              <w:ind w:left="0" w:right="0" w:hanging="0"/>
              <w:jc w:val="lef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7,261</w:t>
            </w:r>
          </w:p>
        </w:tc>
        <w:tc>
          <w:tcPr>
            <w:tcW w:w="397" w:type="dxa"/>
            <w:tcBorders/>
            <w:shd w:fill="auto" w:val="clear"/>
            <w:vAlign w:val="center"/>
          </w:tcPr>
          <w:p>
            <w:pPr>
              <w:pStyle w:val="TableContents"/>
              <w:spacing w:before="0" w:after="0"/>
              <w:ind w:left="0" w:right="0" w:hanging="0"/>
              <w:jc w:val="left"/>
              <w:rPr/>
            </w:pPr>
            <w:r>
              <w:rPr/>
              <w:t> </w:t>
            </w:r>
          </w:p>
        </w:tc>
      </w:tr>
      <w:tr>
        <w:trPr/>
        <w:tc>
          <w:tcPr>
            <w:tcW w:w="1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collateral</w:t>
            </w:r>
          </w:p>
        </w:tc>
        <w:tc>
          <w:tcPr>
            <w:tcW w:w="146" w:type="dxa"/>
            <w:tcBorders/>
            <w:shd w:fill="auto" w:val="clear"/>
            <w:vAlign w:val="center"/>
          </w:tcPr>
          <w:p>
            <w:pPr>
              <w:pStyle w:val="TableContents"/>
              <w:spacing w:before="0" w:after="0"/>
              <w:ind w:left="0" w:right="0" w:hanging="0"/>
              <w:jc w:val="right"/>
              <w:rPr/>
            </w:pPr>
            <w:r>
              <w:rPr/>
              <w:t> </w:t>
            </w:r>
          </w:p>
        </w:tc>
        <w:tc>
          <w:tcPr>
            <w:tcW w:w="88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4"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7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51,019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7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7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right"/>
              <w:rPr/>
            </w:pPr>
            <w:r>
              <w:rPr/>
              <w:t> </w:t>
            </w:r>
          </w:p>
        </w:tc>
      </w:tr>
      <w:tr>
        <w:trPr/>
        <w:tc>
          <w:tcPr>
            <w:tcW w:w="1591"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Total derivatives</w:t>
            </w:r>
          </w:p>
        </w:tc>
        <w:tc>
          <w:tcPr>
            <w:tcW w:w="146" w:type="dxa"/>
            <w:tcBorders/>
            <w:shd w:fill="auto" w:val="clear"/>
            <w:vAlign w:val="center"/>
          </w:tcPr>
          <w:p>
            <w:pPr>
              <w:pStyle w:val="TableContents"/>
              <w:spacing w:before="0" w:after="0"/>
              <w:ind w:left="0" w:right="0" w:hanging="0"/>
              <w:jc w:val="right"/>
              <w:rPr/>
            </w:pPr>
            <w:r>
              <w:rPr/>
              <w:t> </w:t>
            </w:r>
          </w:p>
        </w:tc>
        <w:tc>
          <w:tcPr>
            <w:tcW w:w="8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7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652,500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7,492</w:t>
            </w:r>
          </w:p>
        </w:tc>
        <w:tc>
          <w:tcPr>
            <w:tcW w:w="3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(a)</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Contains a variable rate structure. Bears interest at a rate determined by three-month LIBOR.</w:t>
      </w:r>
    </w:p>
    <w:p>
      <w:pPr>
        <w:pStyle w:val="TextBody"/>
        <w:spacing w:before="0" w:after="0"/>
        <w:jc w:val="left"/>
        <w:rPr>
          <w:rFonts w:ascii="Times New Roman" w:hAnsi="Times New Roman"/>
          <w:b w:val="false"/>
          <w:sz w:val="20"/>
        </w:rPr>
      </w:pPr>
      <w:r>
        <w:rPr>
          <w:rFonts w:ascii="Times New Roman" w:hAnsi="Times New Roman"/>
          <w:b w:val="false"/>
          <w:sz w:val="20"/>
        </w:rPr>
        <w:t>(b)</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Interest rate swap was terminated or matured during the period.</w:t>
      </w:r>
    </w:p>
    <w:p>
      <w:pPr>
        <w:pStyle w:val="TextBody"/>
        <w:spacing w:before="0" w:after="0"/>
        <w:jc w:val="left"/>
        <w:rPr>
          <w:rFonts w:ascii="Times New Roman" w:hAnsi="Times New Roman"/>
          <w:b w:val="false"/>
          <w:sz w:val="20"/>
        </w:rPr>
      </w:pPr>
      <w:r>
        <w:rPr>
          <w:rFonts w:ascii="Times New Roman" w:hAnsi="Times New Roman"/>
          <w:b w:val="false"/>
          <w:sz w:val="20"/>
        </w:rPr>
        <w:t>(c)</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Instrument is used in a hedge accounting relationship. The associated change in fair value is recorded along with the change in fair value of the hedged item within interest expense.</w:t>
      </w:r>
    </w:p>
    <w:p>
      <w:pPr>
        <w:pStyle w:val="TextBody"/>
        <w:spacing w:before="0" w:after="0"/>
        <w:jc w:val="left"/>
        <w:rPr>
          <w:rFonts w:ascii="Times New Roman" w:hAnsi="Times New Roman"/>
          <w:b w:val="false"/>
          <w:sz w:val="20"/>
        </w:rPr>
      </w:pPr>
      <w:r>
        <w:rPr>
          <w:rFonts w:ascii="Times New Roman" w:hAnsi="Times New Roman"/>
          <w:b w:val="false"/>
          <w:sz w:val="20"/>
        </w:rPr>
        <w:t>(d)</w:t>
      </w:r>
    </w:p>
    <w:p>
      <w:pPr>
        <w:pStyle w:val="TextBody"/>
        <w:spacing w:before="0" w:after="0"/>
        <w:jc w:val="left"/>
        <w:rPr/>
      </w:pPr>
      <w:r>
        <w:rPr>
          <w:rFonts w:ascii="Times New Roman;serif" w:hAnsi="Times New Roman;serif"/>
          <w:b w:val="false"/>
          <w:sz w:val="20"/>
        </w:rPr>
        <w:t>$2.5</w:t>
      </w:r>
      <w:r>
        <w:rPr/>
        <w:t xml:space="preserve"> </w:t>
      </w:r>
      <w:r>
        <w:rPr>
          <w:rFonts w:ascii="Times New Roman;serif" w:hAnsi="Times New Roman;serif"/>
          <w:b w:val="false"/>
          <w:sz w:val="20"/>
        </w:rPr>
        <w:t>million in aggregate notional value of these instruments is no longer designated as instruments in a hedge accounting relationship. The associated change in fair value of the de-designated portion is recorded within unrealized gain/(loss).</w:t>
      </w:r>
      <w:r>
        <w:rPr/>
        <w:t xml:space="preserve"> </w:t>
      </w:r>
    </w:p>
    <w:p>
      <w:pPr>
        <w:pStyle w:val="TextBody"/>
        <w:spacing w:before="0" w:after="0"/>
        <w:jc w:val="left"/>
        <w:rPr>
          <w:rFonts w:ascii="Times New Roman" w:hAnsi="Times New Roman"/>
          <w:b w:val="false"/>
          <w:sz w:val="20"/>
        </w:rPr>
      </w:pPr>
      <w:r>
        <w:rPr>
          <w:rFonts w:ascii="Times New Roman" w:hAnsi="Times New Roman"/>
          <w:b w:val="false"/>
          <w:sz w:val="20"/>
        </w:rPr>
        <w:t>(e)</w:t>
      </w:r>
    </w:p>
    <w:p>
      <w:pPr>
        <w:pStyle w:val="TextBody"/>
        <w:jc w:val="left"/>
        <w:rPr/>
      </w:pPr>
      <w:r>
        <w:rPr>
          <w:rFonts w:ascii="Times New Roman;serif" w:hAnsi="Times New Roman;serif"/>
          <w:b w:val="false"/>
          <w:sz w:val="20"/>
        </w:rPr>
        <w:t>The fair market value of this instrument is presented net with the $2.5</w:t>
      </w:r>
      <w:r>
        <w:rPr/>
        <w:t xml:space="preserve"> </w:t>
      </w:r>
      <w:r>
        <w:rPr>
          <w:rFonts w:ascii="Times New Roman;serif" w:hAnsi="Times New Roman;serif"/>
          <w:b w:val="false"/>
          <w:sz w:val="20"/>
        </w:rPr>
        <w:t xml:space="preserve">million in aggregate notional value of instruments no longer designated as instruments in a hedge accounting relationship.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Certain portfolio company investments are subject to contractual restrictions on sales.</w:t>
      </w:r>
    </w:p>
    <w:p>
      <w:pPr>
        <w:pStyle w:val="TextBody"/>
        <w:spacing w:before="0" w:after="0"/>
        <w:jc w:val="left"/>
        <w:rPr>
          <w:rFonts w:ascii="Times New Roman" w:hAnsi="Times New Roman"/>
          <w:b w:val="false"/>
          <w:sz w:val="20"/>
        </w:rPr>
      </w:pPr>
      <w:r>
        <w:rPr>
          <w:rFonts w:ascii="Times New Roman" w:hAnsi="Times New Roman"/>
          <w:b w:val="false"/>
          <w:sz w:val="20"/>
        </w:rPr>
        <w:t>(2)</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amortized cost represents the original cost adjusted for the amortization of discounts and premiums, as applicable, on debt investments using the effective interest method.</w:t>
      </w:r>
    </w:p>
    <w:p>
      <w:pPr>
        <w:pStyle w:val="TextBody"/>
        <w:spacing w:before="0" w:after="0"/>
        <w:jc w:val="left"/>
        <w:rPr>
          <w:rFonts w:ascii="Times New Roman" w:hAnsi="Times New Roman"/>
          <w:b w:val="false"/>
          <w:sz w:val="20"/>
        </w:rPr>
      </w:pPr>
      <w:r>
        <w:rPr>
          <w:rFonts w:ascii="Times New Roman" w:hAnsi="Times New Roman"/>
          <w:b w:val="false"/>
          <w:sz w:val="20"/>
        </w:rPr>
        <w:t>(3)</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Investment contains a variable rate structure, subject to an interest rate floor. Variable rate investments bear interest at a rate that may be determined by reference to either London Interbank Offered Rate (“LIBOR” or “L”), Euro Interbank Offer Rate (“Euribor” or “E”), Canadian Dollar Offered Rate (“CDOR” or “C”), Secured Overnight Financing Rate (“SOFR”) which may also contain a credit spread adjustment depending on the tenor election, Bank Bill Swap Bid Rate (“BBSY” or “B”),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March 31, 2023.</w:t>
      </w:r>
    </w:p>
    <w:p>
      <w:pPr>
        <w:pStyle w:val="TextBody"/>
        <w:spacing w:before="0" w:after="0"/>
        <w:jc w:val="left"/>
        <w:rPr>
          <w:rFonts w:ascii="Times New Roman" w:hAnsi="Times New Roman"/>
          <w:b w:val="false"/>
          <w:sz w:val="20"/>
        </w:rPr>
      </w:pPr>
      <w:r>
        <w:rPr>
          <w:rFonts w:ascii="Times New Roman" w:hAnsi="Times New Roman"/>
          <w:b w:val="false"/>
          <w:sz w:val="20"/>
        </w:rPr>
        <w:t>(4)</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10.3% of total assets as of March 31, 2023.</w:t>
      </w:r>
    </w:p>
    <w:p>
      <w:pPr>
        <w:pStyle w:val="TextBody"/>
        <w:spacing w:before="0" w:after="0"/>
        <w:jc w:val="left"/>
        <w:rPr>
          <w:rFonts w:ascii="Times New Roman" w:hAnsi="Times New Roman"/>
          <w:b w:val="false"/>
          <w:sz w:val="20"/>
        </w:rPr>
      </w:pPr>
      <w:r>
        <w:rPr>
          <w:rFonts w:ascii="Times New Roman" w:hAnsi="Times New Roman"/>
          <w:b w:val="false"/>
          <w:sz w:val="20"/>
        </w:rPr>
        <w:t>(5)</w:t>
      </w:r>
    </w:p>
    <w:p>
      <w:pPr>
        <w:pStyle w:val="TextBody"/>
        <w:spacing w:before="0" w:after="0"/>
        <w:jc w:val="left"/>
        <w:rPr/>
      </w:pPr>
      <w:r>
        <w:rPr>
          <w:rFonts w:ascii="Times New Roman;serif" w:hAnsi="Times New Roman;serif"/>
          <w:b w:val="false"/>
          <w:sz w:val="20"/>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r>
        <w:rPr/>
        <w:t xml:space="preserve"> </w:t>
      </w:r>
    </w:p>
    <w:p>
      <w:pPr>
        <w:pStyle w:val="TextBody"/>
        <w:spacing w:before="0" w:after="0"/>
        <w:jc w:val="left"/>
        <w:rPr>
          <w:rFonts w:ascii="Times New Roman" w:hAnsi="Times New Roman"/>
          <w:b w:val="false"/>
          <w:sz w:val="20"/>
        </w:rPr>
      </w:pPr>
      <w:r>
        <w:rPr>
          <w:rFonts w:ascii="Times New Roman" w:hAnsi="Times New Roman"/>
          <w:b w:val="false"/>
          <w:sz w:val="20"/>
        </w:rPr>
        <w:t>(6)</w:t>
      </w:r>
    </w:p>
    <w:p>
      <w:pPr>
        <w:pStyle w:val="TextBody"/>
        <w:jc w:val="left"/>
        <w:rPr/>
      </w:pPr>
      <w:r>
        <w:rPr>
          <w:rFonts w:ascii="Times New Roman;serif" w:hAnsi="Times New Roman;serif"/>
          <w:b w:val="false"/>
          <w:sz w:val="20"/>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three months ended March 31, 2023</w:t>
      </w:r>
      <w:r>
        <w:rPr/>
        <w:t xml:space="preserve"> </w:t>
      </w:r>
      <w:r>
        <w:rPr>
          <w:rFonts w:ascii="Times New Roman;serif" w:hAnsi="Times New Roman;serif"/>
          <w:b w:val="false"/>
          <w:sz w:val="20"/>
        </w:rPr>
        <w:t>in which the Company was an Affiliated Person of and was deemed to Control a portfolio company are as follows:</w:t>
      </w:r>
    </w:p>
    <w:p>
      <w:pPr>
        <w:pStyle w:val="TextBody"/>
        <w:spacing w:before="240" w:after="0"/>
        <w:jc w:val="center"/>
        <w:rPr>
          <w:rFonts w:ascii="Times New Roman;serif" w:hAnsi="Times New Roman;serif"/>
          <w:b/>
          <w:sz w:val="20"/>
          <w:u w:val="single"/>
        </w:rPr>
      </w:pPr>
      <w:r>
        <w:rPr>
          <w:rFonts w:ascii="Times New Roman;serif" w:hAnsi="Times New Roman;serif"/>
          <w:b/>
          <w:sz w:val="20"/>
          <w:u w:val="single"/>
        </w:rPr>
        <w:t>Controlled, Affiliated Investments during the three months ended March 31, 2023</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007"/>
        <w:gridCol w:w="146"/>
        <w:gridCol w:w="204"/>
        <w:gridCol w:w="579"/>
        <w:gridCol w:w="146"/>
        <w:gridCol w:w="146"/>
        <w:gridCol w:w="229"/>
        <w:gridCol w:w="554"/>
        <w:gridCol w:w="146"/>
        <w:gridCol w:w="146"/>
        <w:gridCol w:w="294"/>
        <w:gridCol w:w="564"/>
        <w:gridCol w:w="146"/>
        <w:gridCol w:w="146"/>
        <w:gridCol w:w="226"/>
        <w:gridCol w:w="602"/>
        <w:gridCol w:w="151"/>
        <w:gridCol w:w="146"/>
        <w:gridCol w:w="244"/>
        <w:gridCol w:w="471"/>
        <w:gridCol w:w="146"/>
        <w:gridCol w:w="146"/>
        <w:gridCol w:w="237"/>
        <w:gridCol w:w="454"/>
        <w:gridCol w:w="146"/>
        <w:gridCol w:w="146"/>
        <w:gridCol w:w="182"/>
        <w:gridCol w:w="515"/>
        <w:gridCol w:w="146"/>
        <w:gridCol w:w="146"/>
        <w:gridCol w:w="270"/>
        <w:gridCol w:w="271"/>
        <w:gridCol w:w="146"/>
        <w:gridCol w:w="146"/>
        <w:gridCol w:w="181"/>
        <w:gridCol w:w="436"/>
        <w:gridCol w:w="198"/>
      </w:tblGrid>
      <w:tr>
        <w:trPr/>
        <w:tc>
          <w:tcPr>
            <w:tcW w:w="100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r>
      <w:tr>
        <w:trPr/>
        <w:tc>
          <w:tcPr>
            <w:tcW w:w="10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Company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78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Fair</w:t>
              <w:br/>
              <w:t>Value at</w:t>
              <w:br/>
              <w:t>December 31,</w:t>
              <w:b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Gross</w:t>
              <w:br/>
              <w:t>Additions (a)</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5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4"/>
              </w:rPr>
            </w:pPr>
            <w:r>
              <w:rPr>
                <w:rFonts w:ascii="Times New Roman;serif" w:hAnsi="Times New Roman;serif"/>
                <w:b/>
                <w:sz w:val="14"/>
              </w:rPr>
              <w:t>Gross</w:t>
              <w:br/>
              <w:t>Reductions</w:t>
            </w:r>
            <w:r>
              <w:rPr>
                <w:rFonts w:ascii="Times New Roman" w:hAnsi="Times New Roman"/>
                <w:sz w:val="14"/>
              </w:rPr>
              <w:t xml:space="preserve"> </w:t>
            </w:r>
            <w:r>
              <w:rPr>
                <w:rFonts w:ascii="Times New Roman;serif" w:hAnsi="Times New Roman;serif"/>
                <w:b/>
                <w:sz w:val="14"/>
              </w:rPr>
              <w:t>(b)</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Net Change</w:t>
              <w:br/>
              <w:t>In Unrealized</w:t>
              <w:br/>
              <w:t>Gain/(Loss)</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Realized</w:t>
              <w:br/>
              <w:t>Gain/(Loss)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Transfers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Fair</w:t>
              <w:br/>
              <w:t>Value at</w:t>
              <w:b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Other</w:t>
              <w:br/>
              <w:t>Income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Interest</w:t>
              <w:br/>
              <w:t>Income</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0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IRGSE Holding Corp.</w:t>
            </w:r>
          </w:p>
        </w:tc>
        <w:tc>
          <w:tcPr>
            <w:tcW w:w="146" w:type="dxa"/>
            <w:tcBorders/>
            <w:shd w:fill="auto" w:val="clear"/>
            <w:vAlign w:val="center"/>
          </w:tcPr>
          <w:p>
            <w:pPr>
              <w:pStyle w:val="TableContents"/>
              <w:spacing w:before="0" w:after="0"/>
              <w:ind w:left="0" w:right="0" w:hanging="0"/>
              <w:jc w:val="right"/>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70,755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2,191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(6,204</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66,742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1,702</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07" w:type="dxa"/>
            <w:tcBorders/>
            <w:shd w:fill="auto" w:val="cle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Total</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5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4"/>
              </w:rPr>
            </w:pPr>
            <w:r>
              <w:rPr>
                <w:rFonts w:ascii="Times New Roman;serif" w:hAnsi="Times New Roman;serif"/>
                <w:b/>
                <w:sz w:val="14"/>
              </w:rPr>
              <w:t>70,755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5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4"/>
              </w:rPr>
            </w:pPr>
            <w:r>
              <w:rPr>
                <w:rFonts w:ascii="Times New Roman;serif" w:hAnsi="Times New Roman;serif"/>
                <w:b/>
                <w:sz w:val="14"/>
              </w:rPr>
              <w:t>2,191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5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6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4"/>
              </w:rPr>
            </w:pPr>
            <w:r>
              <w:rPr>
                <w:rFonts w:ascii="Times New Roman;serif" w:hAnsi="Times New Roman;serif"/>
                <w:b/>
                <w:sz w:val="14"/>
              </w:rPr>
              <w:t>(6,204</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4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4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5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4"/>
              </w:rPr>
            </w:pPr>
            <w:r>
              <w:rPr>
                <w:rFonts w:ascii="Times New Roman;serif" w:hAnsi="Times New Roman;serif"/>
                <w:b/>
                <w:sz w:val="14"/>
              </w:rPr>
              <w:t>66,742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4"/>
              </w:rPr>
            </w:pPr>
            <w:r>
              <w:rPr>
                <w:rFonts w:ascii="Times New Roman;serif" w:hAnsi="Times New Roman;serif"/>
                <w:b/>
                <w:sz w:val="14"/>
              </w:rPr>
              <w:t>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4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4"/>
              </w:rPr>
            </w:pPr>
            <w:r>
              <w:rPr>
                <w:rFonts w:ascii="Times New Roman;serif" w:hAnsi="Times New Roman;serif"/>
                <w:b/>
                <w:sz w:val="14"/>
              </w:rPr>
              <w:t>1,702</w:t>
            </w:r>
          </w:p>
        </w:tc>
        <w:tc>
          <w:tcPr>
            <w:tcW w:w="1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Gross additions include increases in the cost basis of investments resulting from new investments, payment-in-kind interest or dividends, the amortization of any unearned income or discounts on debt investments, as applicable. </w:t>
      </w:r>
    </w:p>
    <w:p>
      <w:pPr>
        <w:pStyle w:val="TextBody"/>
        <w:spacing w:before="0" w:after="0"/>
        <w:jc w:val="left"/>
        <w:rPr>
          <w:rFonts w:ascii="Times New Roman" w:hAnsi="Times New Roman"/>
          <w:b w:val="false"/>
          <w:sz w:val="20"/>
        </w:rPr>
      </w:pPr>
      <w:r>
        <w:rPr>
          <w:rFonts w:ascii="Times New Roman" w:hAnsi="Times New Roman"/>
          <w:b w:val="false"/>
          <w:sz w:val="20"/>
        </w:rPr>
        <w:t>(b)</w:t>
      </w:r>
    </w:p>
    <w:p>
      <w:pPr>
        <w:pStyle w:val="TextBody"/>
        <w:jc w:val="left"/>
        <w:rPr>
          <w:rFonts w:ascii="Times New Roman;serif" w:hAnsi="Times New Roman;serif"/>
          <w:b w:val="false"/>
          <w:sz w:val="20"/>
        </w:rPr>
      </w:pPr>
      <w:r>
        <w:rPr>
          <w:rFonts w:ascii="Times New Roman;serif" w:hAnsi="Times New Roman;serif"/>
          <w:b w:val="false"/>
          <w:sz w:val="20"/>
        </w:rPr>
        <w:t xml:space="preserve">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 </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(7)</w:t>
      </w:r>
    </w:p>
    <w:p>
      <w:pPr>
        <w:pStyle w:val="TextBody"/>
        <w:spacing w:before="0" w:after="0"/>
        <w:jc w:val="left"/>
        <w:rPr/>
      </w:pPr>
      <w:r>
        <w:rPr>
          <w:rFonts w:ascii="Times New Roman;serif" w:hAnsi="Times New Roman;serif"/>
          <w:b w:val="false"/>
          <w:sz w:val="20"/>
        </w:rPr>
        <w:t>As of March 31, 2023, the estimated cost basis of investments for U.S. federal tax purposes was $2,914,694, resulting in estimated gross unrealized gains and losses of $112,441</w:t>
      </w:r>
      <w:r>
        <w:rPr/>
        <w:t xml:space="preserve"> </w:t>
      </w:r>
      <w:r>
        <w:rPr>
          <w:rFonts w:ascii="Times New Roman;serif" w:hAnsi="Times New Roman;serif"/>
          <w:b w:val="false"/>
          <w:sz w:val="20"/>
        </w:rPr>
        <w:t>and $106,423, respectively.</w:t>
      </w:r>
    </w:p>
    <w:p>
      <w:pPr>
        <w:pStyle w:val="TextBody"/>
        <w:spacing w:before="0" w:after="0"/>
        <w:jc w:val="left"/>
        <w:rPr>
          <w:rFonts w:ascii="Times New Roman" w:hAnsi="Times New Roman"/>
          <w:b w:val="false"/>
          <w:sz w:val="20"/>
        </w:rPr>
      </w:pPr>
      <w:r>
        <w:rPr>
          <w:rFonts w:ascii="Times New Roman" w:hAnsi="Times New Roman"/>
          <w:b w:val="false"/>
          <w:sz w:val="20"/>
        </w:rPr>
        <w:t>(8)</w:t>
      </w:r>
    </w:p>
    <w:p>
      <w:pPr>
        <w:pStyle w:val="TextBody"/>
        <w:spacing w:before="0" w:after="0"/>
        <w:jc w:val="left"/>
        <w:rPr/>
      </w:pPr>
      <w:r>
        <w:rPr>
          <w:rFonts w:ascii="Times New Roman;serif" w:hAnsi="Times New Roman;serif"/>
          <w:b w:val="false"/>
          <w:sz w:val="20"/>
        </w:rPr>
        <w:t xml:space="preserve">In accordance with Financial Accounting Standards Board Accounting Standards Codification Topic 820, </w:t>
      </w:r>
      <w:r>
        <w:rPr>
          <w:rFonts w:ascii="Times New Roman;serif" w:hAnsi="Times New Roman;serif"/>
          <w:b w:val="false"/>
          <w:i/>
          <w:sz w:val="20"/>
        </w:rPr>
        <w:t>Fair Value Measurements</w:t>
      </w:r>
      <w:r>
        <w:rPr/>
        <w:t xml:space="preserve"> </w:t>
      </w:r>
      <w:r>
        <w:rPr>
          <w:rFonts w:ascii="Times New Roman;serif" w:hAnsi="Times New Roman;serif"/>
          <w:b w:val="false"/>
          <w:sz w:val="20"/>
        </w:rPr>
        <w:t>(“ASC Topic 820”), unless otherwise indicated, the fair values of all investments were determined using significant unobservable inputs and are considered Level 3 investments. See Note 6 for further information related to investments at fair value.</w:t>
      </w:r>
    </w:p>
    <w:p>
      <w:pPr>
        <w:pStyle w:val="TextBody"/>
        <w:spacing w:before="0" w:after="0"/>
        <w:jc w:val="left"/>
        <w:rPr>
          <w:rFonts w:ascii="Times New Roman" w:hAnsi="Times New Roman"/>
          <w:b w:val="false"/>
          <w:sz w:val="20"/>
        </w:rPr>
      </w:pPr>
      <w:r>
        <w:rPr>
          <w:rFonts w:ascii="Times New Roman" w:hAnsi="Times New Roman"/>
          <w:b w:val="false"/>
          <w:sz w:val="20"/>
        </w:rPr>
        <w:t>(9)</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This investment is valued using observable inputs and is considered a Level 2 investment. See Note 6 for further information related to investments at fair value.</w:t>
      </w:r>
    </w:p>
    <w:p>
      <w:pPr>
        <w:pStyle w:val="TextBody"/>
        <w:spacing w:before="0" w:after="0"/>
        <w:jc w:val="left"/>
        <w:rPr>
          <w:rFonts w:ascii="Times New Roman" w:hAnsi="Times New Roman"/>
          <w:b w:val="false"/>
          <w:sz w:val="20"/>
        </w:rPr>
      </w:pPr>
      <w:r>
        <w:rPr>
          <w:rFonts w:ascii="Times New Roman" w:hAnsi="Times New Roman"/>
          <w:b w:val="false"/>
          <w:sz w:val="20"/>
        </w:rPr>
        <w:t>(10)</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This investment is valued using observable inputs and is considered a Level 1 investment. See Note 6 for further information related to investments at fair value.</w:t>
      </w:r>
    </w:p>
    <w:p>
      <w:pPr>
        <w:pStyle w:val="TextBody"/>
        <w:spacing w:before="0" w:after="0"/>
        <w:jc w:val="left"/>
        <w:rPr>
          <w:rFonts w:ascii="Times New Roman" w:hAnsi="Times New Roman"/>
          <w:b w:val="false"/>
          <w:sz w:val="20"/>
        </w:rPr>
      </w:pPr>
      <w:r>
        <w:rPr>
          <w:rFonts w:ascii="Times New Roman" w:hAnsi="Times New Roman"/>
          <w:b w:val="false"/>
          <w:sz w:val="20"/>
        </w:rPr>
        <w:t>(11)</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This investment is non-income producing.</w:t>
      </w:r>
    </w:p>
    <w:p>
      <w:pPr>
        <w:pStyle w:val="TextBody"/>
        <w:spacing w:before="0" w:after="0"/>
        <w:jc w:val="left"/>
        <w:rPr>
          <w:rFonts w:ascii="Times New Roman" w:hAnsi="Times New Roman"/>
          <w:b w:val="false"/>
          <w:sz w:val="20"/>
        </w:rPr>
      </w:pPr>
      <w:r>
        <w:rPr>
          <w:rFonts w:ascii="Times New Roman" w:hAnsi="Times New Roman"/>
          <w:b w:val="false"/>
          <w:sz w:val="20"/>
        </w:rPr>
        <w:t>(12)</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All or a portion of this security was acquired in a transaction exempt from registration under the Securities Act of 1933, and may be deemed to be “restricted securities” under the Securities Act. As of March 31, 2023, the aggregate fair value of these securities is $46,401, or 3.4% of the Company’s net assets.</w:t>
      </w:r>
    </w:p>
    <w:p>
      <w:pPr>
        <w:pStyle w:val="TextBody"/>
        <w:spacing w:before="0" w:after="0"/>
        <w:jc w:val="left"/>
        <w:rPr>
          <w:rFonts w:ascii="Times New Roman" w:hAnsi="Times New Roman"/>
          <w:b w:val="false"/>
          <w:sz w:val="20"/>
        </w:rPr>
      </w:pPr>
      <w:r>
        <w:rPr>
          <w:rFonts w:ascii="Times New Roman" w:hAnsi="Times New Roman"/>
          <w:b w:val="false"/>
          <w:sz w:val="20"/>
        </w:rPr>
        <w:t>(13)</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Ownership of equity investments may occur through a holding company or partnership.</w:t>
      </w:r>
    </w:p>
    <w:p>
      <w:pPr>
        <w:pStyle w:val="TextBody"/>
        <w:spacing w:before="0" w:after="0"/>
        <w:jc w:val="left"/>
        <w:rPr>
          <w:rFonts w:ascii="Times New Roman" w:hAnsi="Times New Roman"/>
          <w:b w:val="false"/>
          <w:sz w:val="20"/>
        </w:rPr>
      </w:pPr>
      <w:r>
        <w:rPr>
          <w:rFonts w:ascii="Times New Roman" w:hAnsi="Times New Roman"/>
          <w:b w:val="false"/>
          <w:sz w:val="20"/>
        </w:rPr>
        <w:t>(14)</w:t>
      </w:r>
    </w:p>
    <w:p>
      <w:pPr>
        <w:pStyle w:val="TextBody"/>
        <w:jc w:val="left"/>
        <w:rPr>
          <w:rFonts w:ascii="Times New Roman;serif" w:hAnsi="Times New Roman;serif"/>
          <w:b w:val="false"/>
          <w:sz w:val="20"/>
        </w:rPr>
      </w:pPr>
      <w:r>
        <w:rPr>
          <w:rFonts w:ascii="Times New Roman;serif" w:hAnsi="Times New Roman;serif"/>
          <w:b w:val="false"/>
          <w:sz w:val="20"/>
        </w:rPr>
        <w:t xml:space="preserve">Investment is on non-accrual status as of March 31, 2023.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(15)</w:t>
      </w:r>
    </w:p>
    <w:p>
      <w:pPr>
        <w:pStyle w:val="TextBody"/>
        <w:jc w:val="left"/>
        <w:rPr/>
      </w:pPr>
      <w:r>
        <w:rPr>
          <w:rFonts w:ascii="Times New Roman;serif" w:hAnsi="Times New Roman;serif"/>
          <w:b w:val="false"/>
          <w:sz w:val="20"/>
        </w:rPr>
        <w:t>In addition to the principal amount outstanding and accrued interest owed on this investment, the Company is entitled to a separate Make-Whole Amount (the “Make-Whole”) of $8.1</w:t>
      </w:r>
      <w:r>
        <w:rPr/>
        <w:t xml:space="preserve"> </w:t>
      </w:r>
      <w:r>
        <w:rPr>
          <w:rFonts w:ascii="Times New Roman;serif" w:hAnsi="Times New Roman;serif"/>
          <w:b w:val="false"/>
          <w:sz w:val="20"/>
        </w:rPr>
        <w:t>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pStyle w:val="TextBody"/>
        <w:spacing w:before="12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consolidated financial statements.</w:t>
      </w:r>
    </w:p>
    <w:p>
      <w:pPr>
        <w:pStyle w:val="TextBody"/>
        <w:spacing w:before="12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Sixth Street Specialty Lending, Inc.</w:t>
      </w:r>
    </w:p>
    <w:p>
      <w:pPr>
        <w:pStyle w:val="TextBody"/>
        <w:spacing w:before="240" w:after="0"/>
        <w:jc w:val="center"/>
        <w:rPr>
          <w:rFonts w:ascii="Times New Roman;serif" w:hAnsi="Times New Roman;serif"/>
          <w:b/>
          <w:sz w:val="20"/>
        </w:rPr>
      </w:pPr>
      <w:r>
        <w:rPr>
          <w:rFonts w:ascii="Times New Roman;serif" w:hAnsi="Times New Roman;serif"/>
          <w:b/>
          <w:sz w:val="20"/>
        </w:rPr>
        <w:t>Consolidated Schedule of Investments as of December 31, 2022</w:t>
      </w:r>
    </w:p>
    <w:p>
      <w:pPr>
        <w:pStyle w:val="TextBody"/>
        <w:spacing w:before="0" w:after="0"/>
        <w:jc w:val="center"/>
        <w:rPr>
          <w:rFonts w:ascii="Times New Roman" w:hAnsi="Times New Roman"/>
          <w:sz w:val="20"/>
        </w:rPr>
      </w:pPr>
      <w:r>
        <w:rPr>
          <w:rFonts w:ascii="Times New Roman;serif" w:hAnsi="Times New Roman;serif"/>
          <w:b/>
          <w:sz w:val="20"/>
        </w:rPr>
        <w:t>(Amounts in thousands, except share amounts)</w:t>
      </w:r>
      <w:r>
        <w:rPr>
          <w:rFonts w:ascii="Times New Roman" w:hAnsi="Times New Roman"/>
          <w:sz w:val="20"/>
        </w:rPr>
        <w:t xml:space="preserve"> </w:t>
      </w:r>
    </w:p>
    <w:p>
      <w:pPr>
        <w:pStyle w:val="TextBody"/>
        <w:spacing w:before="0" w:after="0"/>
        <w:jc w:val="center"/>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337"/>
        <w:gridCol w:w="146"/>
        <w:gridCol w:w="1897"/>
        <w:gridCol w:w="146"/>
        <w:gridCol w:w="676"/>
        <w:gridCol w:w="146"/>
        <w:gridCol w:w="759"/>
        <w:gridCol w:w="146"/>
        <w:gridCol w:w="1026"/>
        <w:gridCol w:w="146"/>
        <w:gridCol w:w="166"/>
        <w:gridCol w:w="676"/>
        <w:gridCol w:w="146"/>
        <w:gridCol w:w="166"/>
        <w:gridCol w:w="676"/>
        <w:gridCol w:w="146"/>
        <w:gridCol w:w="804"/>
      </w:tblGrid>
      <w:tr>
        <w:trPr/>
        <w:tc>
          <w:tcPr>
            <w:tcW w:w="233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9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r>
      <w:tr>
        <w:trPr/>
        <w:tc>
          <w:tcPr>
            <w:tcW w:w="23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sz w:val="12"/>
              </w:rPr>
              <w:t xml:space="preserve">Company </w:t>
            </w:r>
            <w:r>
              <w:rPr>
                <w:rFonts w:ascii="Times New Roman;serif" w:hAnsi="Times New Roman;serif"/>
                <w:b/>
                <w:sz w:val="8"/>
              </w:rPr>
              <w:t>(1)(6)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8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Investment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Initial</w:t>
              <w:br/>
              <w:t>Acquisition</w:t>
              <w:br/>
              <w:t>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75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Reference</w:t>
              <w:br/>
              <w:t>Rate and</w:t>
              <w:br/>
              <w:t>Spread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0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Interest Rate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Amortized</w:t>
              <w:br/>
              <w:t xml:space="preserve">Cost </w:t>
            </w:r>
            <w:r>
              <w:rPr>
                <w:rFonts w:ascii="Times New Roman;serif" w:hAnsi="Times New Roman;serif"/>
                <w:b/>
                <w:sz w:val="8"/>
              </w:rPr>
              <w:t>(2)(8)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Percentage</w:t>
              <w:br/>
              <w:t>of Net Assets</w:t>
            </w:r>
          </w:p>
        </w:tc>
      </w:tr>
      <w:tr>
        <w:trPr/>
        <w:tc>
          <w:tcPr>
            <w:tcW w:w="2337"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Debt Investments</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pPr>
            <w:r>
              <w:rPr/>
              <w:t> </w:t>
            </w:r>
          </w:p>
        </w:tc>
      </w:tr>
      <w:tr>
        <w:trPr/>
        <w:tc>
          <w:tcPr>
            <w:tcW w:w="2337"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Automotive</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pPr>
            <w:r>
              <w:rPr/>
              <w:t> </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Carlstar Group, LLC</w:t>
            </w:r>
            <w:r>
              <w:rPr>
                <w:rFonts w:ascii="Times New Roman" w:hAnsi="Times New Roman"/>
                <w:sz w:val="12"/>
              </w:rPr>
              <w:t>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($33,575</w:t>
            </w:r>
            <w:r>
              <w:rPr>
                <w:rFonts w:ascii="Times New Roman" w:hAnsi="Times New Roman"/>
                <w:sz w:val="20"/>
              </w:rPr>
              <w:t> </w:t>
            </w:r>
            <w:r>
              <w:rPr>
                <w:rFonts w:ascii="Times New Roman;serif" w:hAnsi="Times New Roman;serif"/>
                <w:b w:val="false"/>
                <w:sz w:val="12"/>
              </w:rPr>
              <w:t>par, due 7/2027)</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7/8/2022</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+ 6.60%</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10.92%</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32,739</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33,049</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w:t>
            </w:r>
          </w:p>
        </w:tc>
      </w:tr>
      <w:tr>
        <w:trPr/>
        <w:tc>
          <w:tcPr>
            <w:tcW w:w="2337"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Business services</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pPr>
            <w:r>
              <w:rPr/>
              <w:t> </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Acceo Solutions, Inc.</w:t>
            </w:r>
            <w:r>
              <w:rPr>
                <w:rFonts w:ascii="Times New Roman" w:hAnsi="Times New Roman"/>
                <w:sz w:val="12"/>
              </w:rPr>
              <w:t> </w:t>
            </w:r>
            <w:r>
              <w:rPr>
                <w:rFonts w:ascii="Times New Roman;serif" w:hAnsi="Times New Roman;serif"/>
                <w:b w:val="false"/>
                <w:sz w:val="8"/>
              </w:rPr>
              <w:t>(3)(4)(5)</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(CAD 57,353</w:t>
            </w:r>
            <w:r>
              <w:rPr>
                <w:rFonts w:ascii="Times New Roman" w:hAnsi="Times New Roman"/>
                <w:sz w:val="20"/>
              </w:rPr>
              <w:t> </w:t>
            </w:r>
            <w:r>
              <w:rPr>
                <w:rFonts w:ascii="Times New Roman;serif" w:hAnsi="Times New Roman;serif"/>
                <w:b w:val="false"/>
                <w:sz w:val="12"/>
              </w:rPr>
              <w:t>par, due 10/2025)</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7/6/2018</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C + 4.75%</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9.49%</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43,241</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 w:hAnsi="Times New Roman"/>
                <w:sz w:val="20"/>
              </w:rPr>
            </w:pPr>
            <w:r>
              <w:rPr>
                <w:rFonts w:ascii="Times New Roman;serif" w:hAnsi="Times New Roman;serif"/>
                <w:b w:val="false"/>
                <w:sz w:val="12"/>
              </w:rPr>
              <w:t>42,540</w:t>
            </w:r>
            <w:r>
              <w:rPr>
                <w:rFonts w:ascii="Times New Roman" w:hAnsi="Times New Roman"/>
                <w:sz w:val="20"/>
              </w:rPr>
              <w:t> </w:t>
            </w:r>
            <w:r>
              <w:rPr>
                <w:rFonts w:ascii="Times New Roman;serif" w:hAnsi="Times New Roman;serif"/>
                <w:b w:val="false"/>
                <w:sz w:val="12"/>
              </w:rPr>
              <w:br/>
              <w:t>(CAD 57,640)</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Alpha Midco, Inc.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($68,720</w:t>
            </w:r>
            <w:r>
              <w:rPr>
                <w:rFonts w:ascii="Times New Roman" w:hAnsi="Times New Roman"/>
                <w:sz w:val="20"/>
              </w:rPr>
              <w:t> </w:t>
            </w:r>
            <w:r>
              <w:rPr>
                <w:rFonts w:ascii="Times New Roman;serif" w:hAnsi="Times New Roman;serif"/>
                <w:b w:val="false"/>
                <w:sz w:val="12"/>
              </w:rPr>
              <w:t>par, due</w:t>
            </w:r>
            <w:r>
              <w:rPr>
                <w:rFonts w:ascii="Times New Roman" w:hAnsi="Times New Roman"/>
                <w:sz w:val="20"/>
              </w:rPr>
              <w:t xml:space="preserve"> </w:t>
            </w:r>
            <w:r>
              <w:rPr>
                <w:rFonts w:ascii="Times New Roman;serif" w:hAnsi="Times New Roman;serif"/>
                <w:b w:val="false"/>
                <w:sz w:val="12"/>
              </w:rPr>
              <w:t>8/2025)</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8/15/2019</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+ 7.63%</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12.21%</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67,831</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69,242</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Dye &amp; Durham Corp.</w:t>
            </w:r>
            <w:r>
              <w:rPr>
                <w:rFonts w:ascii="Times New Roman" w:hAnsi="Times New Roman"/>
                <w:sz w:val="12"/>
              </w:rPr>
              <w:t> </w:t>
            </w:r>
            <w:r>
              <w:rPr>
                <w:rFonts w:ascii="Times New Roman;serif" w:hAnsi="Times New Roman;serif"/>
                <w:b w:val="false"/>
                <w:sz w:val="8"/>
              </w:rPr>
              <w:t>(3)(4)</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(CAD 34,220</w:t>
            </w:r>
            <w:r>
              <w:rPr>
                <w:rFonts w:ascii="Times New Roman" w:hAnsi="Times New Roman"/>
                <w:sz w:val="20"/>
              </w:rPr>
              <w:t> </w:t>
            </w:r>
            <w:r>
              <w:rPr>
                <w:rFonts w:ascii="Times New Roman;serif" w:hAnsi="Times New Roman;serif"/>
                <w:b w:val="false"/>
                <w:sz w:val="12"/>
              </w:rPr>
              <w:t>par, due 12/2027)</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12/3/2021</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C + 5.75%</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10.69%</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25,076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24,113</w:t>
              <w:br/>
              <w:t>(CAD 32,672)</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w:t>
            </w:r>
          </w:p>
        </w:tc>
      </w:tr>
      <w:tr>
        <w:trPr/>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revolving loan (CAD 1,448</w:t>
            </w:r>
            <w:r>
              <w:rPr>
                <w:rFonts w:ascii="Times New Roman" w:hAnsi="Times New Roman"/>
                <w:sz w:val="20"/>
              </w:rPr>
              <w:t> </w:t>
            </w:r>
            <w:r>
              <w:rPr>
                <w:rFonts w:ascii="Times New Roman;serif" w:hAnsi="Times New Roman;serif"/>
                <w:b w:val="false"/>
                <w:sz w:val="12"/>
              </w:rPr>
              <w:t>par, due 12/2026)</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12/3/2021</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P + 6.75%</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11.20%</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1,095</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1,069</w:t>
              <w:br/>
              <w:t>(CAD 1,448)</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ExtraHop Networks, Inc.</w:t>
            </w:r>
            <w:r>
              <w:rPr>
                <w:rFonts w:ascii="Times New Roman" w:hAnsi="Times New Roman"/>
                <w:sz w:val="12"/>
              </w:rPr>
              <w:t>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($57,950</w:t>
            </w:r>
            <w:r>
              <w:rPr>
                <w:rFonts w:ascii="Times New Roman" w:hAnsi="Times New Roman"/>
                <w:sz w:val="20"/>
              </w:rPr>
              <w:t> </w:t>
            </w:r>
            <w:r>
              <w:rPr>
                <w:rFonts w:ascii="Times New Roman;serif" w:hAnsi="Times New Roman;serif"/>
                <w:b w:val="false"/>
                <w:sz w:val="12"/>
              </w:rPr>
              <w:t>par, due</w:t>
            </w:r>
            <w:r>
              <w:rPr>
                <w:rFonts w:ascii="Times New Roman" w:hAnsi="Times New Roman"/>
                <w:sz w:val="20"/>
              </w:rPr>
              <w:t xml:space="preserve"> </w:t>
            </w:r>
            <w:r>
              <w:rPr>
                <w:rFonts w:ascii="Times New Roman;serif" w:hAnsi="Times New Roman;serif"/>
                <w:b w:val="false"/>
                <w:sz w:val="12"/>
              </w:rPr>
              <w:t>7/2027)</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7/22/2021</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+ 7.50%</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56,812</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56,791</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ForeScout Technologies, Inc.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($2,606</w:t>
            </w:r>
            <w:r>
              <w:rPr>
                <w:rFonts w:ascii="Times New Roman" w:hAnsi="Times New Roman"/>
                <w:sz w:val="20"/>
              </w:rPr>
              <w:t> </w:t>
            </w:r>
            <w:r>
              <w:rPr>
                <w:rFonts w:ascii="Times New Roman;serif" w:hAnsi="Times New Roman;serif"/>
                <w:b w:val="false"/>
                <w:sz w:val="12"/>
              </w:rPr>
              <w:t>par, due 8/2026)</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7/1/2022</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+ 9.00%</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13.72% (incl. 9.00% PIK)</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2,533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2,489</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0.2%</w:t>
            </w:r>
          </w:p>
        </w:tc>
      </w:tr>
      <w:tr>
        <w:trPr/>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($6,502</w:t>
            </w:r>
            <w:r>
              <w:rPr>
                <w:rFonts w:ascii="Times New Roman" w:hAnsi="Times New Roman"/>
                <w:sz w:val="20"/>
              </w:rPr>
              <w:t> </w:t>
            </w:r>
            <w:r>
              <w:rPr>
                <w:rFonts w:ascii="Times New Roman;serif" w:hAnsi="Times New Roman;serif"/>
                <w:b w:val="false"/>
                <w:sz w:val="12"/>
              </w:rPr>
              <w:t>par, due</w:t>
            </w:r>
            <w:r>
              <w:rPr>
                <w:rFonts w:ascii="Times New Roman" w:hAnsi="Times New Roman"/>
                <w:sz w:val="20"/>
              </w:rPr>
              <w:t xml:space="preserve"> </w:t>
            </w:r>
            <w:r>
              <w:rPr>
                <w:rFonts w:ascii="Times New Roman;serif" w:hAnsi="Times New Roman;serif"/>
                <w:b w:val="false"/>
                <w:sz w:val="12"/>
              </w:rPr>
              <w:t>8/2026)</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8/17/2020</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+ 9.50%</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14.23% (incl. 9.50% PIK)</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6,412</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6,421</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0.5%</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Hornetsecurity Holding GmbH</w:t>
            </w:r>
            <w:r>
              <w:rPr>
                <w:rFonts w:ascii="Times New Roman" w:hAnsi="Times New Roman"/>
                <w:sz w:val="12"/>
              </w:rPr>
              <w:t> </w:t>
            </w:r>
            <w:r>
              <w:rPr>
                <w:rFonts w:ascii="Times New Roman;serif" w:hAnsi="Times New Roman;serif"/>
                <w:b w:val="false"/>
                <w:sz w:val="8"/>
              </w:rPr>
              <w:t>(3)(4)</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(EUR 3,150</w:t>
            </w:r>
            <w:r>
              <w:rPr>
                <w:rFonts w:ascii="Times New Roman" w:hAnsi="Times New Roman"/>
                <w:sz w:val="20"/>
              </w:rPr>
              <w:t> </w:t>
            </w:r>
            <w:r>
              <w:rPr>
                <w:rFonts w:ascii="Times New Roman;serif" w:hAnsi="Times New Roman;serif"/>
                <w:b w:val="false"/>
                <w:sz w:val="12"/>
              </w:rPr>
              <w:t>par, due</w:t>
            </w:r>
            <w:r>
              <w:rPr>
                <w:rFonts w:ascii="Times New Roman" w:hAnsi="Times New Roman"/>
                <w:sz w:val="20"/>
              </w:rPr>
              <w:t xml:space="preserve"> </w:t>
            </w:r>
            <w:r>
              <w:rPr>
                <w:rFonts w:ascii="Times New Roman;serif" w:hAnsi="Times New Roman;serif"/>
                <w:b w:val="false"/>
                <w:sz w:val="12"/>
              </w:rPr>
              <w:t>11/2029)</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11/14/2022</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E + 6.50%</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8.26%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3,140</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3,213</w:t>
              <w:br/>
              <w:t>(EUR 3,011)</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0.2%</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Information Clearinghouse, LLC and MS Market Service, LLC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($17,820</w:t>
            </w:r>
            <w:r>
              <w:rPr>
                <w:rFonts w:ascii="Times New Roman" w:hAnsi="Times New Roman"/>
                <w:sz w:val="20"/>
              </w:rPr>
              <w:t> </w:t>
            </w:r>
            <w:r>
              <w:rPr>
                <w:rFonts w:ascii="Times New Roman;serif" w:hAnsi="Times New Roman;serif"/>
                <w:b w:val="false"/>
                <w:sz w:val="12"/>
              </w:rPr>
              <w:t>par, due</w:t>
            </w:r>
            <w:r>
              <w:rPr>
                <w:rFonts w:ascii="Times New Roman" w:hAnsi="Times New Roman"/>
                <w:sz w:val="20"/>
              </w:rPr>
              <w:t xml:space="preserve"> </w:t>
            </w:r>
            <w:r>
              <w:rPr>
                <w:rFonts w:ascii="Times New Roman;serif" w:hAnsi="Times New Roman;serif"/>
                <w:b w:val="false"/>
                <w:sz w:val="12"/>
              </w:rPr>
              <w:t>12/2026)</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12/20/2021</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+ 6.65%</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17,433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17,375</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Mitnick Corporate Purchaser, Inc.</w:t>
            </w:r>
            <w:r>
              <w:rPr>
                <w:rFonts w:ascii="Times New Roman" w:hAnsi="Times New Roman"/>
                <w:sz w:val="12"/>
              </w:rPr>
              <w:t> </w:t>
            </w:r>
            <w:r>
              <w:rPr>
                <w:rFonts w:ascii="Times New Roman;serif" w:hAnsi="Times New Roman;serif"/>
                <w:b w:val="false"/>
                <w:sz w:val="8"/>
              </w:rPr>
              <w:t>(3)(10)</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($333</w:t>
            </w:r>
            <w:r>
              <w:rPr>
                <w:rFonts w:ascii="Times New Roman" w:hAnsi="Times New Roman"/>
                <w:sz w:val="20"/>
              </w:rPr>
              <w:t> </w:t>
            </w:r>
            <w:r>
              <w:rPr>
                <w:rFonts w:ascii="Times New Roman;serif" w:hAnsi="Times New Roman;serif"/>
                <w:b w:val="false"/>
                <w:sz w:val="12"/>
              </w:rPr>
              <w:t>par, due 5/2029)</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5/2/2022</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+ 4.85%</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311</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Netwrix Corp.</w:t>
            </w:r>
            <w:r>
              <w:rPr>
                <w:rFonts w:ascii="Times New Roman" w:hAnsi="Times New Roman"/>
                <w:sz w:val="12"/>
              </w:rPr>
              <w:t>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($36,119</w:t>
            </w:r>
            <w:r>
              <w:rPr>
                <w:rFonts w:ascii="Times New Roman" w:hAnsi="Times New Roman"/>
                <w:sz w:val="20"/>
              </w:rPr>
              <w:t> </w:t>
            </w:r>
            <w:r>
              <w:rPr>
                <w:rFonts w:ascii="Times New Roman;serif" w:hAnsi="Times New Roman;serif"/>
                <w:b w:val="false"/>
                <w:sz w:val="12"/>
              </w:rPr>
              <w:t>par, due 6/2029)</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6/9/2022</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+ 5.00%</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9.70%</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35,515</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35,119</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OutSystems Luxco SARL</w:t>
            </w:r>
            <w:r>
              <w:rPr>
                <w:rFonts w:ascii="Times New Roman;serif" w:hAnsi="Times New Roman;serif"/>
                <w:b w:val="false"/>
                <w:sz w:val="8"/>
              </w:rPr>
              <w:t>(3)(4)(5)</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(EUR 3,004</w:t>
            </w:r>
            <w:r>
              <w:rPr>
                <w:rFonts w:ascii="Times New Roman" w:hAnsi="Times New Roman"/>
                <w:sz w:val="20"/>
              </w:rPr>
              <w:t> </w:t>
            </w:r>
            <w:r>
              <w:rPr>
                <w:rFonts w:ascii="Times New Roman;serif" w:hAnsi="Times New Roman;serif"/>
                <w:b w:val="false"/>
                <w:sz w:val="12"/>
              </w:rPr>
              <w:t>par, due 12/2028)</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12/8/2022</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E + 5.75%</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7.74%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3,060</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3,112</w:t>
              <w:br/>
              <w:t>(EUR 2,916)</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0.2%</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ReliaQuest Holdings, LLC</w:t>
            </w:r>
            <w:r>
              <w:rPr>
                <w:rFonts w:ascii="Times New Roman" w:hAnsi="Times New Roman"/>
                <w:sz w:val="12"/>
              </w:rPr>
              <w:t>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($63,477</w:t>
            </w:r>
            <w:r>
              <w:rPr>
                <w:rFonts w:ascii="Times New Roman" w:hAnsi="Times New Roman"/>
                <w:sz w:val="20"/>
              </w:rPr>
              <w:t> </w:t>
            </w:r>
            <w:r>
              <w:rPr>
                <w:rFonts w:ascii="Times New Roman;serif" w:hAnsi="Times New Roman;serif"/>
                <w:b w:val="false"/>
                <w:sz w:val="12"/>
              </w:rPr>
              <w:t>par, due 10/2026)</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10/8/2020</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+ 7.25%</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11.83%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62,411</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63,477</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TIBCO Software Inc. </w:t>
            </w:r>
            <w:r>
              <w:rPr>
                <w:rFonts w:ascii="Times New Roman;serif" w:hAnsi="Times New Roman;serif"/>
                <w:b w:val="false"/>
                <w:sz w:val="8"/>
              </w:rPr>
              <w:t>(10)</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note ($13,000</w:t>
            </w:r>
            <w:r>
              <w:rPr>
                <w:rFonts w:ascii="Times New Roman" w:hAnsi="Times New Roman"/>
                <w:sz w:val="20"/>
              </w:rPr>
              <w:t> </w:t>
            </w:r>
            <w:r>
              <w:rPr>
                <w:rFonts w:ascii="Times New Roman;serif" w:hAnsi="Times New Roman;serif"/>
                <w:b w:val="false"/>
                <w:sz w:val="12"/>
              </w:rPr>
              <w:t>par, due</w:t>
            </w:r>
            <w:r>
              <w:rPr>
                <w:rFonts w:ascii="Times New Roman" w:hAnsi="Times New Roman"/>
                <w:sz w:val="20"/>
              </w:rPr>
              <w:t xml:space="preserve"> </w:t>
            </w:r>
            <w:r>
              <w:rPr>
                <w:rFonts w:ascii="Times New Roman;serif" w:hAnsi="Times New Roman;serif"/>
                <w:b w:val="false"/>
                <w:sz w:val="12"/>
              </w:rPr>
              <w:t>3/2029)</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9/20/2022</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6.50%</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6.50%</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10,924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10,944</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0.8%</w:t>
            </w:r>
          </w:p>
        </w:tc>
      </w:tr>
      <w:tr>
        <w:trPr/>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First-lien loan ($12,000</w:t>
            </w:r>
            <w:r>
              <w:rPr>
                <w:rFonts w:ascii="Times New Roman" w:hAnsi="Times New Roman"/>
                <w:sz w:val="12"/>
              </w:rPr>
              <w:t> </w:t>
            </w:r>
            <w:r>
              <w:rPr>
                <w:rFonts w:ascii="Times New Roman;serif" w:hAnsi="Times New Roman;serif"/>
                <w:b w:val="false"/>
                <w:sz w:val="12"/>
              </w:rPr>
              <w:t>par, due 3/2029)</w:t>
            </w:r>
            <w:r>
              <w:rPr>
                <w:rFonts w:ascii="Times New Roman" w:hAnsi="Times New Roman"/>
                <w:sz w:val="12"/>
              </w:rPr>
              <w:t>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9/20/2022</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+ 4.60%</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9.19%</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10,947</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10,680</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0.8%</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WideOrbit, Inc.</w:t>
            </w:r>
            <w:r>
              <w:rPr>
                <w:rFonts w:ascii="Times New Roman" w:hAnsi="Times New Roman"/>
                <w:sz w:val="12"/>
              </w:rPr>
              <w:t>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($35,548</w:t>
            </w:r>
            <w:r>
              <w:rPr>
                <w:rFonts w:ascii="Times New Roman" w:hAnsi="Times New Roman"/>
                <w:sz w:val="20"/>
              </w:rPr>
              <w:t> </w:t>
            </w:r>
            <w:r>
              <w:rPr>
                <w:rFonts w:ascii="Times New Roman;serif" w:hAnsi="Times New Roman;serif"/>
                <w:b w:val="false"/>
                <w:sz w:val="12"/>
              </w:rPr>
              <w:t>par, due</w:t>
            </w:r>
            <w:r>
              <w:rPr>
                <w:rFonts w:ascii="Times New Roman" w:hAnsi="Times New Roman"/>
                <w:sz w:val="20"/>
              </w:rPr>
              <w:t xml:space="preserve"> </w:t>
            </w:r>
            <w:r>
              <w:rPr>
                <w:rFonts w:ascii="Times New Roman;serif" w:hAnsi="Times New Roman;serif"/>
                <w:b w:val="false"/>
                <w:sz w:val="12"/>
              </w:rPr>
              <w:t>7/2025)</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7/8/2020</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+ 8.50%</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12.88%</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35,213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36,347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w:t>
            </w:r>
          </w:p>
        </w:tc>
      </w:tr>
      <w:tr>
        <w:trPr/>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381,976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383,243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28.5%</w:t>
            </w:r>
          </w:p>
        </w:tc>
      </w:tr>
      <w:tr>
        <w:trPr/>
        <w:tc>
          <w:tcPr>
            <w:tcW w:w="2337"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Chemicals</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pPr>
            <w:r>
              <w:rPr/>
              <w:t> </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Erling Lux Bidco SARL</w:t>
            </w:r>
            <w:r>
              <w:rPr>
                <w:rFonts w:ascii="Times New Roman;serif" w:hAnsi="Times New Roman;serif"/>
                <w:b w:val="false"/>
                <w:sz w:val="8"/>
              </w:rPr>
              <w:t>(3)(4)</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(EUR 7,239</w:t>
            </w:r>
            <w:r>
              <w:rPr>
                <w:rFonts w:ascii="Times New Roman" w:hAnsi="Times New Roman"/>
                <w:sz w:val="20"/>
              </w:rPr>
              <w:t> </w:t>
            </w:r>
            <w:r>
              <w:rPr>
                <w:rFonts w:ascii="Times New Roman;serif" w:hAnsi="Times New Roman;serif"/>
                <w:b w:val="false"/>
                <w:sz w:val="12"/>
              </w:rPr>
              <w:t>par, due 9/2028)</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9/6/2022</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E + 6.75%</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6,908</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7,326</w:t>
              <w:br/>
              <w:t>(EUR 6,864)</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0.5%</w:t>
            </w:r>
          </w:p>
        </w:tc>
      </w:tr>
      <w:tr>
        <w:trPr/>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(GBP 10,217</w:t>
            </w:r>
            <w:r>
              <w:rPr>
                <w:rFonts w:ascii="Times New Roman" w:hAnsi="Times New Roman"/>
                <w:sz w:val="20"/>
              </w:rPr>
              <w:t> </w:t>
            </w:r>
            <w:r>
              <w:rPr>
                <w:rFonts w:ascii="Times New Roman;serif" w:hAnsi="Times New Roman;serif"/>
                <w:b w:val="false"/>
                <w:sz w:val="12"/>
              </w:rPr>
              <w:t>par, due</w:t>
            </w:r>
            <w:r>
              <w:rPr>
                <w:rFonts w:ascii="Times New Roman" w:hAnsi="Times New Roman"/>
                <w:sz w:val="20"/>
              </w:rPr>
              <w:t xml:space="preserve"> </w:t>
            </w:r>
            <w:r>
              <w:rPr>
                <w:rFonts w:ascii="Times New Roman;serif" w:hAnsi="Times New Roman;serif"/>
                <w:b w:val="false"/>
                <w:sz w:val="12"/>
              </w:rPr>
              <w:t>9/2028)</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9/6/2022</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 + 6.75%</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10.20%</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11,245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11,922</w:t>
              <w:br/>
              <w:t>(GBP 9,911)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0.9%</w:t>
            </w:r>
          </w:p>
        </w:tc>
      </w:tr>
      <w:tr>
        <w:trPr/>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18,153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19,248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r>
      <w:tr>
        <w:trPr/>
        <w:tc>
          <w:tcPr>
            <w:tcW w:w="2337"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Communications</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pPr>
            <w:r>
              <w:rPr/>
              <w:t> </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Celtra Technologies, Inc.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($34,650</w:t>
            </w:r>
            <w:r>
              <w:rPr>
                <w:rFonts w:ascii="Times New Roman" w:hAnsi="Times New Roman"/>
                <w:sz w:val="20"/>
              </w:rPr>
              <w:t> </w:t>
            </w:r>
            <w:r>
              <w:rPr>
                <w:rFonts w:ascii="Times New Roman;serif" w:hAnsi="Times New Roman;serif"/>
                <w:b w:val="false"/>
                <w:sz w:val="12"/>
              </w:rPr>
              <w:t>par, due 11/2026)</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11/19/2021</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+ 7.00%</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11.38%</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33,764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33,264</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w:t>
            </w:r>
          </w:p>
        </w:tc>
      </w:tr>
      <w:tr>
        <w:trPr/>
        <w:tc>
          <w:tcPr>
            <w:tcW w:w="233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IntelePeer Holdings, Inc.</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First-lien loan ($34,677</w:t>
            </w:r>
            <w:r>
              <w:rPr>
                <w:rFonts w:ascii="Times New Roman" w:hAnsi="Times New Roman"/>
                <w:sz w:val="12"/>
              </w:rPr>
              <w:t> </w:t>
            </w:r>
            <w:r>
              <w:rPr>
                <w:rFonts w:ascii="Times New Roman;serif" w:hAnsi="Times New Roman;serif"/>
                <w:b w:val="false"/>
                <w:sz w:val="12"/>
              </w:rPr>
              <w:t xml:space="preserve">par, due 12/2024)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12/2/2019</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+ 8.25%</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12.63%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34,633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33,983</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w:t>
            </w:r>
          </w:p>
        </w:tc>
      </w:tr>
      <w:tr>
        <w:trPr/>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Convertible note ($4,382</w:t>
            </w:r>
            <w:r>
              <w:rPr>
                <w:rFonts w:ascii="Times New Roman" w:hAnsi="Times New Roman"/>
                <w:sz w:val="20"/>
              </w:rPr>
              <w:t> </w:t>
            </w:r>
            <w:r>
              <w:rPr>
                <w:rFonts w:ascii="Times New Roman;serif" w:hAnsi="Times New Roman;serif"/>
                <w:b w:val="false"/>
                <w:sz w:val="12"/>
              </w:rPr>
              <w:t>par, due 5/2028)</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5/12/2021</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6.50%</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6.50% PIK</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4,350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4,240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0.3%</w:t>
            </w:r>
          </w:p>
        </w:tc>
      </w:tr>
      <w:tr>
        <w:trPr/>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72,747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71,487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w:t>
            </w:r>
          </w:p>
        </w:tc>
      </w:tr>
      <w:tr>
        <w:trPr/>
        <w:tc>
          <w:tcPr>
            <w:tcW w:w="2337"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Education</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pPr>
            <w:r>
              <w:rPr/>
              <w:t> </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Astra Acquisition Corp.</w:t>
            </w:r>
            <w:r>
              <w:rPr>
                <w:rFonts w:ascii="Times New Roman" w:hAnsi="Times New Roman"/>
                <w:sz w:val="12"/>
              </w:rPr>
              <w:t>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Second-lien loan ($43,479</w:t>
            </w:r>
            <w:r>
              <w:rPr>
                <w:rFonts w:ascii="Times New Roman" w:hAnsi="Times New Roman"/>
                <w:sz w:val="20"/>
              </w:rPr>
              <w:t> </w:t>
            </w:r>
            <w:r>
              <w:rPr>
                <w:rFonts w:ascii="Times New Roman;serif" w:hAnsi="Times New Roman;serif"/>
                <w:b w:val="false"/>
                <w:sz w:val="12"/>
              </w:rPr>
              <w:t>par, due 10/2029)</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10/25/2021</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+ 8.88%</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13.26%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42,743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40,762</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Destiny Solutions Parent Holding Company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($60,000</w:t>
            </w:r>
            <w:r>
              <w:rPr>
                <w:rFonts w:ascii="Times New Roman" w:hAnsi="Times New Roman"/>
                <w:sz w:val="20"/>
              </w:rPr>
              <w:t> </w:t>
            </w:r>
            <w:r>
              <w:rPr>
                <w:rFonts w:ascii="Times New Roman;serif" w:hAnsi="Times New Roman;serif"/>
                <w:b w:val="false"/>
                <w:sz w:val="12"/>
              </w:rPr>
              <w:t>par, due 6/2026)</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6/8/2021</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+ 5.75%</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59,046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58,350</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EMS Linq, Inc.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($56,216</w:t>
            </w:r>
            <w:r>
              <w:rPr>
                <w:rFonts w:ascii="Times New Roman" w:hAnsi="Times New Roman"/>
                <w:sz w:val="20"/>
              </w:rPr>
              <w:t> </w:t>
            </w:r>
            <w:r>
              <w:rPr>
                <w:rFonts w:ascii="Times New Roman;serif" w:hAnsi="Times New Roman;serif"/>
                <w:b w:val="false"/>
                <w:sz w:val="12"/>
              </w:rPr>
              <w:t>par, due</w:t>
            </w:r>
            <w:r>
              <w:rPr>
                <w:rFonts w:ascii="Times New Roman" w:hAnsi="Times New Roman"/>
                <w:sz w:val="20"/>
              </w:rPr>
              <w:t xml:space="preserve"> </w:t>
            </w:r>
            <w:r>
              <w:rPr>
                <w:rFonts w:ascii="Times New Roman;serif" w:hAnsi="Times New Roman;serif"/>
                <w:b w:val="false"/>
                <w:sz w:val="12"/>
              </w:rPr>
              <w:t>12/2027)</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12/22/2021</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+ 6.25%</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10.63%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55,103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53,291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w:t>
            </w:r>
          </w:p>
        </w:tc>
      </w:tr>
      <w:tr>
        <w:trPr/>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156,892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152,403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w:t>
            </w:r>
          </w:p>
        </w:tc>
      </w:tr>
      <w:tr>
        <w:trPr/>
        <w:tc>
          <w:tcPr>
            <w:tcW w:w="2337"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Financial Services</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pPr>
            <w:r>
              <w:rPr/>
              <w:t> </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BTRS Holdings, Inc.</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($45,180</w:t>
            </w:r>
            <w:r>
              <w:rPr>
                <w:rFonts w:ascii="Times New Roman" w:hAnsi="Times New Roman"/>
                <w:sz w:val="20"/>
              </w:rPr>
              <w:t> </w:t>
            </w:r>
            <w:r>
              <w:rPr>
                <w:rFonts w:ascii="Times New Roman;serif" w:hAnsi="Times New Roman;serif"/>
                <w:b w:val="false"/>
                <w:sz w:val="12"/>
              </w:rPr>
              <w:t>par, due</w:t>
            </w:r>
            <w:r>
              <w:rPr>
                <w:rFonts w:ascii="Times New Roman" w:hAnsi="Times New Roman"/>
                <w:sz w:val="20"/>
              </w:rPr>
              <w:t xml:space="preserve"> </w:t>
            </w:r>
            <w:r>
              <w:rPr>
                <w:rFonts w:ascii="Times New Roman;serif" w:hAnsi="Times New Roman;serif"/>
                <w:b w:val="false"/>
                <w:sz w:val="12"/>
              </w:rPr>
              <w:t>12/2028)</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12/16/2022</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+ 8.00%</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12.50%</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43,688</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43,465</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Bear OpCo, LLC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($20,169</w:t>
            </w:r>
            <w:r>
              <w:rPr>
                <w:rFonts w:ascii="Times New Roman" w:hAnsi="Times New Roman"/>
                <w:sz w:val="20"/>
              </w:rPr>
              <w:t> </w:t>
            </w:r>
            <w:r>
              <w:rPr>
                <w:rFonts w:ascii="Times New Roman;serif" w:hAnsi="Times New Roman;serif"/>
                <w:b w:val="false"/>
                <w:sz w:val="12"/>
              </w:rPr>
              <w:t>par, due 10/2024)</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10/10/2019</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+ 7.65%</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11.97%</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19,953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20,169</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BlueSnap, Inc.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($42,000</w:t>
            </w:r>
            <w:r>
              <w:rPr>
                <w:rFonts w:ascii="Times New Roman" w:hAnsi="Times New Roman"/>
                <w:sz w:val="20"/>
              </w:rPr>
              <w:t> </w:t>
            </w:r>
            <w:r>
              <w:rPr>
                <w:rFonts w:ascii="Times New Roman;serif" w:hAnsi="Times New Roman;serif"/>
                <w:b w:val="false"/>
                <w:sz w:val="12"/>
              </w:rPr>
              <w:t>par, due 10/2024)</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10/25/2019</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+ 6.75%</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11.48%</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41,646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41,889</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G Treasury SS, LLC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($65,859</w:t>
            </w:r>
            <w:r>
              <w:rPr>
                <w:rFonts w:ascii="Times New Roman" w:hAnsi="Times New Roman"/>
                <w:sz w:val="20"/>
              </w:rPr>
              <w:t> </w:t>
            </w:r>
            <w:r>
              <w:rPr>
                <w:rFonts w:ascii="Times New Roman;serif" w:hAnsi="Times New Roman;serif"/>
                <w:b w:val="false"/>
                <w:sz w:val="12"/>
              </w:rPr>
              <w:t>par, due 4/2024)</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4/9/2018</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+ 8.40%</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12.94%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65,709</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65,859</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Ibis Intermediate Co.</w:t>
            </w:r>
            <w:r>
              <w:rPr>
                <w:rFonts w:ascii="Times New Roman" w:hAnsi="Times New Roman"/>
                <w:sz w:val="12"/>
              </w:rPr>
              <w:t>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($1,526</w:t>
            </w:r>
            <w:r>
              <w:rPr>
                <w:rFonts w:ascii="Times New Roman" w:hAnsi="Times New Roman"/>
                <w:sz w:val="20"/>
              </w:rPr>
              <w:t> </w:t>
            </w:r>
            <w:r>
              <w:rPr>
                <w:rFonts w:ascii="Times New Roman;serif" w:hAnsi="Times New Roman;serif"/>
                <w:b w:val="false"/>
                <w:sz w:val="12"/>
              </w:rPr>
              <w:t>par, due 5/2027)</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5/28/2021</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+ 5.00%</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9.73%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1,416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1,565</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Ibis US Blocker Co.</w:t>
            </w:r>
            <w:r>
              <w:rPr>
                <w:rFonts w:ascii="Times New Roman" w:hAnsi="Times New Roman"/>
                <w:sz w:val="12"/>
              </w:rPr>
              <w:t>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($13,957</w:t>
            </w:r>
            <w:r>
              <w:rPr>
                <w:rFonts w:ascii="Times New Roman" w:hAnsi="Times New Roman"/>
                <w:sz w:val="20"/>
              </w:rPr>
              <w:t> </w:t>
            </w:r>
            <w:r>
              <w:rPr>
                <w:rFonts w:ascii="Times New Roman;serif" w:hAnsi="Times New Roman;serif"/>
                <w:b w:val="false"/>
                <w:sz w:val="12"/>
              </w:rPr>
              <w:t>par, due 5/2028)</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5/28/2021</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+ 8.25%</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12.98% PIK</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13,713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13,643</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Jonas Collections and Recovery, Inc.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($19,125</w:t>
            </w:r>
            <w:r>
              <w:rPr>
                <w:rFonts w:ascii="Times New Roman" w:hAnsi="Times New Roman"/>
                <w:sz w:val="20"/>
              </w:rPr>
              <w:t> </w:t>
            </w:r>
            <w:r>
              <w:rPr>
                <w:rFonts w:ascii="Times New Roman;serif" w:hAnsi="Times New Roman;serif"/>
                <w:b w:val="false"/>
                <w:sz w:val="12"/>
              </w:rPr>
              <w:t>par, due 6/2026)</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6/21/2021</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+ 5.25%</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10.40%</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18,832</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18,790</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Kyriba Corp.</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($19,051</w:t>
            </w:r>
            <w:r>
              <w:rPr>
                <w:rFonts w:ascii="Times New Roman" w:hAnsi="Times New Roman"/>
                <w:sz w:val="20"/>
              </w:rPr>
              <w:t> </w:t>
            </w:r>
            <w:r>
              <w:rPr>
                <w:rFonts w:ascii="Times New Roman;serif" w:hAnsi="Times New Roman;serif"/>
                <w:b w:val="false"/>
                <w:sz w:val="12"/>
              </w:rPr>
              <w:t>par, due 4/2025)</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4/9/2019</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+ 9.00%</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13.73% (incl. 9.00% PIK)</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18,870</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19,147</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r>
      <w:tr>
        <w:trPr/>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(EUR 9,924</w:t>
            </w:r>
            <w:r>
              <w:rPr>
                <w:rFonts w:ascii="Times New Roman" w:hAnsi="Times New Roman"/>
                <w:sz w:val="20"/>
              </w:rPr>
              <w:t> </w:t>
            </w:r>
            <w:r>
              <w:rPr>
                <w:rFonts w:ascii="Times New Roman;serif" w:hAnsi="Times New Roman;serif"/>
                <w:b w:val="false"/>
                <w:sz w:val="12"/>
              </w:rPr>
              <w:t>par, due 4/2025)</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4/9/2019</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E + 9.00%</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11.20% (incl. 9.00% PIK)</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11,004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10,645</w:t>
              <w:br/>
              <w:t>(EUR 9,974)</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0.8%</w:t>
            </w:r>
          </w:p>
        </w:tc>
      </w:tr>
      <w:tr>
        <w:trPr/>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revolving loan ($1,411</w:t>
            </w:r>
            <w:r>
              <w:rPr>
                <w:rFonts w:ascii="Times New Roman" w:hAnsi="Times New Roman"/>
                <w:sz w:val="20"/>
              </w:rPr>
              <w:t> </w:t>
            </w:r>
            <w:r>
              <w:rPr>
                <w:rFonts w:ascii="Times New Roman;serif" w:hAnsi="Times New Roman;serif"/>
                <w:b w:val="false"/>
                <w:sz w:val="12"/>
              </w:rPr>
              <w:t>par, due 4/2025)</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4/9/2019</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+ 7.25%</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11.98%</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1,394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1,418</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revolving loan (EUR 336</w:t>
            </w:r>
            <w:r>
              <w:rPr>
                <w:rFonts w:ascii="Times New Roman" w:hAnsi="Times New Roman"/>
                <w:sz w:val="20"/>
              </w:rPr>
              <w:t> </w:t>
            </w:r>
            <w:r>
              <w:rPr>
                <w:rFonts w:ascii="Times New Roman;serif" w:hAnsi="Times New Roman;serif"/>
                <w:b w:val="false"/>
                <w:sz w:val="12"/>
              </w:rPr>
              <w:t>par, due 4/2025)</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4/9/2019</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E + 7.25%</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9.45%</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372</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358</w:t>
              <w:br/>
              <w:t>(EUR 336)</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Passport Labs, Inc.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($23,390</w:t>
            </w:r>
            <w:r>
              <w:rPr>
                <w:rFonts w:ascii="Times New Roman" w:hAnsi="Times New Roman"/>
                <w:sz w:val="20"/>
              </w:rPr>
              <w:t> </w:t>
            </w:r>
            <w:r>
              <w:rPr>
                <w:rFonts w:ascii="Times New Roman;serif" w:hAnsi="Times New Roman;serif"/>
                <w:b w:val="false"/>
                <w:sz w:val="12"/>
              </w:rPr>
              <w:t>par, due 4/2026)</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4/28/2021</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+ 8.25%</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12.58% (incl. 4.125% PIK)</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23,169</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22,783</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Ping Identity Holding Corp.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($22,727</w:t>
            </w:r>
            <w:r>
              <w:rPr>
                <w:rFonts w:ascii="Times New Roman" w:hAnsi="Times New Roman"/>
                <w:sz w:val="20"/>
              </w:rPr>
              <w:t> </w:t>
            </w:r>
            <w:r>
              <w:rPr>
                <w:rFonts w:ascii="Times New Roman;serif" w:hAnsi="Times New Roman;serif"/>
                <w:b w:val="false"/>
                <w:sz w:val="12"/>
              </w:rPr>
              <w:t>par, due 10/2029)</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10/17/2022</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+ 7.00%</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11.32%</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22,116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21,977</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PrimeRevenue, Inc.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($22,507</w:t>
            </w:r>
            <w:r>
              <w:rPr>
                <w:rFonts w:ascii="Times New Roman" w:hAnsi="Times New Roman"/>
                <w:sz w:val="20"/>
              </w:rPr>
              <w:t> </w:t>
            </w:r>
            <w:r>
              <w:rPr>
                <w:rFonts w:ascii="Times New Roman;serif" w:hAnsi="Times New Roman;serif"/>
                <w:b w:val="false"/>
                <w:sz w:val="12"/>
              </w:rPr>
              <w:t>par, due 12/2023)</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12/31/2018</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+ 7.00%</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11.38%</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22,434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22,507</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TradingScreen, Inc.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($44,663</w:t>
            </w:r>
            <w:r>
              <w:rPr>
                <w:rFonts w:ascii="Times New Roman" w:hAnsi="Times New Roman"/>
                <w:sz w:val="20"/>
              </w:rPr>
              <w:t> </w:t>
            </w:r>
            <w:r>
              <w:rPr>
                <w:rFonts w:ascii="Times New Roman;serif" w:hAnsi="Times New Roman;serif"/>
                <w:b w:val="false"/>
                <w:sz w:val="12"/>
              </w:rPr>
              <w:t>par, due 4/2027)</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4/30/2021</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+ 6.25%</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10.66%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43,648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43,769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w:t>
            </w:r>
          </w:p>
        </w:tc>
      </w:tr>
      <w:tr>
        <w:trPr/>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347,964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347,984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25.8%</w:t>
            </w:r>
          </w:p>
        </w:tc>
      </w:tr>
      <w:tr>
        <w:trPr/>
        <w:tc>
          <w:tcPr>
            <w:tcW w:w="2337"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Healthcare</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pPr>
            <w:r>
              <w:rPr/>
              <w:t> </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BCTO Ace Purchaser, Inc.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($63,565</w:t>
            </w:r>
            <w:r>
              <w:rPr>
                <w:rFonts w:ascii="Times New Roman" w:hAnsi="Times New Roman"/>
                <w:sz w:val="20"/>
              </w:rPr>
              <w:t> </w:t>
            </w:r>
            <w:r>
              <w:rPr>
                <w:rFonts w:ascii="Times New Roman;serif" w:hAnsi="Times New Roman;serif"/>
                <w:b w:val="false"/>
                <w:sz w:val="12"/>
              </w:rPr>
              <w:t>par, due 11/2026)</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11/23/2020</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+ 7.70%</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12.10%</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62,440</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62,930</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w:t>
            </w:r>
          </w:p>
        </w:tc>
      </w:tr>
      <w:tr>
        <w:trPr/>
        <w:tc>
          <w:tcPr>
            <w:tcW w:w="233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Caris Life Sciences, Inc.</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($5,000</w:t>
            </w:r>
            <w:r>
              <w:rPr>
                <w:rFonts w:ascii="Times New Roman" w:hAnsi="Times New Roman"/>
                <w:sz w:val="20"/>
              </w:rPr>
              <w:t> </w:t>
            </w:r>
            <w:r>
              <w:rPr>
                <w:rFonts w:ascii="Times New Roman;serif" w:hAnsi="Times New Roman;serif"/>
                <w:b w:val="false"/>
                <w:sz w:val="12"/>
              </w:rPr>
              <w:t>par, due 9/2023)</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9/21/2018</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11.30%</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11.30%</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4,967</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5,100</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0.4%</w:t>
            </w:r>
          </w:p>
        </w:tc>
      </w:tr>
      <w:tr>
        <w:trPr/>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($3,750</w:t>
            </w:r>
            <w:r>
              <w:rPr>
                <w:rFonts w:ascii="Times New Roman" w:hAnsi="Times New Roman"/>
                <w:sz w:val="20"/>
              </w:rPr>
              <w:t> </w:t>
            </w:r>
            <w:r>
              <w:rPr>
                <w:rFonts w:ascii="Times New Roman;serif" w:hAnsi="Times New Roman;serif"/>
                <w:b w:val="false"/>
                <w:sz w:val="12"/>
              </w:rPr>
              <w:t>par, due 4/2025)</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4/2/2020</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11.30%</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11.30%</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3,601</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3,900</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0.3%</w:t>
            </w:r>
          </w:p>
        </w:tc>
      </w:tr>
      <w:tr>
        <w:trPr/>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Convertible note ($2,602</w:t>
            </w:r>
            <w:r>
              <w:rPr>
                <w:rFonts w:ascii="Times New Roman" w:hAnsi="Times New Roman"/>
                <w:sz w:val="20"/>
              </w:rPr>
              <w:t> </w:t>
            </w:r>
            <w:r>
              <w:rPr>
                <w:rFonts w:ascii="Times New Roman;serif" w:hAnsi="Times New Roman;serif"/>
                <w:b w:val="false"/>
                <w:sz w:val="12"/>
              </w:rPr>
              <w:t>par, due 9/2023)</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9/21/2018</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8.00%</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8.00%</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2,602</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5,848</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0.4%</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Homecare Software Solutions, LLC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($65,000</w:t>
            </w:r>
            <w:r>
              <w:rPr>
                <w:rFonts w:ascii="Times New Roman" w:hAnsi="Times New Roman"/>
                <w:sz w:val="20"/>
              </w:rPr>
              <w:t> </w:t>
            </w:r>
            <w:r>
              <w:rPr>
                <w:rFonts w:ascii="Times New Roman;serif" w:hAnsi="Times New Roman;serif"/>
                <w:b w:val="false"/>
                <w:sz w:val="12"/>
              </w:rPr>
              <w:t>par, due 10/2026)</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10/6/2021</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+ 5.70%</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10.02%</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63,733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63,213</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Integrated Practice Solutions, Inc.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($46,312</w:t>
            </w:r>
            <w:r>
              <w:rPr>
                <w:rFonts w:ascii="Times New Roman" w:hAnsi="Times New Roman"/>
                <w:sz w:val="20"/>
              </w:rPr>
              <w:t> </w:t>
            </w:r>
            <w:r>
              <w:rPr>
                <w:rFonts w:ascii="Times New Roman;serif" w:hAnsi="Times New Roman;serif"/>
                <w:b w:val="false"/>
                <w:sz w:val="12"/>
              </w:rPr>
              <w:t>par, due 10/2024)</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6/30/2017</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+ 7.50%</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11.89%</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45,590</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46,312</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Merative L.P.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($70,103</w:t>
            </w:r>
            <w:r>
              <w:rPr>
                <w:rFonts w:ascii="Times New Roman" w:hAnsi="Times New Roman"/>
                <w:sz w:val="20"/>
              </w:rPr>
              <w:t> </w:t>
            </w:r>
            <w:r>
              <w:rPr>
                <w:rFonts w:ascii="Times New Roman;serif" w:hAnsi="Times New Roman;serif"/>
                <w:b w:val="false"/>
                <w:sz w:val="12"/>
              </w:rPr>
              <w:t>par, due 6/2028)</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6/30/2022</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+ 7.25%</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11.84%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67,906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67,299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w:t>
            </w:r>
          </w:p>
        </w:tc>
      </w:tr>
      <w:tr>
        <w:trPr/>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250,839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254,602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19.0%</w:t>
            </w:r>
          </w:p>
        </w:tc>
      </w:tr>
      <w:tr>
        <w:trPr/>
        <w:tc>
          <w:tcPr>
            <w:tcW w:w="2337"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Hotel, Gaming and Leisure</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pPr>
            <w:r>
              <w:rPr/>
              <w:t> </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ASG II, LLC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($58,048</w:t>
            </w:r>
            <w:r>
              <w:rPr>
                <w:rFonts w:ascii="Times New Roman" w:hAnsi="Times New Roman"/>
                <w:sz w:val="20"/>
              </w:rPr>
              <w:t> </w:t>
            </w:r>
            <w:r>
              <w:rPr>
                <w:rFonts w:ascii="Times New Roman;serif" w:hAnsi="Times New Roman;serif"/>
                <w:b w:val="false"/>
                <w:sz w:val="12"/>
              </w:rPr>
              <w:t>par, due 5/2028)</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5/25/2022</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+ 6.35%</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10.67%</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56,609</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56,260</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IRGSE Holding Corp. </w:t>
            </w:r>
            <w:r>
              <w:rPr>
                <w:rFonts w:ascii="Times New Roman;serif" w:hAnsi="Times New Roman;serif"/>
                <w:b w:val="false"/>
                <w:sz w:val="8"/>
              </w:rPr>
              <w:t>(3)(7)</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($30,261</w:t>
            </w:r>
            <w:r>
              <w:rPr>
                <w:rFonts w:ascii="Times New Roman" w:hAnsi="Times New Roman"/>
                <w:sz w:val="20"/>
              </w:rPr>
              <w:t> </w:t>
            </w:r>
            <w:r>
              <w:rPr>
                <w:rFonts w:ascii="Times New Roman;serif" w:hAnsi="Times New Roman;serif"/>
                <w:b w:val="false"/>
                <w:sz w:val="12"/>
              </w:rPr>
              <w:t>par, due 6/2023)</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9/29/2015</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+ 9.50%</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14.19%</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28,595</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29,807</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w:t>
            </w:r>
          </w:p>
        </w:tc>
      </w:tr>
      <w:tr>
        <w:trPr/>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revolving loan ($16,747</w:t>
            </w:r>
            <w:r>
              <w:rPr>
                <w:rFonts w:ascii="Times New Roman" w:hAnsi="Times New Roman"/>
                <w:sz w:val="20"/>
              </w:rPr>
              <w:t> </w:t>
            </w:r>
            <w:r>
              <w:rPr>
                <w:rFonts w:ascii="Times New Roman;serif" w:hAnsi="Times New Roman;serif"/>
                <w:b w:val="false"/>
                <w:sz w:val="12"/>
              </w:rPr>
              <w:t>par, due 6/2023)</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9/29/2015</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+ 9.50%</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14.23%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16,747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16,492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w:t>
            </w:r>
          </w:p>
        </w:tc>
      </w:tr>
      <w:tr>
        <w:trPr/>
        <w:tc>
          <w:tcPr>
            <w:tcW w:w="233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101,951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102,559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7.6%</w:t>
            </w:r>
          </w:p>
        </w:tc>
      </w:tr>
      <w:tr>
        <w:trPr/>
        <w:tc>
          <w:tcPr>
            <w:tcW w:w="2337"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Human Resource Support Services</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pPr>
            <w:r>
              <w:rPr/>
              <w:t> </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Axonify, Inc. </w:t>
            </w:r>
            <w:r>
              <w:rPr>
                <w:rFonts w:ascii="Times New Roman;serif" w:hAnsi="Times New Roman;serif"/>
                <w:b w:val="false"/>
                <w:sz w:val="8"/>
              </w:rPr>
              <w:t>(3)(4)(5)</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($47,122</w:t>
            </w:r>
            <w:r>
              <w:rPr>
                <w:rFonts w:ascii="Times New Roman" w:hAnsi="Times New Roman"/>
                <w:sz w:val="20"/>
              </w:rPr>
              <w:t> </w:t>
            </w:r>
            <w:r>
              <w:rPr>
                <w:rFonts w:ascii="Times New Roman;serif" w:hAnsi="Times New Roman;serif"/>
                <w:b w:val="false"/>
                <w:sz w:val="12"/>
              </w:rPr>
              <w:t>par, due 5/2026)</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5/5/2021</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+ 7.65%</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11.83%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46,204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46,190</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3.4%</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bswift, LLC</w:t>
            </w:r>
            <w:r>
              <w:rPr>
                <w:rFonts w:ascii="Times New Roman" w:hAnsi="Times New Roman"/>
                <w:sz w:val="12"/>
              </w:rPr>
              <w:t>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($44,806</w:t>
            </w:r>
            <w:r>
              <w:rPr>
                <w:rFonts w:ascii="Times New Roman" w:hAnsi="Times New Roman"/>
                <w:sz w:val="20"/>
              </w:rPr>
              <w:t> </w:t>
            </w:r>
            <w:r>
              <w:rPr>
                <w:rFonts w:ascii="Times New Roman;serif" w:hAnsi="Times New Roman;serif"/>
                <w:b w:val="false"/>
                <w:sz w:val="12"/>
              </w:rPr>
              <w:t>par, due 11/2028)</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11/7/2022</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+ 6.63%</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10.81%</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43,430</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43,574</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Elysian Finco Ltd. </w:t>
            </w:r>
            <w:r>
              <w:rPr>
                <w:rFonts w:ascii="Times New Roman;serif" w:hAnsi="Times New Roman;serif"/>
                <w:b w:val="false"/>
                <w:sz w:val="8"/>
              </w:rPr>
              <w:t>(3)(4)(5)</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($17,314</w:t>
            </w:r>
            <w:r>
              <w:rPr>
                <w:rFonts w:ascii="Times New Roman" w:hAnsi="Times New Roman"/>
                <w:sz w:val="20"/>
              </w:rPr>
              <w:t> </w:t>
            </w:r>
            <w:r>
              <w:rPr>
                <w:rFonts w:ascii="Times New Roman;serif" w:hAnsi="Times New Roman;serif"/>
                <w:b w:val="false"/>
                <w:sz w:val="12"/>
              </w:rPr>
              <w:t>par, due 1/2028)</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1/31/2022</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+ 6.65%</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10.99%</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16,831</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17,107</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Employment Hero Holdings Pty Ltd. </w:t>
            </w:r>
            <w:r>
              <w:rPr>
                <w:rFonts w:ascii="Times New Roman;serif" w:hAnsi="Times New Roman;serif"/>
                <w:b w:val="false"/>
                <w:sz w:val="8"/>
              </w:rPr>
              <w:t>(3)(4)</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(AUD 50,000</w:t>
            </w:r>
            <w:r>
              <w:rPr>
                <w:rFonts w:ascii="Times New Roman" w:hAnsi="Times New Roman"/>
                <w:sz w:val="20"/>
              </w:rPr>
              <w:t> </w:t>
            </w:r>
            <w:r>
              <w:rPr>
                <w:rFonts w:ascii="Times New Roman;serif" w:hAnsi="Times New Roman;serif"/>
                <w:b w:val="false"/>
                <w:sz w:val="12"/>
              </w:rPr>
              <w:t>par, due 12/2026)</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12/6/2021</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B + 6.50%</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9.77%</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34,664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32,839</w:t>
              <w:br/>
              <w:t>(AUD 51,076)</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w:t>
            </w:r>
          </w:p>
        </w:tc>
      </w:tr>
      <w:tr>
        <w:trPr/>
        <w:tc>
          <w:tcPr>
            <w:tcW w:w="2337"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PageUp People, Ltd. </w:t>
            </w:r>
            <w:r>
              <w:rPr>
                <w:rFonts w:ascii="Times New Roman;serif" w:hAnsi="Times New Roman;serif"/>
                <w:b w:val="false"/>
                <w:sz w:val="8"/>
              </w:rPr>
              <w:t>(3)(4)(5)</w:t>
            </w:r>
          </w:p>
        </w:tc>
        <w:tc>
          <w:tcPr>
            <w:tcW w:w="146" w:type="dxa"/>
            <w:tcBorders/>
            <w:shd w:fill="auto" w:val="clear"/>
            <w:vAlign w:val="center"/>
          </w:tcPr>
          <w:p>
            <w:pPr>
              <w:pStyle w:val="TableContents"/>
              <w:spacing w:before="0" w:after="0"/>
              <w:ind w:left="0" w:right="0" w:hanging="0"/>
              <w:jc w:val="right"/>
              <w:rPr/>
            </w:pPr>
            <w:r>
              <w:rPr/>
              <w:t> </w:t>
            </w:r>
          </w:p>
        </w:tc>
        <w:tc>
          <w:tcPr>
            <w:tcW w:w="189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(AUD 14,520</w:t>
            </w:r>
            <w:r>
              <w:rPr>
                <w:rFonts w:ascii="Times New Roman" w:hAnsi="Times New Roman"/>
                <w:sz w:val="20"/>
              </w:rPr>
              <w:t> </w:t>
            </w:r>
            <w:r>
              <w:rPr>
                <w:rFonts w:ascii="Times New Roman;serif" w:hAnsi="Times New Roman;serif"/>
                <w:b w:val="false"/>
                <w:sz w:val="12"/>
              </w:rPr>
              <w:t>par, due 12/2025)</w:t>
            </w:r>
          </w:p>
        </w:tc>
        <w:tc>
          <w:tcPr>
            <w:tcW w:w="146" w:type="dxa"/>
            <w:tcBorders/>
            <w:shd w:fill="auto" w:val="clear"/>
            <w:vAlign w:val="center"/>
          </w:tcPr>
          <w:p>
            <w:pPr>
              <w:pStyle w:val="TableContents"/>
              <w:spacing w:before="0" w:after="0"/>
              <w:ind w:left="0" w:right="0" w:hanging="0"/>
              <w:jc w:val="righ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1/11/2018</w:t>
            </w:r>
          </w:p>
        </w:tc>
        <w:tc>
          <w:tcPr>
            <w:tcW w:w="146" w:type="dxa"/>
            <w:tcBorders/>
            <w:shd w:fill="auto" w:val="clear"/>
            <w:vAlign w:val="center"/>
          </w:tcPr>
          <w:p>
            <w:pPr>
              <w:pStyle w:val="TableContents"/>
              <w:spacing w:before="0" w:after="0"/>
              <w:ind w:left="0" w:right="0" w:hanging="0"/>
              <w:jc w:val="right"/>
              <w:rPr/>
            </w:pPr>
            <w:r>
              <w:rPr/>
              <w:t> </w:t>
            </w:r>
          </w:p>
        </w:tc>
        <w:tc>
          <w:tcPr>
            <w:tcW w:w="75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B + 5.50%</w:t>
            </w:r>
          </w:p>
        </w:tc>
        <w:tc>
          <w:tcPr>
            <w:tcW w:w="146" w:type="dxa"/>
            <w:tcBorders/>
            <w:shd w:fill="auto" w:val="clear"/>
            <w:vAlign w:val="center"/>
          </w:tcPr>
          <w:p>
            <w:pPr>
              <w:pStyle w:val="TableContents"/>
              <w:spacing w:before="0" w:after="0"/>
              <w:ind w:left="0" w:right="0" w:hanging="0"/>
              <w:jc w:val="right"/>
              <w:rPr/>
            </w:pPr>
            <w:r>
              <w:rPr/>
              <w:t> </w:t>
            </w:r>
          </w:p>
        </w:tc>
        <w:tc>
          <w:tcPr>
            <w:tcW w:w="10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9.28%</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10,899</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9.534</w:t>
              <w:br/>
              <w:t>(AUD 14,059)</w:t>
            </w:r>
          </w:p>
        </w:tc>
        <w:tc>
          <w:tcPr>
            <w:tcW w:w="146" w:type="dxa"/>
            <w:tcBorders/>
            <w:shd w:fill="auto" w:val="clear"/>
            <w:vAlign w:val="center"/>
          </w:tcPr>
          <w:p>
            <w:pPr>
              <w:pStyle w:val="TableContents"/>
              <w:spacing w:before="0" w:after="0"/>
              <w:ind w:left="0" w:right="0" w:hanging="0"/>
              <w:jc w:val="righ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0.7%</w:t>
            </w:r>
          </w:p>
        </w:tc>
      </w:tr>
    </w:tbl>
    <w:p>
      <w:pPr>
        <w:pStyle w:val="TextBody"/>
        <w:spacing w:before="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089"/>
        <w:gridCol w:w="146"/>
        <w:gridCol w:w="2308"/>
        <w:gridCol w:w="146"/>
        <w:gridCol w:w="598"/>
        <w:gridCol w:w="146"/>
        <w:gridCol w:w="784"/>
        <w:gridCol w:w="146"/>
        <w:gridCol w:w="1289"/>
        <w:gridCol w:w="146"/>
        <w:gridCol w:w="146"/>
        <w:gridCol w:w="586"/>
        <w:gridCol w:w="146"/>
        <w:gridCol w:w="146"/>
        <w:gridCol w:w="724"/>
        <w:gridCol w:w="146"/>
        <w:gridCol w:w="513"/>
      </w:tblGrid>
      <w:tr>
        <w:trPr/>
        <w:tc>
          <w:tcPr>
            <w:tcW w:w="208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r>
      <w:tr>
        <w:trPr/>
        <w:tc>
          <w:tcPr>
            <w:tcW w:w="208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(GBP 3,766</w:t>
            </w:r>
            <w:r>
              <w:rPr>
                <w:rFonts w:ascii="Times New Roman" w:hAnsi="Times New Roman"/>
                <w:sz w:val="20"/>
              </w:rPr>
              <w:t> </w:t>
            </w:r>
            <w:r>
              <w:rPr>
                <w:rFonts w:ascii="Times New Roman;serif" w:hAnsi="Times New Roman;serif"/>
                <w:b w:val="false"/>
                <w:sz w:val="12"/>
              </w:rPr>
              <w:t>par, due 12/2025)</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10/28/2021</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 + 5.62%</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8.55%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5,184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4,439</w:t>
              <w:br/>
              <w:t>(GBP 3,690)</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0.3%</w:t>
            </w:r>
          </w:p>
        </w:tc>
      </w:tr>
      <w:tr>
        <w:trPr/>
        <w:tc>
          <w:tcPr>
            <w:tcW w:w="208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($12,011</w:t>
            </w:r>
            <w:r>
              <w:rPr>
                <w:rFonts w:ascii="Times New Roman" w:hAnsi="Times New Roman"/>
                <w:sz w:val="20"/>
              </w:rPr>
              <w:t> </w:t>
            </w:r>
            <w:r>
              <w:rPr>
                <w:rFonts w:ascii="Times New Roman;serif" w:hAnsi="Times New Roman;serif"/>
                <w:b w:val="false"/>
                <w:sz w:val="12"/>
              </w:rPr>
              <w:t>par, due 12/2025)</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10/28/2021</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+ 5.50%</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10.65%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11,997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11,771</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0.9%</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PayScale Holdings, Inc.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($68,775</w:t>
            </w:r>
            <w:r>
              <w:rPr>
                <w:rFonts w:ascii="Times New Roman" w:hAnsi="Times New Roman"/>
                <w:sz w:val="20"/>
              </w:rPr>
              <w:t> </w:t>
            </w:r>
            <w:r>
              <w:rPr>
                <w:rFonts w:ascii="Times New Roman;serif" w:hAnsi="Times New Roman;serif"/>
                <w:b w:val="false"/>
                <w:sz w:val="12"/>
              </w:rPr>
              <w:t>par, due 5/2024)</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5/3/2019</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+ 5.75%</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10.48%</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68,199</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67,572</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PrimePay Intermediate, LLC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($32,242</w:t>
            </w:r>
            <w:r>
              <w:rPr>
                <w:rFonts w:ascii="Times New Roman" w:hAnsi="Times New Roman"/>
                <w:sz w:val="20"/>
              </w:rPr>
              <w:t> </w:t>
            </w:r>
            <w:r>
              <w:rPr>
                <w:rFonts w:ascii="Times New Roman;serif" w:hAnsi="Times New Roman;serif"/>
                <w:b w:val="false"/>
                <w:sz w:val="12"/>
              </w:rPr>
              <w:t>par, due 12/2026)</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12/17/2021</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+ 7.15%</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11.73%</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31,297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31,355</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Modern Hire, Inc.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($28,878</w:t>
            </w:r>
            <w:r>
              <w:rPr>
                <w:rFonts w:ascii="Times New Roman" w:hAnsi="Times New Roman"/>
                <w:sz w:val="20"/>
              </w:rPr>
              <w:t> </w:t>
            </w:r>
            <w:r>
              <w:rPr>
                <w:rFonts w:ascii="Times New Roman;serif" w:hAnsi="Times New Roman;serif"/>
                <w:b w:val="false"/>
                <w:sz w:val="12"/>
              </w:rPr>
              <w:t>par, due 5/2024)</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5/15/2019</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+ 7.00%</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11.38%</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28,624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28,950</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Workwell Acquisition Co.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($23,798</w:t>
            </w:r>
            <w:r>
              <w:rPr>
                <w:rFonts w:ascii="Times New Roman" w:hAnsi="Times New Roman"/>
                <w:sz w:val="20"/>
              </w:rPr>
              <w:t> </w:t>
            </w:r>
            <w:r>
              <w:rPr>
                <w:rFonts w:ascii="Times New Roman;serif" w:hAnsi="Times New Roman;serif"/>
                <w:b w:val="false"/>
                <w:sz w:val="12"/>
              </w:rPr>
              <w:t>par, due 10/2025)</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10/19/2020</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+ 7.40%</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11.80%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23,433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23,441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w:t>
            </w:r>
          </w:p>
        </w:tc>
      </w:tr>
      <w:tr>
        <w:trPr/>
        <w:tc>
          <w:tcPr>
            <w:tcW w:w="208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320,762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316,772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23.4%</w:t>
            </w:r>
          </w:p>
        </w:tc>
      </w:tr>
      <w:tr>
        <w:trPr/>
        <w:tc>
          <w:tcPr>
            <w:tcW w:w="2089"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Internet Services</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pPr>
            <w:r>
              <w:rPr/>
              <w:t> </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Bayshore Intermediate #2, L.P.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($32,194</w:t>
            </w:r>
            <w:r>
              <w:rPr>
                <w:rFonts w:ascii="Times New Roman" w:hAnsi="Times New Roman"/>
                <w:sz w:val="20"/>
              </w:rPr>
              <w:t> </w:t>
            </w:r>
            <w:r>
              <w:rPr>
                <w:rFonts w:ascii="Times New Roman;serif" w:hAnsi="Times New Roman;serif"/>
                <w:b w:val="false"/>
                <w:sz w:val="12"/>
              </w:rPr>
              <w:t>par, due 10/2028)</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10/1/2021</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+ 7.75%</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12.04% PIK</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31,631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31,308</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w:t>
            </w:r>
          </w:p>
        </w:tc>
      </w:tr>
      <w:tr>
        <w:trPr/>
        <w:tc>
          <w:tcPr>
            <w:tcW w:w="208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revolving loan ($780</w:t>
            </w:r>
            <w:r>
              <w:rPr>
                <w:rFonts w:ascii="Times New Roman" w:hAnsi="Times New Roman"/>
                <w:sz w:val="20"/>
              </w:rPr>
              <w:t> </w:t>
            </w:r>
            <w:r>
              <w:rPr>
                <w:rFonts w:ascii="Times New Roman;serif" w:hAnsi="Times New Roman;serif"/>
                <w:b w:val="false"/>
                <w:sz w:val="12"/>
              </w:rPr>
              <w:t>par, due 10/2027)</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10/1/2021</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+ 6.75%</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10.89%</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737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714</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CrunchTime Information, Systems, Inc.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($53,121</w:t>
            </w:r>
            <w:r>
              <w:rPr>
                <w:rFonts w:ascii="Times New Roman" w:hAnsi="Times New Roman"/>
                <w:sz w:val="20"/>
              </w:rPr>
              <w:t> </w:t>
            </w:r>
            <w:r>
              <w:rPr>
                <w:rFonts w:ascii="Times New Roman;serif" w:hAnsi="Times New Roman;serif"/>
                <w:b w:val="false"/>
                <w:sz w:val="12"/>
              </w:rPr>
              <w:t>par, due 6/2028)</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6/17/2022</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+ 6.00%</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10.32%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51,969</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51,766</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EDB Parent, LLC</w:t>
            </w:r>
            <w:r>
              <w:rPr>
                <w:rFonts w:ascii="Times New Roman" w:hAnsi="Times New Roman"/>
                <w:sz w:val="12"/>
              </w:rPr>
              <w:t>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($56,963</w:t>
            </w:r>
            <w:r>
              <w:rPr>
                <w:rFonts w:ascii="Times New Roman" w:hAnsi="Times New Roman"/>
                <w:sz w:val="20"/>
              </w:rPr>
              <w:t> </w:t>
            </w:r>
            <w:r>
              <w:rPr>
                <w:rFonts w:ascii="Times New Roman;serif" w:hAnsi="Times New Roman;serif"/>
                <w:b w:val="false"/>
                <w:sz w:val="12"/>
              </w:rPr>
              <w:t>par, due 7/2028)</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7/7/2022</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+ 7.00%</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11.58%</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55,607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55,539</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Higher Logic, LLC</w:t>
            </w:r>
            <w:r>
              <w:rPr>
                <w:rFonts w:ascii="Times New Roman" w:hAnsi="Times New Roman"/>
                <w:sz w:val="12"/>
              </w:rPr>
              <w:t>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($55,820</w:t>
            </w:r>
            <w:r>
              <w:rPr>
                <w:rFonts w:ascii="Times New Roman" w:hAnsi="Times New Roman"/>
                <w:sz w:val="20"/>
              </w:rPr>
              <w:t> </w:t>
            </w:r>
            <w:r>
              <w:rPr>
                <w:rFonts w:ascii="Times New Roman;serif" w:hAnsi="Times New Roman;serif"/>
                <w:b w:val="false"/>
                <w:sz w:val="12"/>
              </w:rPr>
              <w:t>par, due</w:t>
            </w:r>
            <w:r>
              <w:rPr>
                <w:rFonts w:ascii="Times New Roman" w:hAnsi="Times New Roman"/>
                <w:sz w:val="20"/>
              </w:rPr>
              <w:t xml:space="preserve"> </w:t>
            </w:r>
            <w:r>
              <w:rPr>
                <w:rFonts w:ascii="Times New Roman;serif" w:hAnsi="Times New Roman;serif"/>
                <w:b w:val="false"/>
                <w:sz w:val="12"/>
              </w:rPr>
              <w:t>1/2025)</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6/18/2018</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+ 7.25%</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11.83%</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55,506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55,541</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LeanTaaS Holdings, Inc.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($27,782</w:t>
            </w:r>
            <w:r>
              <w:rPr>
                <w:rFonts w:ascii="Times New Roman" w:hAnsi="Times New Roman"/>
                <w:sz w:val="20"/>
              </w:rPr>
              <w:t> </w:t>
            </w:r>
            <w:r>
              <w:rPr>
                <w:rFonts w:ascii="Times New Roman;serif" w:hAnsi="Times New Roman;serif"/>
                <w:b w:val="false"/>
                <w:sz w:val="12"/>
              </w:rPr>
              <w:t>par, due 7/2028)</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7/12/2022</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+ 7.50%</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12.08%</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26,906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26,709</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Lithium Technologies, LLC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($54,700</w:t>
            </w:r>
            <w:r>
              <w:rPr>
                <w:rFonts w:ascii="Times New Roman" w:hAnsi="Times New Roman"/>
                <w:sz w:val="20"/>
              </w:rPr>
              <w:t> </w:t>
            </w:r>
            <w:r>
              <w:rPr>
                <w:rFonts w:ascii="Times New Roman;serif" w:hAnsi="Times New Roman;serif"/>
                <w:b w:val="false"/>
                <w:sz w:val="12"/>
              </w:rPr>
              <w:t>par, due 1/2024)</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10/3/2017</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+ 8.00%</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12.06%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54,651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53,469</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w:t>
            </w:r>
          </w:p>
        </w:tc>
      </w:tr>
      <w:tr>
        <w:trPr/>
        <w:tc>
          <w:tcPr>
            <w:tcW w:w="208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revolving loan ($1,320</w:t>
            </w:r>
            <w:r>
              <w:rPr>
                <w:rFonts w:ascii="Times New Roman" w:hAnsi="Times New Roman"/>
                <w:sz w:val="20"/>
              </w:rPr>
              <w:t> </w:t>
            </w:r>
            <w:r>
              <w:rPr>
                <w:rFonts w:ascii="Times New Roman;serif" w:hAnsi="Times New Roman;serif"/>
                <w:b w:val="false"/>
                <w:sz w:val="12"/>
              </w:rPr>
              <w:t>par, due 1/2024)</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10/3/2017</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+ 8.00%</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12.06%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1,323</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1,245</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Lucidworks, Inc.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($8,330</w:t>
            </w:r>
            <w:r>
              <w:rPr>
                <w:rFonts w:ascii="Times New Roman" w:hAnsi="Times New Roman"/>
                <w:sz w:val="20"/>
              </w:rPr>
              <w:t> </w:t>
            </w:r>
            <w:r>
              <w:rPr>
                <w:rFonts w:ascii="Times New Roman;serif" w:hAnsi="Times New Roman;serif"/>
                <w:b w:val="false"/>
                <w:sz w:val="12"/>
              </w:rPr>
              <w:t>par, due 2/2027)</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2/11/2022</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+ 7.50%</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11.82% (incl. 3.50% PIK)</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8,330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8,170</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0.6%</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Piano Software, Inc.</w:t>
            </w:r>
            <w:r>
              <w:rPr>
                <w:rFonts w:ascii="Times New Roman" w:hAnsi="Times New Roman"/>
                <w:sz w:val="12"/>
              </w:rPr>
              <w:t>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($51,312</w:t>
            </w:r>
            <w:r>
              <w:rPr>
                <w:rFonts w:ascii="Times New Roman" w:hAnsi="Times New Roman"/>
                <w:sz w:val="20"/>
              </w:rPr>
              <w:t> </w:t>
            </w:r>
            <w:r>
              <w:rPr>
                <w:rFonts w:ascii="Times New Roman;serif" w:hAnsi="Times New Roman;serif"/>
                <w:b w:val="false"/>
                <w:sz w:val="12"/>
              </w:rPr>
              <w:t>par, due</w:t>
            </w:r>
            <w:r>
              <w:rPr>
                <w:rFonts w:ascii="Times New Roman" w:hAnsi="Times New Roman"/>
                <w:sz w:val="20"/>
              </w:rPr>
              <w:t xml:space="preserve"> </w:t>
            </w:r>
            <w:r>
              <w:rPr>
                <w:rFonts w:ascii="Times New Roman;serif" w:hAnsi="Times New Roman;serif"/>
                <w:b w:val="false"/>
                <w:sz w:val="12"/>
              </w:rPr>
              <w:t>2/2026)</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2/25/2021</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+ 7.10%</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11.42%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50,454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50,029</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SMA Technologies Holdings, LLC</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($36,833</w:t>
            </w:r>
            <w:r>
              <w:rPr>
                <w:rFonts w:ascii="Times New Roman" w:hAnsi="Times New Roman"/>
                <w:sz w:val="20"/>
              </w:rPr>
              <w:t> </w:t>
            </w:r>
            <w:r>
              <w:rPr>
                <w:rFonts w:ascii="Times New Roman;serif" w:hAnsi="Times New Roman;serif"/>
                <w:b w:val="false"/>
                <w:sz w:val="12"/>
              </w:rPr>
              <w:t>par, due 10/2028)</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10/31/2022</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+ 6.75%</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35,258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35,268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w:t>
            </w:r>
          </w:p>
        </w:tc>
      </w:tr>
      <w:tr>
        <w:trPr/>
        <w:tc>
          <w:tcPr>
            <w:tcW w:w="208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372,372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369,758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27.5%</w:t>
            </w:r>
          </w:p>
        </w:tc>
      </w:tr>
      <w:tr>
        <w:trPr/>
        <w:tc>
          <w:tcPr>
            <w:tcW w:w="2089"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Manufacturing</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pPr>
            <w:r>
              <w:rPr/>
              <w:t> </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Avalara, Inc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($38,636</w:t>
            </w:r>
            <w:r>
              <w:rPr>
                <w:rFonts w:ascii="Times New Roman" w:hAnsi="Times New Roman"/>
                <w:sz w:val="20"/>
              </w:rPr>
              <w:t> </w:t>
            </w:r>
            <w:r>
              <w:rPr>
                <w:rFonts w:ascii="Times New Roman;serif" w:hAnsi="Times New Roman;serif"/>
                <w:b w:val="false"/>
                <w:sz w:val="12"/>
              </w:rPr>
              <w:t>par, due 10/2028)</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10/19/2022</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+ 7.25%</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11.83%</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37,601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37,255</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w:t>
            </w:r>
          </w:p>
        </w:tc>
      </w:tr>
      <w:tr>
        <w:trPr/>
        <w:tc>
          <w:tcPr>
            <w:tcW w:w="2089"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Office Products</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pPr>
            <w:r>
              <w:rPr/>
              <w:t> </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USR Parent, Inc.</w:t>
            </w:r>
            <w:r>
              <w:rPr>
                <w:rFonts w:ascii="Times New Roman" w:hAnsi="Times New Roman"/>
                <w:sz w:val="12"/>
              </w:rPr>
              <w:t>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ABL FILO term loan ($19,000</w:t>
            </w:r>
            <w:r>
              <w:rPr>
                <w:rFonts w:ascii="Times New Roman" w:hAnsi="Times New Roman"/>
                <w:sz w:val="20"/>
              </w:rPr>
              <w:t> </w:t>
            </w:r>
            <w:r>
              <w:rPr>
                <w:rFonts w:ascii="Times New Roman;serif" w:hAnsi="Times New Roman;serif"/>
                <w:b w:val="false"/>
                <w:sz w:val="12"/>
              </w:rPr>
              <w:t>par, due 4/2027)</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4/25/2022</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+ 6.50%</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10.62%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18,634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18,478</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r>
      <w:tr>
        <w:trPr/>
        <w:tc>
          <w:tcPr>
            <w:tcW w:w="2089"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Oil, Gas and Consumable Fuels</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pPr>
            <w:r>
              <w:rPr/>
              <w:t> </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Murchison Oil and Gas, LLC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($26,873</w:t>
            </w:r>
            <w:r>
              <w:rPr>
                <w:rFonts w:ascii="Times New Roman" w:hAnsi="Times New Roman"/>
                <w:sz w:val="20"/>
              </w:rPr>
              <w:t> </w:t>
            </w:r>
            <w:r>
              <w:rPr>
                <w:rFonts w:ascii="Times New Roman;serif" w:hAnsi="Times New Roman;serif"/>
                <w:b w:val="false"/>
                <w:sz w:val="12"/>
              </w:rPr>
              <w:t>par, due 6/2026)</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6/30/2022</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+ 8.65%</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13.23%</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26,345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26,781</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TRP Assets, LLC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($57,818</w:t>
            </w:r>
            <w:r>
              <w:rPr>
                <w:rFonts w:ascii="Times New Roman" w:hAnsi="Times New Roman"/>
                <w:sz w:val="20"/>
              </w:rPr>
              <w:t> </w:t>
            </w:r>
            <w:r>
              <w:rPr>
                <w:rFonts w:ascii="Times New Roman;serif" w:hAnsi="Times New Roman;serif"/>
                <w:b w:val="false"/>
                <w:sz w:val="12"/>
              </w:rPr>
              <w:t>par, due 12/2025)</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12/3/2021</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+ 7.76%</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12.34%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56,927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58,468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4.4%</w:t>
            </w:r>
          </w:p>
        </w:tc>
      </w:tr>
      <w:tr>
        <w:trPr/>
        <w:tc>
          <w:tcPr>
            <w:tcW w:w="208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83,272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85,249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6.4%</w:t>
            </w:r>
          </w:p>
        </w:tc>
      </w:tr>
      <w:tr>
        <w:trPr/>
        <w:tc>
          <w:tcPr>
            <w:tcW w:w="2089"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Other</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pPr>
            <w:r>
              <w:rPr/>
              <w:t> </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Omnigo Software, LLC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($40,353</w:t>
            </w:r>
            <w:r>
              <w:rPr>
                <w:rFonts w:ascii="Times New Roman" w:hAnsi="Times New Roman"/>
                <w:sz w:val="20"/>
              </w:rPr>
              <w:t> </w:t>
            </w:r>
            <w:r>
              <w:rPr>
                <w:rFonts w:ascii="Times New Roman;serif" w:hAnsi="Times New Roman;serif"/>
                <w:b w:val="false"/>
                <w:sz w:val="12"/>
              </w:rPr>
              <w:t>par, due 3/2026)</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3/31/2021</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+ 6.60%</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10.92%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39,655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39,445</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w:t>
            </w:r>
          </w:p>
        </w:tc>
      </w:tr>
      <w:tr>
        <w:trPr/>
        <w:tc>
          <w:tcPr>
            <w:tcW w:w="2089"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Retail and Consumer Products</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pPr>
            <w:r>
              <w:rPr/>
              <w:t> </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99 Cents Only Stores LLC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ABL FILO term loan ($25,000</w:t>
            </w:r>
            <w:r>
              <w:rPr>
                <w:rFonts w:ascii="Times New Roman" w:hAnsi="Times New Roman"/>
                <w:sz w:val="20"/>
              </w:rPr>
              <w:t> </w:t>
            </w:r>
            <w:r>
              <w:rPr>
                <w:rFonts w:ascii="Times New Roman;serif" w:hAnsi="Times New Roman;serif"/>
                <w:b w:val="false"/>
                <w:sz w:val="12"/>
              </w:rPr>
              <w:t>par, due</w:t>
            </w:r>
            <w:r>
              <w:rPr>
                <w:rFonts w:ascii="Times New Roman" w:hAnsi="Times New Roman"/>
                <w:sz w:val="20"/>
              </w:rPr>
              <w:t xml:space="preserve"> </w:t>
            </w:r>
            <w:r>
              <w:rPr>
                <w:rFonts w:ascii="Times New Roman;serif" w:hAnsi="Times New Roman;serif"/>
                <w:b w:val="false"/>
                <w:sz w:val="12"/>
              </w:rPr>
              <w:t>5/2025)</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9/6/2017</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+ 8.50%</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13.23%</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24,782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25,063</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American Achievement, Corp.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($27,171</w:t>
            </w:r>
            <w:r>
              <w:rPr>
                <w:rFonts w:ascii="Times New Roman" w:hAnsi="Times New Roman"/>
                <w:sz w:val="20"/>
              </w:rPr>
              <w:t> </w:t>
            </w:r>
            <w:r>
              <w:rPr>
                <w:rFonts w:ascii="Times New Roman;serif" w:hAnsi="Times New Roman;serif"/>
                <w:b w:val="false"/>
                <w:sz w:val="12"/>
              </w:rPr>
              <w:t>par, due 9/2026)</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9/30/2015</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+ 6.25%</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10.38% (incl. 9.88% PIK)</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26,339</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20,922</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w:t>
            </w:r>
          </w:p>
        </w:tc>
      </w:tr>
      <w:tr>
        <w:trPr/>
        <w:tc>
          <w:tcPr>
            <w:tcW w:w="208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First-lien loan ($1,363</w:t>
            </w:r>
            <w:r>
              <w:rPr>
                <w:rFonts w:ascii="Times New Roman" w:hAnsi="Times New Roman"/>
                <w:sz w:val="12"/>
              </w:rPr>
              <w:t> </w:t>
            </w:r>
            <w:r>
              <w:rPr>
                <w:rFonts w:ascii="Times New Roman;serif" w:hAnsi="Times New Roman;serif"/>
                <w:b w:val="false"/>
                <w:sz w:val="12"/>
              </w:rPr>
              <w:t xml:space="preserve">par, due 9/2026) </w:t>
            </w:r>
            <w:r>
              <w:rPr>
                <w:rFonts w:ascii="Times New Roman;serif" w:hAnsi="Times New Roman;serif"/>
                <w:b w:val="false"/>
                <w:sz w:val="8"/>
              </w:rPr>
              <w:t>(15)</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6/10/2021</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+ 14.00%</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18.13% (incl. 17.63% PIK)</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78</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208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Subordinated note ($4,740</w:t>
            </w:r>
            <w:r>
              <w:rPr>
                <w:rFonts w:ascii="Times New Roman" w:hAnsi="Times New Roman"/>
                <w:sz w:val="12"/>
              </w:rPr>
              <w:t> </w:t>
            </w:r>
            <w:r>
              <w:rPr>
                <w:rFonts w:ascii="Times New Roman;serif" w:hAnsi="Times New Roman;serif"/>
                <w:b w:val="false"/>
                <w:sz w:val="12"/>
              </w:rPr>
              <w:t>par, due</w:t>
            </w:r>
            <w:r>
              <w:rPr>
                <w:rFonts w:ascii="Times New Roman" w:hAnsi="Times New Roman"/>
                <w:sz w:val="12"/>
              </w:rPr>
              <w:t xml:space="preserve"> </w:t>
            </w:r>
            <w:r>
              <w:rPr>
                <w:rFonts w:ascii="Times New Roman;serif" w:hAnsi="Times New Roman;serif"/>
                <w:b w:val="false"/>
                <w:sz w:val="12"/>
              </w:rPr>
              <w:t xml:space="preserve">9/2026) </w:t>
            </w:r>
            <w:r>
              <w:rPr>
                <w:rFonts w:ascii="Times New Roman;serif" w:hAnsi="Times New Roman;serif"/>
                <w:b w:val="false"/>
                <w:sz w:val="8"/>
              </w:rPr>
              <w:t>(15)</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3/16/2021</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+ 1.00%</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4.75% PIK</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545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Bed Bath and Beyond Inc.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ABL FILO term loan ($55,000</w:t>
            </w:r>
            <w:r>
              <w:rPr>
                <w:rFonts w:ascii="Times New Roman" w:hAnsi="Times New Roman"/>
                <w:sz w:val="20"/>
              </w:rPr>
              <w:t> </w:t>
            </w:r>
            <w:r>
              <w:rPr>
                <w:rFonts w:ascii="Times New Roman;serif" w:hAnsi="Times New Roman;serif"/>
                <w:b w:val="false"/>
                <w:sz w:val="12"/>
              </w:rPr>
              <w:t>par, due 8/2027)</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9/2/2022</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+ 7.90%</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12.30%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53,696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53,900</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Cordance Operations, LLC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($32,907</w:t>
            </w:r>
            <w:r>
              <w:rPr>
                <w:rFonts w:ascii="Times New Roman" w:hAnsi="Times New Roman"/>
                <w:sz w:val="20"/>
              </w:rPr>
              <w:t> </w:t>
            </w:r>
            <w:r>
              <w:rPr>
                <w:rFonts w:ascii="Times New Roman;serif" w:hAnsi="Times New Roman;serif"/>
                <w:b w:val="false"/>
                <w:sz w:val="12"/>
              </w:rPr>
              <w:t>par, due 7/2028)</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7/25/2022</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SOFR + 8.75%</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13.27%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32,091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32,135</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Neuintel, LLC</w:t>
            </w:r>
            <w:r>
              <w:rPr>
                <w:rFonts w:ascii="Times New Roman" w:hAnsi="Times New Roman"/>
                <w:sz w:val="12"/>
              </w:rPr>
              <w:t>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($56,400</w:t>
            </w:r>
            <w:r>
              <w:rPr>
                <w:rFonts w:ascii="Times New Roman" w:hAnsi="Times New Roman"/>
                <w:sz w:val="20"/>
              </w:rPr>
              <w:t> </w:t>
            </w:r>
            <w:r>
              <w:rPr>
                <w:rFonts w:ascii="Times New Roman;serif" w:hAnsi="Times New Roman;serif"/>
                <w:b w:val="false"/>
                <w:sz w:val="12"/>
              </w:rPr>
              <w:t>par, due 12/2026)</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12/20/2021</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+ 6.25%</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10.76%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55,414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55,272</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Project P Intermediate 2, LLC</w:t>
            </w:r>
            <w:r>
              <w:rPr>
                <w:rFonts w:ascii="Times New Roman" w:hAnsi="Times New Roman"/>
                <w:sz w:val="12"/>
              </w:rPr>
              <w:t> </w:t>
            </w: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ABL FILO term loan ($73,125</w:t>
            </w:r>
            <w:r>
              <w:rPr>
                <w:rFonts w:ascii="Times New Roman" w:hAnsi="Times New Roman"/>
                <w:sz w:val="20"/>
              </w:rPr>
              <w:t> </w:t>
            </w:r>
            <w:r>
              <w:rPr>
                <w:rFonts w:ascii="Times New Roman;serif" w:hAnsi="Times New Roman;serif"/>
                <w:b w:val="false"/>
                <w:sz w:val="12"/>
              </w:rPr>
              <w:t>par, due 5/2026)</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11/8/2021</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+ 8.00%</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12.41%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71,976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72,943</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5.4%</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Tango Management Consulting, LLC</w:t>
            </w:r>
            <w:r>
              <w:rPr>
                <w:rFonts w:ascii="Times New Roman" w:hAnsi="Times New Roman"/>
                <w:sz w:val="12"/>
              </w:rPr>
              <w:t>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($44,674</w:t>
            </w:r>
            <w:r>
              <w:rPr>
                <w:rFonts w:ascii="Times New Roman" w:hAnsi="Times New Roman"/>
                <w:sz w:val="20"/>
              </w:rPr>
              <w:t> </w:t>
            </w:r>
            <w:r>
              <w:rPr>
                <w:rFonts w:ascii="Times New Roman;serif" w:hAnsi="Times New Roman;serif"/>
                <w:b w:val="false"/>
                <w:sz w:val="12"/>
              </w:rPr>
              <w:t>par, due 12/2027)</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12/1/2021</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+ 6.75%</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10.49%</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43,752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42,997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w:t>
            </w:r>
          </w:p>
        </w:tc>
      </w:tr>
      <w:tr>
        <w:trPr/>
        <w:tc>
          <w:tcPr>
            <w:tcW w:w="208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309,957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303,381</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22.6%</w:t>
            </w:r>
          </w:p>
        </w:tc>
      </w:tr>
      <w:tr>
        <w:trPr/>
        <w:tc>
          <w:tcPr>
            <w:tcW w:w="2089"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Transportation</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pPr>
            <w:r>
              <w:rPr/>
              <w:t> </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Project44, Inc.</w:t>
            </w:r>
            <w:r>
              <w:rPr>
                <w:rFonts w:ascii="Times New Roman" w:hAnsi="Times New Roman"/>
                <w:sz w:val="12"/>
              </w:rPr>
              <w:t> </w:t>
            </w:r>
            <w:r>
              <w:rPr>
                <w:rFonts w:ascii="Times New Roman;serif" w:hAnsi="Times New Roman;serif"/>
                <w:b w:val="false"/>
                <w:sz w:val="8"/>
              </w:rPr>
              <w:t>(3)(5)</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First-lien loan ($35,139</w:t>
            </w:r>
            <w:r>
              <w:rPr>
                <w:rFonts w:ascii="Times New Roman" w:hAnsi="Times New Roman"/>
                <w:sz w:val="20"/>
              </w:rPr>
              <w:t> </w:t>
            </w:r>
            <w:r>
              <w:rPr>
                <w:rFonts w:ascii="Times New Roman;serif" w:hAnsi="Times New Roman;serif"/>
                <w:b w:val="false"/>
                <w:sz w:val="12"/>
              </w:rPr>
              <w:t>par, due 11/2027)</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11/12/2021</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+ 6.25%</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11.41%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34,043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33,901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w:t>
            </w:r>
          </w:p>
        </w:tc>
      </w:tr>
      <w:tr>
        <w:trPr/>
        <w:tc>
          <w:tcPr>
            <w:tcW w:w="2089"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Debt Investments</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2,579,557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2,568,814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188.1%</w:t>
            </w:r>
          </w:p>
        </w:tc>
      </w:tr>
      <w:tr>
        <w:trPr/>
        <w:tc>
          <w:tcPr>
            <w:tcW w:w="208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pPr>
            <w:r>
              <w:rPr/>
              <w:t> </w:t>
            </w:r>
          </w:p>
        </w:tc>
      </w:tr>
      <w:tr>
        <w:trPr/>
        <w:tc>
          <w:tcPr>
            <w:tcW w:w="2089"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Equity and Other Investments</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pPr>
            <w:r>
              <w:rPr/>
              <w:t> </w:t>
            </w:r>
          </w:p>
        </w:tc>
      </w:tr>
      <w:tr>
        <w:trPr/>
        <w:tc>
          <w:tcPr>
            <w:tcW w:w="2089"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Business Services</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pPr>
            <w:r>
              <w:rPr/>
              <w:t> </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Dye &amp; Durham, Ltd. </w:t>
            </w:r>
            <w:r>
              <w:rPr>
                <w:rFonts w:ascii="Times New Roman;serif" w:hAnsi="Times New Roman;serif"/>
                <w:b w:val="false"/>
                <w:sz w:val="8"/>
              </w:rPr>
              <w:t>(4)(11)</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Common Shares (126,968</w:t>
            </w:r>
            <w:r>
              <w:rPr>
                <w:rFonts w:ascii="Times New Roman" w:hAnsi="Times New Roman"/>
                <w:sz w:val="20"/>
              </w:rPr>
              <w:t> </w:t>
            </w:r>
            <w:r>
              <w:rPr>
                <w:rFonts w:ascii="Times New Roman;serif" w:hAnsi="Times New Roman;serif"/>
                <w:b w:val="false"/>
                <w:sz w:val="12"/>
              </w:rPr>
              <w:t>shares)</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12/3/2021</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3,909</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1,538</w:t>
              <w:br/>
              <w:t>(CAD 2,284)</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Mitnick TA Aggregator, LP</w:t>
            </w:r>
            <w:r>
              <w:rPr>
                <w:rFonts w:ascii="Times New Roman" w:hAnsi="Times New Roman"/>
                <w:sz w:val="12"/>
              </w:rPr>
              <w:t> </w:t>
            </w:r>
            <w:r>
              <w:rPr>
                <w:rFonts w:ascii="Times New Roman;serif" w:hAnsi="Times New Roman;serif"/>
                <w:b w:val="false"/>
                <w:sz w:val="8"/>
              </w:rPr>
              <w:t>(12)(13)(14)</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Membership Interest (0.43% ownership)</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5/2/2022</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5,243</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5,243</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0.4%</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ReliaQuest, LLC </w:t>
            </w:r>
            <w:r>
              <w:rPr>
                <w:rFonts w:ascii="Times New Roman;serif" w:hAnsi="Times New Roman;serif"/>
                <w:b w:val="false"/>
                <w:sz w:val="8"/>
              </w:rPr>
              <w:t>(12)(14)</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Class A-1 Units (567,683</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11/23/2021</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1,512</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208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Class A-2 Units (2,580</w:t>
            </w:r>
            <w:r>
              <w:rPr>
                <w:rFonts w:ascii="Times New Roman" w:hAnsi="Times New Roman"/>
                <w:sz w:val="12"/>
              </w:rPr>
              <w:t> </w:t>
            </w:r>
            <w:r>
              <w:rPr>
                <w:rFonts w:ascii="Times New Roman;serif" w:hAnsi="Times New Roman;serif"/>
                <w:b w:val="false"/>
                <w:sz w:val="12"/>
              </w:rPr>
              <w:t>units)</w:t>
            </w:r>
            <w:r>
              <w:rPr>
                <w:rFonts w:ascii="Times New Roman;serif" w:hAnsi="Times New Roman;serif"/>
                <w:b w:val="false"/>
                <w:sz w:val="8"/>
              </w:rPr>
              <w:t>(13)</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6/21/2022</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Sprinklr, Inc. </w:t>
            </w:r>
            <w:r>
              <w:rPr>
                <w:rFonts w:ascii="Times New Roman;serif" w:hAnsi="Times New Roman;serif"/>
                <w:b w:val="false"/>
                <w:sz w:val="8"/>
              </w:rPr>
              <w:t>(11)(12)</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Common Shares (484,700</w:t>
            </w:r>
            <w:r>
              <w:rPr>
                <w:rFonts w:ascii="Times New Roman" w:hAnsi="Times New Roman"/>
                <w:sz w:val="20"/>
              </w:rPr>
              <w:t> </w:t>
            </w:r>
            <w:r>
              <w:rPr>
                <w:rFonts w:ascii="Times New Roman;serif" w:hAnsi="Times New Roman;serif"/>
                <w:b w:val="false"/>
                <w:sz w:val="12"/>
              </w:rPr>
              <w:t>shares)</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6/24/2021</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4,180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3,960</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0.3%</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WideOrbit, Inc. </w:t>
            </w:r>
            <w:r>
              <w:rPr>
                <w:rFonts w:ascii="Times New Roman;serif" w:hAnsi="Times New Roman;serif"/>
                <w:b w:val="false"/>
                <w:sz w:val="8"/>
              </w:rPr>
              <w:t>(12)</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1,567,807</w:t>
            </w:r>
            <w:r>
              <w:rPr>
                <w:rFonts w:ascii="Times New Roman" w:hAnsi="Times New Roman"/>
                <w:sz w:val="20"/>
              </w:rPr>
              <w:t> </w:t>
            </w:r>
            <w:r>
              <w:rPr>
                <w:rFonts w:ascii="Times New Roman;serif" w:hAnsi="Times New Roman;serif"/>
                <w:b w:val="false"/>
                <w:sz w:val="12"/>
              </w:rPr>
              <w:t>Warrants</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7/8/2020</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0.4%</w:t>
            </w:r>
          </w:p>
        </w:tc>
      </w:tr>
      <w:tr>
        <w:trPr/>
        <w:tc>
          <w:tcPr>
            <w:tcW w:w="208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14,785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17,131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w:t>
            </w:r>
          </w:p>
        </w:tc>
      </w:tr>
      <w:tr>
        <w:trPr/>
        <w:tc>
          <w:tcPr>
            <w:tcW w:w="2089"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Communications</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pPr>
            <w:r>
              <w:rPr/>
              <w:t> </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Celtra Technologies, Inc. </w:t>
            </w:r>
            <w:r>
              <w:rPr>
                <w:rFonts w:ascii="Times New Roman;serif" w:hAnsi="Times New Roman;serif"/>
                <w:b w:val="false"/>
                <w:sz w:val="8"/>
              </w:rPr>
              <w:t>(12)</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Class A Units (1,250,000</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11/19/2021</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1,250</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IntelePeer Holdings, Inc. </w:t>
            </w:r>
            <w:r>
              <w:rPr>
                <w:rFonts w:ascii="Times New Roman;serif" w:hAnsi="Times New Roman;serif"/>
                <w:b w:val="false"/>
                <w:sz w:val="8"/>
              </w:rPr>
              <w:t>(12)</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Series C Preferred Shares (1,816,295</w:t>
            </w:r>
            <w:r>
              <w:rPr>
                <w:rFonts w:ascii="Times New Roman" w:hAnsi="Times New Roman"/>
                <w:sz w:val="20"/>
              </w:rPr>
              <w:t> </w:t>
            </w:r>
            <w:r>
              <w:rPr>
                <w:rFonts w:ascii="Times New Roman;serif" w:hAnsi="Times New Roman;serif"/>
                <w:b w:val="false"/>
                <w:sz w:val="12"/>
              </w:rPr>
              <w:t>shares)</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4/8/2021</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1,816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1,794</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208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Series D Preferred Shares (1,598,874</w:t>
            </w:r>
            <w:r>
              <w:rPr>
                <w:rFonts w:ascii="Times New Roman" w:hAnsi="Times New Roman"/>
                <w:sz w:val="20"/>
              </w:rPr>
              <w:t> </w:t>
            </w:r>
            <w:r>
              <w:rPr>
                <w:rFonts w:ascii="Times New Roman;serif" w:hAnsi="Times New Roman;serif"/>
                <w:b w:val="false"/>
                <w:sz w:val="12"/>
              </w:rPr>
              <w:t>shares)</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4/8/2021</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2,925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1,923</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208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280,000</w:t>
            </w:r>
            <w:r>
              <w:rPr>
                <w:rFonts w:ascii="Times New Roman" w:hAnsi="Times New Roman"/>
                <w:sz w:val="20"/>
              </w:rPr>
              <w:t> </w:t>
            </w:r>
            <w:r>
              <w:rPr>
                <w:rFonts w:ascii="Times New Roman;serif" w:hAnsi="Times New Roman;serif"/>
                <w:b w:val="false"/>
                <w:sz w:val="12"/>
              </w:rPr>
              <w:t>Warrants</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2/28/2020</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183</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208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106,592</w:t>
            </w:r>
            <w:r>
              <w:rPr>
                <w:rFonts w:ascii="Times New Roman" w:hAnsi="Times New Roman"/>
                <w:sz w:val="20"/>
              </w:rPr>
              <w:t> </w:t>
            </w:r>
            <w:r>
              <w:rPr>
                <w:rFonts w:ascii="Times New Roman;serif" w:hAnsi="Times New Roman;serif"/>
                <w:b w:val="false"/>
                <w:sz w:val="12"/>
              </w:rPr>
              <w:t>Warrants</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4/8/2021</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208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6,174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4,967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0.3%</w:t>
            </w:r>
          </w:p>
        </w:tc>
      </w:tr>
      <w:tr>
        <w:trPr/>
        <w:tc>
          <w:tcPr>
            <w:tcW w:w="2089"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Education</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pPr>
            <w:r>
              <w:rPr/>
              <w:t> </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Astra 2L Holdings II LLC</w:t>
            </w:r>
            <w:r>
              <w:rPr>
                <w:rFonts w:ascii="Times New Roman" w:hAnsi="Times New Roman"/>
                <w:sz w:val="12"/>
              </w:rPr>
              <w:t> </w:t>
            </w:r>
            <w:r>
              <w:rPr>
                <w:rFonts w:ascii="Times New Roman;serif" w:hAnsi="Times New Roman;serif"/>
                <w:b w:val="false"/>
                <w:sz w:val="8"/>
              </w:rPr>
              <w:t>(12)(13)</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Membership Interest (10.17% ownership)</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1/13/2022</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3,255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2,555</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0.2%</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EMS Linq, Inc. </w:t>
            </w:r>
            <w:r>
              <w:rPr>
                <w:rFonts w:ascii="Times New Roman;serif" w:hAnsi="Times New Roman;serif"/>
                <w:b w:val="false"/>
                <w:sz w:val="8"/>
              </w:rPr>
              <w:t>(12)</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Class B Units (5,522,526</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12/22/2021</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5,523</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4,763</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0.4%</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RMCF IV CIV XXXV,</w:t>
              <w:br/>
              <w:t xml:space="preserve">   LP. </w:t>
            </w:r>
            <w:r>
              <w:rPr>
                <w:rFonts w:ascii="Times New Roman;serif" w:hAnsi="Times New Roman;serif"/>
                <w:b w:val="false"/>
                <w:sz w:val="8"/>
              </w:rPr>
              <w:t>(12)</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Partnership Interest (11.94% ownership)</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6/8/2021</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1,190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208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9,778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8,508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0.7%</w:t>
            </w:r>
          </w:p>
        </w:tc>
      </w:tr>
      <w:tr>
        <w:trPr/>
        <w:tc>
          <w:tcPr>
            <w:tcW w:w="2089"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Financial Services</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pPr>
            <w:r>
              <w:rPr/>
              <w:t> </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AvidXchange, Inc. </w:t>
            </w:r>
            <w:r>
              <w:rPr>
                <w:rFonts w:ascii="Times New Roman;serif" w:hAnsi="Times New Roman;serif"/>
                <w:b w:val="false"/>
                <w:sz w:val="8"/>
              </w:rPr>
              <w:t>(11)(12)</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Common Shares (200,721</w:t>
            </w:r>
            <w:r>
              <w:rPr>
                <w:rFonts w:ascii="Times New Roman" w:hAnsi="Times New Roman"/>
                <w:sz w:val="20"/>
              </w:rPr>
              <w:t> </w:t>
            </w:r>
            <w:r>
              <w:rPr>
                <w:rFonts w:ascii="Times New Roman;serif" w:hAnsi="Times New Roman;serif"/>
                <w:b w:val="false"/>
                <w:sz w:val="12"/>
              </w:rPr>
              <w:t>shares)</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10/15/2021</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1,022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1,995</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Newport Parent Holdings, LP </w:t>
            </w:r>
            <w:r>
              <w:rPr>
                <w:rFonts w:ascii="Times New Roman;serif" w:hAnsi="Times New Roman;serif"/>
                <w:b w:val="false"/>
                <w:sz w:val="8"/>
              </w:rPr>
              <w:t>(12)</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Class A-2 Units (131,569</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12/10/2020</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4,177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4,845</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0.4%</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Oxford Square Capital Corp. </w:t>
            </w:r>
            <w:r>
              <w:rPr>
                <w:rFonts w:ascii="Times New Roman;serif" w:hAnsi="Times New Roman;serif"/>
                <w:b w:val="false"/>
                <w:sz w:val="8"/>
              </w:rPr>
              <w:t>(4)(11)</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Common Shares (1,620</w:t>
            </w:r>
            <w:r>
              <w:rPr>
                <w:rFonts w:ascii="Times New Roman" w:hAnsi="Times New Roman"/>
                <w:sz w:val="20"/>
              </w:rPr>
              <w:t> </w:t>
            </w:r>
            <w:r>
              <w:rPr>
                <w:rFonts w:ascii="Times New Roman;serif" w:hAnsi="Times New Roman;serif"/>
                <w:b w:val="false"/>
                <w:sz w:val="12"/>
              </w:rPr>
              <w:t>shares)</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8/5/2015</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Passport Labs, Inc. </w:t>
            </w:r>
            <w:r>
              <w:rPr>
                <w:rFonts w:ascii="Times New Roman;serif" w:hAnsi="Times New Roman;serif"/>
                <w:b w:val="false"/>
                <w:sz w:val="8"/>
              </w:rPr>
              <w:t>(12)</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17,534</w:t>
            </w:r>
            <w:r>
              <w:rPr>
                <w:rFonts w:ascii="Times New Roman" w:hAnsi="Times New Roman"/>
                <w:sz w:val="20"/>
              </w:rPr>
              <w:t> </w:t>
            </w:r>
            <w:r>
              <w:rPr>
                <w:rFonts w:ascii="Times New Roman;serif" w:hAnsi="Times New Roman;serif"/>
                <w:b w:val="false"/>
                <w:sz w:val="12"/>
              </w:rPr>
              <w:t>Warrants</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4/28/2021</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TradingScreen, Inc. </w:t>
            </w:r>
            <w:r>
              <w:rPr>
                <w:rFonts w:ascii="Times New Roman;serif" w:hAnsi="Times New Roman;serif"/>
                <w:b w:val="false"/>
                <w:sz w:val="8"/>
              </w:rPr>
              <w:t>(12)(14)</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Class A Units (600,000</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5/14/2021</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208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5,997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7,516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0.5%</w:t>
            </w:r>
          </w:p>
        </w:tc>
      </w:tr>
      <w:tr>
        <w:trPr/>
        <w:tc>
          <w:tcPr>
            <w:tcW w:w="2089"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Healthcare</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pPr>
            <w:r>
              <w:rPr/>
              <w:t> </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Caris Life Sciences, Inc. </w:t>
            </w:r>
            <w:r>
              <w:rPr>
                <w:rFonts w:ascii="Times New Roman;serif" w:hAnsi="Times New Roman;serif"/>
                <w:b w:val="false"/>
                <w:sz w:val="8"/>
              </w:rPr>
              <w:t>(12)</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Series C Preferred Shares (362,319</w:t>
            </w:r>
            <w:r>
              <w:rPr>
                <w:rFonts w:ascii="Times New Roman" w:hAnsi="Times New Roman"/>
                <w:sz w:val="20"/>
              </w:rPr>
              <w:t> </w:t>
            </w:r>
            <w:r>
              <w:rPr>
                <w:rFonts w:ascii="Times New Roman;serif" w:hAnsi="Times New Roman;serif"/>
                <w:b w:val="false"/>
                <w:sz w:val="12"/>
              </w:rPr>
              <w:t>shares)</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10/13/2020</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1,310</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208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Series D Preferred Shares (1,240,740</w:t>
            </w:r>
            <w:r>
              <w:rPr>
                <w:rFonts w:ascii="Times New Roman" w:hAnsi="Times New Roman"/>
                <w:sz w:val="20"/>
              </w:rPr>
              <w:t> </w:t>
            </w:r>
            <w:r>
              <w:rPr>
                <w:rFonts w:ascii="Times New Roman;serif" w:hAnsi="Times New Roman;serif"/>
                <w:b w:val="false"/>
                <w:sz w:val="12"/>
              </w:rPr>
              <w:t>shares)</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5/11/2021</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8,668</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0.6%</w:t>
            </w:r>
          </w:p>
        </w:tc>
      </w:tr>
      <w:tr>
        <w:trPr/>
        <w:tc>
          <w:tcPr>
            <w:tcW w:w="208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633,376</w:t>
            </w:r>
            <w:r>
              <w:rPr>
                <w:rFonts w:ascii="Times New Roman" w:hAnsi="Times New Roman"/>
                <w:sz w:val="20"/>
              </w:rPr>
              <w:t> </w:t>
            </w:r>
            <w:r>
              <w:rPr>
                <w:rFonts w:ascii="Times New Roman;serif" w:hAnsi="Times New Roman;serif"/>
                <w:b w:val="false"/>
                <w:sz w:val="12"/>
              </w:rPr>
              <w:t>Warrants</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9/21/2018</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1,270</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208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569,991</w:t>
            </w:r>
            <w:r>
              <w:rPr>
                <w:rFonts w:ascii="Times New Roman" w:hAnsi="Times New Roman"/>
                <w:sz w:val="20"/>
              </w:rPr>
              <w:t> </w:t>
            </w:r>
            <w:r>
              <w:rPr>
                <w:rFonts w:ascii="Times New Roman;serif" w:hAnsi="Times New Roman;serif"/>
                <w:b w:val="false"/>
                <w:sz w:val="12"/>
              </w:rPr>
              <w:t>Warrants</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4/2/2020</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959</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Merative L.P. </w:t>
            </w:r>
            <w:r>
              <w:rPr>
                <w:rFonts w:ascii="Times New Roman;serif" w:hAnsi="Times New Roman;serif"/>
                <w:b w:val="false"/>
                <w:sz w:val="8"/>
              </w:rPr>
              <w:t>(12)(13)(14)</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989,691</w:t>
            </w:r>
            <w:r>
              <w:rPr>
                <w:rFonts w:ascii="Times New Roman" w:hAnsi="Times New Roman"/>
                <w:sz w:val="20"/>
              </w:rPr>
              <w:t> </w:t>
            </w:r>
            <w:r>
              <w:rPr>
                <w:rFonts w:ascii="Times New Roman;serif" w:hAnsi="Times New Roman;serif"/>
                <w:b w:val="false"/>
                <w:sz w:val="12"/>
              </w:rPr>
              <w:t>Class A-1 Units</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6/30/2022</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9,897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9,897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0.7%</w:t>
            </w:r>
          </w:p>
        </w:tc>
      </w:tr>
      <w:tr>
        <w:trPr/>
        <w:tc>
          <w:tcPr>
            <w:tcW w:w="208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21,389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22,104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w:t>
            </w:r>
          </w:p>
        </w:tc>
      </w:tr>
      <w:tr>
        <w:trPr/>
        <w:tc>
          <w:tcPr>
            <w:tcW w:w="2089"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Hotel, Gaming and Leisure</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pPr>
            <w:r>
              <w:rPr/>
              <w:t> </w:t>
            </w:r>
          </w:p>
        </w:tc>
      </w:tr>
      <w:tr>
        <w:trPr/>
        <w:tc>
          <w:tcPr>
            <w:tcW w:w="2089"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IRGSE Holding Corp. </w:t>
            </w:r>
            <w:r>
              <w:rPr>
                <w:rFonts w:ascii="Times New Roman;serif" w:hAnsi="Times New Roman;serif"/>
                <w:b w:val="false"/>
                <w:sz w:val="8"/>
              </w:rPr>
              <w:t>(7)(12)</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Class A Units (33,790,171</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12/21/2018</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21,842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24,413</w:t>
            </w:r>
          </w:p>
        </w:tc>
        <w:tc>
          <w:tcPr>
            <w:tcW w:w="146" w:type="dxa"/>
            <w:tcBorders/>
            <w:shd w:fill="auto" w:val="clear"/>
            <w:vAlign w:val="center"/>
          </w:tcPr>
          <w:p>
            <w:pPr>
              <w:pStyle w:val="TableContents"/>
              <w:spacing w:before="0" w:after="0"/>
              <w:ind w:left="0" w:right="0" w:hanging="0"/>
              <w:jc w:val="right"/>
              <w:rPr/>
            </w:pPr>
            <w:r>
              <w:rPr/>
              <w:t> </w:t>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w:t>
            </w:r>
          </w:p>
        </w:tc>
      </w:tr>
      <w:tr>
        <w:trPr/>
        <w:tc>
          <w:tcPr>
            <w:tcW w:w="208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0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Class C-1 Units (8,800,000</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right"/>
              <w:rPr/>
            </w:pPr>
            <w:r>
              <w:rPr/>
              <w:t> </w:t>
            </w:r>
          </w:p>
        </w:tc>
        <w:tc>
          <w:tcPr>
            <w:tcW w:w="59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12/21/2018</w:t>
            </w:r>
          </w:p>
        </w:tc>
        <w:tc>
          <w:tcPr>
            <w:tcW w:w="146" w:type="dxa"/>
            <w:tcBorders/>
            <w:shd w:fill="auto" w:val="clear"/>
            <w:vAlign w:val="center"/>
          </w:tcPr>
          <w:p>
            <w:pPr>
              <w:pStyle w:val="TableContents"/>
              <w:spacing w:before="0" w:after="0"/>
              <w:ind w:left="0" w:right="0" w:hanging="0"/>
              <w:jc w:val="right"/>
              <w:rPr/>
            </w:pPr>
            <w:r>
              <w:rPr/>
              <w:t> </w:t>
            </w:r>
          </w:p>
        </w:tc>
        <w:tc>
          <w:tcPr>
            <w:tcW w:w="78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bl>
    <w:p>
      <w:pPr>
        <w:pStyle w:val="TextBody"/>
        <w:spacing w:before="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3358"/>
        <w:gridCol w:w="146"/>
        <w:gridCol w:w="2280"/>
        <w:gridCol w:w="146"/>
        <w:gridCol w:w="610"/>
        <w:gridCol w:w="146"/>
        <w:gridCol w:w="606"/>
        <w:gridCol w:w="146"/>
        <w:gridCol w:w="468"/>
        <w:gridCol w:w="146"/>
        <w:gridCol w:w="146"/>
        <w:gridCol w:w="436"/>
        <w:gridCol w:w="146"/>
        <w:gridCol w:w="146"/>
        <w:gridCol w:w="726"/>
        <w:gridCol w:w="146"/>
        <w:gridCol w:w="407"/>
      </w:tblGrid>
      <w:tr>
        <w:trPr/>
        <w:tc>
          <w:tcPr>
            <w:tcW w:w="335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r>
      <w:tr>
        <w:trPr/>
        <w:tc>
          <w:tcPr>
            <w:tcW w:w="335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43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21,942</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pPr>
            <w:r>
              <w:rPr/>
              <w:t> </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2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24,456</w:t>
            </w:r>
          </w:p>
        </w:tc>
        <w:tc>
          <w:tcPr>
            <w:tcW w:w="1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pPr>
            <w:r>
              <w:rPr/>
              <w:t> </w:t>
            </w:r>
          </w:p>
        </w:tc>
        <w:tc>
          <w:tcPr>
            <w:tcW w:w="407"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w:t>
            </w:r>
          </w:p>
        </w:tc>
      </w:tr>
      <w:tr>
        <w:trPr/>
        <w:tc>
          <w:tcPr>
            <w:tcW w:w="3358"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Human Resource Support Services</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pPr>
            <w:r>
              <w:rPr/>
              <w:t> </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Axonify, Inc. </w:t>
            </w:r>
            <w:r>
              <w:rPr>
                <w:rFonts w:ascii="Times New Roman;serif" w:hAnsi="Times New Roman;serif"/>
                <w:b w:val="false"/>
                <w:sz w:val="8"/>
              </w:rPr>
              <w:t>(4)(12)(14)</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Class A-1 Units (3,780,000</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5/5/2021</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3,780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4,262</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0.3%</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bswift, LLC</w:t>
            </w:r>
            <w:r>
              <w:rPr>
                <w:rFonts w:ascii="Times New Roman" w:hAnsi="Times New Roman"/>
                <w:sz w:val="12"/>
              </w:rPr>
              <w:t> </w:t>
            </w:r>
            <w:r>
              <w:rPr>
                <w:rFonts w:ascii="Times New Roman;serif" w:hAnsi="Times New Roman;serif"/>
                <w:b w:val="false"/>
                <w:sz w:val="8"/>
              </w:rPr>
              <w:t>(12)(13)</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Class A-1 Units (2,393,509</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11/7/2022</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2,394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2,394</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0.2%</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ClearCompany, LLC </w:t>
            </w:r>
            <w:r>
              <w:rPr>
                <w:rFonts w:ascii="Times New Roman;serif" w:hAnsi="Times New Roman;serif"/>
                <w:b w:val="false"/>
                <w:sz w:val="8"/>
              </w:rPr>
              <w:t>(12)(14)</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Series A Preferred Units (1,429,228</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8/24/2018</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2,014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4,869</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0.4%</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DaySmart Holdings, LLC </w:t>
            </w:r>
            <w:r>
              <w:rPr>
                <w:rFonts w:ascii="Times New Roman;serif" w:hAnsi="Times New Roman;serif"/>
                <w:b w:val="false"/>
                <w:sz w:val="8"/>
              </w:rPr>
              <w:t>(12)(14)</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Class A Units (166,811</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10/1/2019</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1,347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1,798</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Employment Hero Holdings Pty Ltd. </w:t>
            </w:r>
            <w:r>
              <w:rPr>
                <w:rFonts w:ascii="Times New Roman;serif" w:hAnsi="Times New Roman;serif"/>
                <w:b w:val="false"/>
                <w:sz w:val="8"/>
              </w:rPr>
              <w:t>(4)(12)(13)</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Series E Preferred Shares (113,250</w:t>
            </w:r>
            <w:r>
              <w:rPr>
                <w:rFonts w:ascii="Times New Roman" w:hAnsi="Times New Roman"/>
                <w:sz w:val="20"/>
              </w:rPr>
              <w:t> </w:t>
            </w:r>
            <w:r>
              <w:rPr>
                <w:rFonts w:ascii="Times New Roman;serif" w:hAnsi="Times New Roman;serif"/>
                <w:b w:val="false"/>
                <w:sz w:val="12"/>
              </w:rPr>
              <w:t>shares)</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3/1/2022</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2,134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2,034</w:t>
              <w:br/>
              <w:t>(AUD 3,164)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0.2%</w:t>
            </w:r>
          </w:p>
        </w:tc>
      </w:tr>
      <w:tr>
        <w:trPr/>
        <w:tc>
          <w:tcPr>
            <w:tcW w:w="335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11,669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15,357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w:t>
            </w:r>
          </w:p>
        </w:tc>
      </w:tr>
      <w:tr>
        <w:trPr/>
        <w:tc>
          <w:tcPr>
            <w:tcW w:w="3358"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Internet Services</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pPr>
            <w:r>
              <w:rPr/>
              <w:t> </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Bayshore Intermediate #2, L.P. </w:t>
            </w:r>
            <w:r>
              <w:rPr>
                <w:rFonts w:ascii="Times New Roman;serif" w:hAnsi="Times New Roman;serif"/>
                <w:b w:val="false"/>
                <w:sz w:val="8"/>
              </w:rPr>
              <w:t>(12)(14)</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Common Units (12,330,709</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10/1/2021</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12,331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11,375</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0.8%</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Lucidworks, Inc. </w:t>
            </w:r>
            <w:r>
              <w:rPr>
                <w:rFonts w:ascii="Times New Roman;serif" w:hAnsi="Times New Roman;serif"/>
                <w:b w:val="false"/>
                <w:sz w:val="8"/>
              </w:rPr>
              <w:t>(12)</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Series F Preferred Shares (199,054</w:t>
            </w:r>
            <w:r>
              <w:rPr>
                <w:rFonts w:ascii="Times New Roman" w:hAnsi="Times New Roman"/>
                <w:sz w:val="20"/>
              </w:rPr>
              <w:t> </w:t>
            </w:r>
            <w:r>
              <w:rPr>
                <w:rFonts w:ascii="Times New Roman;serif" w:hAnsi="Times New Roman;serif"/>
                <w:b w:val="false"/>
                <w:sz w:val="12"/>
              </w:rPr>
              <w:t>shares)</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8/2/2019</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800</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Piano Software, Inc. </w:t>
            </w:r>
            <w:r>
              <w:rPr>
                <w:rFonts w:ascii="Times New Roman;serif" w:hAnsi="Times New Roman;serif"/>
                <w:b w:val="false"/>
                <w:sz w:val="8"/>
              </w:rPr>
              <w:t>(12)</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Series C-1 Preferred Shares (418,527</w:t>
            </w:r>
            <w:r>
              <w:rPr>
                <w:rFonts w:ascii="Times New Roman" w:hAnsi="Times New Roman"/>
                <w:sz w:val="20"/>
              </w:rPr>
              <w:t> </w:t>
            </w:r>
            <w:r>
              <w:rPr>
                <w:rFonts w:ascii="Times New Roman;serif" w:hAnsi="Times New Roman;serif"/>
                <w:b w:val="false"/>
                <w:sz w:val="12"/>
              </w:rPr>
              <w:t>shares)</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12/22/2021</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3,000</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0.2%</w:t>
            </w:r>
          </w:p>
        </w:tc>
      </w:tr>
      <w:tr>
        <w:trPr/>
        <w:tc>
          <w:tcPr>
            <w:tcW w:w="335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Series C-2 Preferred Shares (27,588</w:t>
            </w:r>
            <w:r>
              <w:rPr>
                <w:rFonts w:ascii="Times New Roman" w:hAnsi="Times New Roman"/>
                <w:sz w:val="12"/>
              </w:rPr>
              <w:t> </w:t>
            </w:r>
            <w:r>
              <w:rPr>
                <w:rFonts w:ascii="Times New Roman;serif" w:hAnsi="Times New Roman;serif"/>
                <w:b w:val="false"/>
                <w:sz w:val="12"/>
              </w:rPr>
              <w:t>shares)</w:t>
            </w:r>
            <w:r>
              <w:rPr>
                <w:rFonts w:ascii="Times New Roman;serif" w:hAnsi="Times New Roman;serif"/>
                <w:b w:val="false"/>
                <w:sz w:val="8"/>
              </w:rPr>
              <w:t>(13)</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11/18/2022</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198</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198</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SMA Technologies Holdings, LLC</w:t>
            </w:r>
            <w:r>
              <w:rPr>
                <w:rFonts w:ascii="Times New Roman" w:hAnsi="Times New Roman"/>
                <w:sz w:val="12"/>
              </w:rPr>
              <w:t> </w:t>
            </w:r>
            <w:r>
              <w:rPr>
                <w:rFonts w:ascii="Times New Roman;serif" w:hAnsi="Times New Roman;serif"/>
                <w:b w:val="false"/>
                <w:sz w:val="8"/>
              </w:rPr>
              <w:t>(12)(13)</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Class A Units (1,300</w:t>
            </w:r>
            <w:r>
              <w:rPr>
                <w:rFonts w:ascii="Times New Roman" w:hAnsi="Times New Roman"/>
                <w:sz w:val="20"/>
              </w:rPr>
              <w:t> </w:t>
            </w:r>
            <w:r>
              <w:rPr>
                <w:rFonts w:ascii="Times New Roman;serif" w:hAnsi="Times New Roman;serif"/>
                <w:b w:val="false"/>
                <w:sz w:val="12"/>
              </w:rPr>
              <w:t>shares)</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11/21/2022</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1,300</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5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Class B Units (923,250</w:t>
            </w:r>
            <w:r>
              <w:rPr>
                <w:rFonts w:ascii="Times New Roman" w:hAnsi="Times New Roman"/>
                <w:sz w:val="20"/>
              </w:rPr>
              <w:t> </w:t>
            </w:r>
            <w:r>
              <w:rPr>
                <w:rFonts w:ascii="Times New Roman;serif" w:hAnsi="Times New Roman;serif"/>
                <w:b w:val="false"/>
                <w:sz w:val="12"/>
              </w:rPr>
              <w:t>shares)</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11/21/2022</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335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17,629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16,673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w:t>
            </w:r>
          </w:p>
        </w:tc>
      </w:tr>
      <w:tr>
        <w:trPr/>
        <w:tc>
          <w:tcPr>
            <w:tcW w:w="3358"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Marketing Services</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pPr>
            <w:r>
              <w:rPr/>
              <w:t> </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Validity, Inc. </w:t>
            </w:r>
            <w:r>
              <w:rPr>
                <w:rFonts w:ascii="Times New Roman;serif" w:hAnsi="Times New Roman;serif"/>
                <w:b w:val="false"/>
                <w:sz w:val="8"/>
              </w:rPr>
              <w:t>(12)</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Series A Preferred Shares (3,840,000</w:t>
            </w:r>
            <w:r>
              <w:rPr>
                <w:rFonts w:ascii="Times New Roman" w:hAnsi="Times New Roman"/>
                <w:sz w:val="20"/>
              </w:rPr>
              <w:t> </w:t>
            </w:r>
            <w:r>
              <w:rPr>
                <w:rFonts w:ascii="Times New Roman;serif" w:hAnsi="Times New Roman;serif"/>
                <w:b w:val="false"/>
                <w:sz w:val="12"/>
              </w:rPr>
              <w:t>shares)</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5/31/2018</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3,840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11,520</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0.9%</w:t>
            </w:r>
          </w:p>
        </w:tc>
      </w:tr>
      <w:tr>
        <w:trPr/>
        <w:tc>
          <w:tcPr>
            <w:tcW w:w="3358"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Oil, Gas and Consumable Fuels</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pPr>
            <w:r>
              <w:rPr/>
              <w:t> </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Murchison Oil and Gas, LLC </w:t>
            </w:r>
            <w:r>
              <w:rPr>
                <w:rFonts w:ascii="Times New Roman;serif" w:hAnsi="Times New Roman;serif"/>
                <w:b w:val="false"/>
                <w:sz w:val="8"/>
              </w:rPr>
              <w:t>(13)(14)</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13,355</w:t>
            </w:r>
            <w:r>
              <w:rPr>
                <w:rFonts w:ascii="Times New Roman" w:hAnsi="Times New Roman"/>
                <w:sz w:val="20"/>
              </w:rPr>
              <w:t> </w:t>
            </w:r>
            <w:r>
              <w:rPr>
                <w:rFonts w:ascii="Times New Roman;serif" w:hAnsi="Times New Roman;serif"/>
                <w:b w:val="false"/>
                <w:sz w:val="12"/>
              </w:rPr>
              <w:t>Preferred Units</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6/30/2022</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13,355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13,088</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TRP Assets, LLC </w:t>
            </w:r>
            <w:r>
              <w:rPr>
                <w:rFonts w:ascii="Times New Roman;serif" w:hAnsi="Times New Roman;serif"/>
                <w:b w:val="false"/>
                <w:sz w:val="8"/>
              </w:rPr>
              <w:t>(12)(13)(14)</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Partnership Interest (1.89% ownership)</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8/25/2022</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8,067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10,205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0.8%</w:t>
            </w:r>
          </w:p>
        </w:tc>
      </w:tr>
      <w:tr>
        <w:trPr/>
        <w:tc>
          <w:tcPr>
            <w:tcW w:w="335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21,422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23,293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w:t>
            </w:r>
          </w:p>
        </w:tc>
      </w:tr>
      <w:tr>
        <w:trPr/>
        <w:tc>
          <w:tcPr>
            <w:tcW w:w="3358"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Pharmaceuticals</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pPr>
            <w:r>
              <w:rPr/>
              <w:t> </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TherapeuticsMD, Inc. </w:t>
            </w:r>
            <w:r>
              <w:rPr>
                <w:rFonts w:ascii="Times New Roman;serif" w:hAnsi="Times New Roman;serif"/>
                <w:b w:val="false"/>
                <w:sz w:val="8"/>
              </w:rPr>
              <w:t>(4)(12)</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14,256</w:t>
            </w:r>
            <w:r>
              <w:rPr>
                <w:rFonts w:ascii="Times New Roman" w:hAnsi="Times New Roman"/>
                <w:sz w:val="20"/>
              </w:rPr>
              <w:t> </w:t>
            </w:r>
            <w:r>
              <w:rPr>
                <w:rFonts w:ascii="Times New Roman;serif" w:hAnsi="Times New Roman;serif"/>
                <w:b w:val="false"/>
                <w:sz w:val="12"/>
              </w:rPr>
              <w:t>Warrants</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8/5/2020</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1,028</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335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65,250</w:t>
            </w:r>
            <w:r>
              <w:rPr>
                <w:rFonts w:ascii="Times New Roman" w:hAnsi="Times New Roman"/>
                <w:sz w:val="12"/>
              </w:rPr>
              <w:t> </w:t>
            </w:r>
            <w:r>
              <w:rPr>
                <w:rFonts w:ascii="Times New Roman;serif" w:hAnsi="Times New Roman;serif"/>
                <w:b w:val="false"/>
                <w:sz w:val="12"/>
              </w:rPr>
              <w:t xml:space="preserve">Warrants </w:t>
            </w:r>
            <w:r>
              <w:rPr>
                <w:rFonts w:ascii="Times New Roman;serif" w:hAnsi="Times New Roman;serif"/>
                <w:b w:val="false"/>
                <w:sz w:val="8"/>
              </w:rPr>
              <w:t>(13)</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7/29/2022</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335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1,437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365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r>
      <w:tr>
        <w:trPr/>
        <w:tc>
          <w:tcPr>
            <w:tcW w:w="3358"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Retail and Consumer Products</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pPr>
            <w:r>
              <w:rPr/>
              <w:t> </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American Achievement, Corp. </w:t>
            </w:r>
            <w:r>
              <w:rPr>
                <w:rFonts w:ascii="Times New Roman;serif" w:hAnsi="Times New Roman;serif"/>
                <w:b w:val="false"/>
                <w:sz w:val="8"/>
              </w:rPr>
              <w:t>(12)</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Class A Units (687</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3/16/2021</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Copper Bidco, LLC </w:t>
            </w:r>
            <w:r>
              <w:rPr>
                <w:rFonts w:ascii="Times New Roman;serif" w:hAnsi="Times New Roman;serif"/>
                <w:b w:val="false"/>
                <w:sz w:val="8"/>
              </w:rPr>
              <w:t>(10)</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Trust Certificates (132,928</w:t>
            </w:r>
            <w:r>
              <w:rPr>
                <w:rFonts w:ascii="Times New Roman" w:hAnsi="Times New Roman"/>
                <w:sz w:val="20"/>
              </w:rPr>
              <w:t> </w:t>
            </w:r>
            <w:r>
              <w:rPr>
                <w:rFonts w:ascii="Times New Roman;serif" w:hAnsi="Times New Roman;serif"/>
                <w:b w:val="false"/>
                <w:sz w:val="12"/>
              </w:rPr>
              <w:t>Certificates)</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12/7/2020</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665</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335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Trust Certificates (996,958</w:t>
            </w:r>
            <w:r>
              <w:rPr>
                <w:rFonts w:ascii="Times New Roman" w:hAnsi="Times New Roman"/>
                <w:sz w:val="20"/>
              </w:rPr>
              <w:t> </w:t>
            </w:r>
            <w:r>
              <w:rPr>
                <w:rFonts w:ascii="Times New Roman;serif" w:hAnsi="Times New Roman;serif"/>
                <w:b w:val="false"/>
                <w:sz w:val="12"/>
              </w:rPr>
              <w:t>Certificates)</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1/30/2021</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3,041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12,462</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0.9%</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Neuintel, LLC </w:t>
            </w:r>
            <w:r>
              <w:rPr>
                <w:rFonts w:ascii="Times New Roman;serif" w:hAnsi="Times New Roman;serif"/>
                <w:b w:val="false"/>
                <w:sz w:val="8"/>
              </w:rPr>
              <w:t>(12)(14)</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Class A Units (1,176,494</w:t>
            </w:r>
            <w:r>
              <w:rPr>
                <w:rFonts w:ascii="Times New Roman" w:hAnsi="Times New Roman"/>
                <w:sz w:val="20"/>
              </w:rPr>
              <w:t> </w:t>
            </w:r>
            <w:r>
              <w:rPr>
                <w:rFonts w:ascii="Times New Roman;serif" w:hAnsi="Times New Roman;serif"/>
                <w:b w:val="false"/>
                <w:sz w:val="12"/>
              </w:rPr>
              <w:t>units)</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12/21/2021</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2,618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0.2%</w:t>
            </w:r>
          </w:p>
        </w:tc>
      </w:tr>
      <w:tr>
        <w:trPr/>
        <w:tc>
          <w:tcPr>
            <w:tcW w:w="335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6,041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15,795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w:t>
            </w:r>
          </w:p>
        </w:tc>
      </w:tr>
      <w:tr>
        <w:trPr/>
        <w:tc>
          <w:tcPr>
            <w:tcW w:w="335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pPr>
            <w:r>
              <w:rPr/>
              <w:t> </w:t>
            </w:r>
          </w:p>
        </w:tc>
      </w:tr>
      <w:tr>
        <w:trPr/>
        <w:tc>
          <w:tcPr>
            <w:tcW w:w="3358"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Structured Credit</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pPr>
            <w:r>
              <w:rPr/>
              <w:t> </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Allegro CLO Ltd, Series 2018-1A,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6/2031)</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5/26/2022</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+ 2.85%</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848</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American Money Management Corp CLO Ltd, Series 2016-18A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($1,500</w:t>
            </w:r>
            <w:r>
              <w:rPr>
                <w:rFonts w:ascii="Times New Roman" w:hAnsi="Times New Roman"/>
                <w:sz w:val="20"/>
              </w:rPr>
              <w:t> </w:t>
            </w:r>
            <w:r>
              <w:rPr>
                <w:rFonts w:ascii="Times New Roman;serif" w:hAnsi="Times New Roman;serif"/>
                <w:b w:val="false"/>
                <w:sz w:val="12"/>
              </w:rPr>
              <w:t>par, due 5/2031)</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6/22/2022</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+ 3.05%</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6.06%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1,347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1,309</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Ares CLO Ltd, Series 2021-59A</w:t>
            </w:r>
            <w:r>
              <w:rPr>
                <w:rFonts w:ascii="Times New Roman" w:hAnsi="Times New Roman"/>
                <w:sz w:val="12"/>
              </w:rPr>
              <w:t>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4/2034)</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6/23/2022</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+ 6.25%</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9.03%</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875</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Ares Loan Funding I Ltd, Series 2021-ALFA, Class E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10/2034)</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6/24/2022</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+ 6.70%</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918</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881</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Bain Capital Credit CLO Ltd, Series 2018-1A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($500</w:t>
            </w:r>
            <w:r>
              <w:rPr>
                <w:rFonts w:ascii="Times New Roman" w:hAnsi="Times New Roman"/>
                <w:sz w:val="20"/>
              </w:rPr>
              <w:t> </w:t>
            </w:r>
            <w:r>
              <w:rPr>
                <w:rFonts w:ascii="Times New Roman;serif" w:hAnsi="Times New Roman;serif"/>
                <w:b w:val="false"/>
                <w:sz w:val="12"/>
              </w:rPr>
              <w:t>par, due 4/2031)</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10/15/2020</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+ 5.35%</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8.13%</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383</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Battalion CLO Ltd, Series 2021-21A</w:t>
            </w:r>
            <w:r>
              <w:rPr>
                <w:rFonts w:ascii="Times New Roman" w:hAnsi="Times New Roman"/>
                <w:sz w:val="12"/>
              </w:rPr>
              <w:t>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($1,300</w:t>
            </w:r>
            <w:r>
              <w:rPr>
                <w:rFonts w:ascii="Times New Roman" w:hAnsi="Times New Roman"/>
                <w:sz w:val="20"/>
              </w:rPr>
              <w:t> </w:t>
            </w:r>
            <w:r>
              <w:rPr>
                <w:rFonts w:ascii="Times New Roman;serif" w:hAnsi="Times New Roman;serif"/>
                <w:b w:val="false"/>
                <w:sz w:val="12"/>
              </w:rPr>
              <w:t>par, due 7/2034)</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7/13/2022</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+ 3.30%</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1,158</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1,158</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Benefit Street Partners CLO Ltd, Series 2015-BR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($2,500</w:t>
            </w:r>
            <w:r>
              <w:rPr>
                <w:rFonts w:ascii="Times New Roman" w:hAnsi="Times New Roman"/>
                <w:sz w:val="20"/>
              </w:rPr>
              <w:t> </w:t>
            </w:r>
            <w:r>
              <w:rPr>
                <w:rFonts w:ascii="Times New Roman;serif" w:hAnsi="Times New Roman;serif"/>
                <w:b w:val="false"/>
                <w:sz w:val="12"/>
              </w:rPr>
              <w:t>par, due 7/2034)</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7/13/2022</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+ 3.85%</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6.56%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2,179</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2,285</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0.2%</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Benefit Street Partners CLO Ltd, Series 2015-8A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($1,425</w:t>
            </w:r>
            <w:r>
              <w:rPr>
                <w:rFonts w:ascii="Times New Roman" w:hAnsi="Times New Roman"/>
                <w:sz w:val="20"/>
              </w:rPr>
              <w:t> </w:t>
            </w:r>
            <w:r>
              <w:rPr>
                <w:rFonts w:ascii="Times New Roman;serif" w:hAnsi="Times New Roman;serif"/>
                <w:b w:val="false"/>
                <w:sz w:val="12"/>
              </w:rPr>
              <w:t>par, due 1/2031)</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9/13/2022</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+ 2.75%</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5.46%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1,265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1,214</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Carlyle Global Market Strategies CLO Ltd, Series 2014-4RA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7/2030)</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5/26/2022</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+ 2.90%</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5.41%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844</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Carlyle Global Market Strategies CLO Ltd, Series 2018-1A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($1,550</w:t>
            </w:r>
            <w:r>
              <w:rPr>
                <w:rFonts w:ascii="Times New Roman" w:hAnsi="Times New Roman"/>
                <w:sz w:val="20"/>
              </w:rPr>
              <w:t> </w:t>
            </w:r>
            <w:r>
              <w:rPr>
                <w:rFonts w:ascii="Times New Roman;serif" w:hAnsi="Times New Roman;serif"/>
                <w:b w:val="false"/>
                <w:sz w:val="12"/>
              </w:rPr>
              <w:t>par, due 4/2031)</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8/11/2020</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+ 5.75%</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8.46%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1,246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1,241</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CarVal CLO III Ltd, Series 2019-2A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7/2032)</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6/30/2022</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+ 6.44%</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9.15%</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Cedar Funding CLO Ltd, Series 2018-7A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1/2031)</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7/21/2022</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+ 4.55%</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7.26%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861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847</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CIFC CLO Ltd, Series 2018-3A</w:t>
            </w:r>
            <w:r>
              <w:rPr>
                <w:rFonts w:ascii="Times New Roman" w:hAnsi="Times New Roman"/>
                <w:sz w:val="12"/>
              </w:rPr>
              <w:t>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7/2031)</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6/16/2022</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+ 5.50%</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8.24%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850</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CIFC CLO Ltd, Series 2021-4A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7/2033)</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7/14/2022</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+ 6.00%</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8.51%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879</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909</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Crown Point CLO Ltd, Series 2021-10A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7/2034)</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6/14/2022</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+ 6.85%</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871</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Dryden Senior Loan Fund, Series 2018-55A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4/2031)</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7/25/2022</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+ 2.85%</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900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883</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Dryden Senior Loan Fund, Series 2020-86A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($1,500</w:t>
            </w:r>
            <w:r>
              <w:rPr>
                <w:rFonts w:ascii="Times New Roman" w:hAnsi="Times New Roman"/>
                <w:sz w:val="20"/>
              </w:rPr>
              <w:t> </w:t>
            </w:r>
            <w:r>
              <w:rPr>
                <w:rFonts w:ascii="Times New Roman;serif" w:hAnsi="Times New Roman;serif"/>
                <w:b w:val="false"/>
                <w:sz w:val="12"/>
              </w:rPr>
              <w:t>par, due 7/2034)</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8/17/2022</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+ 6.50%</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9.24%</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1,417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1,307</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Eaton CLO Ltd, Series 2015-1A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($2,500</w:t>
            </w:r>
            <w:r>
              <w:rPr>
                <w:rFonts w:ascii="Times New Roman" w:hAnsi="Times New Roman"/>
                <w:sz w:val="20"/>
              </w:rPr>
              <w:t> </w:t>
            </w:r>
            <w:r>
              <w:rPr>
                <w:rFonts w:ascii="Times New Roman;serif" w:hAnsi="Times New Roman;serif"/>
                <w:b w:val="false"/>
                <w:sz w:val="12"/>
              </w:rPr>
              <w:t>par, due 1/2030)</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6/23/2022</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+ 2.50%</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2,227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2,183</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0.2%</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Eaton CLO Ltd, Series 2020-1A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10/2034)</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8/11/2022</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+ 6.25%</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888</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GoldenTree CLO Ltd, Series 2020-7A</w:t>
            </w:r>
            <w:r>
              <w:rPr>
                <w:rFonts w:ascii="Times New Roman" w:hAnsi="Times New Roman"/>
                <w:sz w:val="12"/>
              </w:rPr>
              <w:t>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4/2034)</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6/17/2022</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+ 6.50%</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918</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914</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Gulf Stream Meridian, Series 2021-4A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($1,015</w:t>
            </w:r>
            <w:r>
              <w:rPr>
                <w:rFonts w:ascii="Times New Roman" w:hAnsi="Times New Roman"/>
                <w:sz w:val="20"/>
              </w:rPr>
              <w:t> </w:t>
            </w:r>
            <w:r>
              <w:rPr>
                <w:rFonts w:ascii="Times New Roman;serif" w:hAnsi="Times New Roman;serif"/>
                <w:b w:val="false"/>
                <w:sz w:val="12"/>
              </w:rPr>
              <w:t>par, due 7/2034)</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6/3/2022</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+ 6.35%</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872</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Gulf Stream Meridian, Series 2021-6A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($2,000</w:t>
            </w:r>
            <w:r>
              <w:rPr>
                <w:rFonts w:ascii="Times New Roman" w:hAnsi="Times New Roman"/>
                <w:sz w:val="20"/>
              </w:rPr>
              <w:t> </w:t>
            </w:r>
            <w:r>
              <w:rPr>
                <w:rFonts w:ascii="Times New Roman;serif" w:hAnsi="Times New Roman;serif"/>
                <w:b w:val="false"/>
                <w:sz w:val="12"/>
              </w:rPr>
              <w:t>par, due 1/2037)</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9/12/2022</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+ 6.36%</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1,799</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1,718</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Jefferson Mill CLO Ltd, Series 2015-1A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10/2031)</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5/23/2022</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+ 3.55%</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901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870</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KKR CLO Ltd, 49A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7/2035)</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6/2/2022</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+ 8.00%</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966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909</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Madison Park CLO, Series 2018-28A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7/2030)</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6/28/2022</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+ 5.25%</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7.76%</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877</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Magnetite CLO Ltd, Series 2021-30A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10/2034)</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6/13/2022</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+ 6.20%</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8.98%</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917</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909</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35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MidOcean Credit CLO Ltd, Series 2016-6A</w:t>
            </w:r>
            <w:r>
              <w:rPr>
                <w:rFonts w:ascii="Times New Roman" w:hAnsi="Times New Roman"/>
                <w:sz w:val="12"/>
              </w:rPr>
              <w:t>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8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($3,500</w:t>
            </w:r>
            <w:r>
              <w:rPr>
                <w:rFonts w:ascii="Times New Roman" w:hAnsi="Times New Roman"/>
                <w:sz w:val="20"/>
              </w:rPr>
              <w:t> </w:t>
            </w:r>
            <w:r>
              <w:rPr>
                <w:rFonts w:ascii="Times New Roman;serif" w:hAnsi="Times New Roman;serif"/>
                <w:b w:val="false"/>
                <w:sz w:val="12"/>
              </w:rPr>
              <w:t>par, due 4/2033)</w:t>
            </w:r>
          </w:p>
        </w:tc>
        <w:tc>
          <w:tcPr>
            <w:tcW w:w="146" w:type="dxa"/>
            <w:tcBorders/>
            <w:shd w:fill="auto" w:val="clear"/>
            <w:vAlign w:val="center"/>
          </w:tcPr>
          <w:p>
            <w:pPr>
              <w:pStyle w:val="TableContents"/>
              <w:spacing w:before="0" w:after="0"/>
              <w:ind w:left="0" w:right="0" w:hanging="0"/>
              <w:jc w:val="right"/>
              <w:rPr/>
            </w:pPr>
            <w:r>
              <w:rPr/>
              <w:t> </w:t>
            </w:r>
          </w:p>
        </w:tc>
        <w:tc>
          <w:tcPr>
            <w:tcW w:w="610"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5/23/2022</w:t>
            </w:r>
          </w:p>
        </w:tc>
        <w:tc>
          <w:tcPr>
            <w:tcW w:w="146" w:type="dxa"/>
            <w:tcBorders/>
            <w:shd w:fill="auto" w:val="clear"/>
            <w:vAlign w:val="center"/>
          </w:tcPr>
          <w:p>
            <w:pPr>
              <w:pStyle w:val="TableContents"/>
              <w:spacing w:before="0" w:after="0"/>
              <w:ind w:left="0" w:right="0" w:hanging="0"/>
              <w:jc w:val="righ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+ 3.52%</w:t>
            </w:r>
          </w:p>
        </w:tc>
        <w:tc>
          <w:tcPr>
            <w:tcW w:w="146" w:type="dxa"/>
            <w:tcBorders/>
            <w:shd w:fill="auto" w:val="clear"/>
            <w:vAlign w:val="center"/>
          </w:tcPr>
          <w:p>
            <w:pPr>
              <w:pStyle w:val="TableContents"/>
              <w:spacing w:before="0" w:after="0"/>
              <w:ind w:left="0" w:right="0" w:hanging="0"/>
              <w:jc w:val="right"/>
              <w:rPr/>
            </w:pPr>
            <w:r>
              <w:rPr/>
              <w:t> </w:t>
            </w:r>
          </w:p>
        </w:tc>
        <w:tc>
          <w:tcPr>
            <w:tcW w:w="4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6.23%</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3,151</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2,971</w:t>
            </w:r>
          </w:p>
        </w:tc>
        <w:tc>
          <w:tcPr>
            <w:tcW w:w="146" w:type="dxa"/>
            <w:tcBorders/>
            <w:shd w:fill="auto" w:val="clear"/>
            <w:vAlign w:val="center"/>
          </w:tcPr>
          <w:p>
            <w:pPr>
              <w:pStyle w:val="TableContents"/>
              <w:spacing w:before="0" w:after="0"/>
              <w:ind w:left="0" w:right="0" w:hanging="0"/>
              <w:jc w:val="right"/>
              <w:rPr/>
            </w:pPr>
            <w:r>
              <w:rPr/>
              <w:t> </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0.2%</w:t>
            </w:r>
          </w:p>
        </w:tc>
      </w:tr>
    </w:tbl>
    <w:p>
      <w:pPr>
        <w:pStyle w:val="TextBody"/>
        <w:spacing w:before="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3288"/>
        <w:gridCol w:w="146"/>
        <w:gridCol w:w="2210"/>
        <w:gridCol w:w="146"/>
        <w:gridCol w:w="621"/>
        <w:gridCol w:w="146"/>
        <w:gridCol w:w="614"/>
        <w:gridCol w:w="146"/>
        <w:gridCol w:w="412"/>
        <w:gridCol w:w="146"/>
        <w:gridCol w:w="166"/>
        <w:gridCol w:w="586"/>
        <w:gridCol w:w="146"/>
        <w:gridCol w:w="166"/>
        <w:gridCol w:w="586"/>
        <w:gridCol w:w="146"/>
        <w:gridCol w:w="534"/>
      </w:tblGrid>
      <w:tr>
        <w:trPr/>
        <w:tc>
          <w:tcPr>
            <w:tcW w:w="328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1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r>
      <w:tr>
        <w:trPr/>
        <w:tc>
          <w:tcPr>
            <w:tcW w:w="328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MidOcean Credit CLO Ltd, Series 2018-9A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1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($1,100</w:t>
            </w:r>
            <w:r>
              <w:rPr>
                <w:rFonts w:ascii="Times New Roman" w:hAnsi="Times New Roman"/>
                <w:sz w:val="20"/>
              </w:rPr>
              <w:t> </w:t>
            </w:r>
            <w:r>
              <w:rPr>
                <w:rFonts w:ascii="Times New Roman;serif" w:hAnsi="Times New Roman;serif"/>
                <w:b w:val="false"/>
                <w:sz w:val="12"/>
              </w:rPr>
              <w:t>par, due 7/2031)</w:t>
            </w:r>
          </w:p>
        </w:tc>
        <w:tc>
          <w:tcPr>
            <w:tcW w:w="146" w:type="dxa"/>
            <w:tcBorders/>
            <w:shd w:fill="auto" w:val="clear"/>
            <w:vAlign w:val="center"/>
          </w:tcPr>
          <w:p>
            <w:pPr>
              <w:pStyle w:val="TableContents"/>
              <w:spacing w:before="0" w:after="0"/>
              <w:ind w:left="0" w:right="0" w:hanging="0"/>
              <w:jc w:val="right"/>
              <w:rPr/>
            </w:pPr>
            <w:r>
              <w:rPr/>
              <w:t> </w:t>
            </w:r>
          </w:p>
        </w:tc>
        <w:tc>
          <w:tcPr>
            <w:tcW w:w="62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6/1/2022</w:t>
            </w:r>
          </w:p>
        </w:tc>
        <w:tc>
          <w:tcPr>
            <w:tcW w:w="146" w:type="dxa"/>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+ 6.05%</w:t>
            </w:r>
          </w:p>
        </w:tc>
        <w:tc>
          <w:tcPr>
            <w:tcW w:w="146" w:type="dxa"/>
            <w:tcBorders/>
            <w:shd w:fill="auto" w:val="clear"/>
            <w:vAlign w:val="center"/>
          </w:tcPr>
          <w:p>
            <w:pPr>
              <w:pStyle w:val="TableContents"/>
              <w:spacing w:before="0" w:after="0"/>
              <w:ind w:left="0" w:right="0" w:hanging="0"/>
              <w:jc w:val="right"/>
              <w:rPr/>
            </w:pPr>
            <w:r>
              <w:rPr/>
              <w:t> </w:t>
            </w:r>
          </w:p>
        </w:tc>
        <w:tc>
          <w:tcPr>
            <w:tcW w:w="4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959</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828</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8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Octagon 57 LLC, Series 2021-1A</w:t>
            </w:r>
            <w:r>
              <w:rPr>
                <w:rFonts w:ascii="Times New Roman" w:hAnsi="Times New Roman"/>
                <w:sz w:val="12"/>
              </w:rPr>
              <w:t>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1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10/2034)</w:t>
            </w:r>
          </w:p>
        </w:tc>
        <w:tc>
          <w:tcPr>
            <w:tcW w:w="146" w:type="dxa"/>
            <w:tcBorders/>
            <w:shd w:fill="auto" w:val="clear"/>
            <w:vAlign w:val="center"/>
          </w:tcPr>
          <w:p>
            <w:pPr>
              <w:pStyle w:val="TableContents"/>
              <w:spacing w:before="0" w:after="0"/>
              <w:ind w:left="0" w:right="0" w:hanging="0"/>
              <w:jc w:val="right"/>
              <w:rPr/>
            </w:pPr>
            <w:r>
              <w:rPr/>
              <w:t> </w:t>
            </w:r>
          </w:p>
        </w:tc>
        <w:tc>
          <w:tcPr>
            <w:tcW w:w="62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5/24/2022</w:t>
            </w:r>
          </w:p>
        </w:tc>
        <w:tc>
          <w:tcPr>
            <w:tcW w:w="146" w:type="dxa"/>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+ 6.60%</w:t>
            </w:r>
          </w:p>
        </w:tc>
        <w:tc>
          <w:tcPr>
            <w:tcW w:w="146" w:type="dxa"/>
            <w:tcBorders/>
            <w:shd w:fill="auto" w:val="clear"/>
            <w:vAlign w:val="center"/>
          </w:tcPr>
          <w:p>
            <w:pPr>
              <w:pStyle w:val="TableContents"/>
              <w:spacing w:before="0" w:after="0"/>
              <w:ind w:left="0" w:right="0" w:hanging="0"/>
              <w:jc w:val="right"/>
              <w:rPr/>
            </w:pPr>
            <w:r>
              <w:rPr/>
              <w:t> </w:t>
            </w:r>
          </w:p>
        </w:tc>
        <w:tc>
          <w:tcPr>
            <w:tcW w:w="4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9.11%</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872</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8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Octagon Investment Partners 18 Ltd, Series 2018-18A</w:t>
            </w:r>
            <w:r>
              <w:rPr>
                <w:rFonts w:ascii="Times New Roman" w:hAnsi="Times New Roman"/>
                <w:sz w:val="12"/>
              </w:rPr>
              <w:t>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1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4/2031)</w:t>
            </w:r>
          </w:p>
        </w:tc>
        <w:tc>
          <w:tcPr>
            <w:tcW w:w="146" w:type="dxa"/>
            <w:tcBorders/>
            <w:shd w:fill="auto" w:val="clear"/>
            <w:vAlign w:val="center"/>
          </w:tcPr>
          <w:p>
            <w:pPr>
              <w:pStyle w:val="TableContents"/>
              <w:spacing w:before="0" w:after="0"/>
              <w:ind w:left="0" w:right="0" w:hanging="0"/>
              <w:jc w:val="right"/>
              <w:rPr/>
            </w:pPr>
            <w:r>
              <w:rPr/>
              <w:t> </w:t>
            </w:r>
          </w:p>
        </w:tc>
        <w:tc>
          <w:tcPr>
            <w:tcW w:w="62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7/26/2022</w:t>
            </w:r>
          </w:p>
        </w:tc>
        <w:tc>
          <w:tcPr>
            <w:tcW w:w="146" w:type="dxa"/>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+ 2.70%</w:t>
            </w:r>
          </w:p>
        </w:tc>
        <w:tc>
          <w:tcPr>
            <w:tcW w:w="146" w:type="dxa"/>
            <w:tcBorders/>
            <w:shd w:fill="auto" w:val="clear"/>
            <w:vAlign w:val="center"/>
          </w:tcPr>
          <w:p>
            <w:pPr>
              <w:pStyle w:val="TableContents"/>
              <w:spacing w:before="0" w:after="0"/>
              <w:ind w:left="0" w:right="0" w:hanging="0"/>
              <w:jc w:val="right"/>
              <w:rPr/>
            </w:pPr>
            <w:r>
              <w:rPr/>
              <w:t> </w:t>
            </w:r>
          </w:p>
        </w:tc>
        <w:tc>
          <w:tcPr>
            <w:tcW w:w="4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5.44%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890</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855</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8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Octagon Investment Partners 38 Ltd, Series 2018-1A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1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($2,800</w:t>
            </w:r>
            <w:r>
              <w:rPr>
                <w:rFonts w:ascii="Times New Roman" w:hAnsi="Times New Roman"/>
                <w:sz w:val="20"/>
              </w:rPr>
              <w:t> </w:t>
            </w:r>
            <w:r>
              <w:rPr>
                <w:rFonts w:ascii="Times New Roman;serif" w:hAnsi="Times New Roman;serif"/>
                <w:b w:val="false"/>
                <w:sz w:val="12"/>
              </w:rPr>
              <w:t>par, due 7/2030)</w:t>
            </w:r>
          </w:p>
        </w:tc>
        <w:tc>
          <w:tcPr>
            <w:tcW w:w="146" w:type="dxa"/>
            <w:tcBorders/>
            <w:shd w:fill="auto" w:val="clear"/>
            <w:vAlign w:val="center"/>
          </w:tcPr>
          <w:p>
            <w:pPr>
              <w:pStyle w:val="TableContents"/>
              <w:spacing w:before="0" w:after="0"/>
              <w:ind w:left="0" w:right="0" w:hanging="0"/>
              <w:jc w:val="right"/>
              <w:rPr/>
            </w:pPr>
            <w:r>
              <w:rPr/>
              <w:t> </w:t>
            </w:r>
          </w:p>
        </w:tc>
        <w:tc>
          <w:tcPr>
            <w:tcW w:w="62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9/20/2022</w:t>
            </w:r>
          </w:p>
        </w:tc>
        <w:tc>
          <w:tcPr>
            <w:tcW w:w="146" w:type="dxa"/>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+ 2.95%</w:t>
            </w:r>
          </w:p>
        </w:tc>
        <w:tc>
          <w:tcPr>
            <w:tcW w:w="146" w:type="dxa"/>
            <w:tcBorders/>
            <w:shd w:fill="auto" w:val="clear"/>
            <w:vAlign w:val="center"/>
          </w:tcPr>
          <w:p>
            <w:pPr>
              <w:pStyle w:val="TableContents"/>
              <w:spacing w:before="0" w:after="0"/>
              <w:ind w:left="0" w:right="0" w:hanging="0"/>
              <w:jc w:val="right"/>
              <w:rPr/>
            </w:pPr>
            <w:r>
              <w:rPr/>
              <w:t> </w:t>
            </w:r>
          </w:p>
        </w:tc>
        <w:tc>
          <w:tcPr>
            <w:tcW w:w="4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5.66%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2,456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2,436</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0.2%</w:t>
            </w:r>
          </w:p>
        </w:tc>
      </w:tr>
      <w:tr>
        <w:trPr/>
        <w:tc>
          <w:tcPr>
            <w:tcW w:w="328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Park Avenue Institutional Advisers CLO Ltd, Series 2018-1A</w:t>
            </w:r>
            <w:r>
              <w:rPr>
                <w:rFonts w:ascii="Times New Roman" w:hAnsi="Times New Roman"/>
                <w:sz w:val="12"/>
              </w:rPr>
              <w:t>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1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10/2031)</w:t>
            </w:r>
          </w:p>
        </w:tc>
        <w:tc>
          <w:tcPr>
            <w:tcW w:w="146" w:type="dxa"/>
            <w:tcBorders/>
            <w:shd w:fill="auto" w:val="clear"/>
            <w:vAlign w:val="center"/>
          </w:tcPr>
          <w:p>
            <w:pPr>
              <w:pStyle w:val="TableContents"/>
              <w:spacing w:before="0" w:after="0"/>
              <w:ind w:left="0" w:right="0" w:hanging="0"/>
              <w:jc w:val="right"/>
              <w:rPr/>
            </w:pPr>
            <w:r>
              <w:rPr/>
              <w:t> </w:t>
            </w:r>
          </w:p>
        </w:tc>
        <w:tc>
          <w:tcPr>
            <w:tcW w:w="62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9/23/2022</w:t>
            </w:r>
          </w:p>
        </w:tc>
        <w:tc>
          <w:tcPr>
            <w:tcW w:w="146" w:type="dxa"/>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+ 3.33%</w:t>
            </w:r>
          </w:p>
        </w:tc>
        <w:tc>
          <w:tcPr>
            <w:tcW w:w="146" w:type="dxa"/>
            <w:tcBorders/>
            <w:shd w:fill="auto" w:val="clear"/>
            <w:vAlign w:val="center"/>
          </w:tcPr>
          <w:p>
            <w:pPr>
              <w:pStyle w:val="TableContents"/>
              <w:spacing w:before="0" w:after="0"/>
              <w:ind w:left="0" w:right="0" w:hanging="0"/>
              <w:jc w:val="right"/>
              <w:rPr/>
            </w:pPr>
            <w:r>
              <w:rPr/>
              <w:t> </w:t>
            </w:r>
          </w:p>
        </w:tc>
        <w:tc>
          <w:tcPr>
            <w:tcW w:w="4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6.04%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863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870</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8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Pikes Peak CLO, Series 2021-9A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1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($2,000</w:t>
            </w:r>
            <w:r>
              <w:rPr>
                <w:rFonts w:ascii="Times New Roman" w:hAnsi="Times New Roman"/>
                <w:sz w:val="20"/>
              </w:rPr>
              <w:t> </w:t>
            </w:r>
            <w:r>
              <w:rPr>
                <w:rFonts w:ascii="Times New Roman;serif" w:hAnsi="Times New Roman;serif"/>
                <w:b w:val="false"/>
                <w:sz w:val="12"/>
              </w:rPr>
              <w:t>par, due 10/2034)</w:t>
            </w:r>
          </w:p>
        </w:tc>
        <w:tc>
          <w:tcPr>
            <w:tcW w:w="146" w:type="dxa"/>
            <w:tcBorders/>
            <w:shd w:fill="auto" w:val="clear"/>
            <w:vAlign w:val="center"/>
          </w:tcPr>
          <w:p>
            <w:pPr>
              <w:pStyle w:val="TableContents"/>
              <w:spacing w:before="0" w:after="0"/>
              <w:ind w:left="0" w:right="0" w:hanging="0"/>
              <w:jc w:val="right"/>
              <w:rPr/>
            </w:pPr>
            <w:r>
              <w:rPr/>
              <w:t> </w:t>
            </w:r>
          </w:p>
        </w:tc>
        <w:tc>
          <w:tcPr>
            <w:tcW w:w="62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8/31/2022</w:t>
            </w:r>
          </w:p>
        </w:tc>
        <w:tc>
          <w:tcPr>
            <w:tcW w:w="146" w:type="dxa"/>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+ 6.58%</w:t>
            </w:r>
          </w:p>
        </w:tc>
        <w:tc>
          <w:tcPr>
            <w:tcW w:w="146" w:type="dxa"/>
            <w:tcBorders/>
            <w:shd w:fill="auto" w:val="clear"/>
            <w:vAlign w:val="center"/>
          </w:tcPr>
          <w:p>
            <w:pPr>
              <w:pStyle w:val="TableContents"/>
              <w:spacing w:before="0" w:after="0"/>
              <w:ind w:left="0" w:right="0" w:hanging="0"/>
              <w:jc w:val="right"/>
              <w:rPr/>
            </w:pPr>
            <w:r>
              <w:rPr/>
              <w:t> </w:t>
            </w:r>
          </w:p>
        </w:tc>
        <w:tc>
          <w:tcPr>
            <w:tcW w:w="4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9.35%</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1,782</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1,721</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8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RR Ltd, Series 2020-8A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1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4/2033)</w:t>
            </w:r>
          </w:p>
        </w:tc>
        <w:tc>
          <w:tcPr>
            <w:tcW w:w="146" w:type="dxa"/>
            <w:tcBorders/>
            <w:shd w:fill="auto" w:val="clear"/>
            <w:vAlign w:val="center"/>
          </w:tcPr>
          <w:p>
            <w:pPr>
              <w:pStyle w:val="TableContents"/>
              <w:spacing w:before="0" w:after="0"/>
              <w:ind w:left="0" w:right="0" w:hanging="0"/>
              <w:jc w:val="right"/>
              <w:rPr/>
            </w:pPr>
            <w:r>
              <w:rPr/>
              <w:t> </w:t>
            </w:r>
          </w:p>
        </w:tc>
        <w:tc>
          <w:tcPr>
            <w:tcW w:w="62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8/22/2022</w:t>
            </w:r>
          </w:p>
        </w:tc>
        <w:tc>
          <w:tcPr>
            <w:tcW w:w="146" w:type="dxa"/>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+ 6.40%</w:t>
            </w:r>
          </w:p>
        </w:tc>
        <w:tc>
          <w:tcPr>
            <w:tcW w:w="146" w:type="dxa"/>
            <w:tcBorders/>
            <w:shd w:fill="auto" w:val="clear"/>
            <w:vAlign w:val="center"/>
          </w:tcPr>
          <w:p>
            <w:pPr>
              <w:pStyle w:val="TableContents"/>
              <w:spacing w:before="0" w:after="0"/>
              <w:ind w:left="0" w:right="0" w:hanging="0"/>
              <w:jc w:val="right"/>
              <w:rPr/>
            </w:pPr>
            <w:r>
              <w:rPr/>
              <w:t> </w:t>
            </w:r>
          </w:p>
        </w:tc>
        <w:tc>
          <w:tcPr>
            <w:tcW w:w="4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8.91%</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929</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909</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8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Shackelton CLO Ltd, Series 2015-7RA (3)(4)(10)</w:t>
            </w:r>
          </w:p>
        </w:tc>
        <w:tc>
          <w:tcPr>
            <w:tcW w:w="146" w:type="dxa"/>
            <w:tcBorders/>
            <w:shd w:fill="auto" w:val="clear"/>
            <w:vAlign w:val="center"/>
          </w:tcPr>
          <w:p>
            <w:pPr>
              <w:pStyle w:val="TableContents"/>
              <w:spacing w:before="0" w:after="0"/>
              <w:ind w:left="0" w:right="0" w:hanging="0"/>
              <w:jc w:val="right"/>
              <w:rPr/>
            </w:pPr>
            <w:r>
              <w:rPr/>
              <w:t> </w:t>
            </w:r>
          </w:p>
        </w:tc>
        <w:tc>
          <w:tcPr>
            <w:tcW w:w="221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7/2031)</w:t>
            </w:r>
          </w:p>
        </w:tc>
        <w:tc>
          <w:tcPr>
            <w:tcW w:w="146" w:type="dxa"/>
            <w:tcBorders/>
            <w:shd w:fill="auto" w:val="clear"/>
            <w:vAlign w:val="center"/>
          </w:tcPr>
          <w:p>
            <w:pPr>
              <w:pStyle w:val="TableContents"/>
              <w:spacing w:before="0" w:after="0"/>
              <w:ind w:left="0" w:right="0" w:hanging="0"/>
              <w:jc w:val="right"/>
              <w:rPr/>
            </w:pPr>
            <w:r>
              <w:rPr/>
              <w:t> </w:t>
            </w:r>
          </w:p>
        </w:tc>
        <w:tc>
          <w:tcPr>
            <w:tcW w:w="62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5/23/2022</w:t>
            </w:r>
          </w:p>
        </w:tc>
        <w:tc>
          <w:tcPr>
            <w:tcW w:w="146" w:type="dxa"/>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+ 3.33%</w:t>
            </w:r>
          </w:p>
        </w:tc>
        <w:tc>
          <w:tcPr>
            <w:tcW w:w="146" w:type="dxa"/>
            <w:tcBorders/>
            <w:shd w:fill="auto" w:val="clear"/>
            <w:vAlign w:val="center"/>
          </w:tcPr>
          <w:p>
            <w:pPr>
              <w:pStyle w:val="TableContents"/>
              <w:spacing w:before="0" w:after="0"/>
              <w:ind w:left="0" w:right="0" w:hanging="0"/>
              <w:jc w:val="right"/>
              <w:rPr/>
            </w:pPr>
            <w:r>
              <w:rPr/>
              <w:t> </w:t>
            </w:r>
          </w:p>
        </w:tc>
        <w:tc>
          <w:tcPr>
            <w:tcW w:w="4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5.84%</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890</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855</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8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Signal Peak CLO LLC, Series 2018-5A</w:t>
            </w:r>
            <w:r>
              <w:rPr>
                <w:rFonts w:ascii="Times New Roman" w:hAnsi="Times New Roman"/>
                <w:sz w:val="12"/>
              </w:rPr>
              <w:t>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1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4/2031)</w:t>
            </w:r>
          </w:p>
        </w:tc>
        <w:tc>
          <w:tcPr>
            <w:tcW w:w="146" w:type="dxa"/>
            <w:tcBorders/>
            <w:shd w:fill="auto" w:val="clear"/>
            <w:vAlign w:val="center"/>
          </w:tcPr>
          <w:p>
            <w:pPr>
              <w:pStyle w:val="TableContents"/>
              <w:spacing w:before="0" w:after="0"/>
              <w:ind w:left="0" w:right="0" w:hanging="0"/>
              <w:jc w:val="right"/>
              <w:rPr/>
            </w:pPr>
            <w:r>
              <w:rPr/>
              <w:t> </w:t>
            </w:r>
          </w:p>
        </w:tc>
        <w:tc>
          <w:tcPr>
            <w:tcW w:w="62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8/9/2022</w:t>
            </w:r>
          </w:p>
        </w:tc>
        <w:tc>
          <w:tcPr>
            <w:tcW w:w="146" w:type="dxa"/>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+ 5.65%</w:t>
            </w:r>
          </w:p>
        </w:tc>
        <w:tc>
          <w:tcPr>
            <w:tcW w:w="146" w:type="dxa"/>
            <w:tcBorders/>
            <w:shd w:fill="auto" w:val="clear"/>
            <w:vAlign w:val="center"/>
          </w:tcPr>
          <w:p>
            <w:pPr>
              <w:pStyle w:val="TableContents"/>
              <w:spacing w:before="0" w:after="0"/>
              <w:ind w:left="0" w:right="0" w:hanging="0"/>
              <w:jc w:val="right"/>
              <w:rPr/>
            </w:pPr>
            <w:r>
              <w:rPr/>
              <w:t> </w:t>
            </w:r>
          </w:p>
        </w:tc>
        <w:tc>
          <w:tcPr>
            <w:tcW w:w="4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8.43%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824</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8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Southwick Park CLO Ltd, Series 2019-4A</w:t>
            </w:r>
            <w:r>
              <w:rPr>
                <w:rFonts w:ascii="Times New Roman" w:hAnsi="Times New Roman"/>
                <w:sz w:val="12"/>
              </w:rPr>
              <w:t>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1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7/2032)</w:t>
            </w:r>
          </w:p>
        </w:tc>
        <w:tc>
          <w:tcPr>
            <w:tcW w:w="146" w:type="dxa"/>
            <w:tcBorders/>
            <w:shd w:fill="auto" w:val="clear"/>
            <w:vAlign w:val="center"/>
          </w:tcPr>
          <w:p>
            <w:pPr>
              <w:pStyle w:val="TableContents"/>
              <w:spacing w:before="0" w:after="0"/>
              <w:ind w:left="0" w:right="0" w:hanging="0"/>
              <w:jc w:val="right"/>
              <w:rPr/>
            </w:pPr>
            <w:r>
              <w:rPr/>
              <w:t> </w:t>
            </w:r>
          </w:p>
        </w:tc>
        <w:tc>
          <w:tcPr>
            <w:tcW w:w="62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5/25/2022</w:t>
            </w:r>
          </w:p>
        </w:tc>
        <w:tc>
          <w:tcPr>
            <w:tcW w:w="146" w:type="dxa"/>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+ 6.25%</w:t>
            </w:r>
          </w:p>
        </w:tc>
        <w:tc>
          <w:tcPr>
            <w:tcW w:w="146" w:type="dxa"/>
            <w:tcBorders/>
            <w:shd w:fill="auto" w:val="clear"/>
            <w:vAlign w:val="center"/>
          </w:tcPr>
          <w:p>
            <w:pPr>
              <w:pStyle w:val="TableContents"/>
              <w:spacing w:before="0" w:after="0"/>
              <w:ind w:left="0" w:right="0" w:hanging="0"/>
              <w:jc w:val="right"/>
              <w:rPr/>
            </w:pPr>
            <w:r>
              <w:rPr/>
              <w:t> </w:t>
            </w:r>
          </w:p>
        </w:tc>
        <w:tc>
          <w:tcPr>
            <w:tcW w:w="4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928</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867</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8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Stewart Park CLO Ltd, Series 2015-1A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1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($1,000</w:t>
            </w:r>
            <w:r>
              <w:rPr>
                <w:rFonts w:ascii="Times New Roman" w:hAnsi="Times New Roman"/>
                <w:sz w:val="20"/>
              </w:rPr>
              <w:t> </w:t>
            </w:r>
            <w:r>
              <w:rPr>
                <w:rFonts w:ascii="Times New Roman;serif" w:hAnsi="Times New Roman;serif"/>
                <w:b w:val="false"/>
                <w:sz w:val="12"/>
              </w:rPr>
              <w:t>par, due 1/2030)</w:t>
            </w:r>
          </w:p>
        </w:tc>
        <w:tc>
          <w:tcPr>
            <w:tcW w:w="146" w:type="dxa"/>
            <w:tcBorders/>
            <w:shd w:fill="auto" w:val="clear"/>
            <w:vAlign w:val="center"/>
          </w:tcPr>
          <w:p>
            <w:pPr>
              <w:pStyle w:val="TableContents"/>
              <w:spacing w:before="0" w:after="0"/>
              <w:ind w:left="0" w:right="0" w:hanging="0"/>
              <w:jc w:val="right"/>
              <w:rPr/>
            </w:pPr>
            <w:r>
              <w:rPr/>
              <w:t> </w:t>
            </w:r>
          </w:p>
        </w:tc>
        <w:tc>
          <w:tcPr>
            <w:tcW w:w="62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7/25/2022</w:t>
            </w:r>
          </w:p>
        </w:tc>
        <w:tc>
          <w:tcPr>
            <w:tcW w:w="146" w:type="dxa"/>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+ 2.60%</w:t>
            </w:r>
          </w:p>
        </w:tc>
        <w:tc>
          <w:tcPr>
            <w:tcW w:w="146" w:type="dxa"/>
            <w:tcBorders/>
            <w:shd w:fill="auto" w:val="clear"/>
            <w:vAlign w:val="center"/>
          </w:tcPr>
          <w:p>
            <w:pPr>
              <w:pStyle w:val="TableContents"/>
              <w:spacing w:before="0" w:after="0"/>
              <w:ind w:left="0" w:right="0" w:hanging="0"/>
              <w:jc w:val="right"/>
              <w:rPr/>
            </w:pPr>
            <w:r>
              <w:rPr/>
              <w:t> </w:t>
            </w:r>
          </w:p>
        </w:tc>
        <w:tc>
          <w:tcPr>
            <w:tcW w:w="4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5.11%</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897</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888</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8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Voya CLO Ltd, Series 2018-3A</w:t>
            </w:r>
            <w:r>
              <w:rPr>
                <w:rFonts w:ascii="Times New Roman" w:hAnsi="Times New Roman"/>
                <w:sz w:val="12"/>
              </w:rPr>
              <w:t>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1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($2,750</w:t>
            </w:r>
            <w:r>
              <w:rPr>
                <w:rFonts w:ascii="Times New Roman" w:hAnsi="Times New Roman"/>
                <w:sz w:val="20"/>
              </w:rPr>
              <w:t> </w:t>
            </w:r>
            <w:r>
              <w:rPr>
                <w:rFonts w:ascii="Times New Roman;serif" w:hAnsi="Times New Roman;serif"/>
                <w:b w:val="false"/>
                <w:sz w:val="12"/>
              </w:rPr>
              <w:t>par, due 10/2031)</w:t>
            </w:r>
          </w:p>
        </w:tc>
        <w:tc>
          <w:tcPr>
            <w:tcW w:w="146" w:type="dxa"/>
            <w:tcBorders/>
            <w:shd w:fill="auto" w:val="clear"/>
            <w:vAlign w:val="center"/>
          </w:tcPr>
          <w:p>
            <w:pPr>
              <w:pStyle w:val="TableContents"/>
              <w:spacing w:before="0" w:after="0"/>
              <w:ind w:left="0" w:right="0" w:hanging="0"/>
              <w:jc w:val="right"/>
              <w:rPr/>
            </w:pPr>
            <w:r>
              <w:rPr/>
              <w:t> </w:t>
            </w:r>
          </w:p>
        </w:tc>
        <w:tc>
          <w:tcPr>
            <w:tcW w:w="62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6/22/2022</w:t>
            </w:r>
          </w:p>
        </w:tc>
        <w:tc>
          <w:tcPr>
            <w:tcW w:w="146" w:type="dxa"/>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+ 5.75%</w:t>
            </w:r>
          </w:p>
        </w:tc>
        <w:tc>
          <w:tcPr>
            <w:tcW w:w="146" w:type="dxa"/>
            <w:tcBorders/>
            <w:shd w:fill="auto" w:val="clear"/>
            <w:vAlign w:val="center"/>
          </w:tcPr>
          <w:p>
            <w:pPr>
              <w:pStyle w:val="TableContents"/>
              <w:spacing w:before="0" w:after="0"/>
              <w:ind w:left="0" w:right="0" w:hanging="0"/>
              <w:jc w:val="right"/>
              <w:rPr/>
            </w:pPr>
            <w:r>
              <w:rPr/>
              <w:t> </w:t>
            </w:r>
          </w:p>
        </w:tc>
        <w:tc>
          <w:tcPr>
            <w:tcW w:w="4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8.26%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2,382</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2,166</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8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Whitebox CLO I Ltd, Series 2020-2A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1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($1,125</w:t>
            </w:r>
            <w:r>
              <w:rPr>
                <w:rFonts w:ascii="Times New Roman" w:hAnsi="Times New Roman"/>
                <w:sz w:val="20"/>
              </w:rPr>
              <w:t> </w:t>
            </w:r>
            <w:r>
              <w:rPr>
                <w:rFonts w:ascii="Times New Roman;serif" w:hAnsi="Times New Roman;serif"/>
                <w:b w:val="false"/>
                <w:sz w:val="12"/>
              </w:rPr>
              <w:t>par, due 10/2034)</w:t>
            </w:r>
          </w:p>
        </w:tc>
        <w:tc>
          <w:tcPr>
            <w:tcW w:w="146" w:type="dxa"/>
            <w:tcBorders/>
            <w:shd w:fill="auto" w:val="clear"/>
            <w:vAlign w:val="center"/>
          </w:tcPr>
          <w:p>
            <w:pPr>
              <w:pStyle w:val="TableContents"/>
              <w:spacing w:before="0" w:after="0"/>
              <w:ind w:left="0" w:right="0" w:hanging="0"/>
              <w:jc w:val="right"/>
              <w:rPr/>
            </w:pPr>
            <w:r>
              <w:rPr/>
              <w:t> </w:t>
            </w:r>
          </w:p>
        </w:tc>
        <w:tc>
          <w:tcPr>
            <w:tcW w:w="62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7/12/2022</w:t>
            </w:r>
          </w:p>
        </w:tc>
        <w:tc>
          <w:tcPr>
            <w:tcW w:w="146" w:type="dxa"/>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+ 3.35%</w:t>
            </w:r>
          </w:p>
        </w:tc>
        <w:tc>
          <w:tcPr>
            <w:tcW w:w="146" w:type="dxa"/>
            <w:tcBorders/>
            <w:shd w:fill="auto" w:val="clear"/>
            <w:vAlign w:val="center"/>
          </w:tcPr>
          <w:p>
            <w:pPr>
              <w:pStyle w:val="TableContents"/>
              <w:spacing w:before="0" w:after="0"/>
              <w:ind w:left="0" w:right="0" w:hanging="0"/>
              <w:jc w:val="right"/>
              <w:rPr/>
            </w:pPr>
            <w:r>
              <w:rPr/>
              <w:t> </w:t>
            </w:r>
          </w:p>
        </w:tc>
        <w:tc>
          <w:tcPr>
            <w:tcW w:w="4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6.13%</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1,005</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1,056</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328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Wind River CLO Ltd, Series 2014-2A</w:t>
            </w:r>
            <w:r>
              <w:rPr>
                <w:rFonts w:ascii="Times New Roman" w:hAnsi="Times New Roman"/>
                <w:sz w:val="12"/>
              </w:rPr>
              <w:t>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1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($1,500</w:t>
            </w:r>
            <w:r>
              <w:rPr>
                <w:rFonts w:ascii="Times New Roman" w:hAnsi="Times New Roman"/>
                <w:sz w:val="20"/>
              </w:rPr>
              <w:t> </w:t>
            </w:r>
            <w:r>
              <w:rPr>
                <w:rFonts w:ascii="Times New Roman;serif" w:hAnsi="Times New Roman;serif"/>
                <w:b w:val="false"/>
                <w:sz w:val="12"/>
              </w:rPr>
              <w:t>par, due 1/2031)</w:t>
            </w:r>
          </w:p>
        </w:tc>
        <w:tc>
          <w:tcPr>
            <w:tcW w:w="146" w:type="dxa"/>
            <w:tcBorders/>
            <w:shd w:fill="auto" w:val="clear"/>
            <w:vAlign w:val="center"/>
          </w:tcPr>
          <w:p>
            <w:pPr>
              <w:pStyle w:val="TableContents"/>
              <w:spacing w:before="0" w:after="0"/>
              <w:ind w:left="0" w:right="0" w:hanging="0"/>
              <w:jc w:val="right"/>
              <w:rPr/>
            </w:pPr>
            <w:r>
              <w:rPr/>
              <w:t> </w:t>
            </w:r>
          </w:p>
        </w:tc>
        <w:tc>
          <w:tcPr>
            <w:tcW w:w="62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6/23/2022</w:t>
            </w:r>
          </w:p>
        </w:tc>
        <w:tc>
          <w:tcPr>
            <w:tcW w:w="146" w:type="dxa"/>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+ 2.90%</w:t>
            </w:r>
          </w:p>
        </w:tc>
        <w:tc>
          <w:tcPr>
            <w:tcW w:w="146" w:type="dxa"/>
            <w:tcBorders/>
            <w:shd w:fill="auto" w:val="clear"/>
            <w:vAlign w:val="center"/>
          </w:tcPr>
          <w:p>
            <w:pPr>
              <w:pStyle w:val="TableContents"/>
              <w:spacing w:before="0" w:after="0"/>
              <w:ind w:left="0" w:right="0" w:hanging="0"/>
              <w:jc w:val="right"/>
              <w:rPr/>
            </w:pPr>
            <w:r>
              <w:rPr/>
              <w:t> </w:t>
            </w:r>
          </w:p>
        </w:tc>
        <w:tc>
          <w:tcPr>
            <w:tcW w:w="4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5.41%</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1,347</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1,293</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w:t>
            </w:r>
          </w:p>
        </w:tc>
      </w:tr>
      <w:tr>
        <w:trPr/>
        <w:tc>
          <w:tcPr>
            <w:tcW w:w="328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Wind River CLO Ltd, Series 2017-1A</w:t>
            </w:r>
            <w:r>
              <w:rPr>
                <w:rFonts w:ascii="Times New Roman" w:hAnsi="Times New Roman"/>
                <w:sz w:val="12"/>
              </w:rPr>
              <w:t>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1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($3,000</w:t>
            </w:r>
            <w:r>
              <w:rPr>
                <w:rFonts w:ascii="Times New Roman" w:hAnsi="Times New Roman"/>
                <w:sz w:val="20"/>
              </w:rPr>
              <w:t> </w:t>
            </w:r>
            <w:r>
              <w:rPr>
                <w:rFonts w:ascii="Times New Roman;serif" w:hAnsi="Times New Roman;serif"/>
                <w:b w:val="false"/>
                <w:sz w:val="12"/>
              </w:rPr>
              <w:t>par, due 4/2036)</w:t>
            </w:r>
          </w:p>
        </w:tc>
        <w:tc>
          <w:tcPr>
            <w:tcW w:w="146" w:type="dxa"/>
            <w:tcBorders/>
            <w:shd w:fill="auto" w:val="clear"/>
            <w:vAlign w:val="center"/>
          </w:tcPr>
          <w:p>
            <w:pPr>
              <w:pStyle w:val="TableContents"/>
              <w:spacing w:before="0" w:after="0"/>
              <w:ind w:left="0" w:right="0" w:hanging="0"/>
              <w:jc w:val="right"/>
              <w:rPr/>
            </w:pPr>
            <w:r>
              <w:rPr/>
              <w:t> </w:t>
            </w:r>
          </w:p>
        </w:tc>
        <w:tc>
          <w:tcPr>
            <w:tcW w:w="62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7/14/2022</w:t>
            </w:r>
          </w:p>
        </w:tc>
        <w:tc>
          <w:tcPr>
            <w:tcW w:w="146" w:type="dxa"/>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+ 3.72%</w:t>
            </w:r>
          </w:p>
        </w:tc>
        <w:tc>
          <w:tcPr>
            <w:tcW w:w="146" w:type="dxa"/>
            <w:tcBorders/>
            <w:shd w:fill="auto" w:val="clear"/>
            <w:vAlign w:val="center"/>
          </w:tcPr>
          <w:p>
            <w:pPr>
              <w:pStyle w:val="TableContents"/>
              <w:spacing w:before="0" w:after="0"/>
              <w:ind w:left="0" w:right="0" w:hanging="0"/>
              <w:jc w:val="right"/>
              <w:rPr/>
            </w:pPr>
            <w:r>
              <w:rPr/>
              <w:t> </w:t>
            </w:r>
          </w:p>
        </w:tc>
        <w:tc>
          <w:tcPr>
            <w:tcW w:w="4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6.46%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2,617</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2,624</w:t>
            </w:r>
          </w:p>
        </w:tc>
        <w:tc>
          <w:tcPr>
            <w:tcW w:w="146" w:type="dxa"/>
            <w:tcBorders/>
            <w:shd w:fill="auto" w:val="clear"/>
            <w:vAlign w:val="center"/>
          </w:tcPr>
          <w:p>
            <w:pPr>
              <w:pStyle w:val="TableContents"/>
              <w:spacing w:before="0" w:after="0"/>
              <w:ind w:left="0" w:right="0" w:hanging="0"/>
              <w:jc w:val="right"/>
              <w:rPr/>
            </w:pPr>
            <w:r>
              <w:rPr/>
              <w:t> </w:t>
            </w:r>
          </w:p>
        </w:tc>
        <w:tc>
          <w:tcPr>
            <w:tcW w:w="53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88"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Wind River CLO Ltd, Series 2018-3A</w:t>
            </w:r>
            <w:r>
              <w:rPr>
                <w:rFonts w:ascii="Times New Roman" w:hAnsi="Times New Roman"/>
                <w:sz w:val="12"/>
              </w:rPr>
              <w:t> </w:t>
            </w:r>
            <w:r>
              <w:rPr>
                <w:rFonts w:ascii="Times New Roman;serif" w:hAnsi="Times New Roman;serif"/>
                <w:b w:val="false"/>
                <w:sz w:val="8"/>
              </w:rPr>
              <w:t>(3)(4)(10)</w:t>
            </w:r>
          </w:p>
        </w:tc>
        <w:tc>
          <w:tcPr>
            <w:tcW w:w="146" w:type="dxa"/>
            <w:tcBorders/>
            <w:shd w:fill="auto" w:val="clear"/>
            <w:vAlign w:val="center"/>
          </w:tcPr>
          <w:p>
            <w:pPr>
              <w:pStyle w:val="TableContents"/>
              <w:spacing w:before="0" w:after="0"/>
              <w:ind w:left="0" w:right="0" w:hanging="0"/>
              <w:jc w:val="right"/>
              <w:rPr/>
            </w:pPr>
            <w:r>
              <w:rPr/>
              <w:t> </w:t>
            </w:r>
          </w:p>
        </w:tc>
        <w:tc>
          <w:tcPr>
            <w:tcW w:w="2210"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2"/>
              </w:rPr>
              <w:t>Structured Product ($2,000</w:t>
            </w:r>
            <w:r>
              <w:rPr>
                <w:rFonts w:ascii="Times New Roman" w:hAnsi="Times New Roman"/>
                <w:sz w:val="20"/>
              </w:rPr>
              <w:t> </w:t>
            </w:r>
            <w:r>
              <w:rPr>
                <w:rFonts w:ascii="Times New Roman;serif" w:hAnsi="Times New Roman;serif"/>
                <w:b w:val="false"/>
                <w:sz w:val="12"/>
              </w:rPr>
              <w:t>par, due 1/2031)</w:t>
            </w:r>
          </w:p>
        </w:tc>
        <w:tc>
          <w:tcPr>
            <w:tcW w:w="146" w:type="dxa"/>
            <w:tcBorders/>
            <w:shd w:fill="auto" w:val="clear"/>
            <w:vAlign w:val="center"/>
          </w:tcPr>
          <w:p>
            <w:pPr>
              <w:pStyle w:val="TableContents"/>
              <w:spacing w:before="0" w:after="0"/>
              <w:ind w:left="0" w:right="0" w:hanging="0"/>
              <w:jc w:val="right"/>
              <w:rPr/>
            </w:pPr>
            <w:r>
              <w:rPr/>
              <w:t> </w:t>
            </w:r>
          </w:p>
        </w:tc>
        <w:tc>
          <w:tcPr>
            <w:tcW w:w="621"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12/12/2022</w:t>
            </w:r>
          </w:p>
        </w:tc>
        <w:tc>
          <w:tcPr>
            <w:tcW w:w="146" w:type="dxa"/>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L + 5.65%</w:t>
            </w:r>
          </w:p>
        </w:tc>
        <w:tc>
          <w:tcPr>
            <w:tcW w:w="146" w:type="dxa"/>
            <w:tcBorders/>
            <w:shd w:fill="auto" w:val="clear"/>
            <w:vAlign w:val="center"/>
          </w:tcPr>
          <w:p>
            <w:pPr>
              <w:pStyle w:val="TableContents"/>
              <w:spacing w:before="0" w:after="0"/>
              <w:ind w:left="0" w:right="0" w:hanging="0"/>
              <w:jc w:val="right"/>
              <w:rPr/>
            </w:pPr>
            <w:r>
              <w:rPr/>
              <w:t> </w:t>
            </w:r>
          </w:p>
        </w:tc>
        <w:tc>
          <w:tcPr>
            <w:tcW w:w="41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6.46%</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1,680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1,659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w:t>
            </w:r>
          </w:p>
        </w:tc>
      </w:tr>
      <w:tr>
        <w:trPr/>
        <w:tc>
          <w:tcPr>
            <w:tcW w:w="328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1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2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1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53,066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51,426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4.4%</w:t>
            </w:r>
          </w:p>
        </w:tc>
      </w:tr>
      <w:tr>
        <w:trPr/>
        <w:tc>
          <w:tcPr>
            <w:tcW w:w="3288"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Equity and Other Investments</w:t>
            </w:r>
          </w:p>
        </w:tc>
        <w:tc>
          <w:tcPr>
            <w:tcW w:w="146" w:type="dxa"/>
            <w:tcBorders/>
            <w:shd w:fill="auto" w:val="clear"/>
            <w:vAlign w:val="center"/>
          </w:tcPr>
          <w:p>
            <w:pPr>
              <w:pStyle w:val="TableContents"/>
              <w:spacing w:before="0" w:after="0"/>
              <w:ind w:left="0" w:right="0" w:hanging="0"/>
              <w:jc w:val="right"/>
              <w:rPr/>
            </w:pPr>
            <w:r>
              <w:rPr/>
              <w:t> </w:t>
            </w:r>
          </w:p>
        </w:tc>
        <w:tc>
          <w:tcPr>
            <w:tcW w:w="221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2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1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195,169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219,111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16.8%</w:t>
            </w:r>
          </w:p>
        </w:tc>
      </w:tr>
      <w:tr>
        <w:trPr/>
        <w:tc>
          <w:tcPr>
            <w:tcW w:w="3288"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Investments</w:t>
            </w:r>
          </w:p>
        </w:tc>
        <w:tc>
          <w:tcPr>
            <w:tcW w:w="146" w:type="dxa"/>
            <w:tcBorders/>
            <w:shd w:fill="auto" w:val="clear"/>
            <w:vAlign w:val="center"/>
          </w:tcPr>
          <w:p>
            <w:pPr>
              <w:pStyle w:val="TableContents"/>
              <w:spacing w:before="0" w:after="0"/>
              <w:ind w:left="0" w:right="0" w:hanging="0"/>
              <w:jc w:val="right"/>
              <w:rPr/>
            </w:pPr>
            <w:r>
              <w:rPr/>
              <w:t> </w:t>
            </w:r>
          </w:p>
        </w:tc>
        <w:tc>
          <w:tcPr>
            <w:tcW w:w="221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2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12"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2,774,726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2,787,925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5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2"/>
              </w:rPr>
            </w:pPr>
            <w:r>
              <w:rPr>
                <w:rFonts w:ascii="Times New Roman;serif" w:hAnsi="Times New Roman;serif"/>
                <w:b/>
                <w:sz w:val="12"/>
              </w:rPr>
              <w:t>204.9%</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538"/>
        <w:gridCol w:w="146"/>
        <w:gridCol w:w="888"/>
        <w:gridCol w:w="146"/>
        <w:gridCol w:w="888"/>
        <w:gridCol w:w="146"/>
        <w:gridCol w:w="989"/>
        <w:gridCol w:w="146"/>
        <w:gridCol w:w="211"/>
        <w:gridCol w:w="781"/>
        <w:gridCol w:w="146"/>
        <w:gridCol w:w="146"/>
        <w:gridCol w:w="211"/>
        <w:gridCol w:w="736"/>
        <w:gridCol w:w="166"/>
        <w:gridCol w:w="146"/>
        <w:gridCol w:w="264"/>
        <w:gridCol w:w="717"/>
        <w:gridCol w:w="146"/>
        <w:gridCol w:w="146"/>
        <w:gridCol w:w="247"/>
        <w:gridCol w:w="861"/>
        <w:gridCol w:w="394"/>
      </w:tblGrid>
      <w:tr>
        <w:trPr/>
        <w:tc>
          <w:tcPr>
            <w:tcW w:w="15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r>
      <w:tr>
        <w:trPr/>
        <w:tc>
          <w:tcPr>
            <w:tcW w:w="153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127" w:type="dxa"/>
            <w:gridSpan w:val="2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Interest Rate Swaps as of December 31, 2022</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3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Company</w:t>
              <w:br/>
              <w:t>Receives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Company</w:t>
              <w:br/>
              <w:t>Pays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9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Maturity 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Notional</w:t>
              <w:b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w:t>
              <w:br/>
              <w:t>Market</w:t>
              <w:br/>
              <w:t>Value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Upfront</w:t>
              <w:br/>
              <w:t>(Payments) /</w:t>
              <w:br/>
              <w:t>Receipts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0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 in</w:t>
              <w:br/>
              <w:t>Unrealized</w:t>
              <w:br/>
              <w:t>Gains / (Losses)</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3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(a)</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4.50%</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 + 1.99%</w:t>
            </w:r>
          </w:p>
        </w:tc>
        <w:tc>
          <w:tcPr>
            <w:tcW w:w="146" w:type="dxa"/>
            <w:tcBorders/>
            <w:shd w:fill="auto" w:val="clear"/>
            <w:vAlign w:val="center"/>
          </w:tcPr>
          <w:p>
            <w:pPr>
              <w:pStyle w:val="TableContents"/>
              <w:spacing w:before="0" w:after="0"/>
              <w:ind w:left="0" w:right="0" w:hanging="0"/>
              <w:jc w:val="right"/>
              <w:rPr/>
            </w:pPr>
            <w:r>
              <w:rPr/>
              <w:t> </w:t>
            </w:r>
          </w:p>
        </w:tc>
        <w:tc>
          <w:tcPr>
            <w:tcW w:w="9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1/22/2023</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(3,292</w:t>
            </w:r>
          </w:p>
        </w:tc>
        <w:tc>
          <w:tcPr>
            <w:tcW w:w="3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53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(a)(e)</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 + 2.28%</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3.875%</w:t>
            </w:r>
          </w:p>
        </w:tc>
        <w:tc>
          <w:tcPr>
            <w:tcW w:w="146" w:type="dxa"/>
            <w:tcBorders/>
            <w:shd w:fill="auto" w:val="clear"/>
            <w:vAlign w:val="center"/>
          </w:tcPr>
          <w:p>
            <w:pPr>
              <w:pStyle w:val="TableContents"/>
              <w:spacing w:before="0" w:after="0"/>
              <w:ind w:left="0" w:right="0" w:hanging="0"/>
              <w:jc w:val="right"/>
              <w:rPr/>
            </w:pPr>
            <w:r>
              <w:rPr/>
              <w:t> </w:t>
            </w:r>
          </w:p>
        </w:tc>
        <w:tc>
          <w:tcPr>
            <w:tcW w:w="9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11/1/2024</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pPr>
            <w:r>
              <w:rPr/>
              <w:t>—</w:t>
            </w:r>
          </w:p>
        </w:tc>
        <w:tc>
          <w:tcPr>
            <w:tcW w:w="394" w:type="dxa"/>
            <w:tcBorders/>
            <w:shd w:fill="auto" w:val="clear"/>
            <w:vAlign w:val="center"/>
          </w:tcPr>
          <w:p>
            <w:pPr>
              <w:pStyle w:val="TableContents"/>
              <w:spacing w:before="0" w:after="0"/>
              <w:ind w:left="0" w:right="0" w:hanging="0"/>
              <w:jc w:val="left"/>
              <w:rPr/>
            </w:pPr>
            <w:r>
              <w:rPr/>
              <w:t> </w:t>
            </w:r>
          </w:p>
        </w:tc>
      </w:tr>
      <w:tr>
        <w:trPr/>
        <w:tc>
          <w:tcPr>
            <w:tcW w:w="153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(a)(b)</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4.50%</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 + 2.37%</w:t>
            </w:r>
          </w:p>
        </w:tc>
        <w:tc>
          <w:tcPr>
            <w:tcW w:w="146" w:type="dxa"/>
            <w:tcBorders/>
            <w:shd w:fill="auto" w:val="clear"/>
            <w:vAlign w:val="center"/>
          </w:tcPr>
          <w:p>
            <w:pPr>
              <w:pStyle w:val="TableContents"/>
              <w:spacing w:before="0" w:after="0"/>
              <w:ind w:left="0" w:right="0" w:hanging="0"/>
              <w:jc w:val="right"/>
              <w:rPr/>
            </w:pPr>
            <w:r>
              <w:rPr/>
              <w:t> </w:t>
            </w:r>
          </w:p>
        </w:tc>
        <w:tc>
          <w:tcPr>
            <w:tcW w:w="9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8/1/2022</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(1,192</w:t>
            </w:r>
          </w:p>
        </w:tc>
        <w:tc>
          <w:tcPr>
            <w:tcW w:w="3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53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(a)(b)</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4.50%</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 + 1.59%</w:t>
            </w:r>
          </w:p>
        </w:tc>
        <w:tc>
          <w:tcPr>
            <w:tcW w:w="146" w:type="dxa"/>
            <w:tcBorders/>
            <w:shd w:fill="auto" w:val="clear"/>
            <w:vAlign w:val="center"/>
          </w:tcPr>
          <w:p>
            <w:pPr>
              <w:pStyle w:val="TableContents"/>
              <w:spacing w:before="0" w:after="0"/>
              <w:ind w:left="0" w:right="0" w:hanging="0"/>
              <w:jc w:val="right"/>
              <w:rPr/>
            </w:pPr>
            <w:r>
              <w:rPr/>
              <w:t> </w:t>
            </w:r>
          </w:p>
        </w:tc>
        <w:tc>
          <w:tcPr>
            <w:tcW w:w="9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8/1/2022</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(751</w:t>
            </w:r>
          </w:p>
        </w:tc>
        <w:tc>
          <w:tcPr>
            <w:tcW w:w="3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53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(a)(b)</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4.50%</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 + 1.60%</w:t>
            </w:r>
          </w:p>
        </w:tc>
        <w:tc>
          <w:tcPr>
            <w:tcW w:w="146" w:type="dxa"/>
            <w:tcBorders/>
            <w:shd w:fill="auto" w:val="clear"/>
            <w:vAlign w:val="center"/>
          </w:tcPr>
          <w:p>
            <w:pPr>
              <w:pStyle w:val="TableContents"/>
              <w:spacing w:before="0" w:after="0"/>
              <w:ind w:left="0" w:right="0" w:hanging="0"/>
              <w:jc w:val="right"/>
              <w:rPr/>
            </w:pPr>
            <w:r>
              <w:rPr/>
              <w:t> </w:t>
            </w:r>
          </w:p>
        </w:tc>
        <w:tc>
          <w:tcPr>
            <w:tcW w:w="9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8/1/2022</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w:t>
            </w:r>
          </w:p>
        </w:tc>
        <w:tc>
          <w:tcPr>
            <w:tcW w:w="3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53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(a)(b)</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 + 2.11%</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4.50%</w:t>
            </w:r>
          </w:p>
        </w:tc>
        <w:tc>
          <w:tcPr>
            <w:tcW w:w="146" w:type="dxa"/>
            <w:tcBorders/>
            <w:shd w:fill="auto" w:val="clear"/>
            <w:vAlign w:val="center"/>
          </w:tcPr>
          <w:p>
            <w:pPr>
              <w:pStyle w:val="TableContents"/>
              <w:spacing w:before="0" w:after="0"/>
              <w:ind w:left="0" w:right="0" w:hanging="0"/>
              <w:jc w:val="right"/>
              <w:rPr/>
            </w:pPr>
            <w:r>
              <w:rPr/>
              <w:t> </w:t>
            </w:r>
          </w:p>
        </w:tc>
        <w:tc>
          <w:tcPr>
            <w:tcW w:w="9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8/1/2022</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(924</w:t>
            </w:r>
          </w:p>
        </w:tc>
        <w:tc>
          <w:tcPr>
            <w:tcW w:w="3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53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(a)(b)</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 + 2.11%</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4.50%</w:t>
            </w:r>
          </w:p>
        </w:tc>
        <w:tc>
          <w:tcPr>
            <w:tcW w:w="146" w:type="dxa"/>
            <w:tcBorders/>
            <w:shd w:fill="auto" w:val="clear"/>
            <w:vAlign w:val="center"/>
          </w:tcPr>
          <w:p>
            <w:pPr>
              <w:pStyle w:val="TableContents"/>
              <w:spacing w:before="0" w:after="0"/>
              <w:ind w:left="0" w:right="0" w:hanging="0"/>
              <w:jc w:val="right"/>
              <w:rPr/>
            </w:pPr>
            <w:r>
              <w:rPr/>
              <w:t> </w:t>
            </w:r>
          </w:p>
        </w:tc>
        <w:tc>
          <w:tcPr>
            <w:tcW w:w="9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8/1/2022</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3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53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(a)(b)</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 + 2.11%</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4.50%</w:t>
            </w:r>
          </w:p>
        </w:tc>
        <w:tc>
          <w:tcPr>
            <w:tcW w:w="146" w:type="dxa"/>
            <w:tcBorders/>
            <w:shd w:fill="auto" w:val="clear"/>
            <w:vAlign w:val="center"/>
          </w:tcPr>
          <w:p>
            <w:pPr>
              <w:pStyle w:val="TableContents"/>
              <w:spacing w:before="0" w:after="0"/>
              <w:ind w:left="0" w:right="0" w:hanging="0"/>
              <w:jc w:val="right"/>
              <w:rPr/>
            </w:pPr>
            <w:r>
              <w:rPr/>
              <w:t> </w:t>
            </w:r>
          </w:p>
        </w:tc>
        <w:tc>
          <w:tcPr>
            <w:tcW w:w="9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8/1/2022</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(394</w:t>
            </w:r>
          </w:p>
        </w:tc>
        <w:tc>
          <w:tcPr>
            <w:tcW w:w="3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53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(a)(b)</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0.16%</w:t>
            </w:r>
          </w:p>
        </w:tc>
        <w:tc>
          <w:tcPr>
            <w:tcW w:w="146" w:type="dxa"/>
            <w:tcBorders/>
            <w:shd w:fill="auto" w:val="clear"/>
            <w:vAlign w:val="center"/>
          </w:tcPr>
          <w:p>
            <w:pPr>
              <w:pStyle w:val="TableContents"/>
              <w:spacing w:before="0" w:after="0"/>
              <w:ind w:left="0" w:right="0" w:hanging="0"/>
              <w:jc w:val="right"/>
              <w:rPr/>
            </w:pPr>
            <w:r>
              <w:rPr/>
              <w:t> </w:t>
            </w:r>
          </w:p>
        </w:tc>
        <w:tc>
          <w:tcPr>
            <w:tcW w:w="9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7/30/2022</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53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(6,748</w:t>
            </w:r>
          </w:p>
        </w:tc>
        <w:tc>
          <w:tcPr>
            <w:tcW w:w="3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538"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8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08" w:type="dxa"/>
            <w:gridSpan w:val="2"/>
            <w:tcBorders/>
            <w:shd w:fill="auto" w:val="clear"/>
            <w:vAlign w:val="center"/>
          </w:tcPr>
          <w:p>
            <w:pPr>
              <w:pStyle w:val="TableContents"/>
              <w:spacing w:before="0" w:after="0"/>
              <w:ind w:left="0" w:right="0" w:hanging="0"/>
              <w:jc w:val="right"/>
              <w:rPr/>
            </w:pPr>
            <w:r>
              <w:rPr/>
              <w:t> </w:t>
            </w:r>
          </w:p>
        </w:tc>
        <w:tc>
          <w:tcPr>
            <w:tcW w:w="394" w:type="dxa"/>
            <w:tcBorders/>
            <w:shd w:fill="auto" w:val="clear"/>
            <w:vAlign w:val="center"/>
          </w:tcPr>
          <w:p>
            <w:pPr>
              <w:pStyle w:val="TableContents"/>
              <w:spacing w:before="0" w:after="0"/>
              <w:ind w:left="0" w:right="0" w:hanging="0"/>
              <w:jc w:val="right"/>
              <w:rPr/>
            </w:pPr>
            <w:r>
              <w:rPr/>
              <w:t> </w:t>
            </w:r>
          </w:p>
        </w:tc>
      </w:tr>
      <w:tr>
        <w:trPr/>
        <w:tc>
          <w:tcPr>
            <w:tcW w:w="153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(a)(c)(d)</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3.875%</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 + 2.25%</w:t>
            </w:r>
          </w:p>
        </w:tc>
        <w:tc>
          <w:tcPr>
            <w:tcW w:w="146" w:type="dxa"/>
            <w:tcBorders/>
            <w:shd w:fill="auto" w:val="clear"/>
            <w:vAlign w:val="center"/>
          </w:tcPr>
          <w:p>
            <w:pPr>
              <w:pStyle w:val="TableContents"/>
              <w:spacing w:before="0" w:after="0"/>
              <w:ind w:left="0" w:right="0" w:hanging="0"/>
              <w:jc w:val="right"/>
              <w:rPr/>
            </w:pPr>
            <w:r>
              <w:rPr/>
              <w:t> </w:t>
            </w:r>
          </w:p>
        </w:tc>
        <w:tc>
          <w:tcPr>
            <w:tcW w:w="9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11/1/2024</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(16,493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(20,489</w:t>
            </w:r>
          </w:p>
        </w:tc>
        <w:tc>
          <w:tcPr>
            <w:tcW w:w="3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53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(a)(c)(d)</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3.875%</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 + 2.46%</w:t>
            </w:r>
          </w:p>
        </w:tc>
        <w:tc>
          <w:tcPr>
            <w:tcW w:w="146" w:type="dxa"/>
            <w:tcBorders/>
            <w:shd w:fill="auto" w:val="clear"/>
            <w:vAlign w:val="center"/>
          </w:tcPr>
          <w:p>
            <w:pPr>
              <w:pStyle w:val="TableContents"/>
              <w:spacing w:before="0" w:after="0"/>
              <w:ind w:left="0" w:right="0" w:hanging="0"/>
              <w:jc w:val="right"/>
              <w:rPr/>
            </w:pPr>
            <w:r>
              <w:rPr/>
              <w:t> </w:t>
            </w:r>
          </w:p>
        </w:tc>
        <w:tc>
          <w:tcPr>
            <w:tcW w:w="9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11/1/2024</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(2,925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(3,302</w:t>
            </w:r>
          </w:p>
        </w:tc>
        <w:tc>
          <w:tcPr>
            <w:tcW w:w="3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538"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Interest rate swap </w:t>
            </w:r>
            <w:r>
              <w:rPr>
                <w:rFonts w:ascii="Times New Roman;serif" w:hAnsi="Times New Roman;serif"/>
                <w:b w:val="false"/>
                <w:sz w:val="13"/>
              </w:rPr>
              <w:t>(a)(c)</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2.50%</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 + 1.91%</w:t>
            </w:r>
          </w:p>
        </w:tc>
        <w:tc>
          <w:tcPr>
            <w:tcW w:w="146" w:type="dxa"/>
            <w:tcBorders/>
            <w:shd w:fill="auto" w:val="clear"/>
            <w:vAlign w:val="center"/>
          </w:tcPr>
          <w:p>
            <w:pPr>
              <w:pStyle w:val="TableContents"/>
              <w:spacing w:before="0" w:after="0"/>
              <w:ind w:left="0" w:right="0" w:hanging="0"/>
              <w:jc w:val="right"/>
              <w:rPr/>
            </w:pPr>
            <w:r>
              <w:rPr/>
              <w:t> </w:t>
            </w:r>
          </w:p>
        </w:tc>
        <w:tc>
          <w:tcPr>
            <w:tcW w:w="9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8/1/2026</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(35,665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(25,426</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53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(55,083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71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7"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(49,217</w:t>
            </w:r>
          </w:p>
        </w:tc>
        <w:tc>
          <w:tcPr>
            <w:tcW w:w="39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53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collateral</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89"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57,786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1538"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Total</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8"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802,500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2,380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(55,965</w:t>
            </w:r>
          </w:p>
        </w:tc>
        <w:tc>
          <w:tcPr>
            <w:tcW w:w="3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a)</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Contains a variable rate structure. Bears interest at a rate determined by three-month LIBOR.</w:t>
      </w:r>
    </w:p>
    <w:p>
      <w:pPr>
        <w:pStyle w:val="TextBody"/>
        <w:spacing w:before="0" w:after="0"/>
        <w:jc w:val="left"/>
        <w:rPr>
          <w:rFonts w:ascii="Times New Roman" w:hAnsi="Times New Roman"/>
          <w:b w:val="false"/>
          <w:sz w:val="20"/>
        </w:rPr>
      </w:pPr>
      <w:r>
        <w:rPr>
          <w:rFonts w:ascii="Times New Roman" w:hAnsi="Times New Roman"/>
          <w:b w:val="false"/>
          <w:sz w:val="20"/>
        </w:rPr>
        <w:t>b)</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Interest rate swap was terminated or matured during the period. </w:t>
      </w:r>
    </w:p>
    <w:p>
      <w:pPr>
        <w:pStyle w:val="TextBody"/>
        <w:spacing w:before="0" w:after="0"/>
        <w:jc w:val="left"/>
        <w:rPr>
          <w:rFonts w:ascii="Times New Roman" w:hAnsi="Times New Roman"/>
          <w:b w:val="false"/>
          <w:sz w:val="20"/>
        </w:rPr>
      </w:pPr>
      <w:r>
        <w:rPr>
          <w:rFonts w:ascii="Times New Roman" w:hAnsi="Times New Roman"/>
          <w:b w:val="false"/>
          <w:sz w:val="20"/>
        </w:rPr>
        <w:t>c)</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Instrument is used in a hedge accounting relationship. The associated change in fair value is recorded along with the change in fair value of the hedged item within interest expense.</w:t>
      </w:r>
    </w:p>
    <w:p>
      <w:pPr>
        <w:pStyle w:val="TextBody"/>
        <w:spacing w:before="0" w:after="0"/>
        <w:jc w:val="left"/>
        <w:rPr>
          <w:rFonts w:ascii="Times New Roman" w:hAnsi="Times New Roman"/>
          <w:b w:val="false"/>
          <w:sz w:val="20"/>
        </w:rPr>
      </w:pPr>
      <w:r>
        <w:rPr>
          <w:rFonts w:ascii="Times New Roman" w:hAnsi="Times New Roman"/>
          <w:b w:val="false"/>
          <w:sz w:val="20"/>
        </w:rPr>
        <w:t>d)</w:t>
      </w:r>
    </w:p>
    <w:p>
      <w:pPr>
        <w:pStyle w:val="TextBody"/>
        <w:spacing w:before="0" w:after="0"/>
        <w:jc w:val="left"/>
        <w:rPr/>
      </w:pPr>
      <w:r>
        <w:rPr>
          <w:rFonts w:ascii="Times New Roman;serif" w:hAnsi="Times New Roman;serif"/>
          <w:b w:val="false"/>
          <w:sz w:val="20"/>
        </w:rPr>
        <w:t>$2.5</w:t>
      </w:r>
      <w:r>
        <w:rPr/>
        <w:t xml:space="preserve"> </w:t>
      </w:r>
      <w:r>
        <w:rPr>
          <w:rFonts w:ascii="Times New Roman;serif" w:hAnsi="Times New Roman;serif"/>
          <w:b w:val="false"/>
          <w:sz w:val="20"/>
        </w:rPr>
        <w:t>million in aggregate notional value of these instruments is no longer designated as instruments in a hedge accounting relationship. The associated change in fair value of the de-designated portion is recorded within unrealized gain/(loss).</w:t>
      </w:r>
    </w:p>
    <w:p>
      <w:pPr>
        <w:pStyle w:val="TextBody"/>
        <w:spacing w:before="0" w:after="0"/>
        <w:jc w:val="left"/>
        <w:rPr>
          <w:rFonts w:ascii="Times New Roman" w:hAnsi="Times New Roman"/>
          <w:b w:val="false"/>
          <w:sz w:val="20"/>
        </w:rPr>
      </w:pPr>
      <w:r>
        <w:rPr>
          <w:rFonts w:ascii="Times New Roman" w:hAnsi="Times New Roman"/>
          <w:b w:val="false"/>
          <w:sz w:val="20"/>
        </w:rPr>
        <w:t>e)</w:t>
      </w:r>
    </w:p>
    <w:p>
      <w:pPr>
        <w:pStyle w:val="TextBody"/>
        <w:jc w:val="left"/>
        <w:rPr/>
      </w:pPr>
      <w:r>
        <w:rPr>
          <w:rFonts w:ascii="Times New Roman;serif" w:hAnsi="Times New Roman;serif"/>
          <w:b w:val="false"/>
          <w:sz w:val="20"/>
        </w:rPr>
        <w:t>The fair market value of this instrument is presented net with the $2.5</w:t>
      </w:r>
      <w:r>
        <w:rPr/>
        <w:t xml:space="preserve"> </w:t>
      </w:r>
      <w:r>
        <w:rPr>
          <w:rFonts w:ascii="Times New Roman;serif" w:hAnsi="Times New Roman;serif"/>
          <w:b w:val="false"/>
          <w:sz w:val="20"/>
        </w:rPr>
        <w:t xml:space="preserve">million in aggregate notional value of instruments no longer designated as instruments in a hedge accounting relationship. </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spacing w:before="0" w:after="0"/>
        <w:jc w:val="left"/>
        <w:rPr/>
      </w:pPr>
      <w:r>
        <w:rPr>
          <w:rFonts w:ascii="Times New Roman;serif" w:hAnsi="Times New Roman;serif"/>
          <w:b w:val="false"/>
          <w:sz w:val="20"/>
        </w:rPr>
        <w:t>Certain portfolio company investments are subject to contractual restrictions on sales.</w:t>
      </w:r>
      <w:r>
        <w:rPr/>
        <w:t xml:space="preserve"> </w:t>
      </w:r>
    </w:p>
    <w:p>
      <w:pPr>
        <w:pStyle w:val="TextBody"/>
        <w:spacing w:before="0" w:after="0"/>
        <w:jc w:val="left"/>
        <w:rPr>
          <w:rFonts w:ascii="Times New Roman" w:hAnsi="Times New Roman"/>
          <w:b w:val="false"/>
          <w:sz w:val="20"/>
        </w:rPr>
      </w:pPr>
      <w:r>
        <w:rPr>
          <w:rFonts w:ascii="Times New Roman" w:hAnsi="Times New Roman"/>
          <w:b w:val="false"/>
          <w:sz w:val="20"/>
        </w:rPr>
        <w:t>(2)</w:t>
      </w:r>
    </w:p>
    <w:p>
      <w:pPr>
        <w:pStyle w:val="TextBody"/>
        <w:jc w:val="left"/>
        <w:rPr/>
      </w:pPr>
      <w:r>
        <w:rPr>
          <w:rFonts w:ascii="Times New Roman;serif" w:hAnsi="Times New Roman;serif"/>
          <w:b w:val="false"/>
          <w:sz w:val="20"/>
        </w:rPr>
        <w:t>The amortized cost represents the original cost adjusted for the amortization of discounts and premiums, as applicable, on debt investments using the effective interest method.</w:t>
      </w:r>
      <w:r>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(3)</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Investment contains a variable rate structure, subject to an interest rate floor. Variable rate investments bear interest at a rate that may be determined by reference to either London Interbank Offered Rate (“LIBOR” or “L”), Euro Interbank Offer Rate (“Euribor” or “E”), Canadian Dollar Offered Rate (“CDOR” or “C”), Secured Overnight Financing Rate (“SOFR”) which may also contain a credit spread adjustment depending on the tenor election, Bank Bill Swap Bid Rate (“BBSY” or “B”), Sterling Overnight Interbank Average Rate (“SONIA” or “S”) or an alternate base rate (which can include the Federal Funds Effective Rate, the Canadian Prime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2022.</w:t>
      </w:r>
    </w:p>
    <w:p>
      <w:pPr>
        <w:pStyle w:val="TextBody"/>
        <w:spacing w:before="0" w:after="0"/>
        <w:jc w:val="left"/>
        <w:rPr>
          <w:rFonts w:ascii="Times New Roman" w:hAnsi="Times New Roman"/>
          <w:b w:val="false"/>
          <w:sz w:val="20"/>
        </w:rPr>
      </w:pPr>
      <w:r>
        <w:rPr>
          <w:rFonts w:ascii="Times New Roman" w:hAnsi="Times New Roman"/>
          <w:b w:val="false"/>
          <w:sz w:val="20"/>
        </w:rPr>
        <w:t>(4)</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9.7% of total assets as of December 31, 2022.</w:t>
      </w:r>
    </w:p>
    <w:p>
      <w:pPr>
        <w:pStyle w:val="TextBody"/>
        <w:spacing w:before="0" w:after="0"/>
        <w:jc w:val="left"/>
        <w:rPr>
          <w:rFonts w:ascii="Times New Roman" w:hAnsi="Times New Roman"/>
          <w:b w:val="false"/>
          <w:sz w:val="20"/>
        </w:rPr>
      </w:pPr>
      <w:r>
        <w:rPr>
          <w:rFonts w:ascii="Times New Roman" w:hAnsi="Times New Roman"/>
          <w:b w:val="false"/>
          <w:sz w:val="20"/>
        </w:rPr>
        <w:t>(5)</w:t>
      </w:r>
    </w:p>
    <w:p>
      <w:pPr>
        <w:pStyle w:val="TextBody"/>
        <w:spacing w:before="0" w:after="0"/>
        <w:jc w:val="left"/>
        <w:rPr/>
      </w:pPr>
      <w:r>
        <w:rPr>
          <w:rFonts w:ascii="Times New Roman;serif" w:hAnsi="Times New Roman;serif"/>
          <w:b w:val="false"/>
          <w:sz w:val="20"/>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r>
        <w:rPr/>
        <w:t xml:space="preserve"> </w:t>
      </w:r>
    </w:p>
    <w:p>
      <w:pPr>
        <w:pStyle w:val="TextBody"/>
        <w:spacing w:before="0" w:after="0"/>
        <w:jc w:val="left"/>
        <w:rPr>
          <w:rFonts w:ascii="Times New Roman" w:hAnsi="Times New Roman"/>
          <w:b w:val="false"/>
          <w:sz w:val="20"/>
        </w:rPr>
      </w:pPr>
      <w:r>
        <w:rPr>
          <w:rFonts w:ascii="Times New Roman" w:hAnsi="Times New Roman"/>
          <w:b w:val="false"/>
          <w:sz w:val="20"/>
        </w:rPr>
        <w:t>(6)</w:t>
      </w:r>
    </w:p>
    <w:p>
      <w:pPr>
        <w:pStyle w:val="TextBody"/>
        <w:jc w:val="left"/>
        <w:rPr>
          <w:rFonts w:ascii="Times New Roman;serif" w:hAnsi="Times New Roman;serif"/>
          <w:b w:val="false"/>
          <w:sz w:val="20"/>
        </w:rPr>
      </w:pPr>
      <w:r>
        <w:rPr>
          <w:rFonts w:ascii="Times New Roman;serif" w:hAnsi="Times New Roman;serif"/>
          <w:b w:val="false"/>
          <w:sz w:val="20"/>
        </w:rPr>
        <w:t>Under the 1940 Act, the Company is deemed to be an “Affiliated Person” of, as defined in the 1940 Act, this portfolio company, as the Company owns more than 5% of the portfolio company’s outstanding voting securities. Transactions during the year ended December 31, 2022 in which the Company was an Affiliated Person of the portfolio company are as follows:</w:t>
      </w:r>
    </w:p>
    <w:p>
      <w:pPr>
        <w:pStyle w:val="TextBody"/>
        <w:spacing w:before="0" w:after="0"/>
        <w:jc w:val="center"/>
        <w:rPr/>
      </w:pPr>
      <w:r>
        <w:rPr/>
        <w:t> </w:t>
      </w:r>
    </w:p>
    <w:p>
      <w:pPr>
        <w:pStyle w:val="TextBody"/>
        <w:spacing w:before="0" w:after="0"/>
        <w:jc w:val="center"/>
        <w:rPr>
          <w:rFonts w:ascii="Times New Roman;serif" w:hAnsi="Times New Roman;serif"/>
          <w:b/>
          <w:sz w:val="20"/>
          <w:u w:val="single"/>
        </w:rPr>
      </w:pPr>
      <w:r>
        <w:rPr>
          <w:rFonts w:ascii="Times New Roman;serif" w:hAnsi="Times New Roman;serif"/>
          <w:b/>
          <w:sz w:val="20"/>
          <w:u w:val="single"/>
        </w:rPr>
        <w:t>Non-controlled, Affiliated Investments during the year ended December 31, 2022</w:t>
      </w:r>
    </w:p>
    <w:p>
      <w:pPr>
        <w:pStyle w:val="TextBody"/>
        <w:spacing w:before="0" w:after="0"/>
        <w:jc w:val="center"/>
        <w:rPr/>
      </w:pPr>
      <w:r>
        <w:rPr/>
        <w:t> </w:t>
      </w:r>
    </w:p>
    <w:tbl>
      <w:tblPr>
        <w:tblW w:w="10659" w:type="dxa"/>
        <w:jc w:val="left"/>
        <w:tblInd w:w="0" w:type="dxa"/>
        <w:tblCellMar>
          <w:top w:w="28" w:type="dxa"/>
          <w:left w:w="28" w:type="dxa"/>
          <w:bottom w:w="28" w:type="dxa"/>
          <w:right w:w="28" w:type="dxa"/>
        </w:tblCellMar>
      </w:tblPr>
      <w:tblGrid>
        <w:gridCol w:w="826"/>
        <w:gridCol w:w="146"/>
        <w:gridCol w:w="203"/>
        <w:gridCol w:w="623"/>
        <w:gridCol w:w="146"/>
        <w:gridCol w:w="146"/>
        <w:gridCol w:w="287"/>
        <w:gridCol w:w="509"/>
        <w:gridCol w:w="146"/>
        <w:gridCol w:w="146"/>
        <w:gridCol w:w="206"/>
        <w:gridCol w:w="695"/>
        <w:gridCol w:w="166"/>
        <w:gridCol w:w="146"/>
        <w:gridCol w:w="202"/>
        <w:gridCol w:w="684"/>
        <w:gridCol w:w="166"/>
        <w:gridCol w:w="146"/>
        <w:gridCol w:w="196"/>
        <w:gridCol w:w="601"/>
        <w:gridCol w:w="146"/>
        <w:gridCol w:w="146"/>
        <w:gridCol w:w="287"/>
        <w:gridCol w:w="509"/>
        <w:gridCol w:w="146"/>
        <w:gridCol w:w="146"/>
        <w:gridCol w:w="298"/>
        <w:gridCol w:w="528"/>
        <w:gridCol w:w="146"/>
        <w:gridCol w:w="146"/>
        <w:gridCol w:w="228"/>
        <w:gridCol w:w="403"/>
        <w:gridCol w:w="146"/>
        <w:gridCol w:w="146"/>
        <w:gridCol w:w="226"/>
        <w:gridCol w:w="435"/>
        <w:gridCol w:w="191"/>
      </w:tblGrid>
      <w:tr>
        <w:trPr/>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Company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w:t>
              <w:br/>
              <w:t>Value at</w:t>
              <w:br/>
              <w:t>December 31, 2021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br/>
              <w:t>Additions (a)</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0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Gross</w:t>
              <w:br/>
              <w:t>Reductions</w:t>
            </w:r>
            <w:r>
              <w:rPr>
                <w:rFonts w:ascii="Times New Roman" w:hAnsi="Times New Roman"/>
                <w:sz w:val="16"/>
              </w:rPr>
              <w:t xml:space="preserve"> </w:t>
            </w:r>
            <w:r>
              <w:rPr>
                <w:rFonts w:ascii="Times New Roman;serif" w:hAnsi="Times New Roman;serif"/>
                <w:b/>
                <w:sz w:val="16"/>
              </w:rPr>
              <w:t>(b)</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 Change</w:t>
              <w:br/>
              <w:t>In Unrealized</w:t>
              <w:br/>
              <w:t>Gain/(Loss)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Realized</w:t>
              <w:br/>
              <w:t>Gain/(Loss)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Transfers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w:t>
              <w:br/>
              <w:t>Value at</w:t>
              <w:br/>
              <w:t>December 31,</w:t>
              <w:b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Other</w:t>
              <w:br/>
              <w:t>Income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Interest</w:t>
              <w:br/>
              <w:t>Income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82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 xml:space="preserve">MD America Energy, </w:t>
              <w:br/>
              <w:t xml:space="preserve">   LLC </w:t>
            </w:r>
            <w:r>
              <w:rPr>
                <w:rFonts w:ascii="Times New Roman;serif" w:hAnsi="Times New Roman;serif"/>
                <w:b w:val="false"/>
                <w:sz w:val="11"/>
              </w:rPr>
              <w:t>(c)</w:t>
            </w:r>
          </w:p>
        </w:tc>
        <w:tc>
          <w:tcPr>
            <w:tcW w:w="146" w:type="dxa"/>
            <w:tcBorders/>
            <w:shd w:fill="auto" w:val="clear"/>
            <w:vAlign w:val="center"/>
          </w:tcPr>
          <w:p>
            <w:pPr>
              <w:pStyle w:val="TableContents"/>
              <w:spacing w:before="0" w:after="0"/>
              <w:ind w:left="0" w:right="0" w:hanging="0"/>
              <w:jc w:val="right"/>
              <w:rPr/>
            </w:pPr>
            <w:r>
              <w:rPr/>
              <w:t> </w:t>
            </w:r>
          </w:p>
        </w:tc>
        <w:tc>
          <w:tcPr>
            <w:tcW w:w="2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27,017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(12,667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(14,350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13,608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826" w:type="dxa"/>
            <w:tcBorders/>
            <w:shd w:fill="auto" w:val="clear"/>
            <w:vAlign w:val="center"/>
          </w:tcPr>
          <w:p>
            <w:pPr>
              <w:pStyle w:val="TableContents"/>
              <w:spacing w:before="0" w:after="0"/>
              <w:ind w:left="0" w:right="0" w:hanging="0"/>
              <w:jc w:val="left"/>
              <w:rPr/>
            </w:pPr>
            <w:r>
              <w:rPr/>
              <w:t> </w:t>
            </w:r>
            <w:r>
              <w:rPr>
                <w:rFonts w:ascii="Times New Roman;serif" w:hAnsi="Times New Roman;serif"/>
                <w:b/>
                <w:sz w:val="16"/>
              </w:rPr>
              <w:t>Total</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27,017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5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(12,667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(14,350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13,608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5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5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4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4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133</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(a)</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Gross additions include increases in the cost basis of investments resulting from new investments, payment-in-kind interest or dividends, the amortization of any unearned income or discounts on debt investments, as applicable. </w:t>
      </w:r>
    </w:p>
    <w:p>
      <w:pPr>
        <w:pStyle w:val="TextBody"/>
        <w:spacing w:before="0" w:after="0"/>
        <w:jc w:val="left"/>
        <w:rPr>
          <w:rFonts w:ascii="Times New Roman" w:hAnsi="Times New Roman"/>
          <w:b w:val="false"/>
          <w:sz w:val="20"/>
        </w:rPr>
      </w:pPr>
      <w:r>
        <w:rPr>
          <w:rFonts w:ascii="Times New Roman" w:hAnsi="Times New Roman"/>
          <w:b w:val="false"/>
          <w:sz w:val="20"/>
        </w:rPr>
        <w:t>(b)</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 </w:t>
      </w:r>
    </w:p>
    <w:p>
      <w:pPr>
        <w:pStyle w:val="TextBody"/>
        <w:spacing w:before="0" w:after="0"/>
        <w:jc w:val="left"/>
        <w:rPr>
          <w:rFonts w:ascii="Times New Roman" w:hAnsi="Times New Roman"/>
          <w:b w:val="false"/>
          <w:sz w:val="20"/>
        </w:rPr>
      </w:pPr>
      <w:r>
        <w:rPr>
          <w:rFonts w:ascii="Times New Roman" w:hAnsi="Times New Roman"/>
          <w:b w:val="false"/>
          <w:sz w:val="20"/>
        </w:rPr>
        <w:t>(c)</w:t>
      </w:r>
    </w:p>
    <w:p>
      <w:pPr>
        <w:pStyle w:val="TextBody"/>
        <w:jc w:val="left"/>
        <w:rPr/>
      </w:pPr>
      <w:r>
        <w:rPr>
          <w:rFonts w:ascii="Times New Roman;serif" w:hAnsi="Times New Roman;serif"/>
          <w:b w:val="false"/>
          <w:sz w:val="20"/>
        </w:rPr>
        <w:t>Includes investment in SMPA Holdings, LLC of 15,000</w:t>
      </w:r>
      <w:r>
        <w:rPr/>
        <w:t xml:space="preserve"> </w:t>
      </w:r>
      <w:r>
        <w:rPr>
          <w:rFonts w:ascii="Times New Roman;serif" w:hAnsi="Times New Roman;serif"/>
          <w:b w:val="false"/>
          <w:sz w:val="20"/>
        </w:rPr>
        <w:t xml:space="preserve">common equity units. </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(7)</w:t>
      </w:r>
    </w:p>
    <w:p>
      <w:pPr>
        <w:pStyle w:val="TextBody"/>
        <w:jc w:val="left"/>
        <w:rPr/>
      </w:pPr>
      <w:r>
        <w:rPr>
          <w:rFonts w:ascii="Times New Roman;serif" w:hAnsi="Times New Roman;serif"/>
          <w:b w:val="false"/>
          <w:sz w:val="20"/>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2022</w:t>
      </w:r>
      <w:r>
        <w:rPr/>
        <w:t xml:space="preserve"> </w:t>
      </w:r>
      <w:r>
        <w:rPr>
          <w:rFonts w:ascii="Times New Roman;serif" w:hAnsi="Times New Roman;serif"/>
          <w:b w:val="false"/>
          <w:sz w:val="20"/>
        </w:rPr>
        <w:t xml:space="preserve">in which the Company was an Affiliated Person of and was deemed to Control a portfolio company are as follows: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sz w:val="20"/>
          <w:u w:val="single"/>
        </w:rPr>
      </w:pPr>
      <w:r>
        <w:rPr>
          <w:rFonts w:ascii="Times New Roman;serif" w:hAnsi="Times New Roman;serif"/>
          <w:b/>
          <w:sz w:val="20"/>
          <w:u w:val="single"/>
        </w:rPr>
        <w:t>Controlled, Affiliated Investments during the year ended December 31, 2022</w:t>
      </w:r>
    </w:p>
    <w:p>
      <w:pPr>
        <w:pStyle w:val="TextBody"/>
        <w:spacing w:before="0" w:after="0"/>
        <w:jc w:val="center"/>
        <w:rPr/>
      </w:pPr>
      <w:r>
        <w:rPr/>
        <w:t> </w:t>
      </w:r>
    </w:p>
    <w:tbl>
      <w:tblPr>
        <w:tblW w:w="10654" w:type="dxa"/>
        <w:jc w:val="left"/>
        <w:tblInd w:w="0" w:type="dxa"/>
        <w:tblCellMar>
          <w:top w:w="28" w:type="dxa"/>
          <w:left w:w="28" w:type="dxa"/>
          <w:bottom w:w="28" w:type="dxa"/>
          <w:right w:w="28" w:type="dxa"/>
        </w:tblCellMar>
      </w:tblPr>
      <w:tblGrid>
        <w:gridCol w:w="871"/>
        <w:gridCol w:w="146"/>
        <w:gridCol w:w="203"/>
        <w:gridCol w:w="623"/>
        <w:gridCol w:w="146"/>
        <w:gridCol w:w="146"/>
        <w:gridCol w:w="220"/>
        <w:gridCol w:w="576"/>
        <w:gridCol w:w="146"/>
        <w:gridCol w:w="146"/>
        <w:gridCol w:w="230"/>
        <w:gridCol w:w="671"/>
        <w:gridCol w:w="166"/>
        <w:gridCol w:w="146"/>
        <w:gridCol w:w="245"/>
        <w:gridCol w:w="641"/>
        <w:gridCol w:w="146"/>
        <w:gridCol w:w="146"/>
        <w:gridCol w:w="260"/>
        <w:gridCol w:w="461"/>
        <w:gridCol w:w="146"/>
        <w:gridCol w:w="146"/>
        <w:gridCol w:w="287"/>
        <w:gridCol w:w="509"/>
        <w:gridCol w:w="146"/>
        <w:gridCol w:w="146"/>
        <w:gridCol w:w="203"/>
        <w:gridCol w:w="623"/>
        <w:gridCol w:w="146"/>
        <w:gridCol w:w="146"/>
        <w:gridCol w:w="315"/>
        <w:gridCol w:w="316"/>
        <w:gridCol w:w="146"/>
        <w:gridCol w:w="146"/>
        <w:gridCol w:w="196"/>
        <w:gridCol w:w="511"/>
        <w:gridCol w:w="191"/>
      </w:tblGrid>
      <w:tr>
        <w:trPr/>
        <w:tc>
          <w:tcPr>
            <w:tcW w:w="8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8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Company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8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w:t>
              <w:br/>
              <w:t>Value at</w:t>
              <w:br/>
              <w:t>December 31, 2021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br/>
              <w:t>Additions (a)</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0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Gross</w:t>
              <w:br/>
              <w:t>Reductions</w:t>
            </w:r>
            <w:r>
              <w:rPr>
                <w:rFonts w:ascii="Times New Roman" w:hAnsi="Times New Roman"/>
                <w:sz w:val="16"/>
              </w:rPr>
              <w:t xml:space="preserve"> </w:t>
            </w:r>
            <w:r>
              <w:rPr>
                <w:rFonts w:ascii="Times New Roman;serif" w:hAnsi="Times New Roman;serif"/>
                <w:b/>
                <w:sz w:val="16"/>
              </w:rPr>
              <w:t>(b)</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 Change</w:t>
              <w:br/>
              <w:t>In Unrealized</w:t>
              <w:br/>
              <w:t>Gain/(Loss)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Realized</w:t>
              <w:br/>
              <w:t>Gain/(Losses)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Transfers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w:t>
              <w:br/>
              <w:t>Value at</w:t>
              <w:br/>
              <w:t>December 31,</w:t>
              <w:b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Other</w:t>
              <w:br/>
              <w:t>Income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Interest</w:t>
              <w:br/>
              <w:t>Income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87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IRGSE Holding Corp.</w:t>
            </w:r>
          </w:p>
        </w:tc>
        <w:tc>
          <w:tcPr>
            <w:tcW w:w="146" w:type="dxa"/>
            <w:tcBorders/>
            <w:shd w:fill="auto" w:val="clear"/>
            <w:vAlign w:val="center"/>
          </w:tcPr>
          <w:p>
            <w:pPr>
              <w:pStyle w:val="TableContents"/>
              <w:spacing w:before="0" w:after="0"/>
              <w:ind w:left="0" w:right="0" w:hanging="0"/>
              <w:jc w:val="right"/>
              <w:rPr/>
            </w:pPr>
            <w:r>
              <w:rPr/>
              <w:t> </w:t>
            </w:r>
          </w:p>
        </w:tc>
        <w:tc>
          <w:tcPr>
            <w:tcW w:w="20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2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59,779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7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7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4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6,556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6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2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70,755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5,064</w:t>
            </w:r>
          </w:p>
        </w:tc>
        <w:tc>
          <w:tcPr>
            <w:tcW w:w="191" w:type="dxa"/>
            <w:tcBorders/>
            <w:shd w:fill="auto" w:val="clear"/>
            <w:vAlign w:val="center"/>
          </w:tcPr>
          <w:p>
            <w:pPr>
              <w:pStyle w:val="TableContents"/>
              <w:spacing w:before="0" w:after="0"/>
              <w:ind w:left="0" w:right="0" w:hanging="0"/>
              <w:jc w:val="left"/>
              <w:rPr/>
            </w:pPr>
            <w:r>
              <w:rPr/>
              <w:t> </w:t>
            </w:r>
          </w:p>
        </w:tc>
      </w:tr>
      <w:tr>
        <w:trPr/>
        <w:tc>
          <w:tcPr>
            <w:tcW w:w="87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Mississippi Resources,</w:t>
              <w:br/>
              <w:t>   LLC</w:t>
            </w:r>
          </w:p>
        </w:tc>
        <w:tc>
          <w:tcPr>
            <w:tcW w:w="146" w:type="dxa"/>
            <w:tcBorders/>
            <w:shd w:fill="auto" w:val="clear"/>
            <w:vAlign w:val="center"/>
          </w:tcPr>
          <w:p>
            <w:pPr>
              <w:pStyle w:val="TableContents"/>
              <w:spacing w:before="0" w:after="0"/>
              <w:ind w:left="0" w:right="0" w:hanging="0"/>
              <w:jc w:val="right"/>
              <w:rPr/>
            </w:pPr>
            <w:r>
              <w:rPr/>
              <w:t> </w:t>
            </w:r>
          </w:p>
        </w:tc>
        <w:tc>
          <w:tcPr>
            <w:tcW w:w="8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(1,553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righ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1,498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87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Total</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59,779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5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4,420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(1,553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8,054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4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55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5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6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70,755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6"/>
              </w:rPr>
            </w:pPr>
            <w:r>
              <w:rPr>
                <w:rFonts w:ascii="Times New Roman;serif" w:hAnsi="Times New Roman;serif"/>
                <w:b/>
                <w:sz w:val="16"/>
              </w:rPr>
              <w:t>5,064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(a)</w:t>
      </w:r>
    </w:p>
    <w:p>
      <w:pPr>
        <w:pStyle w:val="TextBody"/>
        <w:spacing w:before="0" w:after="0"/>
        <w:jc w:val="left"/>
        <w:rPr/>
      </w:pPr>
      <w:r>
        <w:rPr>
          <w:rFonts w:ascii="Times New Roman;serif" w:hAnsi="Times New Roman;serif"/>
          <w:b w:val="false"/>
          <w:sz w:val="20"/>
        </w:rPr>
        <w:t>Gross additions include increases in the cost basis of investments resulting from new investments, payment-in-kind interest or dividends, the amortization of any unearned income or discounts on debt investments, as applicable.</w:t>
      </w:r>
      <w:r>
        <w:rPr/>
        <w:t xml:space="preserve"> </w:t>
      </w:r>
    </w:p>
    <w:p>
      <w:pPr>
        <w:pStyle w:val="TextBody"/>
        <w:spacing w:before="0" w:after="0"/>
        <w:jc w:val="left"/>
        <w:rPr>
          <w:rFonts w:ascii="Times New Roman" w:hAnsi="Times New Roman"/>
          <w:b w:val="false"/>
          <w:sz w:val="20"/>
        </w:rPr>
      </w:pPr>
      <w:r>
        <w:rPr>
          <w:rFonts w:ascii="Times New Roman" w:hAnsi="Times New Roman"/>
          <w:b w:val="false"/>
          <w:sz w:val="20"/>
        </w:rPr>
        <w:t>(b)</w:t>
      </w:r>
    </w:p>
    <w:p>
      <w:pPr>
        <w:pStyle w:val="TextBody"/>
        <w:jc w:val="left"/>
        <w:rPr/>
      </w:pPr>
      <w:r>
        <w:rPr>
          <w:rFonts w:ascii="Times New Roman;serif" w:hAnsi="Times New Roman;serif"/>
          <w:b w:val="false"/>
          <w:sz w:val="20"/>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r>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(8)</w:t>
      </w:r>
    </w:p>
    <w:p>
      <w:pPr>
        <w:pStyle w:val="TextBody"/>
        <w:spacing w:before="0" w:after="0"/>
        <w:jc w:val="left"/>
        <w:rPr/>
      </w:pPr>
      <w:r>
        <w:rPr>
          <w:rFonts w:ascii="Times New Roman;serif" w:hAnsi="Times New Roman;serif"/>
          <w:b w:val="false"/>
          <w:sz w:val="20"/>
        </w:rPr>
        <w:t>As of December 31, 2022, the estimated cost basis of investments for U.S. federal tax purposes was $2,787,005</w:t>
      </w:r>
      <w:r>
        <w:rPr/>
        <w:t xml:space="preserve"> </w:t>
      </w:r>
      <w:r>
        <w:rPr>
          <w:rFonts w:ascii="Times New Roman;serif" w:hAnsi="Times New Roman;serif"/>
          <w:b w:val="false"/>
          <w:sz w:val="20"/>
        </w:rPr>
        <w:t>resulting in estimated gross unrealized gains and losses of $109,609</w:t>
      </w:r>
      <w:r>
        <w:rPr/>
        <w:t xml:space="preserve"> </w:t>
      </w:r>
      <w:r>
        <w:rPr>
          <w:rFonts w:ascii="Times New Roman;serif" w:hAnsi="Times New Roman;serif"/>
          <w:b w:val="false"/>
          <w:sz w:val="20"/>
        </w:rPr>
        <w:t>and $105,786, respectively.</w:t>
      </w:r>
      <w:r>
        <w:rPr/>
        <w:t xml:space="preserve"> </w:t>
      </w:r>
    </w:p>
    <w:p>
      <w:pPr>
        <w:pStyle w:val="TextBody"/>
        <w:spacing w:before="0" w:after="0"/>
        <w:jc w:val="left"/>
        <w:rPr>
          <w:rFonts w:ascii="Times New Roman" w:hAnsi="Times New Roman"/>
          <w:b w:val="false"/>
          <w:sz w:val="20"/>
        </w:rPr>
      </w:pPr>
      <w:r>
        <w:rPr>
          <w:rFonts w:ascii="Times New Roman" w:hAnsi="Times New Roman"/>
          <w:b w:val="false"/>
          <w:sz w:val="20"/>
        </w:rPr>
        <w:t>(9)</w:t>
      </w:r>
    </w:p>
    <w:p>
      <w:pPr>
        <w:pStyle w:val="TextBody"/>
        <w:spacing w:before="0" w:after="0"/>
        <w:jc w:val="left"/>
        <w:rPr/>
      </w:pPr>
      <w:r>
        <w:rPr>
          <w:rFonts w:ascii="Times New Roman;serif" w:hAnsi="Times New Roman;serif"/>
          <w:b w:val="false"/>
          <w:sz w:val="20"/>
        </w:rPr>
        <w:t xml:space="preserve">In accordance with Financial Accounting Standards Board Accounting Standards Codification Topic 820, </w:t>
      </w:r>
      <w:r>
        <w:rPr>
          <w:rFonts w:ascii="Times New Roman;serif" w:hAnsi="Times New Roman;serif"/>
          <w:b w:val="false"/>
          <w:i/>
          <w:sz w:val="20"/>
        </w:rPr>
        <w:t>Fair Value Measurements</w:t>
      </w:r>
      <w:r>
        <w:rPr/>
        <w:t xml:space="preserve"> </w:t>
      </w:r>
      <w:r>
        <w:rPr>
          <w:rFonts w:ascii="Times New Roman;serif" w:hAnsi="Times New Roman;serif"/>
          <w:b w:val="false"/>
          <w:sz w:val="20"/>
        </w:rPr>
        <w:t>(“ASC Topic 820”), unless otherwise indicated, the fair values of all investments were determined using significant unobservable inputs and are considered Level 3 investments. See Note 6 for further information related to investments at fair value.</w:t>
      </w:r>
    </w:p>
    <w:p>
      <w:pPr>
        <w:pStyle w:val="TextBody"/>
        <w:spacing w:before="0" w:after="0"/>
        <w:jc w:val="left"/>
        <w:rPr>
          <w:rFonts w:ascii="Times New Roman" w:hAnsi="Times New Roman"/>
          <w:b w:val="false"/>
          <w:sz w:val="20"/>
        </w:rPr>
      </w:pPr>
      <w:r>
        <w:rPr>
          <w:rFonts w:ascii="Times New Roman" w:hAnsi="Times New Roman"/>
          <w:b w:val="false"/>
          <w:sz w:val="20"/>
        </w:rPr>
        <w:t>(10)</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This investment is valued using observable inputs and is considered a Level 2 investment. See Note 6 for further information related to investments at fair value.</w:t>
      </w:r>
    </w:p>
    <w:p>
      <w:pPr>
        <w:pStyle w:val="TextBody"/>
        <w:spacing w:before="0" w:after="0"/>
        <w:jc w:val="left"/>
        <w:rPr>
          <w:rFonts w:ascii="Times New Roman" w:hAnsi="Times New Roman"/>
          <w:b w:val="false"/>
          <w:sz w:val="20"/>
        </w:rPr>
      </w:pPr>
      <w:r>
        <w:rPr>
          <w:rFonts w:ascii="Times New Roman" w:hAnsi="Times New Roman"/>
          <w:b w:val="false"/>
          <w:sz w:val="20"/>
        </w:rPr>
        <w:t>(11)</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This investment is valued using observable inputs and is considered a Level 1 investment. See Note 6 for further information related to investments at fair value.</w:t>
      </w:r>
    </w:p>
    <w:p>
      <w:pPr>
        <w:pStyle w:val="TextBody"/>
        <w:spacing w:before="0" w:after="0"/>
        <w:jc w:val="left"/>
        <w:rPr>
          <w:rFonts w:ascii="Times New Roman" w:hAnsi="Times New Roman"/>
          <w:b w:val="false"/>
          <w:sz w:val="20"/>
        </w:rPr>
      </w:pPr>
      <w:r>
        <w:rPr>
          <w:rFonts w:ascii="Times New Roman" w:hAnsi="Times New Roman"/>
          <w:b w:val="false"/>
          <w:sz w:val="20"/>
        </w:rPr>
        <w:t>(12)</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This investment is non-income producing.</w:t>
      </w:r>
    </w:p>
    <w:p>
      <w:pPr>
        <w:pStyle w:val="TextBody"/>
        <w:spacing w:before="0" w:after="0"/>
        <w:jc w:val="left"/>
        <w:rPr>
          <w:rFonts w:ascii="Times New Roman" w:hAnsi="Times New Roman"/>
          <w:b w:val="false"/>
          <w:sz w:val="20"/>
        </w:rPr>
      </w:pPr>
      <w:r>
        <w:rPr>
          <w:rFonts w:ascii="Times New Roman" w:hAnsi="Times New Roman"/>
          <w:b w:val="false"/>
          <w:sz w:val="20"/>
        </w:rPr>
        <w:t>(13)</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All or a portion of this security was acquired in a transaction exempt from registration under the Securities Act of 1933, and may be deemed to be “restricted securities” under the Securities Act. As of December 31, 2022, the aggregate fair value of these securities is $47,288, or 3.5% of the Company’s net assets.</w:t>
      </w:r>
    </w:p>
    <w:p>
      <w:pPr>
        <w:pStyle w:val="TextBody"/>
        <w:spacing w:before="0" w:after="0"/>
        <w:jc w:val="left"/>
        <w:rPr>
          <w:rFonts w:ascii="Times New Roman" w:hAnsi="Times New Roman"/>
          <w:b w:val="false"/>
          <w:sz w:val="20"/>
        </w:rPr>
      </w:pPr>
      <w:r>
        <w:rPr>
          <w:rFonts w:ascii="Times New Roman" w:hAnsi="Times New Roman"/>
          <w:b w:val="false"/>
          <w:sz w:val="20"/>
        </w:rPr>
        <w:t>(14)</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Ownership of equity investments may occur through a holding company or partnership.</w:t>
      </w:r>
    </w:p>
    <w:p>
      <w:pPr>
        <w:pStyle w:val="TextBody"/>
        <w:spacing w:before="0" w:after="0"/>
        <w:jc w:val="left"/>
        <w:rPr>
          <w:rFonts w:ascii="Times New Roman" w:hAnsi="Times New Roman"/>
          <w:b w:val="false"/>
          <w:sz w:val="20"/>
        </w:rPr>
      </w:pPr>
      <w:r>
        <w:rPr>
          <w:rFonts w:ascii="Times New Roman" w:hAnsi="Times New Roman"/>
          <w:b w:val="false"/>
          <w:sz w:val="20"/>
        </w:rPr>
        <w:t>(15)</w:t>
      </w:r>
    </w:p>
    <w:p>
      <w:pPr>
        <w:pStyle w:val="TextBody"/>
        <w:jc w:val="left"/>
        <w:rPr>
          <w:rFonts w:ascii="Times New Roman;serif" w:hAnsi="Times New Roman;serif"/>
          <w:b w:val="false"/>
          <w:sz w:val="20"/>
        </w:rPr>
      </w:pPr>
      <w:r>
        <w:rPr>
          <w:rFonts w:ascii="Times New Roman;serif" w:hAnsi="Times New Roman;serif"/>
          <w:b w:val="false"/>
          <w:sz w:val="20"/>
        </w:rPr>
        <w:t>Investment is on non-accrual status as of December 31, 2022.</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Sixth Street Specialty Lending, Inc.</w:t>
      </w:r>
      <w:r>
        <w:rPr>
          <w:rFonts w:ascii="Times New Roman" w:hAnsi="Times New Roman"/>
          <w:sz w:val="20"/>
        </w:rPr>
        <w:t xml:space="preserve"> </w:t>
      </w:r>
    </w:p>
    <w:p>
      <w:pPr>
        <w:pStyle w:val="TextBody"/>
        <w:spacing w:before="240" w:after="0"/>
        <w:jc w:val="center"/>
        <w:rPr>
          <w:rFonts w:ascii="Times New Roman" w:hAnsi="Times New Roman"/>
          <w:sz w:val="20"/>
        </w:rPr>
      </w:pPr>
      <w:bookmarkStart w:id="7" w:name="consolidated_statements_changes_in_net_a"/>
      <w:bookmarkEnd w:id="7"/>
      <w:r>
        <w:rPr>
          <w:rFonts w:ascii="Times New Roman;serif" w:hAnsi="Times New Roman;serif"/>
          <w:b/>
          <w:sz w:val="20"/>
        </w:rPr>
        <w:t>Consolidated Statements of Changes in Net Assets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(Amounts in thousands, except share amounts)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180"/>
        <w:gridCol w:w="146"/>
        <w:gridCol w:w="146"/>
        <w:gridCol w:w="766"/>
        <w:gridCol w:w="146"/>
        <w:gridCol w:w="146"/>
        <w:gridCol w:w="196"/>
        <w:gridCol w:w="375"/>
        <w:gridCol w:w="146"/>
        <w:gridCol w:w="146"/>
        <w:gridCol w:w="146"/>
        <w:gridCol w:w="586"/>
        <w:gridCol w:w="146"/>
        <w:gridCol w:w="146"/>
        <w:gridCol w:w="181"/>
        <w:gridCol w:w="556"/>
        <w:gridCol w:w="151"/>
        <w:gridCol w:w="146"/>
        <w:gridCol w:w="206"/>
        <w:gridCol w:w="788"/>
        <w:gridCol w:w="151"/>
        <w:gridCol w:w="146"/>
        <w:gridCol w:w="221"/>
        <w:gridCol w:w="680"/>
        <w:gridCol w:w="151"/>
        <w:gridCol w:w="146"/>
        <w:gridCol w:w="181"/>
        <w:gridCol w:w="691"/>
        <w:gridCol w:w="393"/>
      </w:tblGrid>
      <w:tr>
        <w:trPr/>
        <w:tc>
          <w:tcPr>
            <w:tcW w:w="218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r>
      <w:tr>
        <w:trPr/>
        <w:tc>
          <w:tcPr>
            <w:tcW w:w="218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7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6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Treasury Stock</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4"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01"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2" w:type="dxa"/>
            <w:gridSpan w:val="2"/>
            <w:tcBorders/>
            <w:shd w:fill="auto" w:val="clear"/>
            <w:vAlign w:val="center"/>
          </w:tcPr>
          <w:p>
            <w:pPr>
              <w:pStyle w:val="TableContents"/>
              <w:spacing w:before="0" w:after="0"/>
              <w:ind w:left="0" w:right="0" w:hanging="0"/>
              <w:jc w:val="center"/>
              <w:rPr/>
            </w:pPr>
            <w:r>
              <w:rPr/>
              <w:t> </w:t>
            </w:r>
          </w:p>
        </w:tc>
        <w:tc>
          <w:tcPr>
            <w:tcW w:w="393" w:type="dxa"/>
            <w:tcBorders/>
            <w:shd w:fill="auto" w:val="clear"/>
            <w:vAlign w:val="center"/>
          </w:tcPr>
          <w:p>
            <w:pPr>
              <w:pStyle w:val="TableContents"/>
              <w:spacing w:before="0" w:after="0"/>
              <w:ind w:left="0" w:right="0" w:hanging="0"/>
              <w:jc w:val="center"/>
              <w:rPr/>
            </w:pPr>
            <w:r>
              <w:rPr/>
              <w:t> </w:t>
            </w:r>
          </w:p>
        </w:tc>
      </w:tr>
      <w:tr>
        <w:trPr/>
        <w:tc>
          <w:tcPr>
            <w:tcW w:w="218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Par</w:t>
              <w:b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Cost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Paid in Capital in</w:t>
              <w:br/>
              <w:t>Excess of Par</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0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Distributable</w:t>
              <w:br/>
              <w:t>Earnings</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Total Net</w:t>
              <w:br/>
              <w:t>Assets</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80" w:type="dxa"/>
            <w:tcBorders/>
            <w:shd w:fill="auto" w:val="cle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Balance at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81,389,287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375"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821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664,250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5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(10,459</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8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1,294,751</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56,456</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1,341,569</w:t>
            </w:r>
          </w:p>
        </w:tc>
        <w:tc>
          <w:tcPr>
            <w:tcW w:w="393" w:type="dxa"/>
            <w:tcBorders/>
            <w:shd w:fill="auto" w:val="clear"/>
            <w:vAlign w:val="center"/>
          </w:tcPr>
          <w:p>
            <w:pPr>
              <w:pStyle w:val="TableContents"/>
              <w:spacing w:before="0" w:after="0"/>
              <w:ind w:left="0" w:right="0" w:firstLine="100"/>
              <w:jc w:val="left"/>
              <w:rPr/>
            </w:pPr>
            <w:r>
              <w:rPr/>
              <w:t> </w:t>
            </w:r>
          </w:p>
        </w:tc>
      </w:tr>
      <w:tr>
        <w:trPr/>
        <w:tc>
          <w:tcPr>
            <w:tcW w:w="2180" w:type="dxa"/>
            <w:tcBorders/>
            <w:shd w:fill="auto" w:val="clear"/>
            <w:vAlign w:val="center"/>
          </w:tcPr>
          <w:p>
            <w:pPr>
              <w:pStyle w:val="TableContents"/>
              <w:spacing w:before="0" w:after="0"/>
              <w:ind w:left="100" w:right="0" w:hanging="0"/>
              <w:jc w:val="left"/>
              <w:rPr>
                <w:rFonts w:ascii="Times New Roman;serif" w:hAnsi="Times New Roman;serif"/>
                <w:b w:val="false"/>
                <w:sz w:val="14"/>
              </w:rPr>
            </w:pPr>
            <w:r>
              <w:rPr>
                <w:rFonts w:ascii="Times New Roman;serif" w:hAnsi="Times New Roman;serif"/>
                <w:b w:val="false"/>
                <w:sz w:val="14"/>
              </w:rPr>
              <w:t>Net increase (decrease) in net assets resulting from operations:</w:t>
            </w:r>
          </w:p>
        </w:tc>
        <w:tc>
          <w:tcPr>
            <w:tcW w:w="146" w:type="dxa"/>
            <w:tcBorders/>
            <w:shd w:fill="auto" w:val="clear"/>
            <w:vAlign w:val="center"/>
          </w:tcPr>
          <w:p>
            <w:pPr>
              <w:pStyle w:val="TableContents"/>
              <w:spacing w:before="0" w:after="0"/>
              <w:ind w:left="0" w:right="0" w:hanging="0"/>
              <w:jc w:val="left"/>
              <w:rPr/>
            </w:pPr>
            <w:r>
              <w:rPr/>
              <w:t> </w:t>
            </w:r>
          </w:p>
        </w:tc>
        <w:tc>
          <w:tcPr>
            <w:tcW w:w="91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4"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1"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72" w:type="dxa"/>
            <w:gridSpan w:val="2"/>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firstLine="200"/>
              <w:jc w:val="left"/>
              <w:rPr/>
            </w:pPr>
            <w:r>
              <w:rPr/>
              <w:t> </w:t>
            </w:r>
          </w:p>
        </w:tc>
      </w:tr>
      <w:tr>
        <w:trPr/>
        <w:tc>
          <w:tcPr>
            <w:tcW w:w="2180" w:type="dxa"/>
            <w:tcBorders/>
            <w:shd w:fill="auto" w:val="clear"/>
            <w:vAlign w:val="center"/>
          </w:tcPr>
          <w:p>
            <w:pPr>
              <w:pStyle w:val="TableContents"/>
              <w:spacing w:before="0" w:after="0"/>
              <w:ind w:left="200" w:right="0" w:hanging="0"/>
              <w:jc w:val="left"/>
              <w:rPr>
                <w:rFonts w:ascii="Times New Roman;serif" w:hAnsi="Times New Roman;serif"/>
                <w:b w:val="false"/>
                <w:sz w:val="14"/>
              </w:rPr>
            </w:pPr>
            <w:r>
              <w:rPr>
                <w:rFonts w:ascii="Times New Roman;serif" w:hAnsi="Times New Roman;serif"/>
                <w:b w:val="false"/>
                <w:sz w:val="14"/>
              </w:rPr>
              <w:t>Net investment income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78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42,937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42,937</w:t>
            </w:r>
          </w:p>
        </w:tc>
        <w:tc>
          <w:tcPr>
            <w:tcW w:w="393" w:type="dxa"/>
            <w:tcBorders/>
            <w:shd w:fill="auto" w:val="clear"/>
            <w:vAlign w:val="center"/>
          </w:tcPr>
          <w:p>
            <w:pPr>
              <w:pStyle w:val="TableContents"/>
              <w:spacing w:before="0" w:after="0"/>
              <w:ind w:left="0" w:right="0" w:firstLine="200"/>
              <w:jc w:val="left"/>
              <w:rPr/>
            </w:pPr>
            <w:r>
              <w:rPr/>
              <w:t> </w:t>
            </w:r>
          </w:p>
        </w:tc>
      </w:tr>
      <w:tr>
        <w:trPr/>
        <w:tc>
          <w:tcPr>
            <w:tcW w:w="2180" w:type="dxa"/>
            <w:tcBorders/>
            <w:shd w:fill="auto" w:val="clear"/>
            <w:vAlign w:val="center"/>
          </w:tcPr>
          <w:p>
            <w:pPr>
              <w:pStyle w:val="TableContents"/>
              <w:spacing w:before="0" w:after="0"/>
              <w:ind w:left="200" w:right="0" w:hanging="0"/>
              <w:jc w:val="left"/>
              <w:rPr>
                <w:rFonts w:ascii="Times New Roman;serif" w:hAnsi="Times New Roman;serif"/>
                <w:b w:val="false"/>
                <w:sz w:val="14"/>
              </w:rPr>
            </w:pPr>
            <w:r>
              <w:rPr>
                <w:rFonts w:ascii="Times New Roman;serif" w:hAnsi="Times New Roman;serif"/>
                <w:b w:val="false"/>
                <w:sz w:val="14"/>
              </w:rPr>
              <w:t>Net change in unrealized gains (losses) on investments and</w:t>
              <w:br/>
              <w:t>   foreign currency translation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78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4,777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4,777</w:t>
            </w:r>
          </w:p>
        </w:tc>
        <w:tc>
          <w:tcPr>
            <w:tcW w:w="393" w:type="dxa"/>
            <w:tcBorders/>
            <w:shd w:fill="auto" w:val="clear"/>
            <w:vAlign w:val="center"/>
          </w:tcPr>
          <w:p>
            <w:pPr>
              <w:pStyle w:val="TableContents"/>
              <w:spacing w:before="0" w:after="0"/>
              <w:ind w:left="0" w:right="0" w:firstLine="200"/>
              <w:jc w:val="left"/>
              <w:rPr/>
            </w:pPr>
            <w:r>
              <w:rPr/>
              <w:t> </w:t>
            </w:r>
          </w:p>
        </w:tc>
      </w:tr>
      <w:tr>
        <w:trPr/>
        <w:tc>
          <w:tcPr>
            <w:tcW w:w="2180" w:type="dxa"/>
            <w:tcBorders/>
            <w:shd w:fill="auto" w:val="clear"/>
            <w:vAlign w:val="center"/>
          </w:tcPr>
          <w:p>
            <w:pPr>
              <w:pStyle w:val="TableContents"/>
              <w:spacing w:before="0" w:after="0"/>
              <w:ind w:left="200" w:right="0" w:hanging="0"/>
              <w:jc w:val="left"/>
              <w:rPr>
                <w:rFonts w:ascii="Times New Roman;serif" w:hAnsi="Times New Roman;serif"/>
                <w:b w:val="false"/>
                <w:sz w:val="14"/>
              </w:rPr>
            </w:pPr>
            <w:r>
              <w:rPr>
                <w:rFonts w:ascii="Times New Roman;serif" w:hAnsi="Times New Roman;serif"/>
                <w:b w:val="false"/>
                <w:sz w:val="14"/>
              </w:rPr>
              <w:t xml:space="preserve">Net realized gains (losses) on investments and foreign </w:t>
              <w:br/>
              <w:t>   currency transactions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78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5,238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5,238</w:t>
            </w:r>
          </w:p>
        </w:tc>
        <w:tc>
          <w:tcPr>
            <w:tcW w:w="393" w:type="dxa"/>
            <w:tcBorders/>
            <w:shd w:fill="auto" w:val="clear"/>
            <w:vAlign w:val="center"/>
          </w:tcPr>
          <w:p>
            <w:pPr>
              <w:pStyle w:val="TableContents"/>
              <w:spacing w:before="0" w:after="0"/>
              <w:ind w:left="0" w:right="0" w:firstLine="100"/>
              <w:jc w:val="left"/>
              <w:rPr/>
            </w:pPr>
            <w:r>
              <w:rPr/>
              <w:t> </w:t>
            </w:r>
          </w:p>
        </w:tc>
      </w:tr>
      <w:tr>
        <w:trPr/>
        <w:tc>
          <w:tcPr>
            <w:tcW w:w="2180" w:type="dxa"/>
            <w:tcBorders/>
            <w:shd w:fill="auto" w:val="clear"/>
            <w:vAlign w:val="center"/>
          </w:tcPr>
          <w:p>
            <w:pPr>
              <w:pStyle w:val="TableContents"/>
              <w:spacing w:before="0" w:after="0"/>
              <w:ind w:left="100" w:right="0" w:hanging="0"/>
              <w:jc w:val="left"/>
              <w:rPr>
                <w:rFonts w:ascii="Times New Roman;serif" w:hAnsi="Times New Roman;serif"/>
                <w:b w:val="false"/>
                <w:sz w:val="14"/>
              </w:rPr>
            </w:pPr>
            <w:r>
              <w:rPr>
                <w:rFonts w:ascii="Times New Roman;serif" w:hAnsi="Times New Roman;serif"/>
                <w:b w:val="false"/>
                <w:sz w:val="14"/>
              </w:rPr>
              <w:t>Dividends to stockholders:</w:t>
            </w:r>
          </w:p>
        </w:tc>
        <w:tc>
          <w:tcPr>
            <w:tcW w:w="146" w:type="dxa"/>
            <w:tcBorders/>
            <w:shd w:fill="auto" w:val="clear"/>
            <w:vAlign w:val="center"/>
          </w:tcPr>
          <w:p>
            <w:pPr>
              <w:pStyle w:val="TableContents"/>
              <w:spacing w:before="0" w:after="0"/>
              <w:ind w:left="0" w:right="0" w:hanging="0"/>
              <w:jc w:val="left"/>
              <w:rPr/>
            </w:pPr>
            <w:r>
              <w:rPr/>
              <w:t> </w:t>
            </w:r>
          </w:p>
        </w:tc>
        <w:tc>
          <w:tcPr>
            <w:tcW w:w="91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7"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4"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1"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72" w:type="dxa"/>
            <w:gridSpan w:val="2"/>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firstLine="200"/>
              <w:jc w:val="left"/>
              <w:rPr/>
            </w:pPr>
            <w:r>
              <w:rPr/>
              <w:t> </w:t>
            </w:r>
          </w:p>
        </w:tc>
      </w:tr>
      <w:tr>
        <w:trPr/>
        <w:tc>
          <w:tcPr>
            <w:tcW w:w="2180" w:type="dxa"/>
            <w:tcBorders/>
            <w:shd w:fill="auto" w:val="clear"/>
            <w:vAlign w:val="center"/>
          </w:tcPr>
          <w:p>
            <w:pPr>
              <w:pStyle w:val="TableContents"/>
              <w:spacing w:before="0" w:after="0"/>
              <w:ind w:left="200" w:right="0" w:hanging="0"/>
              <w:jc w:val="left"/>
              <w:rPr>
                <w:rFonts w:ascii="Times New Roman;serif" w:hAnsi="Times New Roman;serif"/>
                <w:b w:val="false"/>
                <w:sz w:val="14"/>
              </w:rPr>
            </w:pPr>
            <w:r>
              <w:rPr>
                <w:rFonts w:ascii="Times New Roman;serif" w:hAnsi="Times New Roman;serif"/>
                <w:b w:val="false"/>
                <w:sz w:val="14"/>
              </w:rPr>
              <w:t>Stock issued in connection with dividend reinvestment plan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362,578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5"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788"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6,245</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6,248</w:t>
            </w:r>
          </w:p>
        </w:tc>
        <w:tc>
          <w:tcPr>
            <w:tcW w:w="393" w:type="dxa"/>
            <w:tcBorders/>
            <w:shd w:fill="auto" w:val="clear"/>
            <w:vAlign w:val="center"/>
          </w:tcPr>
          <w:p>
            <w:pPr>
              <w:pStyle w:val="TableContents"/>
              <w:spacing w:before="0" w:after="0"/>
              <w:ind w:left="0" w:right="0" w:firstLine="200"/>
              <w:jc w:val="left"/>
              <w:rPr/>
            </w:pPr>
            <w:r>
              <w:rPr/>
              <w:t> </w:t>
            </w:r>
          </w:p>
        </w:tc>
      </w:tr>
      <w:tr>
        <w:trPr/>
        <w:tc>
          <w:tcPr>
            <w:tcW w:w="2180" w:type="dxa"/>
            <w:tcBorders/>
            <w:shd w:fill="auto" w:val="clear"/>
            <w:vAlign w:val="center"/>
          </w:tcPr>
          <w:p>
            <w:pPr>
              <w:pStyle w:val="TableContents"/>
              <w:spacing w:before="0" w:after="0"/>
              <w:ind w:left="200" w:right="0" w:hanging="0"/>
              <w:jc w:val="left"/>
              <w:rPr>
                <w:rFonts w:ascii="Times New Roman;serif" w:hAnsi="Times New Roman;serif"/>
                <w:b w:val="false"/>
                <w:sz w:val="14"/>
              </w:rPr>
            </w:pPr>
            <w:r>
              <w:rPr>
                <w:rFonts w:ascii="Times New Roman;serif" w:hAnsi="Times New Roman;serif"/>
                <w:b w:val="false"/>
                <w:sz w:val="14"/>
              </w:rPr>
              <w:t>Dividends declared from distributable earnings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788"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(44,764</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(44,764</w:t>
            </w:r>
          </w:p>
        </w:tc>
        <w:tc>
          <w:tcPr>
            <w:tcW w:w="393" w:type="dxa"/>
            <w:tcBorders/>
            <w:shd w:fill="auto" w:val="clear"/>
            <w:vAlign w:val="center"/>
          </w:tcPr>
          <w:p>
            <w:pPr>
              <w:pStyle w:val="TableContents"/>
              <w:spacing w:before="0" w:after="0"/>
              <w:ind w:left="0" w:right="0" w:firstLine="100"/>
              <w:jc w:val="left"/>
              <w:rPr>
                <w:rFonts w:ascii="Times New Roman;serif" w:hAnsi="Times New Roman;serif"/>
                <w:b w:val="false"/>
                <w:sz w:val="14"/>
              </w:rPr>
            </w:pPr>
            <w:r>
              <w:rPr>
                <w:rFonts w:ascii="Times New Roman;serif" w:hAnsi="Times New Roman;serif"/>
                <w:b w:val="false"/>
                <w:sz w:val="14"/>
              </w:rPr>
              <w:t>)</w:t>
            </w:r>
          </w:p>
        </w:tc>
      </w:tr>
      <w:tr>
        <w:trPr/>
        <w:tc>
          <w:tcPr>
            <w:tcW w:w="2180" w:type="dxa"/>
            <w:tcBorders/>
            <w:shd w:fill="auto" w:val="clear"/>
            <w:vAlign w:val="center"/>
          </w:tcPr>
          <w:p>
            <w:pPr>
              <w:pStyle w:val="TableContents"/>
              <w:spacing w:before="0" w:after="0"/>
              <w:ind w:left="100" w:right="0" w:hanging="0"/>
              <w:jc w:val="left"/>
              <w:rPr>
                <w:rFonts w:ascii="Times New Roman" w:hAnsi="Times New Roman"/>
                <w:sz w:val="14"/>
              </w:rPr>
            </w:pPr>
            <w:r>
              <w:rPr>
                <w:rFonts w:ascii="Times New Roman;serif" w:hAnsi="Times New Roman;serif"/>
                <w:b w:val="false"/>
                <w:sz w:val="14"/>
              </w:rPr>
              <w:t>Tax reclassification of stockholders' equity in accordance with</w:t>
              <w:br/>
              <w:t xml:space="preserve">   GAAP </w:t>
            </w:r>
            <w:r>
              <w:rPr>
                <w:rFonts w:ascii="Times New Roman;serif" w:hAnsi="Times New Roman;serif"/>
                <w:b w:val="false"/>
                <w:sz w:val="9"/>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(403</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403</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180" w:type="dxa"/>
            <w:tcBorders/>
            <w:shd w:fill="auto" w:val="cle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4"/>
              </w:rPr>
            </w:pPr>
            <w:r>
              <w:rPr>
                <w:rFonts w:ascii="Times New Roman;serif" w:hAnsi="Times New Roman;serif"/>
                <w:b/>
                <w:sz w:val="14"/>
              </w:rPr>
              <w:t>81,751,865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3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4"/>
              </w:rPr>
            </w:pPr>
            <w:r>
              <w:rPr>
                <w:rFonts w:ascii="Times New Roman;serif" w:hAnsi="Times New Roman;serif"/>
                <w:b/>
                <w:sz w:val="14"/>
              </w:rPr>
              <w:t>824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4"/>
              </w:rPr>
            </w:pPr>
            <w:r>
              <w:rPr>
                <w:rFonts w:ascii="Times New Roman;serif" w:hAnsi="Times New Roman;serif"/>
                <w:b/>
                <w:sz w:val="14"/>
              </w:rPr>
              <w:t>664,250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5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4"/>
              </w:rPr>
            </w:pPr>
            <w:r>
              <w:rPr>
                <w:rFonts w:ascii="Times New Roman;serif" w:hAnsi="Times New Roman;serif"/>
                <w:b/>
                <w:sz w:val="14"/>
              </w:rPr>
              <w:t>(10,459</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146" w:type="dxa"/>
            <w:tcBorders/>
            <w:shd w:fill="auto" w:val="clear"/>
            <w:vAlign w:val="center"/>
          </w:tcPr>
          <w:p>
            <w:pPr>
              <w:pStyle w:val="TableContents"/>
              <w:spacing w:before="0" w:after="0"/>
              <w:ind w:left="0" w:right="0" w:hanging="0"/>
              <w:jc w:val="right"/>
              <w:rPr/>
            </w:pPr>
            <w:r>
              <w:rPr/>
              <w:t> </w:t>
            </w:r>
          </w:p>
        </w:tc>
        <w:tc>
          <w:tcPr>
            <w:tcW w:w="2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7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4"/>
              </w:rPr>
            </w:pPr>
            <w:r>
              <w:rPr>
                <w:rFonts w:ascii="Times New Roman;serif" w:hAnsi="Times New Roman;serif"/>
                <w:b/>
                <w:sz w:val="14"/>
              </w:rPr>
              <w:t>1,300,593</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6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4"/>
              </w:rPr>
            </w:pPr>
            <w:r>
              <w:rPr>
                <w:rFonts w:ascii="Times New Roman;serif" w:hAnsi="Times New Roman;serif"/>
                <w:b/>
                <w:sz w:val="14"/>
              </w:rPr>
              <w:t>65,047</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4"/>
              </w:rPr>
            </w:pPr>
            <w:r>
              <w:rPr>
                <w:rFonts w:ascii="Times New Roman;serif" w:hAnsi="Times New Roman;serif"/>
                <w:b/>
                <w:sz w:val="14"/>
              </w:rPr>
              <w:t>1,356,005</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244"/>
        <w:gridCol w:w="146"/>
        <w:gridCol w:w="146"/>
        <w:gridCol w:w="766"/>
        <w:gridCol w:w="146"/>
        <w:gridCol w:w="146"/>
        <w:gridCol w:w="196"/>
        <w:gridCol w:w="375"/>
        <w:gridCol w:w="146"/>
        <w:gridCol w:w="146"/>
        <w:gridCol w:w="146"/>
        <w:gridCol w:w="586"/>
        <w:gridCol w:w="146"/>
        <w:gridCol w:w="146"/>
        <w:gridCol w:w="181"/>
        <w:gridCol w:w="481"/>
        <w:gridCol w:w="151"/>
        <w:gridCol w:w="146"/>
        <w:gridCol w:w="207"/>
        <w:gridCol w:w="794"/>
        <w:gridCol w:w="151"/>
        <w:gridCol w:w="146"/>
        <w:gridCol w:w="221"/>
        <w:gridCol w:w="680"/>
        <w:gridCol w:w="151"/>
        <w:gridCol w:w="146"/>
        <w:gridCol w:w="181"/>
        <w:gridCol w:w="691"/>
        <w:gridCol w:w="397"/>
      </w:tblGrid>
      <w:tr>
        <w:trPr/>
        <w:tc>
          <w:tcPr>
            <w:tcW w:w="22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r>
      <w:tr>
        <w:trPr/>
        <w:tc>
          <w:tcPr>
            <w:tcW w:w="224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7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8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Treasury Stock</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01"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01"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2" w:type="dxa"/>
            <w:gridSpan w:val="2"/>
            <w:tcBorders/>
            <w:shd w:fill="auto" w:val="clear"/>
            <w:vAlign w:val="center"/>
          </w:tcPr>
          <w:p>
            <w:pPr>
              <w:pStyle w:val="TableContents"/>
              <w:spacing w:before="0" w:after="0"/>
              <w:ind w:left="0" w:right="0" w:hanging="0"/>
              <w:jc w:val="center"/>
              <w:rPr/>
            </w:pPr>
            <w:r>
              <w:rPr/>
              <w:t> </w:t>
            </w:r>
          </w:p>
        </w:tc>
        <w:tc>
          <w:tcPr>
            <w:tcW w:w="397" w:type="dxa"/>
            <w:tcBorders/>
            <w:shd w:fill="auto" w:val="clear"/>
            <w:vAlign w:val="center"/>
          </w:tcPr>
          <w:p>
            <w:pPr>
              <w:pStyle w:val="TableContents"/>
              <w:spacing w:before="0" w:after="0"/>
              <w:ind w:left="0" w:right="0" w:hanging="0"/>
              <w:jc w:val="center"/>
              <w:rPr/>
            </w:pPr>
            <w:r>
              <w:rPr/>
              <w:t> </w:t>
            </w:r>
          </w:p>
        </w:tc>
      </w:tr>
      <w:tr>
        <w:trPr/>
        <w:tc>
          <w:tcPr>
            <w:tcW w:w="224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Par</w:t>
              <w:b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Cost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00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Paid in Capital in</w:t>
              <w:br/>
              <w:t>Excess of Par</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0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Distributable</w:t>
              <w:br/>
              <w:t>Earnings</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Total Net</w:t>
              <w:br/>
              <w:t>Assets</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Balance at December 31,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75,771,542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375"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761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296,044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8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(4,291</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right"/>
              <w:rPr/>
            </w:pPr>
            <w:r>
              <w:rPr/>
              <w:t> </w:t>
            </w:r>
          </w:p>
        </w:tc>
        <w:tc>
          <w:tcPr>
            <w:tcW w:w="20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94"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1,189,275</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90,103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1,275,848</w:t>
            </w:r>
          </w:p>
        </w:tc>
        <w:tc>
          <w:tcPr>
            <w:tcW w:w="397" w:type="dxa"/>
            <w:tcBorders/>
            <w:shd w:fill="auto" w:val="clear"/>
            <w:vAlign w:val="center"/>
          </w:tcPr>
          <w:p>
            <w:pPr>
              <w:pStyle w:val="TableContents"/>
              <w:spacing w:before="0" w:after="0"/>
              <w:ind w:left="0" w:right="0" w:firstLine="100"/>
              <w:jc w:val="left"/>
              <w:rPr/>
            </w:pPr>
            <w:r>
              <w:rPr/>
              <w:t> </w:t>
            </w:r>
          </w:p>
        </w:tc>
      </w:tr>
      <w:tr>
        <w:trPr/>
        <w:tc>
          <w:tcPr>
            <w:tcW w:w="2244" w:type="dxa"/>
            <w:tcBorders/>
            <w:shd w:fill="auto" w:val="clear"/>
            <w:vAlign w:val="center"/>
          </w:tcPr>
          <w:p>
            <w:pPr>
              <w:pStyle w:val="TableContents"/>
              <w:spacing w:before="0" w:after="0"/>
              <w:ind w:left="100" w:right="0" w:hanging="0"/>
              <w:jc w:val="left"/>
              <w:rPr>
                <w:rFonts w:ascii="Times New Roman;serif" w:hAnsi="Times New Roman;serif"/>
                <w:b w:val="false"/>
                <w:sz w:val="14"/>
              </w:rPr>
            </w:pPr>
            <w:r>
              <w:rPr>
                <w:rFonts w:ascii="Times New Roman;serif" w:hAnsi="Times New Roman;serif"/>
                <w:b w:val="false"/>
                <w:sz w:val="14"/>
              </w:rPr>
              <w:t>Net increase (decrease) in net assets resulting from operations:</w:t>
            </w:r>
          </w:p>
        </w:tc>
        <w:tc>
          <w:tcPr>
            <w:tcW w:w="146" w:type="dxa"/>
            <w:tcBorders/>
            <w:shd w:fill="auto" w:val="clear"/>
            <w:vAlign w:val="center"/>
          </w:tcPr>
          <w:p>
            <w:pPr>
              <w:pStyle w:val="TableContents"/>
              <w:spacing w:before="0" w:after="0"/>
              <w:ind w:left="0" w:right="0" w:hanging="0"/>
              <w:jc w:val="left"/>
              <w:rPr/>
            </w:pPr>
            <w:r>
              <w:rPr/>
              <w:t> </w:t>
            </w:r>
          </w:p>
        </w:tc>
        <w:tc>
          <w:tcPr>
            <w:tcW w:w="91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1"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1"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72" w:type="dxa"/>
            <w:gridSpan w:val="2"/>
            <w:tcBorders/>
            <w:shd w:fill="auto" w:val="clear"/>
            <w:vAlign w:val="center"/>
          </w:tcPr>
          <w:p>
            <w:pPr>
              <w:pStyle w:val="TableContents"/>
              <w:spacing w:before="0" w:after="0"/>
              <w:ind w:left="0" w:right="0" w:hanging="0"/>
              <w:jc w:val="left"/>
              <w:rPr/>
            </w:pPr>
            <w:r>
              <w:rPr/>
              <w:t> </w:t>
            </w:r>
          </w:p>
        </w:tc>
        <w:tc>
          <w:tcPr>
            <w:tcW w:w="397" w:type="dxa"/>
            <w:tcBorders/>
            <w:shd w:fill="auto" w:val="clear"/>
            <w:vAlign w:val="center"/>
          </w:tcPr>
          <w:p>
            <w:pPr>
              <w:pStyle w:val="TableContents"/>
              <w:spacing w:before="0" w:after="0"/>
              <w:ind w:left="0" w:right="0" w:firstLine="200"/>
              <w:jc w:val="left"/>
              <w:rPr/>
            </w:pPr>
            <w:r>
              <w:rPr/>
              <w:t> </w:t>
            </w:r>
          </w:p>
        </w:tc>
      </w:tr>
      <w:tr>
        <w:trPr/>
        <w:tc>
          <w:tcPr>
            <w:tcW w:w="2244" w:type="dxa"/>
            <w:tcBorders/>
            <w:shd w:fill="auto" w:val="clear"/>
            <w:vAlign w:val="center"/>
          </w:tcPr>
          <w:p>
            <w:pPr>
              <w:pStyle w:val="TableContents"/>
              <w:spacing w:before="0" w:after="0"/>
              <w:ind w:left="200" w:right="0" w:hanging="0"/>
              <w:jc w:val="left"/>
              <w:rPr>
                <w:rFonts w:ascii="Times New Roman;serif" w:hAnsi="Times New Roman;serif"/>
                <w:b w:val="false"/>
                <w:sz w:val="14"/>
              </w:rPr>
            </w:pPr>
            <w:r>
              <w:rPr>
                <w:rFonts w:ascii="Times New Roman;serif" w:hAnsi="Times New Roman;serif"/>
                <w:b w:val="false"/>
                <w:sz w:val="14"/>
              </w:rPr>
              <w:t>Net investment income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794"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35,712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35,712</w:t>
            </w:r>
          </w:p>
        </w:tc>
        <w:tc>
          <w:tcPr>
            <w:tcW w:w="397" w:type="dxa"/>
            <w:tcBorders/>
            <w:shd w:fill="auto" w:val="clear"/>
            <w:vAlign w:val="center"/>
          </w:tcPr>
          <w:p>
            <w:pPr>
              <w:pStyle w:val="TableContents"/>
              <w:spacing w:before="0" w:after="0"/>
              <w:ind w:left="0" w:right="0" w:firstLine="200"/>
              <w:jc w:val="left"/>
              <w:rPr/>
            </w:pPr>
            <w:r>
              <w:rPr/>
              <w:t> </w:t>
            </w:r>
          </w:p>
        </w:tc>
      </w:tr>
      <w:tr>
        <w:trPr/>
        <w:tc>
          <w:tcPr>
            <w:tcW w:w="2244" w:type="dxa"/>
            <w:tcBorders/>
            <w:shd w:fill="auto" w:val="clear"/>
            <w:vAlign w:val="center"/>
          </w:tcPr>
          <w:p>
            <w:pPr>
              <w:pStyle w:val="TableContents"/>
              <w:spacing w:before="0" w:after="0"/>
              <w:ind w:left="200" w:right="0" w:hanging="0"/>
              <w:jc w:val="left"/>
              <w:rPr>
                <w:rFonts w:ascii="Times New Roman;serif" w:hAnsi="Times New Roman;serif"/>
                <w:b w:val="false"/>
                <w:sz w:val="14"/>
              </w:rPr>
            </w:pPr>
            <w:r>
              <w:rPr>
                <w:rFonts w:ascii="Times New Roman;serif" w:hAnsi="Times New Roman;serif"/>
                <w:b w:val="false"/>
                <w:sz w:val="14"/>
              </w:rPr>
              <w:t>Net change in unrealized gains (losses) on investments and</w:t>
              <w:br/>
              <w:t>   foreign currency translation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794"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(8,495</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(8,495</w:t>
            </w:r>
          </w:p>
        </w:tc>
        <w:tc>
          <w:tcPr>
            <w:tcW w:w="397" w:type="dxa"/>
            <w:tcBorders/>
            <w:shd w:fill="auto" w:val="clear"/>
            <w:vAlign w:val="center"/>
          </w:tcPr>
          <w:p>
            <w:pPr>
              <w:pStyle w:val="TableContents"/>
              <w:spacing w:before="0" w:after="0"/>
              <w:ind w:left="0" w:right="0" w:firstLine="200"/>
              <w:jc w:val="left"/>
              <w:rPr>
                <w:rFonts w:ascii="Times New Roman;serif" w:hAnsi="Times New Roman;serif"/>
                <w:b w:val="false"/>
                <w:sz w:val="14"/>
              </w:rPr>
            </w:pPr>
            <w:r>
              <w:rPr>
                <w:rFonts w:ascii="Times New Roman;serif" w:hAnsi="Times New Roman;serif"/>
                <w:b w:val="false"/>
                <w:sz w:val="14"/>
              </w:rPr>
              <w:t>)</w:t>
            </w:r>
          </w:p>
        </w:tc>
      </w:tr>
      <w:tr>
        <w:trPr/>
        <w:tc>
          <w:tcPr>
            <w:tcW w:w="2244" w:type="dxa"/>
            <w:tcBorders/>
            <w:shd w:fill="auto" w:val="clear"/>
            <w:vAlign w:val="center"/>
          </w:tcPr>
          <w:p>
            <w:pPr>
              <w:pStyle w:val="TableContents"/>
              <w:spacing w:before="0" w:after="0"/>
              <w:ind w:left="200" w:right="0" w:hanging="0"/>
              <w:jc w:val="left"/>
              <w:rPr>
                <w:rFonts w:ascii="Times New Roman;serif" w:hAnsi="Times New Roman;serif"/>
                <w:b w:val="false"/>
                <w:sz w:val="14"/>
              </w:rPr>
            </w:pPr>
            <w:r>
              <w:rPr>
                <w:rFonts w:ascii="Times New Roman;serif" w:hAnsi="Times New Roman;serif"/>
                <w:b w:val="false"/>
                <w:sz w:val="14"/>
              </w:rPr>
              <w:t xml:space="preserve">Net realized gains (losses) on investments and foreign </w:t>
              <w:br/>
              <w:t>   currency transactions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794"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13,668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13,668</w:t>
            </w:r>
          </w:p>
        </w:tc>
        <w:tc>
          <w:tcPr>
            <w:tcW w:w="397" w:type="dxa"/>
            <w:tcBorders/>
            <w:shd w:fill="auto" w:val="clear"/>
            <w:vAlign w:val="center"/>
          </w:tcPr>
          <w:p>
            <w:pPr>
              <w:pStyle w:val="TableContents"/>
              <w:spacing w:before="0" w:after="0"/>
              <w:ind w:left="0" w:right="0" w:firstLine="100"/>
              <w:jc w:val="left"/>
              <w:rPr/>
            </w:pPr>
            <w:r>
              <w:rPr/>
              <w:t> </w:t>
            </w:r>
          </w:p>
        </w:tc>
      </w:tr>
      <w:tr>
        <w:trPr/>
        <w:tc>
          <w:tcPr>
            <w:tcW w:w="2244" w:type="dxa"/>
            <w:tcBorders/>
            <w:shd w:fill="auto" w:val="clear"/>
            <w:vAlign w:val="center"/>
          </w:tcPr>
          <w:p>
            <w:pPr>
              <w:pStyle w:val="TableContents"/>
              <w:spacing w:before="0" w:after="0"/>
              <w:ind w:left="100" w:right="0" w:hanging="0"/>
              <w:jc w:val="left"/>
              <w:rPr>
                <w:rFonts w:ascii="Times New Roman;serif" w:hAnsi="Times New Roman;serif"/>
                <w:b w:val="false"/>
                <w:sz w:val="14"/>
              </w:rPr>
            </w:pPr>
            <w:r>
              <w:rPr>
                <w:rFonts w:ascii="Times New Roman;serif" w:hAnsi="Times New Roman;serif"/>
                <w:b w:val="false"/>
                <w:sz w:val="14"/>
              </w:rPr>
              <w:t>Dividends to stockholders:</w:t>
            </w:r>
          </w:p>
        </w:tc>
        <w:tc>
          <w:tcPr>
            <w:tcW w:w="146" w:type="dxa"/>
            <w:tcBorders/>
            <w:shd w:fill="auto" w:val="clear"/>
            <w:vAlign w:val="center"/>
          </w:tcPr>
          <w:p>
            <w:pPr>
              <w:pStyle w:val="TableContents"/>
              <w:spacing w:before="0" w:after="0"/>
              <w:ind w:left="0" w:right="0" w:hanging="0"/>
              <w:jc w:val="left"/>
              <w:rPr/>
            </w:pPr>
            <w:r>
              <w:rPr/>
              <w:t> </w:t>
            </w:r>
          </w:p>
        </w:tc>
        <w:tc>
          <w:tcPr>
            <w:tcW w:w="91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3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1"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1"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72" w:type="dxa"/>
            <w:gridSpan w:val="2"/>
            <w:tcBorders/>
            <w:shd w:fill="auto" w:val="clear"/>
            <w:vAlign w:val="center"/>
          </w:tcPr>
          <w:p>
            <w:pPr>
              <w:pStyle w:val="TableContents"/>
              <w:spacing w:before="0" w:after="0"/>
              <w:ind w:left="0" w:right="0" w:hanging="0"/>
              <w:jc w:val="left"/>
              <w:rPr/>
            </w:pPr>
            <w:r>
              <w:rPr/>
              <w:t> </w:t>
            </w:r>
          </w:p>
        </w:tc>
        <w:tc>
          <w:tcPr>
            <w:tcW w:w="397" w:type="dxa"/>
            <w:tcBorders/>
            <w:shd w:fill="auto" w:val="clear"/>
            <w:vAlign w:val="center"/>
          </w:tcPr>
          <w:p>
            <w:pPr>
              <w:pStyle w:val="TableContents"/>
              <w:spacing w:before="0" w:after="0"/>
              <w:ind w:left="0" w:right="0" w:firstLine="200"/>
              <w:jc w:val="left"/>
              <w:rPr/>
            </w:pPr>
            <w:r>
              <w:rPr/>
              <w:t> </w:t>
            </w:r>
          </w:p>
        </w:tc>
      </w:tr>
      <w:tr>
        <w:trPr/>
        <w:tc>
          <w:tcPr>
            <w:tcW w:w="2244" w:type="dxa"/>
            <w:tcBorders/>
            <w:shd w:fill="auto" w:val="clear"/>
            <w:vAlign w:val="center"/>
          </w:tcPr>
          <w:p>
            <w:pPr>
              <w:pStyle w:val="TableContents"/>
              <w:spacing w:before="0" w:after="0"/>
              <w:ind w:left="200" w:right="0" w:hanging="0"/>
              <w:jc w:val="left"/>
              <w:rPr>
                <w:rFonts w:ascii="Times New Roman;serif" w:hAnsi="Times New Roman;serif"/>
                <w:b w:val="false"/>
                <w:sz w:val="14"/>
              </w:rPr>
            </w:pPr>
            <w:r>
              <w:rPr>
                <w:rFonts w:ascii="Times New Roman;serif" w:hAnsi="Times New Roman;serif"/>
                <w:b w:val="false"/>
                <w:sz w:val="14"/>
              </w:rPr>
              <w:t>Stock issued in connection with dividend reinvestment plan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299,138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5"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794"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6,771</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6,774</w:t>
            </w:r>
          </w:p>
        </w:tc>
        <w:tc>
          <w:tcPr>
            <w:tcW w:w="397" w:type="dxa"/>
            <w:tcBorders/>
            <w:shd w:fill="auto" w:val="clear"/>
            <w:vAlign w:val="center"/>
          </w:tcPr>
          <w:p>
            <w:pPr>
              <w:pStyle w:val="TableContents"/>
              <w:spacing w:before="0" w:after="0"/>
              <w:ind w:left="0" w:right="0" w:firstLine="200"/>
              <w:jc w:val="left"/>
              <w:rPr/>
            </w:pPr>
            <w:r>
              <w:rPr/>
              <w:t> </w:t>
            </w:r>
          </w:p>
        </w:tc>
      </w:tr>
      <w:tr>
        <w:trPr/>
        <w:tc>
          <w:tcPr>
            <w:tcW w:w="2244" w:type="dxa"/>
            <w:tcBorders/>
            <w:shd w:fill="auto" w:val="clear"/>
            <w:vAlign w:val="center"/>
          </w:tcPr>
          <w:p>
            <w:pPr>
              <w:pStyle w:val="TableContents"/>
              <w:spacing w:before="0" w:after="0"/>
              <w:ind w:left="200" w:right="0" w:hanging="0"/>
              <w:jc w:val="left"/>
              <w:rPr>
                <w:rFonts w:ascii="Times New Roman;serif" w:hAnsi="Times New Roman;serif"/>
                <w:b w:val="false"/>
                <w:sz w:val="14"/>
              </w:rPr>
            </w:pPr>
            <w:r>
              <w:rPr>
                <w:rFonts w:ascii="Times New Roman;serif" w:hAnsi="Times New Roman;serif"/>
                <w:b w:val="false"/>
                <w:sz w:val="14"/>
              </w:rPr>
              <w:t>Dividends declared from distributable earnings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794"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(39,522</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(39,522</w:t>
            </w:r>
          </w:p>
        </w:tc>
        <w:tc>
          <w:tcPr>
            <w:tcW w:w="397" w:type="dxa"/>
            <w:tcBorders/>
            <w:shd w:fill="auto" w:val="clear"/>
            <w:vAlign w:val="center"/>
          </w:tcPr>
          <w:p>
            <w:pPr>
              <w:pStyle w:val="TableContents"/>
              <w:spacing w:before="0" w:after="0"/>
              <w:ind w:left="0" w:right="0" w:firstLine="100"/>
              <w:jc w:val="left"/>
              <w:rPr>
                <w:rFonts w:ascii="Times New Roman;serif" w:hAnsi="Times New Roman;serif"/>
                <w:b w:val="false"/>
                <w:sz w:val="14"/>
              </w:rPr>
            </w:pPr>
            <w:r>
              <w:rPr>
                <w:rFonts w:ascii="Times New Roman;serif" w:hAnsi="Times New Roman;serif"/>
                <w:b w:val="false"/>
                <w:sz w:val="14"/>
              </w:rPr>
              <w:t>)</w:t>
            </w:r>
          </w:p>
        </w:tc>
      </w:tr>
      <w:tr>
        <w:trPr/>
        <w:tc>
          <w:tcPr>
            <w:tcW w:w="2244" w:type="dxa"/>
            <w:tcBorders/>
            <w:shd w:fill="auto" w:val="clear"/>
            <w:vAlign w:val="center"/>
          </w:tcPr>
          <w:p>
            <w:pPr>
              <w:pStyle w:val="TableContents"/>
              <w:spacing w:before="0" w:after="0"/>
              <w:ind w:left="100" w:right="0" w:hanging="0"/>
              <w:jc w:val="left"/>
              <w:rPr>
                <w:rFonts w:ascii="Times New Roman" w:hAnsi="Times New Roman"/>
                <w:sz w:val="14"/>
              </w:rPr>
            </w:pPr>
            <w:r>
              <w:rPr>
                <w:rFonts w:ascii="Times New Roman;serif" w:hAnsi="Times New Roman;serif"/>
                <w:b w:val="false"/>
                <w:sz w:val="14"/>
              </w:rPr>
              <w:t>Tax reclassification of stockholders' equity in accordance with</w:t>
              <w:br/>
              <w:t xml:space="preserve">   GAAP </w:t>
            </w:r>
            <w:r>
              <w:rPr>
                <w:rFonts w:ascii="Times New Roman;serif" w:hAnsi="Times New Roman;serif"/>
                <w:b w:val="false"/>
                <w:sz w:val="9"/>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(351</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351</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244" w:type="dxa"/>
            <w:tcBorders/>
            <w:shd w:fill="auto" w:val="cle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Balance at March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4"/>
              </w:rPr>
            </w:pPr>
            <w:r>
              <w:rPr>
                <w:rFonts w:ascii="Times New Roman;serif" w:hAnsi="Times New Roman;serif"/>
                <w:b/>
                <w:sz w:val="14"/>
              </w:rPr>
              <w:t>76,070,680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3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4"/>
              </w:rPr>
            </w:pPr>
            <w:r>
              <w:rPr>
                <w:rFonts w:ascii="Times New Roman;serif" w:hAnsi="Times New Roman;serif"/>
                <w:b/>
                <w:sz w:val="14"/>
              </w:rPr>
              <w:t>764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4"/>
              </w:rPr>
            </w:pPr>
            <w:r>
              <w:rPr>
                <w:rFonts w:ascii="Times New Roman;serif" w:hAnsi="Times New Roman;serif"/>
                <w:b/>
                <w:sz w:val="14"/>
              </w:rPr>
              <w:t>296,044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4"/>
              </w:rPr>
            </w:pPr>
            <w:r>
              <w:rPr>
                <w:rFonts w:ascii="Times New Roman;serif" w:hAnsi="Times New Roman;serif"/>
                <w:b/>
                <w:sz w:val="14"/>
              </w:rPr>
              <w:t>(4,291</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146" w:type="dxa"/>
            <w:tcBorders/>
            <w:shd w:fill="auto" w:val="clear"/>
            <w:vAlign w:val="center"/>
          </w:tcPr>
          <w:p>
            <w:pPr>
              <w:pStyle w:val="TableContents"/>
              <w:spacing w:before="0" w:after="0"/>
              <w:ind w:left="0" w:right="0" w:hanging="0"/>
              <w:jc w:val="right"/>
              <w:rPr/>
            </w:pPr>
            <w:r>
              <w:rPr/>
              <w:t> </w:t>
            </w:r>
          </w:p>
        </w:tc>
        <w:tc>
          <w:tcPr>
            <w:tcW w:w="2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7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4"/>
              </w:rPr>
            </w:pPr>
            <w:r>
              <w:rPr>
                <w:rFonts w:ascii="Times New Roman;serif" w:hAnsi="Times New Roman;serif"/>
                <w:b/>
                <w:sz w:val="14"/>
              </w:rPr>
              <w:t>1,195,695</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6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4"/>
              </w:rPr>
            </w:pPr>
            <w:r>
              <w:rPr>
                <w:rFonts w:ascii="Times New Roman;serif" w:hAnsi="Times New Roman;serif"/>
                <w:b/>
                <w:sz w:val="14"/>
              </w:rPr>
              <w:t>91,817</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sz w:val="14"/>
              </w:rPr>
            </w:pPr>
            <w:r>
              <w:rPr>
                <w:rFonts w:ascii="Times New Roman;serif" w:hAnsi="Times New Roman;serif"/>
                <w:b/>
                <w:sz w:val="14"/>
              </w:rPr>
              <w:t>1,283,985</w:t>
            </w:r>
          </w:p>
        </w:tc>
        <w:tc>
          <w:tcPr>
            <w:tcW w:w="3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jc w:val="left"/>
        <w:rPr/>
      </w:pPr>
      <w:r>
        <w:rPr>
          <w:rFonts w:ascii="Times New Roman;serif" w:hAnsi="Times New Roman;serif"/>
          <w:b w:val="false"/>
          <w:sz w:val="20"/>
        </w:rPr>
        <w:t>The Company’s tax year end is March 31</w:t>
      </w:r>
      <w:r>
        <w:rPr>
          <w:rFonts w:ascii="Times New Roman;serif" w:hAnsi="Times New Roman;serif"/>
          <w:b w:val="false"/>
          <w:sz w:val="13"/>
        </w:rPr>
        <w:t>st</w:t>
      </w:r>
      <w:r>
        <w:rPr>
          <w:rFonts w:ascii="Times New Roman;serif" w:hAnsi="Times New Roman;serif"/>
          <w:b w:val="false"/>
          <w:sz w:val="20"/>
        </w:rPr>
        <w:t>.</w:t>
      </w:r>
      <w:r>
        <w:rPr/>
        <w:t xml:space="preserve"> </w:t>
      </w:r>
    </w:p>
    <w:p>
      <w:pPr>
        <w:pStyle w:val="TextBody"/>
        <w:spacing w:before="0" w:after="0"/>
        <w:jc w:val="left"/>
        <w:rPr/>
      </w:pPr>
      <w:r>
        <w:rPr/>
        <w:t> </w:t>
      </w:r>
    </w:p>
    <w:p>
      <w:pPr>
        <w:pStyle w:val="TextBody"/>
        <w:spacing w:before="0" w:after="0"/>
        <w:jc w:val="left"/>
        <w:rPr/>
      </w:pPr>
      <w:r>
        <w:rPr/>
        <w:t> </w:t>
      </w:r>
    </w:p>
    <w:p>
      <w:pPr>
        <w:pStyle w:val="TextBody"/>
        <w:spacing w:before="40" w:after="0"/>
        <w:jc w:val="center"/>
        <w:rPr>
          <w:rFonts w:ascii="Times New Roman" w:hAnsi="Times New Roman"/>
          <w:sz w:val="20"/>
        </w:rPr>
      </w:pPr>
      <w:r>
        <w:rPr>
          <w:rFonts w:ascii="Times New Roman;serif" w:hAnsi="Times New Roman;serif"/>
          <w:b w:val="false"/>
          <w:sz w:val="20"/>
        </w:rPr>
        <w:t>The accompanying notes are an integral part of these consolidated financial statements.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Sixth Street Specialty Lending, Inc.</w:t>
      </w:r>
      <w:r>
        <w:rPr>
          <w:rFonts w:ascii="Times New Roman" w:hAnsi="Times New Roman"/>
          <w:sz w:val="20"/>
        </w:rPr>
        <w:t xml:space="preserve"> </w:t>
      </w:r>
    </w:p>
    <w:p>
      <w:pPr>
        <w:pStyle w:val="TextBody"/>
        <w:spacing w:before="240" w:after="0"/>
        <w:jc w:val="center"/>
        <w:rPr>
          <w:rFonts w:ascii="Times New Roman" w:hAnsi="Times New Roman"/>
          <w:sz w:val="20"/>
        </w:rPr>
      </w:pPr>
      <w:bookmarkStart w:id="8" w:name="consolidated_statements_cash_flows"/>
      <w:bookmarkEnd w:id="8"/>
      <w:r>
        <w:rPr>
          <w:rFonts w:ascii="Times New Roman;serif" w:hAnsi="Times New Roman;serif"/>
          <w:b/>
          <w:sz w:val="20"/>
        </w:rPr>
        <w:t>Consolidated Statements of Cash Flows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(Amounts in thousands)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6079"/>
        <w:gridCol w:w="146"/>
        <w:gridCol w:w="306"/>
        <w:gridCol w:w="1221"/>
        <w:gridCol w:w="166"/>
        <w:gridCol w:w="146"/>
        <w:gridCol w:w="306"/>
        <w:gridCol w:w="1221"/>
        <w:gridCol w:w="614"/>
      </w:tblGrid>
      <w:tr>
        <w:trPr/>
        <w:tc>
          <w:tcPr>
            <w:tcW w:w="607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607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52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52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614" w:type="dxa"/>
            <w:tcBorders/>
            <w:shd w:fill="auto" w:val="clear"/>
            <w:vAlign w:val="center"/>
          </w:tcPr>
          <w:p>
            <w:pPr>
              <w:pStyle w:val="TableContents"/>
              <w:spacing w:before="0" w:after="0"/>
              <w:ind w:left="0" w:right="0" w:hanging="0"/>
              <w:jc w:val="center"/>
              <w:rPr/>
            </w:pPr>
            <w:r>
              <w:rPr/>
              <w:t> </w:t>
            </w:r>
          </w:p>
        </w:tc>
      </w:tr>
      <w:tr>
        <w:trPr/>
        <w:tc>
          <w:tcPr>
            <w:tcW w:w="6079"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5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5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2022</w:t>
            </w:r>
          </w:p>
        </w:tc>
        <w:tc>
          <w:tcPr>
            <w:tcW w:w="6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079"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146" w:type="dxa"/>
            <w:tcBorders/>
            <w:shd w:fill="auto" w:val="clear"/>
            <w:vAlign w:val="center"/>
          </w:tcPr>
          <w:p>
            <w:pPr>
              <w:pStyle w:val="TableContents"/>
              <w:spacing w:before="0" w:after="0"/>
              <w:ind w:left="0" w:right="0" w:hanging="0"/>
              <w:jc w:val="right"/>
              <w:rPr/>
            </w:pPr>
            <w:r>
              <w:rPr/>
              <w:t> </w:t>
            </w:r>
          </w:p>
        </w:tc>
        <w:tc>
          <w:tcPr>
            <w:tcW w:w="152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527" w:type="dxa"/>
            <w:gridSpan w:val="2"/>
            <w:tcBorders/>
            <w:shd w:fill="auto" w:val="clear"/>
            <w:vAlign w:val="center"/>
          </w:tcPr>
          <w:p>
            <w:pPr>
              <w:pStyle w:val="TableContents"/>
              <w:spacing w:before="0" w:after="0"/>
              <w:ind w:left="0" w:right="0" w:hanging="0"/>
              <w:jc w:val="left"/>
              <w:rPr/>
            </w:pPr>
            <w:r>
              <w:rPr/>
              <w:t> </w:t>
            </w:r>
          </w:p>
        </w:tc>
        <w:tc>
          <w:tcPr>
            <w:tcW w:w="614" w:type="dxa"/>
            <w:tcBorders/>
            <w:shd w:fill="auto" w:val="clear"/>
            <w:vAlign w:val="center"/>
          </w:tcPr>
          <w:p>
            <w:pPr>
              <w:pStyle w:val="TableContents"/>
              <w:spacing w:before="0" w:after="0"/>
              <w:ind w:left="0" w:right="0" w:hanging="0"/>
              <w:jc w:val="left"/>
              <w:rPr/>
            </w:pPr>
            <w:r>
              <w:rPr/>
              <w:t> </w:t>
            </w:r>
          </w:p>
        </w:tc>
      </w:tr>
      <w:tr>
        <w:trPr/>
        <w:tc>
          <w:tcPr>
            <w:tcW w:w="60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Increase (decrease) in net assets resulting from operations</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52,952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40,885</w:t>
            </w:r>
          </w:p>
        </w:tc>
        <w:tc>
          <w:tcPr>
            <w:tcW w:w="614" w:type="dxa"/>
            <w:tcBorders/>
            <w:shd w:fill="auto" w:val="clear"/>
            <w:vAlign w:val="center"/>
          </w:tcPr>
          <w:p>
            <w:pPr>
              <w:pStyle w:val="TableContents"/>
              <w:spacing w:before="0" w:after="0"/>
              <w:ind w:left="0" w:right="0" w:hanging="0"/>
              <w:jc w:val="left"/>
              <w:rPr/>
            </w:pPr>
            <w:r>
              <w:rPr/>
              <w:t> </w:t>
            </w:r>
          </w:p>
        </w:tc>
      </w:tr>
      <w:tr>
        <w:trPr/>
        <w:tc>
          <w:tcPr>
            <w:tcW w:w="60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Adjustments to reconcile increase (decrease) in net assets resulting from operations </w:t>
              <w:br/>
              <w:t>   to net cash provided by (used in) operating activities:</w:t>
            </w:r>
          </w:p>
        </w:tc>
        <w:tc>
          <w:tcPr>
            <w:tcW w:w="146" w:type="dxa"/>
            <w:tcBorders/>
            <w:shd w:fill="auto" w:val="clear"/>
            <w:vAlign w:val="center"/>
          </w:tcPr>
          <w:p>
            <w:pPr>
              <w:pStyle w:val="TableContents"/>
              <w:spacing w:before="0" w:after="0"/>
              <w:ind w:left="0" w:right="0" w:hanging="0"/>
              <w:jc w:val="right"/>
              <w:rPr/>
            </w:pPr>
            <w:r>
              <w:rPr/>
              <w:t> </w:t>
            </w:r>
          </w:p>
        </w:tc>
        <w:tc>
          <w:tcPr>
            <w:tcW w:w="152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527" w:type="dxa"/>
            <w:gridSpan w:val="2"/>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firstLine="400"/>
              <w:jc w:val="right"/>
              <w:rPr/>
            </w:pPr>
            <w:r>
              <w:rPr/>
              <w:t> </w:t>
            </w:r>
          </w:p>
        </w:tc>
      </w:tr>
      <w:tr>
        <w:trPr/>
        <w:tc>
          <w:tcPr>
            <w:tcW w:w="607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Net change in unrealized (gains) losses on investments</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(5,550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3,752</w:t>
            </w:r>
          </w:p>
        </w:tc>
        <w:tc>
          <w:tcPr>
            <w:tcW w:w="614" w:type="dxa"/>
            <w:tcBorders/>
            <w:shd w:fill="auto" w:val="clear"/>
            <w:vAlign w:val="center"/>
          </w:tcPr>
          <w:p>
            <w:pPr>
              <w:pStyle w:val="TableContents"/>
              <w:spacing w:before="0" w:after="0"/>
              <w:ind w:left="0" w:right="0" w:firstLine="400"/>
              <w:jc w:val="left"/>
              <w:rPr/>
            </w:pPr>
            <w:r>
              <w:rPr/>
              <w:t> </w:t>
            </w:r>
          </w:p>
        </w:tc>
      </w:tr>
      <w:tr>
        <w:trPr/>
        <w:tc>
          <w:tcPr>
            <w:tcW w:w="607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Net change in unrealized (gains) losses on foreign currency transactions</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1,800</w:t>
            </w:r>
          </w:p>
        </w:tc>
        <w:tc>
          <w:tcPr>
            <w:tcW w:w="614" w:type="dxa"/>
            <w:tcBorders/>
            <w:shd w:fill="auto" w:val="clear"/>
            <w:vAlign w:val="center"/>
          </w:tcPr>
          <w:p>
            <w:pPr>
              <w:pStyle w:val="TableContents"/>
              <w:spacing w:before="0" w:after="0"/>
              <w:ind w:left="0" w:right="0" w:firstLine="400"/>
              <w:jc w:val="left"/>
              <w:rPr/>
            </w:pPr>
            <w:r>
              <w:rPr/>
              <w:t> </w:t>
            </w:r>
          </w:p>
        </w:tc>
      </w:tr>
      <w:tr>
        <w:trPr/>
        <w:tc>
          <w:tcPr>
            <w:tcW w:w="607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Net change in unrealized (gains) losses on interest rate swaps</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2,943</w:t>
            </w:r>
          </w:p>
        </w:tc>
        <w:tc>
          <w:tcPr>
            <w:tcW w:w="614" w:type="dxa"/>
            <w:tcBorders/>
            <w:shd w:fill="auto" w:val="clear"/>
            <w:vAlign w:val="center"/>
          </w:tcPr>
          <w:p>
            <w:pPr>
              <w:pStyle w:val="TableContents"/>
              <w:spacing w:before="0" w:after="0"/>
              <w:ind w:left="0" w:right="0" w:firstLine="400"/>
              <w:jc w:val="left"/>
              <w:rPr/>
            </w:pPr>
            <w:r>
              <w:rPr/>
              <w:t> </w:t>
            </w:r>
          </w:p>
        </w:tc>
      </w:tr>
      <w:tr>
        <w:trPr/>
        <w:tc>
          <w:tcPr>
            <w:tcW w:w="607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Net realized (gains) losses on investments</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(4,814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(13,681</w:t>
            </w:r>
          </w:p>
        </w:tc>
        <w:tc>
          <w:tcPr>
            <w:tcW w:w="614"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07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Net realized (gains) losses on foreign currency transactions</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614"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07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Net amortization of discount on investments</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(3,537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(4,764</w:t>
            </w:r>
          </w:p>
        </w:tc>
        <w:tc>
          <w:tcPr>
            <w:tcW w:w="614"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07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Amortization of deferred financing costs</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1,443</w:t>
            </w:r>
          </w:p>
        </w:tc>
        <w:tc>
          <w:tcPr>
            <w:tcW w:w="614" w:type="dxa"/>
            <w:tcBorders/>
            <w:shd w:fill="auto" w:val="clear"/>
            <w:vAlign w:val="center"/>
          </w:tcPr>
          <w:p>
            <w:pPr>
              <w:pStyle w:val="TableContents"/>
              <w:spacing w:before="0" w:after="0"/>
              <w:ind w:left="0" w:right="0" w:firstLine="400"/>
              <w:jc w:val="left"/>
              <w:rPr/>
            </w:pPr>
            <w:r>
              <w:rPr/>
              <w:t> </w:t>
            </w:r>
          </w:p>
        </w:tc>
      </w:tr>
      <w:tr>
        <w:trPr/>
        <w:tc>
          <w:tcPr>
            <w:tcW w:w="607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Amortization of discount on debt</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w:t>
            </w:r>
          </w:p>
        </w:tc>
        <w:tc>
          <w:tcPr>
            <w:tcW w:w="614" w:type="dxa"/>
            <w:tcBorders/>
            <w:shd w:fill="auto" w:val="clear"/>
            <w:vAlign w:val="center"/>
          </w:tcPr>
          <w:p>
            <w:pPr>
              <w:pStyle w:val="TableContents"/>
              <w:spacing w:before="0" w:after="0"/>
              <w:ind w:left="0" w:right="0" w:firstLine="400"/>
              <w:jc w:val="left"/>
              <w:rPr/>
            </w:pPr>
            <w:r>
              <w:rPr/>
              <w:t> </w:t>
            </w:r>
          </w:p>
        </w:tc>
      </w:tr>
      <w:tr>
        <w:trPr/>
        <w:tc>
          <w:tcPr>
            <w:tcW w:w="607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Purchases and originations of investments, net</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(176,371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(84,222</w:t>
            </w:r>
          </w:p>
        </w:tc>
        <w:tc>
          <w:tcPr>
            <w:tcW w:w="614"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07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Proceeds from investments, net</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5,370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17,572</w:t>
            </w:r>
          </w:p>
        </w:tc>
        <w:tc>
          <w:tcPr>
            <w:tcW w:w="614" w:type="dxa"/>
            <w:tcBorders/>
            <w:shd w:fill="auto" w:val="clear"/>
            <w:vAlign w:val="center"/>
          </w:tcPr>
          <w:p>
            <w:pPr>
              <w:pStyle w:val="TableContents"/>
              <w:spacing w:before="0" w:after="0"/>
              <w:ind w:left="0" w:right="0" w:firstLine="400"/>
              <w:jc w:val="left"/>
              <w:rPr/>
            </w:pPr>
            <w:r>
              <w:rPr/>
              <w:t> </w:t>
            </w:r>
          </w:p>
        </w:tc>
      </w:tr>
      <w:tr>
        <w:trPr/>
        <w:tc>
          <w:tcPr>
            <w:tcW w:w="607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Repayments on investments</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57,543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154,284</w:t>
            </w:r>
          </w:p>
        </w:tc>
        <w:tc>
          <w:tcPr>
            <w:tcW w:w="614" w:type="dxa"/>
            <w:tcBorders/>
            <w:shd w:fill="auto" w:val="clear"/>
            <w:vAlign w:val="center"/>
          </w:tcPr>
          <w:p>
            <w:pPr>
              <w:pStyle w:val="TableContents"/>
              <w:spacing w:before="0" w:after="0"/>
              <w:ind w:left="0" w:right="0" w:firstLine="400"/>
              <w:jc w:val="left"/>
              <w:rPr/>
            </w:pPr>
            <w:r>
              <w:rPr/>
              <w:t> </w:t>
            </w:r>
          </w:p>
        </w:tc>
      </w:tr>
      <w:tr>
        <w:trPr/>
        <w:tc>
          <w:tcPr>
            <w:tcW w:w="607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Paid-in-kind interest</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(3,096</w:t>
            </w:r>
          </w:p>
        </w:tc>
        <w:tc>
          <w:tcPr>
            <w:tcW w:w="614"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079"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shd w:fill="auto" w:val="clear"/>
            <w:vAlign w:val="center"/>
          </w:tcPr>
          <w:p>
            <w:pPr>
              <w:pStyle w:val="TableContents"/>
              <w:spacing w:before="0" w:after="0"/>
              <w:ind w:left="0" w:right="0" w:hanging="0"/>
              <w:jc w:val="right"/>
              <w:rPr/>
            </w:pPr>
            <w:r>
              <w:rPr/>
              <w:t> </w:t>
            </w:r>
          </w:p>
        </w:tc>
        <w:tc>
          <w:tcPr>
            <w:tcW w:w="152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527" w:type="dxa"/>
            <w:gridSpan w:val="2"/>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firstLine="400"/>
              <w:jc w:val="right"/>
              <w:rPr/>
            </w:pPr>
            <w:r>
              <w:rPr/>
              <w:t> </w:t>
            </w:r>
          </w:p>
        </w:tc>
      </w:tr>
      <w:tr>
        <w:trPr/>
        <w:tc>
          <w:tcPr>
            <w:tcW w:w="607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Interest receivable</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(5,784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(922</w:t>
            </w:r>
          </w:p>
        </w:tc>
        <w:tc>
          <w:tcPr>
            <w:tcW w:w="614"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07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Interest receivable paid-in-kind</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614" w:type="dxa"/>
            <w:tcBorders/>
            <w:shd w:fill="auto" w:val="clear"/>
            <w:vAlign w:val="center"/>
          </w:tcPr>
          <w:p>
            <w:pPr>
              <w:pStyle w:val="TableContents"/>
              <w:spacing w:before="0" w:after="0"/>
              <w:ind w:left="0" w:right="0" w:firstLine="400"/>
              <w:jc w:val="left"/>
              <w:rPr/>
            </w:pPr>
            <w:r>
              <w:rPr/>
              <w:t> </w:t>
            </w:r>
          </w:p>
        </w:tc>
      </w:tr>
      <w:tr>
        <w:trPr/>
        <w:tc>
          <w:tcPr>
            <w:tcW w:w="607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expenses and other assets</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(626</w:t>
            </w:r>
          </w:p>
        </w:tc>
        <w:tc>
          <w:tcPr>
            <w:tcW w:w="614"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07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Management fees payable to affiliate</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614"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07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Incentive fees on net investment income payable to affiliate</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(1,912</w:t>
            </w:r>
          </w:p>
        </w:tc>
        <w:tc>
          <w:tcPr>
            <w:tcW w:w="614"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07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Incentive fees on net capital gains accrued to affiliate</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1,423</w:t>
            </w:r>
          </w:p>
        </w:tc>
        <w:tc>
          <w:tcPr>
            <w:tcW w:w="614" w:type="dxa"/>
            <w:tcBorders/>
            <w:shd w:fill="auto" w:val="clear"/>
            <w:vAlign w:val="center"/>
          </w:tcPr>
          <w:p>
            <w:pPr>
              <w:pStyle w:val="TableContents"/>
              <w:spacing w:before="0" w:after="0"/>
              <w:ind w:left="0" w:right="0" w:firstLine="400"/>
              <w:jc w:val="left"/>
              <w:rPr/>
            </w:pPr>
            <w:r>
              <w:rPr/>
              <w:t> </w:t>
            </w:r>
          </w:p>
        </w:tc>
      </w:tr>
      <w:tr>
        <w:trPr/>
        <w:tc>
          <w:tcPr>
            <w:tcW w:w="607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Payable to affiliate</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w:t>
            </w:r>
          </w:p>
        </w:tc>
        <w:tc>
          <w:tcPr>
            <w:tcW w:w="614"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07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liabilities</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6,835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(33,651</w:t>
            </w:r>
          </w:p>
        </w:tc>
        <w:tc>
          <w:tcPr>
            <w:tcW w:w="6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079" w:type="dxa"/>
            <w:tcBorders/>
            <w:shd w:fill="auto" w:val="clear"/>
            <w:vAlign w:val="center"/>
          </w:tcPr>
          <w:p>
            <w:pPr>
              <w:pStyle w:val="TableContents"/>
              <w:spacing w:before="0" w:after="0"/>
              <w:ind w:left="400" w:right="0" w:hanging="0"/>
              <w:jc w:val="left"/>
              <w:rPr>
                <w:rFonts w:ascii="Times New Roman;serif" w:hAnsi="Times New Roman;serif"/>
                <w:b/>
                <w:sz w:val="20"/>
              </w:rPr>
            </w:pPr>
            <w:r>
              <w:rPr>
                <w:rFonts w:ascii="Times New Roman;serif" w:hAnsi="Times New Roman;serif"/>
                <w:b/>
                <w:sz w:val="20"/>
              </w:rPr>
              <w:t>Net Cash Provided by (Used in) Operating Activities</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(73,504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81,150</w:t>
            </w:r>
          </w:p>
        </w:tc>
        <w:tc>
          <w:tcPr>
            <w:tcW w:w="6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79"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146" w:type="dxa"/>
            <w:tcBorders/>
            <w:shd w:fill="auto" w:val="clear"/>
            <w:vAlign w:val="center"/>
          </w:tcPr>
          <w:p>
            <w:pPr>
              <w:pStyle w:val="TableContents"/>
              <w:spacing w:before="0" w:after="0"/>
              <w:ind w:left="0" w:right="0" w:hanging="0"/>
              <w:jc w:val="right"/>
              <w:rPr/>
            </w:pPr>
            <w:r>
              <w:rPr/>
              <w:t> </w:t>
            </w:r>
          </w:p>
        </w:tc>
        <w:tc>
          <w:tcPr>
            <w:tcW w:w="152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527" w:type="dxa"/>
            <w:gridSpan w:val="2"/>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hanging="0"/>
              <w:jc w:val="right"/>
              <w:rPr/>
            </w:pPr>
            <w:r>
              <w:rPr/>
              <w:t> </w:t>
            </w:r>
          </w:p>
        </w:tc>
      </w:tr>
      <w:tr>
        <w:trPr/>
        <w:tc>
          <w:tcPr>
            <w:tcW w:w="60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Borrowings on debt</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457,575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134,530</w:t>
            </w:r>
          </w:p>
        </w:tc>
        <w:tc>
          <w:tcPr>
            <w:tcW w:w="614" w:type="dxa"/>
            <w:tcBorders/>
            <w:shd w:fill="auto" w:val="clear"/>
            <w:vAlign w:val="center"/>
          </w:tcPr>
          <w:p>
            <w:pPr>
              <w:pStyle w:val="TableContents"/>
              <w:spacing w:before="0" w:after="0"/>
              <w:ind w:left="0" w:right="0" w:hanging="0"/>
              <w:jc w:val="left"/>
              <w:rPr/>
            </w:pPr>
            <w:r>
              <w:rPr/>
              <w:t> </w:t>
            </w:r>
          </w:p>
        </w:tc>
      </w:tr>
      <w:tr>
        <w:trPr/>
        <w:tc>
          <w:tcPr>
            <w:tcW w:w="60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Repayments on debt</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(345,465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(175,589</w:t>
            </w:r>
          </w:p>
        </w:tc>
        <w:tc>
          <w:tcPr>
            <w:tcW w:w="6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financing costs</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6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0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Dividends paid to stockholders</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(38,516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(32,512</w:t>
            </w:r>
          </w:p>
        </w:tc>
        <w:tc>
          <w:tcPr>
            <w:tcW w:w="6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079" w:type="dxa"/>
            <w:tcBorders/>
            <w:shd w:fill="auto" w:val="clear"/>
            <w:vAlign w:val="center"/>
          </w:tcPr>
          <w:p>
            <w:pPr>
              <w:pStyle w:val="TableContents"/>
              <w:spacing w:before="0" w:after="0"/>
              <w:ind w:left="400" w:right="0" w:hanging="0"/>
              <w:jc w:val="left"/>
              <w:rPr>
                <w:rFonts w:ascii="Times New Roman;serif" w:hAnsi="Times New Roman;serif"/>
                <w:b/>
                <w:sz w:val="20"/>
              </w:rPr>
            </w:pPr>
            <w:r>
              <w:rPr>
                <w:rFonts w:ascii="Times New Roman;serif" w:hAnsi="Times New Roman;serif"/>
                <w:b/>
                <w:sz w:val="20"/>
              </w:rPr>
              <w:t>Net Cash Provided by (Used in) Financing Activities</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73,594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(73,623</w:t>
            </w:r>
          </w:p>
        </w:tc>
        <w:tc>
          <w:tcPr>
            <w:tcW w:w="6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079" w:type="dxa"/>
            <w:tcBorders/>
            <w:shd w:fill="auto" w:val="clear"/>
            <w:vAlign w:val="center"/>
          </w:tcPr>
          <w:p>
            <w:pPr>
              <w:pStyle w:val="TableContents"/>
              <w:spacing w:before="0" w:after="0"/>
              <w:ind w:left="400" w:right="0" w:hanging="0"/>
              <w:jc w:val="left"/>
              <w:rPr>
                <w:rFonts w:ascii="Times New Roman;serif" w:hAnsi="Times New Roman;serif"/>
                <w:b/>
                <w:sz w:val="20"/>
              </w:rPr>
            </w:pPr>
            <w:r>
              <w:rPr>
                <w:rFonts w:ascii="Times New Roman;serif" w:hAnsi="Times New Roman;serif"/>
                <w:b/>
                <w:sz w:val="20"/>
              </w:rPr>
              <w:t>Net Increase (Decrease) in Cash, Cash Equivalents, and Restricted Cash</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pPr>
            <w:r>
              <w:rPr/>
              <w:t> </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7,527</w:t>
            </w:r>
          </w:p>
        </w:tc>
        <w:tc>
          <w:tcPr>
            <w:tcW w:w="614" w:type="dxa"/>
            <w:tcBorders/>
            <w:shd w:fill="auto" w:val="clear"/>
            <w:vAlign w:val="center"/>
          </w:tcPr>
          <w:p>
            <w:pPr>
              <w:pStyle w:val="TableContents"/>
              <w:spacing w:before="0" w:after="0"/>
              <w:ind w:left="0" w:right="0" w:hanging="0"/>
              <w:jc w:val="left"/>
              <w:rPr/>
            </w:pPr>
            <w:r>
              <w:rPr/>
              <w:t> </w:t>
            </w:r>
          </w:p>
        </w:tc>
      </w:tr>
      <w:tr>
        <w:trPr/>
        <w:tc>
          <w:tcPr>
            <w:tcW w:w="60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beginning of period</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25,647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15,967</w:t>
            </w:r>
          </w:p>
        </w:tc>
        <w:tc>
          <w:tcPr>
            <w:tcW w:w="6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079" w:type="dxa"/>
            <w:tcBorders/>
            <w:shd w:fill="auto" w:val="clear"/>
            <w:vAlign w:val="center"/>
          </w:tcPr>
          <w:p>
            <w:pPr>
              <w:pStyle w:val="TableContents"/>
              <w:spacing w:before="0" w:after="0"/>
              <w:ind w:left="400" w:right="0" w:hanging="0"/>
              <w:jc w:val="left"/>
              <w:rPr>
                <w:rFonts w:ascii="Times New Roman;serif" w:hAnsi="Times New Roman;serif"/>
                <w:b/>
                <w:sz w:val="20"/>
              </w:rPr>
            </w:pPr>
            <w:r>
              <w:rPr>
                <w:rFonts w:ascii="Times New Roman;serif" w:hAnsi="Times New Roman;serif"/>
                <w:b/>
                <w:sz w:val="20"/>
              </w:rPr>
              <w:t>Cash, Cash Equivalents, and Restricted Cash, End of Period</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25,737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23,494</w:t>
            </w:r>
          </w:p>
        </w:tc>
        <w:tc>
          <w:tcPr>
            <w:tcW w:w="6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0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Information:</w:t>
            </w:r>
          </w:p>
        </w:tc>
        <w:tc>
          <w:tcPr>
            <w:tcW w:w="146" w:type="dxa"/>
            <w:tcBorders/>
            <w:shd w:fill="auto" w:val="clear"/>
            <w:vAlign w:val="center"/>
          </w:tcPr>
          <w:p>
            <w:pPr>
              <w:pStyle w:val="TableContents"/>
              <w:spacing w:before="0" w:after="0"/>
              <w:ind w:left="0" w:right="0" w:hanging="0"/>
              <w:jc w:val="right"/>
              <w:rPr/>
            </w:pPr>
            <w:r>
              <w:rPr/>
              <w:t> </w:t>
            </w:r>
          </w:p>
        </w:tc>
        <w:tc>
          <w:tcPr>
            <w:tcW w:w="152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527" w:type="dxa"/>
            <w:gridSpan w:val="2"/>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firstLine="400"/>
              <w:jc w:val="right"/>
              <w:rPr/>
            </w:pPr>
            <w:r>
              <w:rPr/>
              <w:t> </w:t>
            </w:r>
          </w:p>
        </w:tc>
      </w:tr>
      <w:tr>
        <w:trPr/>
        <w:tc>
          <w:tcPr>
            <w:tcW w:w="607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Interest paid during the period</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25,648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9,724</w:t>
            </w:r>
          </w:p>
        </w:tc>
        <w:tc>
          <w:tcPr>
            <w:tcW w:w="614" w:type="dxa"/>
            <w:tcBorders/>
            <w:shd w:fill="auto" w:val="clear"/>
            <w:vAlign w:val="center"/>
          </w:tcPr>
          <w:p>
            <w:pPr>
              <w:pStyle w:val="TableContents"/>
              <w:spacing w:before="0" w:after="0"/>
              <w:ind w:left="0" w:right="0" w:firstLine="400"/>
              <w:jc w:val="left"/>
              <w:rPr/>
            </w:pPr>
            <w:r>
              <w:rPr/>
              <w:t> </w:t>
            </w:r>
          </w:p>
        </w:tc>
      </w:tr>
      <w:tr>
        <w:trPr/>
        <w:tc>
          <w:tcPr>
            <w:tcW w:w="607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Excise and other taxes paid during the period</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1,200</w:t>
            </w:r>
          </w:p>
        </w:tc>
        <w:tc>
          <w:tcPr>
            <w:tcW w:w="614" w:type="dxa"/>
            <w:tcBorders/>
            <w:shd w:fill="auto" w:val="clear"/>
            <w:vAlign w:val="center"/>
          </w:tcPr>
          <w:p>
            <w:pPr>
              <w:pStyle w:val="TableContents"/>
              <w:spacing w:before="0" w:after="0"/>
              <w:ind w:left="0" w:right="0" w:firstLine="400"/>
              <w:jc w:val="left"/>
              <w:rPr/>
            </w:pPr>
            <w:r>
              <w:rPr/>
              <w:t> </w:t>
            </w:r>
          </w:p>
        </w:tc>
      </w:tr>
      <w:tr>
        <w:trPr/>
        <w:tc>
          <w:tcPr>
            <w:tcW w:w="607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Dividends declared during the period</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44,764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39,522</w:t>
            </w:r>
          </w:p>
        </w:tc>
        <w:tc>
          <w:tcPr>
            <w:tcW w:w="614" w:type="dxa"/>
            <w:tcBorders/>
            <w:shd w:fill="auto" w:val="clear"/>
            <w:vAlign w:val="center"/>
          </w:tcPr>
          <w:p>
            <w:pPr>
              <w:pStyle w:val="TableContents"/>
              <w:spacing w:before="0" w:after="0"/>
              <w:ind w:left="0" w:right="0" w:firstLine="400"/>
              <w:jc w:val="left"/>
              <w:rPr/>
            </w:pPr>
            <w:r>
              <w:rPr/>
              <w:t> </w:t>
            </w:r>
          </w:p>
        </w:tc>
      </w:tr>
      <w:tr>
        <w:trPr/>
        <w:tc>
          <w:tcPr>
            <w:tcW w:w="6079" w:type="dxa"/>
            <w:tcBorders/>
            <w:shd w:fill="auto" w:val="clear"/>
            <w:vAlign w:val="center"/>
          </w:tcPr>
          <w:p>
            <w:pPr>
              <w:pStyle w:val="TableContents"/>
              <w:spacing w:before="0" w:after="0"/>
              <w:ind w:left="40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52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527" w:type="dxa"/>
            <w:gridSpan w:val="2"/>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hanging="0"/>
              <w:jc w:val="right"/>
              <w:rPr/>
            </w:pPr>
            <w:r>
              <w:rPr/>
              <w:t> </w:t>
            </w:r>
          </w:p>
        </w:tc>
      </w:tr>
      <w:tr>
        <w:trPr/>
        <w:tc>
          <w:tcPr>
            <w:tcW w:w="607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Non-Cash Financing Activities:</w:t>
            </w:r>
          </w:p>
        </w:tc>
        <w:tc>
          <w:tcPr>
            <w:tcW w:w="146" w:type="dxa"/>
            <w:tcBorders/>
            <w:shd w:fill="auto" w:val="clear"/>
            <w:vAlign w:val="center"/>
          </w:tcPr>
          <w:p>
            <w:pPr>
              <w:pStyle w:val="TableContents"/>
              <w:spacing w:before="0" w:after="0"/>
              <w:ind w:left="0" w:right="0" w:hanging="0"/>
              <w:jc w:val="right"/>
              <w:rPr/>
            </w:pPr>
            <w:r>
              <w:rPr/>
              <w:t> </w:t>
            </w:r>
          </w:p>
        </w:tc>
        <w:tc>
          <w:tcPr>
            <w:tcW w:w="152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527" w:type="dxa"/>
            <w:gridSpan w:val="2"/>
            <w:tcBorders/>
            <w:shd w:fill="auto" w:val="clear"/>
            <w:vAlign w:val="center"/>
          </w:tcPr>
          <w:p>
            <w:pPr>
              <w:pStyle w:val="TableContents"/>
              <w:spacing w:before="0" w:after="0"/>
              <w:ind w:left="0" w:right="0" w:hanging="0"/>
              <w:jc w:val="right"/>
              <w:rPr/>
            </w:pPr>
            <w:r>
              <w:rPr/>
              <w:t> </w:t>
            </w:r>
          </w:p>
        </w:tc>
        <w:tc>
          <w:tcPr>
            <w:tcW w:w="614" w:type="dxa"/>
            <w:tcBorders/>
            <w:shd w:fill="auto" w:val="clear"/>
            <w:vAlign w:val="center"/>
          </w:tcPr>
          <w:p>
            <w:pPr>
              <w:pStyle w:val="TableContents"/>
              <w:spacing w:before="0" w:after="0"/>
              <w:ind w:left="0" w:right="0" w:firstLine="400"/>
              <w:jc w:val="right"/>
              <w:rPr/>
            </w:pPr>
            <w:r>
              <w:rPr/>
              <w:t> </w:t>
            </w:r>
          </w:p>
        </w:tc>
      </w:tr>
      <w:tr>
        <w:trPr/>
        <w:tc>
          <w:tcPr>
            <w:tcW w:w="6079"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Reinvestment of dividends during the period</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6,248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6,774</w:t>
            </w:r>
          </w:p>
        </w:tc>
        <w:tc>
          <w:tcPr>
            <w:tcW w:w="614" w:type="dxa"/>
            <w:tcBorders/>
            <w:shd w:fill="auto" w:val="clear"/>
            <w:vAlign w:val="center"/>
          </w:tcPr>
          <w:p>
            <w:pPr>
              <w:pStyle w:val="TableContents"/>
              <w:spacing w:before="0" w:after="0"/>
              <w:ind w:left="0" w:right="0" w:hanging="0"/>
              <w:jc w:val="left"/>
              <w:rPr/>
            </w:pPr>
            <w:r>
              <w:rPr/>
              <w:t> </w:t>
            </w:r>
          </w:p>
        </w:tc>
      </w:tr>
    </w:tbl>
    <w:p>
      <w:pPr>
        <w:pStyle w:val="TextBody"/>
        <w:spacing w:before="40" w:after="0"/>
        <w:jc w:val="center"/>
        <w:rPr/>
      </w:pPr>
      <w:r>
        <w:rPr/>
        <w:t> </w:t>
      </w:r>
    </w:p>
    <w:p>
      <w:pPr>
        <w:pStyle w:val="TextBody"/>
        <w:spacing w:before="40" w:after="0"/>
        <w:jc w:val="center"/>
        <w:rPr>
          <w:rFonts w:ascii="Times New Roman" w:hAnsi="Times New Roman"/>
          <w:sz w:val="20"/>
        </w:rPr>
      </w:pPr>
      <w:r>
        <w:rPr>
          <w:rFonts w:ascii="Times New Roman;serif" w:hAnsi="Times New Roman;serif"/>
          <w:b w:val="false"/>
          <w:sz w:val="20"/>
        </w:rPr>
        <w:t>The accompanying notes are an integral part of these consolidated financial statements.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Sixth Street Specialty Lending, Inc.</w:t>
      </w:r>
      <w:r>
        <w:rPr>
          <w:rFonts w:ascii="Times New Roman" w:hAnsi="Times New Roman"/>
          <w:sz w:val="20"/>
        </w:rPr>
        <w:t xml:space="preserve"> </w:t>
      </w:r>
    </w:p>
    <w:p>
      <w:pPr>
        <w:pStyle w:val="TextBody"/>
        <w:spacing w:before="0" w:after="0"/>
        <w:jc w:val="center"/>
        <w:rPr>
          <w:rFonts w:ascii="Times New Roman" w:hAnsi="Times New Roman"/>
          <w:sz w:val="20"/>
        </w:rPr>
      </w:pPr>
      <w:bookmarkStart w:id="9" w:name="notes_to_consolidated_financial_statemen"/>
      <w:bookmarkEnd w:id="9"/>
      <w:r>
        <w:rPr>
          <w:rFonts w:ascii="Times New Roman;serif" w:hAnsi="Times New Roman;serif"/>
          <w:b/>
          <w:sz w:val="20"/>
        </w:rPr>
        <w:t>Notes to Consolidated Financial Statements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(Amounts in thousands, unless otherwise indicated)</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sz w:val="20"/>
        </w:rPr>
        <w:t>1. Organization and Basis of Presentation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Organization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Sixth Street Specialty Lending, Inc.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Specialty Lending Advisers, LLC (the “Adviser”). On June 1, 2011, the Company formed a wholly-owned subsidiary, TC Lending, LLC, a Delaware limited liability company. On March 22, 2012, the Company formed a wholly-owned subsidiary, Sixth Street SL SPV, LLC, a Delaware limited liability company. On May 19, 2014, the Company formed a wholly-owned subsidiary, Sixth Street SL Holding, LLC, a Delaware limited liability company. On December 9, 2020, the Company formed a wholly-owned subsidiary, Sixth Street Specialty Lending Sub, LLC, a Cayman Islands limited liability company.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On March 21, 2014, the Company completed its initial public offering (“IPO”) and the Company’s shares began trading on the New York Stock Exchange (“NYSE”) under the symbol “TSLX.”</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val="false"/>
          <w:i/>
          <w:sz w:val="20"/>
        </w:rPr>
        <w:t>Basis of Presentation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2022, which was filed with the Securities and Exchange Commission (“SEC”), on February 16, 2023.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 xml:space="preserve">The Company is an investment company and, therefore, applies the specialized accounting and reporting guidance in Accounting Standards Codification (“ASC”) Topic 946, </w:t>
      </w:r>
      <w:r>
        <w:rPr>
          <w:rFonts w:ascii="Times New Roman;serif" w:hAnsi="Times New Roman;serif"/>
          <w:b w:val="false"/>
          <w:i/>
          <w:sz w:val="20"/>
        </w:rPr>
        <w:t>Financial Services – Investment Companies.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val="false"/>
          <w:i/>
          <w:sz w:val="20"/>
        </w:rPr>
        <w:t>Fiscal Year End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Company’s fiscal year ends on December 31.</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2. Significant Accounting Policies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Use of Estimates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val="false"/>
          <w:i/>
          <w:sz w:val="20"/>
        </w:rPr>
        <w:t>Cash and Cash Equivalents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val="false"/>
          <w:i/>
          <w:sz w:val="20"/>
        </w:rPr>
        <w:t>Investments at Fair Value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Board undertakes a multi-step valuation process, which includes, among other procedures, the following: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valuation process begins with each investment being initially valued by the investment professionals responsible for the portfolio investment in conjunction with the portfolio management team.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Adviser’s management reviews the preliminary valuations with the investment professionals. Agreed upon valuation recommendations are presented to the Audit Committee.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Audit Committee reviews the valuations presented and recommends values for each investment to the Board.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 conducts this valuation process on a quarterly basis.</w:t>
      </w:r>
    </w:p>
    <w:p>
      <w:pPr>
        <w:pStyle w:val="TextBody"/>
        <w:spacing w:before="240" w:after="0"/>
        <w:jc w:val="left"/>
        <w:rPr>
          <w:rFonts w:ascii="Times New Roman" w:hAnsi="Times New Roman"/>
          <w:sz w:val="20"/>
        </w:rPr>
      </w:pPr>
      <w:r>
        <w:rPr>
          <w:rFonts w:ascii="Times New Roman;serif" w:hAnsi="Times New Roman;serif"/>
          <w:b w:val="false"/>
          <w:sz w:val="20"/>
        </w:rPr>
        <w:t>The Board has engaged independent third-party valuation firms to perform certain limited procedures that the Board has identified and requested them to perform in connection with the valuation process of investments for which no market quotations are readily available. At March 31, 2023,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 xml:space="preserve">The Company applies Financial Accounting Standards Board Accounting Standards Codification Topic 820, </w:t>
      </w:r>
      <w:r>
        <w:rPr>
          <w:rFonts w:ascii="Times New Roman;serif" w:hAnsi="Times New Roman;serif"/>
          <w:b w:val="false"/>
          <w:i/>
          <w:sz w:val="20"/>
        </w:rPr>
        <w:t xml:space="preserve">Fair Value Measurement </w:t>
      </w:r>
      <w:r>
        <w:rPr>
          <w:rFonts w:ascii="Times New Roman;serif" w:hAnsi="Times New Roman;serif"/>
          <w:b w:val="false"/>
          <w:sz w:val="20"/>
        </w:rPr>
        <w:t>(“ASC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Level 1—Valuations based on quoted prices in active markets for identical assets or liabilities that the Company has the ability to access.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Level 2—Valuations based on quoted prices in markets that are not active or for which all significant inputs are observable, either directly or indirectly.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Level 3—Valuations based on inputs that are unobservable and significant to the overall fair value measurement.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val="false"/>
          <w:i/>
          <w:sz w:val="20"/>
        </w:rPr>
        <w:t>Financial and Derivative Instruments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recognizes all derivative instruments as assets or liabilities at fair value in its consolidated financial statements, pursuant to ASC Topic 815 Derivatives and Hedging, further clarified by the FASB’s issuance of the Accounting Standards Update (“ASU”) No. 2017-12, Derivatives and Hedging, which was adopted in 2019 by the Company. For all derivative instruments designated in a hedge accounting relationship, the entire change in the 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Derivatives, including the Company’s interest rate swaps, for which broker quotes are available are typically valued at those broker quotes.</w:t>
      </w:r>
    </w:p>
    <w:p>
      <w:pPr>
        <w:pStyle w:val="TextBody"/>
        <w:spacing w:before="360" w:after="0"/>
        <w:jc w:val="left"/>
        <w:rPr>
          <w:rFonts w:ascii="Times New Roman" w:hAnsi="Times New Roman"/>
          <w:sz w:val="20"/>
        </w:rPr>
      </w:pPr>
      <w:r>
        <w:rPr>
          <w:rFonts w:ascii="Times New Roman;serif" w:hAnsi="Times New Roman;serif"/>
          <w:b w:val="false"/>
          <w:i/>
          <w:sz w:val="20"/>
        </w:rPr>
        <w:t>Offsetting Assets and Liabilities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val="false"/>
          <w:i/>
          <w:sz w:val="20"/>
        </w:rPr>
        <w:t>Foreign Currency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Foreign currency amounts are translated into U.S. dollars on the following basis:</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cash and cash equivalents, market value of investments, outstanding debt on revolving credit facilities, other assets and liabilities: at the spot exchange rate on the last business day of the period;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purchases and sales of investments, borrowings and repayments of such borrowings, income and expenses: at the rates of exchange prevailing on the respective dates of such transactions.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pStyle w:val="TextBody"/>
        <w:spacing w:before="240" w:after="0"/>
        <w:jc w:val="left"/>
        <w:rPr>
          <w:rFonts w:ascii="Times New Roman" w:hAnsi="Times New Roman"/>
          <w:sz w:val="20"/>
        </w:rPr>
      </w:pPr>
      <w:r>
        <w:rPr>
          <w:rFonts w:ascii="Times New Roman;serif" w:hAnsi="Times New Roman;serif"/>
          <w:b w:val="false"/>
          <w:sz w:val="20"/>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val="false"/>
          <w:i/>
          <w:sz w:val="20"/>
        </w:rPr>
        <w:t>Equity Offering Expenses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records expenses related to equity offerings as a reduction of capital upon completion of an offering of registered securities. The costs associated with renewals of the Company’s shelf registration statement are expensed as incurred.</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val="false"/>
          <w:i/>
          <w:sz w:val="20"/>
        </w:rPr>
        <w:t>Debt Issuance Costs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val="false"/>
          <w:i/>
          <w:sz w:val="20"/>
        </w:rPr>
        <w:t>Interest and Dividend Income Recognition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Unless providing services in connection with an investment, such as syndication, structuring or diligence, all or a portion of any loan fees received by the Company will be deferred and amortized over the investment’s life using the effective interest method.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val="false"/>
          <w:i/>
          <w:sz w:val="20"/>
        </w:rPr>
        <w:t>Other Income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val="false"/>
          <w:i/>
          <w:sz w:val="20"/>
        </w:rPr>
        <w:t>Earnings per share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Company's earnings per share (“EPS”) amounts have been computed based on the weighted-average number of shares of common stock outstanding for the period. Basic EPS is computed by dividing net increase (decrease) in net assets resulting from operations by the weighted average number of shares of common stock outstanding during the period. Diluted EPS is computed by dividing net increase (decrease) in net assets resulting from operations by the weighted average number of shares of common stock assuming all potential shares had been issued and the additional shares of common stock were dilutive. Diluted EPS reflects the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potential dilution, using the if-converted method for convertible debt, which could occur if all potentially dilutive securities were exercised.</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val="false"/>
          <w:i/>
          <w:sz w:val="20"/>
        </w:rPr>
        <w:t>Reimbursement of Transaction-Related Expenses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pStyle w:val="TextBody"/>
        <w:spacing w:before="360" w:after="0"/>
        <w:jc w:val="left"/>
        <w:rPr>
          <w:rFonts w:ascii="Times New Roman" w:hAnsi="Times New Roman"/>
          <w:sz w:val="20"/>
        </w:rPr>
      </w:pPr>
      <w:r>
        <w:rPr>
          <w:rFonts w:ascii="Times New Roman;serif" w:hAnsi="Times New Roman;serif"/>
          <w:b w:val="false"/>
          <w:i/>
          <w:sz w:val="20"/>
        </w:rPr>
        <w:t>Income Taxes, Including Excise Taxes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has elected to be treated as a RIC under Subchapter M of the Code, and the Company intends to operate in a manner so as to continue to qualify for the tax treatment applicable to RICs. To qualify as a RIC, the Company must, among other things, distribute to its stockholders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stockholders, which generally relieves the Company from corporate-level U.S. federal income taxes.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the three months ended March 31, 2023, the Company did not have any uncertain tax positions that met the recognition or measurement criteria, nor did the Company have any unrecognized tax benefits. The Company’s 2022, 2021 and 2020 tax year returns remain subject to examination by the relevant federal, state, and local tax authorities.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pStyle w:val="TextBody"/>
        <w:spacing w:before="240" w:after="0"/>
        <w:jc w:val="left"/>
        <w:rPr>
          <w:rFonts w:ascii="Times New Roman" w:hAnsi="Times New Roman"/>
          <w:sz w:val="20"/>
        </w:rPr>
      </w:pPr>
      <w:r>
        <w:rPr>
          <w:rFonts w:ascii="Times New Roman;serif" w:hAnsi="Times New Roman;serif"/>
          <w:b w:val="false"/>
          <w:sz w:val="20"/>
        </w:rPr>
        <w:t>For the three months ended March 31, 2023 and 2022, the Company recorded a net expense of $0.4</w:t>
      </w:r>
      <w:r>
        <w:rPr>
          <w:rFonts w:ascii="Times New Roman" w:hAnsi="Times New Roman"/>
          <w:sz w:val="20"/>
        </w:rPr>
        <w:t xml:space="preserve"> </w:t>
      </w:r>
      <w:r>
        <w:rPr>
          <w:rFonts w:ascii="Times New Roman;serif" w:hAnsi="Times New Roman;serif"/>
          <w:b w:val="false"/>
          <w:sz w:val="20"/>
        </w:rPr>
        <w:t>million and $0.4</w:t>
      </w:r>
      <w:r>
        <w:rPr>
          <w:rFonts w:ascii="Times New Roman" w:hAnsi="Times New Roman"/>
          <w:sz w:val="20"/>
        </w:rPr>
        <w:t xml:space="preserve"> </w:t>
      </w:r>
      <w:r>
        <w:rPr>
          <w:rFonts w:ascii="Times New Roman;serif" w:hAnsi="Times New Roman;serif"/>
          <w:b w:val="false"/>
          <w:sz w:val="20"/>
        </w:rPr>
        <w:t>million, respectively, for U.S. federal excise tax and other taxes.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val="false"/>
          <w:i/>
          <w:sz w:val="20"/>
        </w:rPr>
        <w:t>Dividends to Common Stockholders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Dividends to common stockholders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Recent Accounting Standards and Regulatory Updates</w:t>
      </w:r>
    </w:p>
    <w:p>
      <w:pPr>
        <w:pStyle w:val="TextBody"/>
        <w:spacing w:before="240" w:after="0"/>
        <w:jc w:val="left"/>
        <w:rPr>
          <w:rFonts w:ascii="Times New Roman" w:hAnsi="Times New Roman"/>
          <w:sz w:val="20"/>
        </w:rPr>
      </w:pPr>
      <w:r>
        <w:rPr>
          <w:rFonts w:ascii="Times New Roman;serif" w:hAnsi="Times New Roman;serif"/>
          <w:b w:val="false"/>
          <w:sz w:val="20"/>
        </w:rPr>
        <w:t>In December 2022, the Financial Accounting Standards Board issued Accounting Standards Update 2022-06 (“ASU 2022-06”) “Reference Rate Reform (Topic 848): Deferral of the Sunset Date of Topic 848.” Topic 848 provides optional expedients and exceptions for applying generally accepted accounting principles to contract modifications and hedging relationships, subject to</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meeting certain criteria, that reference LIBOR or another reference rate expected to be discontinued. ASU 2022-06 defers the sunset date of Topic 848 from December 31, 2022, to December 31, 2024, after which entities will no longer be permitted to apply the relief in Topic 848. ASU 2022-06 is effective for all entities in scope upon issuance of ASU 2022-06. The adoption</w:t>
      </w:r>
      <w:r>
        <w:rPr>
          <w:rFonts w:ascii="Times New Roman" w:hAnsi="Times New Roman"/>
          <w:sz w:val="20"/>
        </w:rPr>
        <w:t xml:space="preserve"> </w:t>
      </w:r>
      <w:r>
        <w:rPr>
          <w:rFonts w:ascii="Times New Roman;serif" w:hAnsi="Times New Roman;serif"/>
          <w:b w:val="false"/>
          <w:sz w:val="20"/>
        </w:rPr>
        <w:t>of this guidance did not have a material impact on the Company’s financial position, result of operations or cash flows.</w:t>
      </w:r>
    </w:p>
    <w:p>
      <w:pPr>
        <w:pStyle w:val="TextBody"/>
        <w:spacing w:before="360" w:after="0"/>
        <w:jc w:val="left"/>
        <w:rPr>
          <w:rFonts w:ascii="Times New Roman" w:hAnsi="Times New Roman"/>
          <w:sz w:val="20"/>
        </w:rPr>
      </w:pPr>
      <w:r>
        <w:rPr>
          <w:rFonts w:ascii="Times New Roman;serif" w:hAnsi="Times New Roman;serif"/>
          <w:b/>
          <w:sz w:val="20"/>
        </w:rPr>
        <w:t>3. Agreements and Related Party Transactions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Administration Agreement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November 2022, the Board renewed the Administration Agreement. Unless earlier terminated as described below, the Administration Agreement will remain in effect until November 2023, and may be extended subject to required approvals. The Administration Agreement may be terminated by either party without penalty on 60</w:t>
      </w:r>
      <w:r>
        <w:rPr>
          <w:rFonts w:ascii="Times New Roman" w:hAnsi="Times New Roman"/>
          <w:sz w:val="20"/>
        </w:rPr>
        <w:t xml:space="preserve"> </w:t>
      </w:r>
      <w:r>
        <w:rPr>
          <w:rFonts w:ascii="Times New Roman;serif" w:hAnsi="Times New Roman;serif"/>
          <w:b w:val="false"/>
          <w:sz w:val="20"/>
        </w:rPr>
        <w:t>days’ written notice to the other party.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the Company’s officers who provide operational and administrative services to the Company pursuant to the Administration Agreement, their respective staffs and other professionals who provide services to the Company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the Company pursuant to the Administration Agreement, including individuals who provide “back office” or “middle office” financial, operational, legal and/or compliance services to the Company.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For the three months ended March 31, 2023 and 2022 the Company incurred expenses of $0.6</w:t>
      </w:r>
      <w:r>
        <w:rPr>
          <w:rFonts w:ascii="Times New Roman" w:hAnsi="Times New Roman"/>
          <w:sz w:val="20"/>
        </w:rPr>
        <w:t xml:space="preserve"> </w:t>
      </w:r>
      <w:r>
        <w:rPr>
          <w:rFonts w:ascii="Times New Roman;serif" w:hAnsi="Times New Roman;serif"/>
          <w:b w:val="false"/>
          <w:sz w:val="20"/>
        </w:rPr>
        <w:t>million and $0.6</w:t>
      </w:r>
      <w:r>
        <w:rPr>
          <w:rFonts w:ascii="Times New Roman" w:hAnsi="Times New Roman"/>
          <w:sz w:val="20"/>
        </w:rPr>
        <w:t xml:space="preserve"> </w:t>
      </w:r>
      <w:r>
        <w:rPr>
          <w:rFonts w:ascii="Times New Roman;serif" w:hAnsi="Times New Roman;serif"/>
          <w:b w:val="false"/>
          <w:sz w:val="20"/>
        </w:rPr>
        <w:t>million, respectively, for administrative services payable to the Adviser under the terms of the Administration Agreement, which is included in other general and administrative expenses in the Consolidated Statements of Operations.</w:t>
      </w:r>
    </w:p>
    <w:p>
      <w:pPr>
        <w:pStyle w:val="TextBody"/>
        <w:spacing w:before="360" w:after="0"/>
        <w:jc w:val="left"/>
        <w:rPr>
          <w:rFonts w:ascii="Times New Roman" w:hAnsi="Times New Roman"/>
          <w:sz w:val="20"/>
        </w:rPr>
      </w:pPr>
      <w:r>
        <w:rPr>
          <w:rFonts w:ascii="Times New Roman;serif" w:hAnsi="Times New Roman;serif"/>
          <w:b w:val="false"/>
          <w:i/>
          <w:sz w:val="20"/>
        </w:rPr>
        <w:t>Investment Advisory Agreement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For the three months ended March 31, 2023 and 2022 Management Fees (gross of waivers) were $10.7</w:t>
      </w:r>
      <w:r>
        <w:rPr>
          <w:rFonts w:ascii="Times New Roman" w:hAnsi="Times New Roman"/>
          <w:sz w:val="20"/>
        </w:rPr>
        <w:t xml:space="preserve"> </w:t>
      </w:r>
      <w:r>
        <w:rPr>
          <w:rFonts w:ascii="Times New Roman;serif" w:hAnsi="Times New Roman;serif"/>
          <w:b w:val="false"/>
          <w:sz w:val="20"/>
        </w:rPr>
        <w:t>million and $9.3</w:t>
      </w:r>
      <w:r>
        <w:rPr>
          <w:rFonts w:ascii="Times New Roman" w:hAnsi="Times New Roman"/>
          <w:sz w:val="20"/>
        </w:rPr>
        <w:t xml:space="preserve"> </w:t>
      </w:r>
      <w:r>
        <w:rPr>
          <w:rFonts w:ascii="Times New Roman;serif" w:hAnsi="Times New Roman;serif"/>
          <w:b w:val="false"/>
          <w:sz w:val="20"/>
        </w:rPr>
        <w:t>million, respectively.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Any waived Management Fees are not subject to recoupment by the Adviser.</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The Adviser waived Management Fees of $0.3</w:t>
      </w:r>
      <w:r>
        <w:rPr>
          <w:rFonts w:ascii="Times New Roman" w:hAnsi="Times New Roman"/>
          <w:sz w:val="20"/>
        </w:rPr>
        <w:t xml:space="preserve"> </w:t>
      </w:r>
      <w:r>
        <w:rPr>
          <w:rFonts w:ascii="Times New Roman;serif" w:hAnsi="Times New Roman;serif"/>
          <w:b w:val="false"/>
          <w:sz w:val="20"/>
        </w:rPr>
        <w:t>million for the three months ended March 31, 2023</w:t>
      </w:r>
      <w:r>
        <w:rPr>
          <w:rFonts w:ascii="Times New Roman" w:hAnsi="Times New Roman"/>
          <w:sz w:val="20"/>
        </w:rPr>
        <w:t xml:space="preserve"> </w:t>
      </w:r>
      <w:r>
        <w:rPr>
          <w:rFonts w:ascii="Times New Roman;serif" w:hAnsi="Times New Roman;serif"/>
          <w:b w:val="false"/>
          <w:sz w:val="20"/>
        </w:rPr>
        <w:t>pursuant to the Leverage Waiver. The Adviser did not waive Management Fees for the three months ended March 31, 2022.</w:t>
      </w:r>
    </w:p>
    <w:p>
      <w:pPr>
        <w:pStyle w:val="TextBody"/>
        <w:spacing w:before="240" w:after="0"/>
        <w:jc w:val="left"/>
        <w:rPr>
          <w:rFonts w:ascii="Times New Roman" w:hAnsi="Times New Roman"/>
          <w:sz w:val="20"/>
        </w:rPr>
      </w:pPr>
      <w:r>
        <w:rPr>
          <w:rFonts w:ascii="Times New Roman;serif" w:hAnsi="Times New Roman;serif"/>
          <w:b w:val="false"/>
          <w:sz w:val="20"/>
        </w:rPr>
        <w:t>The Incentive Fee consists of two parts, as follows:</w:t>
      </w:r>
      <w:r>
        <w:rPr>
          <w:rFonts w:ascii="Times New Roman" w:hAnsi="Times New Roman"/>
          <w:sz w:val="20"/>
        </w:rPr>
        <w:t xml:space="preserve"> </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 </w:t>
      </w:r>
    </w:p>
    <w:p>
      <w:pPr>
        <w:pStyle w:val="TextBody"/>
        <w:spacing w:before="120" w:after="0"/>
        <w:jc w:val="left"/>
        <w:rPr>
          <w:rFonts w:ascii="Times New Roman" w:hAnsi="Times New Roman"/>
          <w:sz w:val="20"/>
        </w:rPr>
      </w:pPr>
      <w:r>
        <w:rPr>
          <w:rFonts w:ascii="Times New Roman;serif" w:hAnsi="Times New Roman;serif"/>
          <w:b w:val="false"/>
          <w:sz w:val="20"/>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r>
        <w:rPr>
          <w:rFonts w:ascii="Times New Roman" w:hAnsi="Times New Roman"/>
          <w:sz w:val="20"/>
        </w:rPr>
        <w:t xml:space="preserve"> </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283"/>
        <w:jc w:val="left"/>
        <w:rPr>
          <w:rFonts w:ascii="Times New Roman;serif" w:hAnsi="Times New Roman;serif"/>
          <w:sz w:val="24"/>
        </w:rPr>
      </w:pPr>
      <w:r>
        <w:rPr>
          <w:rFonts w:ascii="Times New Roman;serif" w:hAnsi="Times New Roman;serif"/>
          <w:b w:val="false"/>
          <w:sz w:val="20"/>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As of March 31, 2020, there were no</w:t>
      </w:r>
      <w:r>
        <w:rPr>
          <w:rFonts w:ascii="Times New Roman;serif" w:hAnsi="Times New Roman;serif"/>
          <w:sz w:val="24"/>
        </w:rPr>
        <w:t xml:space="preserve"> </w:t>
      </w:r>
      <w:r>
        <w:rPr>
          <w:rFonts w:ascii="Times New Roman;serif" w:hAnsi="Times New Roman;serif"/>
          <w:b w:val="false"/>
          <w:sz w:val="20"/>
        </w:rPr>
        <w:t xml:space="preserve">remaining investments that were made prior to April 1, 2014, and as a result, the Incentive Fee rate of 17.5% is applicable to any future realized capital gains. </w:t>
      </w:r>
    </w:p>
    <w:p>
      <w:pPr>
        <w:pStyle w:val="TextBody"/>
        <w:spacing w:before="240" w:after="0"/>
        <w:jc w:val="left"/>
        <w:rPr>
          <w:rFonts w:ascii="Times New Roman" w:hAnsi="Times New Roman"/>
          <w:sz w:val="20"/>
        </w:rPr>
      </w:pPr>
      <w:r>
        <w:rPr>
          <w:rFonts w:ascii="Times New Roman;serif" w:hAnsi="Times New Roman;serif"/>
          <w:b w:val="false"/>
          <w:sz w:val="20"/>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Section 205(b)(3) of the Investment Advisers Act of 1940, as amended, or the Advisers Act, prohibits the Adviser from receiving the payment of fees on unrealized gains until those gains are realized, if ever. There can be no assurance that such unrealized gains will be realized in the future.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For three months ended March 31, 2023 and 2022, Incentive Fees were $11.2</w:t>
      </w:r>
      <w:r>
        <w:rPr>
          <w:rFonts w:ascii="Times New Roman" w:hAnsi="Times New Roman"/>
          <w:sz w:val="20"/>
        </w:rPr>
        <w:t xml:space="preserve"> </w:t>
      </w:r>
      <w:r>
        <w:rPr>
          <w:rFonts w:ascii="Times New Roman;serif" w:hAnsi="Times New Roman;serif"/>
          <w:b w:val="false"/>
          <w:sz w:val="20"/>
        </w:rPr>
        <w:t>million and $9.3</w:t>
      </w:r>
      <w:r>
        <w:rPr>
          <w:rFonts w:ascii="Times New Roman" w:hAnsi="Times New Roman"/>
          <w:sz w:val="20"/>
        </w:rPr>
        <w:t xml:space="preserve"> </w:t>
      </w:r>
      <w:r>
        <w:rPr>
          <w:rFonts w:ascii="Times New Roman;serif" w:hAnsi="Times New Roman;serif"/>
          <w:b w:val="false"/>
          <w:sz w:val="20"/>
        </w:rPr>
        <w:t>million, respectively, of which $9.5</w:t>
      </w:r>
      <w:r>
        <w:rPr>
          <w:rFonts w:ascii="Times New Roman" w:hAnsi="Times New Roman"/>
          <w:sz w:val="20"/>
        </w:rPr>
        <w:t xml:space="preserve"> </w:t>
      </w:r>
      <w:r>
        <w:rPr>
          <w:rFonts w:ascii="Times New Roman;serif" w:hAnsi="Times New Roman;serif"/>
          <w:b w:val="false"/>
          <w:sz w:val="20"/>
        </w:rPr>
        <w:t>million and $7.9</w:t>
      </w:r>
      <w:r>
        <w:rPr>
          <w:rFonts w:ascii="Times New Roman" w:hAnsi="Times New Roman"/>
          <w:sz w:val="20"/>
        </w:rPr>
        <w:t xml:space="preserve"> </w:t>
      </w:r>
      <w:r>
        <w:rPr>
          <w:rFonts w:ascii="Times New Roman;serif" w:hAnsi="Times New Roman;serif"/>
          <w:b w:val="false"/>
          <w:sz w:val="20"/>
        </w:rPr>
        <w:t>million, respectively, were realized and payable to the Adviser. For the three months ended March 31, 2023 and 2022, $1.8</w:t>
      </w:r>
      <w:r>
        <w:rPr>
          <w:rFonts w:ascii="Times New Roman" w:hAnsi="Times New Roman"/>
          <w:sz w:val="20"/>
        </w:rPr>
        <w:t xml:space="preserve"> </w:t>
      </w:r>
      <w:r>
        <w:rPr>
          <w:rFonts w:ascii="Times New Roman;serif" w:hAnsi="Times New Roman;serif"/>
          <w:b w:val="false"/>
          <w:sz w:val="20"/>
        </w:rPr>
        <w:t>million and $1.4</w:t>
      </w:r>
      <w:r>
        <w:rPr>
          <w:rFonts w:ascii="Times New Roman" w:hAnsi="Times New Roman"/>
          <w:sz w:val="20"/>
        </w:rPr>
        <w:t xml:space="preserve"> </w:t>
      </w:r>
      <w:r>
        <w:rPr>
          <w:rFonts w:ascii="Times New Roman;serif" w:hAnsi="Times New Roman;serif"/>
          <w:b w:val="false"/>
          <w:sz w:val="20"/>
        </w:rPr>
        <w:t>million, respectively of Incentive Fees was accrued related to Capital Gains Fees. As of March 31, 2023, the Capital Gains Fees accrued are not contractually payable to the Adviser.</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Any waived Incentive Fees are not subject to recoupment by the Adviser.</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Since the Company’s IPO, with the exception of its waiver of Management Fees and certain Incentive Fees attributable to the Company’s ownership of certain investments and the Leverage Waiver, the Adviser has not waived its right to receive any Management Fees or Incentive Fees payable pursuant to the Investment Advisory Agreement.</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In November 2022, the Board renewed the Investment Advisory Agreement. Unless earlier terminated as described below, the Investment Advisory Agreement will remain in effect until November 2023, and may be extended subject to required approvals. The Investment Advisory Agreement will automatically terminate in the event of an assignment and may be terminated by either party without penalty on 60 days’ written notice to the other party.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4. Investments at Fair Value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Investments at fair value consisted of the following at March 31, 2023 and December 31, 2022:</w:t>
      </w:r>
      <w:r>
        <w:rPr>
          <w:rFonts w:ascii="Times New Roman" w:hAnsi="Times New Roman"/>
          <w:sz w:val="20"/>
        </w:rPr>
        <w:t xml:space="preserve"> </w:t>
      </w:r>
    </w:p>
    <w:p>
      <w:pPr>
        <w:pStyle w:val="TextBody"/>
        <w:spacing w:before="0" w:after="0"/>
        <w:jc w:val="left"/>
        <w:rPr/>
      </w:pPr>
      <w:r>
        <w:rPr/>
        <w:t> </w:t>
      </w:r>
    </w:p>
    <w:tbl>
      <w:tblPr>
        <w:tblW w:w="7399" w:type="dxa"/>
        <w:jc w:val="left"/>
        <w:tblInd w:w="0" w:type="dxa"/>
        <w:tblCellMar>
          <w:top w:w="28" w:type="dxa"/>
          <w:left w:w="28" w:type="dxa"/>
          <w:bottom w:w="28" w:type="dxa"/>
          <w:right w:w="28" w:type="dxa"/>
        </w:tblCellMar>
      </w:tblPr>
      <w:tblGrid>
        <w:gridCol w:w="2521"/>
        <w:gridCol w:w="146"/>
        <w:gridCol w:w="260"/>
        <w:gridCol w:w="1150"/>
        <w:gridCol w:w="146"/>
        <w:gridCol w:w="146"/>
        <w:gridCol w:w="211"/>
        <w:gridCol w:w="931"/>
        <w:gridCol w:w="146"/>
        <w:gridCol w:w="146"/>
        <w:gridCol w:w="282"/>
        <w:gridCol w:w="903"/>
        <w:gridCol w:w="411"/>
      </w:tblGrid>
      <w:tr>
        <w:trPr/>
        <w:tc>
          <w:tcPr>
            <w:tcW w:w="25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5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321"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 xml:space="preserve">Amortized Cost </w:t>
            </w:r>
            <w:r>
              <w:rPr>
                <w:rFonts w:ascii="Times New Roman;serif" w:hAnsi="Times New Roman;serif"/>
                <w:b/>
                <w:sz w:val="11"/>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 Unrealized</w:t>
              <w:br/>
              <w:t>Gain (Loss)</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First-lien debt investments</w:t>
            </w:r>
          </w:p>
        </w:tc>
        <w:tc>
          <w:tcPr>
            <w:tcW w:w="146" w:type="dxa"/>
            <w:tcBorders/>
            <w:shd w:fill="auto" w:val="clear"/>
            <w:vAlign w:val="center"/>
          </w:tcPr>
          <w:p>
            <w:pPr>
              <w:pStyle w:val="TableContents"/>
              <w:spacing w:before="0" w:after="0"/>
              <w:ind w:left="0" w:right="0" w:hanging="0"/>
              <w:jc w:val="righ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2,646,516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2,651,509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4,993</w:t>
            </w:r>
          </w:p>
        </w:tc>
        <w:tc>
          <w:tcPr>
            <w:tcW w:w="41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Second-lien debt investments</w:t>
            </w:r>
          </w:p>
        </w:tc>
        <w:tc>
          <w:tcPr>
            <w:tcW w:w="146" w:type="dxa"/>
            <w:tcBorders/>
            <w:shd w:fill="auto" w:val="clear"/>
            <w:vAlign w:val="center"/>
          </w:tcPr>
          <w:p>
            <w:pPr>
              <w:pStyle w:val="TableContents"/>
              <w:spacing w:before="0" w:after="0"/>
              <w:ind w:left="0" w:right="0" w:hanging="0"/>
              <w:jc w:val="righ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11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47,613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44,805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2"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(2,808</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Mezzanine debt investments</w:t>
            </w:r>
          </w:p>
        </w:tc>
        <w:tc>
          <w:tcPr>
            <w:tcW w:w="146" w:type="dxa"/>
            <w:tcBorders/>
            <w:shd w:fill="auto" w:val="clear"/>
            <w:vAlign w:val="center"/>
          </w:tcPr>
          <w:p>
            <w:pPr>
              <w:pStyle w:val="TableContents"/>
              <w:spacing w:before="0" w:after="0"/>
              <w:ind w:left="0" w:right="0" w:hanging="0"/>
              <w:jc w:val="righ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11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2"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2,817</w:t>
            </w:r>
          </w:p>
        </w:tc>
        <w:tc>
          <w:tcPr>
            <w:tcW w:w="41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Equity and other investments</w:t>
            </w:r>
          </w:p>
        </w:tc>
        <w:tc>
          <w:tcPr>
            <w:tcW w:w="146" w:type="dxa"/>
            <w:tcBorders/>
            <w:shd w:fill="auto" w:val="clear"/>
            <w:vAlign w:val="center"/>
          </w:tcPr>
          <w:p>
            <w:pPr>
              <w:pStyle w:val="TableContents"/>
              <w:spacing w:before="0" w:after="0"/>
              <w:ind w:left="0" w:right="0" w:hanging="0"/>
              <w:jc w:val="righ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11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142,708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157,507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2" w:type="dxa"/>
            <w:tcBorders/>
            <w:shd w:fill="auto" w:val="clear"/>
            <w:vAlign w:val="center"/>
          </w:tcPr>
          <w:p>
            <w:pPr>
              <w:pStyle w:val="TableContents"/>
              <w:spacing w:before="0" w:after="0"/>
              <w:ind w:left="0" w:right="0" w:hanging="0"/>
              <w:jc w:val="left"/>
              <w:rPr/>
            </w:pPr>
            <w:r>
              <w:rPr/>
              <w:t> </w:t>
            </w:r>
          </w:p>
        </w:tc>
        <w:tc>
          <w:tcPr>
            <w:tcW w:w="9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14,799</w:t>
            </w:r>
          </w:p>
        </w:tc>
        <w:tc>
          <w:tcPr>
            <w:tcW w:w="41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Structured credit investments</w:t>
            </w:r>
          </w:p>
        </w:tc>
        <w:tc>
          <w:tcPr>
            <w:tcW w:w="146" w:type="dxa"/>
            <w:tcBorders/>
            <w:shd w:fill="auto" w:val="clear"/>
            <w:vAlign w:val="center"/>
          </w:tcPr>
          <w:p>
            <w:pPr>
              <w:pStyle w:val="TableContents"/>
              <w:spacing w:before="0" w:after="0"/>
              <w:ind w:left="0" w:right="0" w:hanging="0"/>
              <w:jc w:val="righ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54,722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53,670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21"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Total Investments</w:t>
            </w:r>
          </w:p>
        </w:tc>
        <w:tc>
          <w:tcPr>
            <w:tcW w:w="146" w:type="dxa"/>
            <w:tcBorders/>
            <w:shd w:fill="auto" w:val="clear"/>
            <w:vAlign w:val="center"/>
          </w:tcPr>
          <w:p>
            <w:pPr>
              <w:pStyle w:val="TableContents"/>
              <w:spacing w:before="0" w:after="0"/>
              <w:ind w:left="0" w:right="0" w:hanging="0"/>
              <w:jc w:val="righ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2,899,835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2,918,584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18,749</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7399" w:type="dxa"/>
        <w:jc w:val="left"/>
        <w:tblInd w:w="0" w:type="dxa"/>
        <w:tblCellMar>
          <w:top w:w="28" w:type="dxa"/>
          <w:left w:w="28" w:type="dxa"/>
          <w:bottom w:w="28" w:type="dxa"/>
          <w:right w:w="28" w:type="dxa"/>
        </w:tblCellMar>
      </w:tblPr>
      <w:tblGrid>
        <w:gridCol w:w="2521"/>
        <w:gridCol w:w="146"/>
        <w:gridCol w:w="260"/>
        <w:gridCol w:w="1150"/>
        <w:gridCol w:w="146"/>
        <w:gridCol w:w="146"/>
        <w:gridCol w:w="211"/>
        <w:gridCol w:w="931"/>
        <w:gridCol w:w="146"/>
        <w:gridCol w:w="146"/>
        <w:gridCol w:w="264"/>
        <w:gridCol w:w="921"/>
        <w:gridCol w:w="411"/>
      </w:tblGrid>
      <w:tr>
        <w:trPr/>
        <w:tc>
          <w:tcPr>
            <w:tcW w:w="25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5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321"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 xml:space="preserve">Amortized Cost </w:t>
            </w:r>
            <w:r>
              <w:rPr>
                <w:rFonts w:ascii="Times New Roman;serif" w:hAnsi="Times New Roman;serif"/>
                <w:b/>
                <w:sz w:val="11"/>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 Unrealized</w:t>
              <w:br/>
              <w:t>Gain (Loss)</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First-lien debt investments</w:t>
            </w:r>
          </w:p>
        </w:tc>
        <w:tc>
          <w:tcPr>
            <w:tcW w:w="146" w:type="dxa"/>
            <w:tcBorders/>
            <w:shd w:fill="auto" w:val="clear"/>
            <w:vAlign w:val="center"/>
          </w:tcPr>
          <w:p>
            <w:pPr>
              <w:pStyle w:val="TableContents"/>
              <w:spacing w:before="0" w:after="0"/>
              <w:ind w:left="0" w:right="0" w:hanging="0"/>
              <w:jc w:val="righ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2,529,317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2,517,894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(11,423</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Second-lien debt investments</w:t>
            </w:r>
          </w:p>
        </w:tc>
        <w:tc>
          <w:tcPr>
            <w:tcW w:w="146" w:type="dxa"/>
            <w:tcBorders/>
            <w:shd w:fill="auto" w:val="clear"/>
            <w:vAlign w:val="center"/>
          </w:tcPr>
          <w:p>
            <w:pPr>
              <w:pStyle w:val="TableContents"/>
              <w:spacing w:before="0" w:after="0"/>
              <w:ind w:left="0" w:right="0" w:hanging="0"/>
              <w:jc w:val="righ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11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42,743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40,762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(1,981</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Mezzanine debt investments</w:t>
            </w:r>
          </w:p>
        </w:tc>
        <w:tc>
          <w:tcPr>
            <w:tcW w:w="146" w:type="dxa"/>
            <w:tcBorders/>
            <w:shd w:fill="auto" w:val="clear"/>
            <w:vAlign w:val="center"/>
          </w:tcPr>
          <w:p>
            <w:pPr>
              <w:pStyle w:val="TableContents"/>
              <w:spacing w:before="0" w:after="0"/>
              <w:ind w:left="0" w:right="0" w:hanging="0"/>
              <w:jc w:val="righ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11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2,661</w:t>
            </w:r>
          </w:p>
        </w:tc>
        <w:tc>
          <w:tcPr>
            <w:tcW w:w="41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Equity and other investments</w:t>
            </w:r>
          </w:p>
        </w:tc>
        <w:tc>
          <w:tcPr>
            <w:tcW w:w="146" w:type="dxa"/>
            <w:tcBorders/>
            <w:shd w:fill="auto" w:val="clear"/>
            <w:vAlign w:val="center"/>
          </w:tcPr>
          <w:p>
            <w:pPr>
              <w:pStyle w:val="TableContents"/>
              <w:spacing w:before="0" w:after="0"/>
              <w:ind w:left="0" w:right="0" w:hanging="0"/>
              <w:jc w:val="righ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115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142,103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167,685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9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25,582</w:t>
            </w:r>
          </w:p>
        </w:tc>
        <w:tc>
          <w:tcPr>
            <w:tcW w:w="41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Structured credit investments</w:t>
            </w:r>
          </w:p>
        </w:tc>
        <w:tc>
          <w:tcPr>
            <w:tcW w:w="146" w:type="dxa"/>
            <w:tcBorders/>
            <w:shd w:fill="auto" w:val="clear"/>
            <w:vAlign w:val="center"/>
          </w:tcPr>
          <w:p>
            <w:pPr>
              <w:pStyle w:val="TableContents"/>
              <w:spacing w:before="0" w:after="0"/>
              <w:ind w:left="0" w:right="0" w:hanging="0"/>
              <w:jc w:val="righ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53,066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51,426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(1,640</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21"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Total Investments</w:t>
            </w:r>
          </w:p>
        </w:tc>
        <w:tc>
          <w:tcPr>
            <w:tcW w:w="146" w:type="dxa"/>
            <w:tcBorders/>
            <w:shd w:fill="auto" w:val="clear"/>
            <w:vAlign w:val="center"/>
          </w:tcPr>
          <w:p>
            <w:pPr>
              <w:pStyle w:val="TableContents"/>
              <w:spacing w:before="0" w:after="0"/>
              <w:ind w:left="0" w:right="0" w:hanging="0"/>
              <w:jc w:val="righ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2,774,726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2,787,925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13,199</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4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jc w:val="left"/>
        <w:rPr>
          <w:rFonts w:ascii="Times New Roman;serif" w:hAnsi="Times New Roman;serif"/>
          <w:sz w:val="24"/>
        </w:rPr>
      </w:pPr>
      <w:r>
        <w:rPr>
          <w:rFonts w:ascii="Times New Roman;serif" w:hAnsi="Times New Roman;serif"/>
          <w:b w:val="false"/>
          <w:sz w:val="20"/>
        </w:rPr>
        <w:t>The amortized cost represents the original cost adjusted for the amortization of discounts or premiums, as applicable, on debt investments using the effective interest method.</w:t>
      </w:r>
      <w:r>
        <w:rPr>
          <w:rFonts w:ascii="Times New Roman;serif" w:hAnsi="Times New Roman;serif"/>
          <w:sz w:val="24"/>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industry composition of investments at fair value at March 31, 2023 and December 31, 2022 is as follows:</w:t>
      </w:r>
      <w:r>
        <w:rPr>
          <w:rFonts w:ascii="Times New Roman" w:hAnsi="Times New Roman"/>
          <w:sz w:val="20"/>
        </w:rPr>
        <w:t xml:space="preserve"> </w:t>
      </w:r>
    </w:p>
    <w:p>
      <w:pPr>
        <w:pStyle w:val="TextBody"/>
        <w:spacing w:before="0" w:after="0"/>
        <w:jc w:val="left"/>
        <w:rPr/>
      </w:pPr>
      <w:r>
        <w:rPr/>
        <w:t> </w:t>
      </w:r>
    </w:p>
    <w:tbl>
      <w:tblPr>
        <w:tblW w:w="6550" w:type="dxa"/>
        <w:jc w:val="left"/>
        <w:tblInd w:w="0" w:type="dxa"/>
        <w:tblCellMar>
          <w:top w:w="28" w:type="dxa"/>
          <w:left w:w="28" w:type="dxa"/>
          <w:bottom w:w="28" w:type="dxa"/>
          <w:right w:w="28" w:type="dxa"/>
        </w:tblCellMar>
      </w:tblPr>
      <w:tblGrid>
        <w:gridCol w:w="2911"/>
        <w:gridCol w:w="146"/>
        <w:gridCol w:w="300"/>
        <w:gridCol w:w="960"/>
        <w:gridCol w:w="271"/>
        <w:gridCol w:w="146"/>
        <w:gridCol w:w="357"/>
        <w:gridCol w:w="1143"/>
        <w:gridCol w:w="316"/>
      </w:tblGrid>
      <w:tr>
        <w:trPr/>
        <w:tc>
          <w:tcPr>
            <w:tcW w:w="29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9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Automotive</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Chemicals</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Communications</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Education</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Financial Services</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Healthcare</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Hotel, Gaming and Leisure</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Human Resource Support Services</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Insurance</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pPr>
            <w:r>
              <w:rPr/>
              <w:t>—</w:t>
            </w:r>
          </w:p>
        </w:tc>
        <w:tc>
          <w:tcPr>
            <w:tcW w:w="316" w:type="dxa"/>
            <w:tcBorders/>
            <w:shd w:fill="auto" w:val="cle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Internet Services</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Manufacturing</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Marketing Services</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Office Products</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9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Oil, Gas and Consumable Fuels</w:t>
            </w:r>
          </w:p>
        </w:tc>
        <w:tc>
          <w:tcPr>
            <w:tcW w:w="146" w:type="dxa"/>
            <w:tcBorders/>
            <w:shd w:fill="auto" w:val="clear"/>
            <w:vAlign w:val="center"/>
          </w:tcPr>
          <w:p>
            <w:pPr>
              <w:pStyle w:val="TableContents"/>
              <w:spacing w:before="0" w:after="0"/>
              <w:ind w:left="0" w:right="0" w:hanging="0"/>
              <w:jc w:val="lef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r>
        <w:rPr/>
        <w:t> </w:t>
      </w:r>
    </w:p>
    <w:tbl>
      <w:tblPr>
        <w:tblW w:w="5094" w:type="dxa"/>
        <w:jc w:val="left"/>
        <w:tblInd w:w="0" w:type="dxa"/>
        <w:tblCellMar>
          <w:top w:w="28" w:type="dxa"/>
          <w:left w:w="28" w:type="dxa"/>
          <w:bottom w:w="28" w:type="dxa"/>
          <w:right w:w="28" w:type="dxa"/>
        </w:tblCellMar>
      </w:tblPr>
      <w:tblGrid>
        <w:gridCol w:w="2581"/>
        <w:gridCol w:w="146"/>
        <w:gridCol w:w="146"/>
        <w:gridCol w:w="571"/>
        <w:gridCol w:w="271"/>
        <w:gridCol w:w="146"/>
        <w:gridCol w:w="146"/>
        <w:gridCol w:w="571"/>
        <w:gridCol w:w="516"/>
      </w:tblGrid>
      <w:tr>
        <w:trPr/>
        <w:tc>
          <w:tcPr>
            <w:tcW w:w="25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r>
      <w:tr>
        <w:trPr/>
        <w:tc>
          <w:tcPr>
            <w:tcW w:w="2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Pharmaceuticals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Retail and Consumer Products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11.8</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11.4</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Transportation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81"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5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The geographic composition of investments at fair value at March 31, 2023 and December 31, 2022 is as follows:</w:t>
      </w:r>
      <w:r>
        <w:rPr>
          <w:rFonts w:ascii="Times New Roman" w:hAnsi="Times New Roman"/>
          <w:sz w:val="20"/>
        </w:rPr>
        <w:t xml:space="preserve"> </w:t>
      </w:r>
    </w:p>
    <w:p>
      <w:pPr>
        <w:pStyle w:val="TextBody"/>
        <w:spacing w:before="0" w:after="0"/>
        <w:jc w:val="left"/>
        <w:rPr/>
      </w:pPr>
      <w:r>
        <w:rPr/>
        <w:t> </w:t>
      </w:r>
    </w:p>
    <w:tbl>
      <w:tblPr>
        <w:tblW w:w="5325" w:type="dxa"/>
        <w:jc w:val="left"/>
        <w:tblInd w:w="0" w:type="dxa"/>
        <w:tblCellMar>
          <w:top w:w="28" w:type="dxa"/>
          <w:left w:w="28" w:type="dxa"/>
          <w:bottom w:w="28" w:type="dxa"/>
          <w:right w:w="28" w:type="dxa"/>
        </w:tblCellMar>
      </w:tblPr>
      <w:tblGrid>
        <w:gridCol w:w="1486"/>
        <w:gridCol w:w="146"/>
        <w:gridCol w:w="256"/>
        <w:gridCol w:w="1004"/>
        <w:gridCol w:w="271"/>
        <w:gridCol w:w="146"/>
        <w:gridCol w:w="305"/>
        <w:gridCol w:w="1195"/>
        <w:gridCol w:w="516"/>
      </w:tblGrid>
      <w:tr>
        <w:trPr/>
        <w:tc>
          <w:tcPr>
            <w:tcW w:w="14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r>
      <w:tr>
        <w:trPr/>
        <w:tc>
          <w:tcPr>
            <w:tcW w:w="14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United States</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500" w:type="dxa"/>
            <w:gridSpan w:val="2"/>
            <w:tcBorders/>
            <w:shd w:fill="auto" w:val="clear"/>
            <w:vAlign w:val="center"/>
          </w:tcPr>
          <w:p>
            <w:pPr>
              <w:pStyle w:val="TableContents"/>
              <w:spacing w:before="0" w:after="0"/>
              <w:ind w:left="0" w:right="0" w:hanging="0"/>
              <w:jc w:val="right"/>
              <w:rPr/>
            </w:pPr>
            <w:r>
              <w:rPr/>
              <w:t> </w:t>
            </w:r>
          </w:p>
        </w:tc>
        <w:tc>
          <w:tcPr>
            <w:tcW w:w="516" w:type="dxa"/>
            <w:tcBorders/>
            <w:shd w:fill="auto" w:val="clear"/>
            <w:vAlign w:val="center"/>
          </w:tcPr>
          <w:p>
            <w:pPr>
              <w:pStyle w:val="TableContents"/>
              <w:spacing w:before="0" w:after="0"/>
              <w:ind w:left="0" w:right="0" w:firstLine="200"/>
              <w:jc w:val="right"/>
              <w:rPr/>
            </w:pPr>
            <w:r>
              <w:rPr/>
              <w:t> </w:t>
            </w:r>
          </w:p>
        </w:tc>
      </w:tr>
      <w:tr>
        <w:trPr/>
        <w:tc>
          <w:tcPr>
            <w:tcW w:w="14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Midwest</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1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4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Northeast</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1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25.4</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4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South</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1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24.3</w:t>
            </w:r>
          </w:p>
        </w:tc>
        <w:tc>
          <w:tcPr>
            <w:tcW w:w="51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4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West</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1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30.7</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Australia</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1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Canada</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1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Germany</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1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Luxembourg</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1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Netherlands</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195" w:type="dxa"/>
            <w:tcBorders/>
            <w:shd w:fill="auto" w:val="clear"/>
            <w:vAlign w:val="center"/>
          </w:tcPr>
          <w:p>
            <w:pPr>
              <w:pStyle w:val="TableContents"/>
              <w:spacing w:before="0" w:after="0"/>
              <w:ind w:left="0" w:right="0" w:hanging="0"/>
              <w:jc w:val="right"/>
              <w:rPr/>
            </w:pPr>
            <w:r>
              <w:rPr/>
              <w:t>—</w:t>
            </w:r>
          </w:p>
        </w:tc>
        <w:tc>
          <w:tcPr>
            <w:tcW w:w="516" w:type="dxa"/>
            <w:tcBorders/>
            <w:shd w:fill="auto" w:val="clear"/>
            <w:vAlign w:val="center"/>
          </w:tcPr>
          <w:p>
            <w:pPr>
              <w:pStyle w:val="TableContents"/>
              <w:spacing w:before="0" w:after="0"/>
              <w:ind w:left="0" w:right="0" w:hanging="0"/>
              <w:jc w:val="left"/>
              <w:rPr/>
            </w:pPr>
            <w:r>
              <w:rPr/>
              <w:t> </w:t>
            </w:r>
          </w:p>
        </w:tc>
      </w:tr>
      <w:tr>
        <w:trPr/>
        <w:tc>
          <w:tcPr>
            <w:tcW w:w="14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Norway</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10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5" w:type="dxa"/>
            <w:tcBorders/>
            <w:shd w:fill="auto" w:val="clear"/>
            <w:vAlign w:val="center"/>
          </w:tcPr>
          <w:p>
            <w:pPr>
              <w:pStyle w:val="TableContents"/>
              <w:spacing w:before="0" w:after="0"/>
              <w:ind w:left="0" w:right="0" w:hanging="0"/>
              <w:jc w:val="left"/>
              <w:rPr/>
            </w:pPr>
            <w:r>
              <w:rPr/>
              <w:t> </w:t>
            </w:r>
          </w:p>
        </w:tc>
        <w:tc>
          <w:tcPr>
            <w:tcW w:w="119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5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4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United Kingdom</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1486"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Total</w:t>
            </w:r>
          </w:p>
        </w:tc>
        <w:tc>
          <w:tcPr>
            <w:tcW w:w="146" w:type="dxa"/>
            <w:tcBorders/>
            <w:shd w:fill="auto" w:val="clear"/>
            <w:vAlign w:val="center"/>
          </w:tcPr>
          <w:p>
            <w:pPr>
              <w:pStyle w:val="TableContents"/>
              <w:spacing w:before="0" w:after="0"/>
              <w:ind w:left="0" w:right="0" w:hanging="0"/>
              <w:jc w:val="right"/>
              <w:rPr/>
            </w:pPr>
            <w:r>
              <w:rPr/>
              <w:t> </w:t>
            </w:r>
          </w:p>
        </w:tc>
        <w:tc>
          <w:tcPr>
            <w:tcW w:w="2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5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180" w:after="0"/>
        <w:jc w:val="left"/>
        <w:rPr>
          <w:rFonts w:ascii="Times New Roman" w:hAnsi="Times New Roman"/>
          <w:sz w:val="20"/>
        </w:rPr>
      </w:pPr>
      <w:r>
        <w:rPr>
          <w:rFonts w:ascii="Times New Roman;serif" w:hAnsi="Times New Roman;serif"/>
          <w:b/>
          <w:sz w:val="20"/>
        </w:rPr>
        <w:t>5. Derivatives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i/>
          <w:sz w:val="20"/>
        </w:rPr>
        <w:t>Interest Rate Swaps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enters into interest rate swap transactions from time to time to hedge fixed rate debt obligations and certain fixed rate debt investments. The Company’s interest rate swaps are all with one counterparty and are centrally cleared through a registered commodities exchange. Refer to the consolidated schedule of investments for additional disclosure regarding these interest rate swaps.</w:t>
      </w:r>
    </w:p>
    <w:p>
      <w:pPr>
        <w:pStyle w:val="TextBody"/>
        <w:spacing w:before="240" w:after="0"/>
        <w:jc w:val="left"/>
        <w:rPr>
          <w:rFonts w:ascii="Times New Roman" w:hAnsi="Times New Roman"/>
          <w:sz w:val="20"/>
        </w:rPr>
      </w:pPr>
      <w:r>
        <w:rPr>
          <w:rFonts w:ascii="Times New Roman;serif" w:hAnsi="Times New Roman;serif"/>
          <w:b w:val="false"/>
          <w:sz w:val="20"/>
        </w:rPr>
        <w:t>The following tables present the amounts paid and received on the Company’s interest rate swap transactions, excluding upfront fees, for the three months ended March 31, 2023 and 2022:</w:t>
      </w:r>
      <w:r>
        <w:rPr>
          <w:rFonts w:ascii="Times New Roman" w:hAnsi="Times New Roman"/>
          <w:sz w:val="20"/>
        </w:rPr>
        <w:t xml:space="preserve"> </w:t>
      </w:r>
    </w:p>
    <w:p>
      <w:pPr>
        <w:pStyle w:val="TextBody"/>
        <w:spacing w:before="0" w:after="0"/>
        <w:jc w:val="left"/>
        <w:rPr/>
      </w:pPr>
      <w:r>
        <w:rPr/>
        <w:t> </w:t>
      </w:r>
    </w:p>
    <w:tbl>
      <w:tblPr>
        <w:tblW w:w="8612" w:type="dxa"/>
        <w:jc w:val="left"/>
        <w:tblInd w:w="0" w:type="dxa"/>
        <w:tblCellMar>
          <w:top w:w="28" w:type="dxa"/>
          <w:left w:w="28" w:type="dxa"/>
          <w:bottom w:w="28" w:type="dxa"/>
          <w:right w:w="28" w:type="dxa"/>
        </w:tblCellMar>
      </w:tblPr>
      <w:tblGrid>
        <w:gridCol w:w="1711"/>
        <w:gridCol w:w="146"/>
        <w:gridCol w:w="1156"/>
        <w:gridCol w:w="146"/>
        <w:gridCol w:w="290"/>
        <w:gridCol w:w="1075"/>
        <w:gridCol w:w="146"/>
        <w:gridCol w:w="146"/>
        <w:gridCol w:w="225"/>
        <w:gridCol w:w="786"/>
        <w:gridCol w:w="177"/>
        <w:gridCol w:w="155"/>
        <w:gridCol w:w="225"/>
        <w:gridCol w:w="609"/>
        <w:gridCol w:w="155"/>
        <w:gridCol w:w="155"/>
        <w:gridCol w:w="225"/>
        <w:gridCol w:w="673"/>
        <w:gridCol w:w="411"/>
      </w:tblGrid>
      <w:tr>
        <w:trPr/>
        <w:tc>
          <w:tcPr>
            <w:tcW w:w="17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17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6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385"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 2023</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Maturity 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3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Notional 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Paid</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5" w:type="dxa"/>
            <w:tcBorders/>
            <w:shd w:fill="auto" w:val="clear"/>
            <w:vAlign w:val="center"/>
          </w:tcPr>
          <w:p>
            <w:pPr>
              <w:pStyle w:val="TableContents"/>
              <w:spacing w:before="0" w:after="0"/>
              <w:ind w:left="0" w:right="0" w:hanging="0"/>
              <w:jc w:val="center"/>
              <w:rPr/>
            </w:pPr>
            <w:r>
              <w:rPr/>
              <w:t> </w:t>
            </w:r>
          </w:p>
        </w:tc>
        <w:tc>
          <w:tcPr>
            <w:tcW w:w="83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Received</w:t>
            </w:r>
          </w:p>
        </w:tc>
        <w:tc>
          <w:tcPr>
            <w:tcW w:w="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5" w:type="dxa"/>
            <w:tcBorders/>
            <w:shd w:fill="auto" w:val="clear"/>
            <w:vAlign w:val="center"/>
          </w:tcPr>
          <w:p>
            <w:pPr>
              <w:pStyle w:val="TableContents"/>
              <w:spacing w:before="0" w:after="0"/>
              <w:ind w:left="0" w:right="0" w:hanging="0"/>
              <w:jc w:val="center"/>
              <w:rPr/>
            </w:pPr>
            <w:r>
              <w:rPr/>
              <w:t> </w:t>
            </w:r>
          </w:p>
        </w:tc>
        <w:tc>
          <w:tcPr>
            <w:tcW w:w="89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11" w:type="dxa"/>
            <w:tcBorders/>
            <w:shd w:fill="auto" w:val="clear"/>
            <w:vAlign w:val="center"/>
          </w:tcPr>
          <w:p>
            <w:pPr>
              <w:pStyle w:val="TableContents"/>
              <w:spacing w:before="0" w:after="0"/>
              <w:ind w:left="0" w:right="0" w:hanging="0"/>
              <w:jc w:val="left"/>
              <w:rPr>
                <w:rFonts w:ascii="Times New Roman" w:hAnsi="Times New Roman"/>
                <w:sz w:val="19"/>
              </w:rPr>
            </w:pPr>
            <w:r>
              <w:rPr>
                <w:rFonts w:ascii="Times New Roman;serif" w:hAnsi="Times New Roman;serif"/>
                <w:b w:val="false"/>
                <w:sz w:val="19"/>
              </w:rPr>
              <w:t xml:space="preserve">Interest rate swap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right"/>
              <w:rPr/>
            </w:pPr>
            <w:r>
              <w:rPr/>
              <w:t> </w:t>
            </w:r>
          </w:p>
        </w:tc>
        <w:tc>
          <w:tcPr>
            <w:tcW w:w="115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1/22/2023</w:t>
            </w:r>
          </w:p>
        </w:tc>
        <w:tc>
          <w:tcPr>
            <w:tcW w:w="146" w:type="dxa"/>
            <w:tcBorders/>
            <w:shd w:fill="auto" w:val="clear"/>
            <w:vAlign w:val="center"/>
          </w:tcPr>
          <w:p>
            <w:pPr>
              <w:pStyle w:val="TableContents"/>
              <w:spacing w:before="0" w:after="0"/>
              <w:ind w:left="0" w:right="0" w:hanging="0"/>
              <w:jc w:val="right"/>
              <w:rPr/>
            </w:pPr>
            <w:r>
              <w:rPr/>
              <w:t> </w:t>
            </w:r>
          </w:p>
        </w:tc>
        <w:tc>
          <w:tcPr>
            <w:tcW w:w="2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7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(663</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55"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09"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431</w:t>
            </w:r>
          </w:p>
        </w:tc>
        <w:tc>
          <w:tcPr>
            <w:tcW w:w="155"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67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(232</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7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Interest rate swap</w:t>
            </w:r>
          </w:p>
        </w:tc>
        <w:tc>
          <w:tcPr>
            <w:tcW w:w="146" w:type="dxa"/>
            <w:tcBorders/>
            <w:shd w:fill="auto" w:val="clear"/>
            <w:vAlign w:val="center"/>
          </w:tcPr>
          <w:p>
            <w:pPr>
              <w:pStyle w:val="TableContents"/>
              <w:spacing w:before="0" w:after="0"/>
              <w:ind w:left="0" w:right="0" w:hanging="0"/>
              <w:jc w:val="right"/>
              <w:rPr/>
            </w:pPr>
            <w:r>
              <w:rPr/>
              <w:t> </w:t>
            </w:r>
          </w:p>
        </w:tc>
        <w:tc>
          <w:tcPr>
            <w:tcW w:w="115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11/1/2024</w:t>
            </w:r>
          </w:p>
        </w:tc>
        <w:tc>
          <w:tcPr>
            <w:tcW w:w="146" w:type="dxa"/>
            <w:tcBorders/>
            <w:shd w:fill="auto" w:val="clear"/>
            <w:vAlign w:val="center"/>
          </w:tcPr>
          <w:p>
            <w:pPr>
              <w:pStyle w:val="TableContents"/>
              <w:spacing w:before="0" w:after="0"/>
              <w:ind w:left="0" w:right="0" w:hanging="0"/>
              <w:jc w:val="righ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107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300,000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(5,231</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55"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609"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2,906</w:t>
            </w:r>
          </w:p>
        </w:tc>
        <w:tc>
          <w:tcPr>
            <w:tcW w:w="155"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67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(2,325</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7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Interest rate swap</w:t>
            </w:r>
          </w:p>
        </w:tc>
        <w:tc>
          <w:tcPr>
            <w:tcW w:w="146" w:type="dxa"/>
            <w:tcBorders/>
            <w:shd w:fill="auto" w:val="clear"/>
            <w:vAlign w:val="center"/>
          </w:tcPr>
          <w:p>
            <w:pPr>
              <w:pStyle w:val="TableContents"/>
              <w:spacing w:before="0" w:after="0"/>
              <w:ind w:left="0" w:right="0" w:hanging="0"/>
              <w:jc w:val="right"/>
              <w:rPr/>
            </w:pPr>
            <w:r>
              <w:rPr/>
              <w:t> </w:t>
            </w:r>
          </w:p>
        </w:tc>
        <w:tc>
          <w:tcPr>
            <w:tcW w:w="115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11/1/2024</w:t>
            </w:r>
          </w:p>
        </w:tc>
        <w:tc>
          <w:tcPr>
            <w:tcW w:w="146" w:type="dxa"/>
            <w:tcBorders/>
            <w:shd w:fill="auto" w:val="clear"/>
            <w:vAlign w:val="center"/>
          </w:tcPr>
          <w:p>
            <w:pPr>
              <w:pStyle w:val="TableContents"/>
              <w:spacing w:before="0" w:after="0"/>
              <w:ind w:left="0" w:right="0" w:hanging="0"/>
              <w:jc w:val="righ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107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(888</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55"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609"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484</w:t>
            </w:r>
          </w:p>
        </w:tc>
        <w:tc>
          <w:tcPr>
            <w:tcW w:w="155"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67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(404</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7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Interest rate swap</w:t>
            </w:r>
          </w:p>
        </w:tc>
        <w:tc>
          <w:tcPr>
            <w:tcW w:w="146" w:type="dxa"/>
            <w:tcBorders/>
            <w:shd w:fill="auto" w:val="clear"/>
            <w:vAlign w:val="center"/>
          </w:tcPr>
          <w:p>
            <w:pPr>
              <w:pStyle w:val="TableContents"/>
              <w:spacing w:before="0" w:after="0"/>
              <w:ind w:left="0" w:right="0" w:hanging="0"/>
              <w:jc w:val="right"/>
              <w:rPr/>
            </w:pPr>
            <w:r>
              <w:rPr/>
              <w:t> </w:t>
            </w:r>
          </w:p>
        </w:tc>
        <w:tc>
          <w:tcPr>
            <w:tcW w:w="115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11/1/2024</w:t>
            </w:r>
          </w:p>
        </w:tc>
        <w:tc>
          <w:tcPr>
            <w:tcW w:w="146" w:type="dxa"/>
            <w:tcBorders/>
            <w:shd w:fill="auto" w:val="clear"/>
            <w:vAlign w:val="center"/>
          </w:tcPr>
          <w:p>
            <w:pPr>
              <w:pStyle w:val="TableContents"/>
              <w:spacing w:before="0" w:after="0"/>
              <w:ind w:left="0" w:right="0" w:hanging="0"/>
              <w:jc w:val="righ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1075"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8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(24</w:t>
            </w:r>
          </w:p>
        </w:tc>
        <w:tc>
          <w:tcPr>
            <w:tcW w:w="177"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55"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609"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43</w:t>
            </w:r>
          </w:p>
        </w:tc>
        <w:tc>
          <w:tcPr>
            <w:tcW w:w="155" w:type="dxa"/>
            <w:tcBorders/>
            <w:shd w:fill="auto" w:val="cle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67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19</w:t>
            </w:r>
          </w:p>
        </w:tc>
        <w:tc>
          <w:tcPr>
            <w:tcW w:w="411" w:type="dxa"/>
            <w:tcBorders/>
            <w:shd w:fill="auto" w:val="clear"/>
            <w:vAlign w:val="center"/>
          </w:tcPr>
          <w:p>
            <w:pPr>
              <w:pStyle w:val="TableContents"/>
              <w:spacing w:before="0" w:after="0"/>
              <w:ind w:left="0" w:right="0" w:hanging="0"/>
              <w:jc w:val="left"/>
              <w:rPr/>
            </w:pPr>
            <w:r>
              <w:rPr/>
              <w:t> </w:t>
            </w:r>
          </w:p>
        </w:tc>
      </w:tr>
      <w:tr>
        <w:trPr/>
        <w:tc>
          <w:tcPr>
            <w:tcW w:w="171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Interest rate swap</w:t>
            </w:r>
          </w:p>
        </w:tc>
        <w:tc>
          <w:tcPr>
            <w:tcW w:w="146" w:type="dxa"/>
            <w:tcBorders/>
            <w:shd w:fill="auto" w:val="clear"/>
            <w:vAlign w:val="center"/>
          </w:tcPr>
          <w:p>
            <w:pPr>
              <w:pStyle w:val="TableContents"/>
              <w:spacing w:before="0" w:after="0"/>
              <w:ind w:left="0" w:right="0" w:hanging="0"/>
              <w:jc w:val="right"/>
              <w:rPr/>
            </w:pPr>
            <w:r>
              <w:rPr/>
              <w:t> </w:t>
            </w:r>
          </w:p>
        </w:tc>
        <w:tc>
          <w:tcPr>
            <w:tcW w:w="115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8/1/2026</w:t>
            </w:r>
          </w:p>
        </w:tc>
        <w:tc>
          <w:tcPr>
            <w:tcW w:w="146" w:type="dxa"/>
            <w:tcBorders/>
            <w:shd w:fill="auto" w:val="clear"/>
            <w:vAlign w:val="center"/>
          </w:tcPr>
          <w:p>
            <w:pPr>
              <w:pStyle w:val="TableContents"/>
              <w:spacing w:before="0" w:after="0"/>
              <w:ind w:left="0" w:right="0" w:hanging="0"/>
              <w:jc w:val="right"/>
              <w:rPr/>
            </w:pPr>
            <w:r>
              <w:rPr/>
              <w:t> </w:t>
            </w:r>
          </w:p>
        </w:tc>
        <w:tc>
          <w:tcPr>
            <w:tcW w:w="2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300,000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(4,920</w:t>
            </w:r>
          </w:p>
        </w:tc>
        <w:tc>
          <w:tcPr>
            <w:tcW w:w="17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55" w:type="dxa"/>
            <w:tcBorders/>
            <w:shd w:fill="auto" w:val="clear"/>
            <w:vAlign w:val="center"/>
          </w:tcPr>
          <w:p>
            <w:pPr>
              <w:pStyle w:val="TableContents"/>
              <w:spacing w:before="0" w:after="0"/>
              <w:ind w:left="0" w:right="0" w:hanging="0"/>
              <w:jc w:val="righ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1,854</w:t>
            </w:r>
          </w:p>
        </w:tc>
        <w:tc>
          <w:tcPr>
            <w:tcW w:w="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righ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(3,066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19"/>
              </w:rPr>
            </w:pPr>
            <w:r>
              <w:rPr>
                <w:rFonts w:ascii="Times New Roman;serif" w:hAnsi="Times New Roman;serif"/>
                <w:b w:val="false"/>
                <w:sz w:val="19"/>
              </w:rPr>
              <w:t>)</w:t>
            </w:r>
          </w:p>
        </w:tc>
      </w:tr>
      <w:tr>
        <w:trPr/>
        <w:tc>
          <w:tcPr>
            <w:tcW w:w="1711" w:type="dxa"/>
            <w:tcBorders/>
            <w:shd w:fill="auto" w:val="clear"/>
            <w:vAlign w:val="center"/>
          </w:tcPr>
          <w:p>
            <w:pPr>
              <w:pStyle w:val="TableContents"/>
              <w:spacing w:before="0" w:after="0"/>
              <w:ind w:left="200" w:right="0" w:hanging="0"/>
              <w:jc w:val="left"/>
              <w:rPr>
                <w:rFonts w:ascii="Times New Roman;serif" w:hAnsi="Times New Roman;serif"/>
                <w:b/>
                <w:sz w:val="19"/>
              </w:rPr>
            </w:pPr>
            <w:r>
              <w:rPr>
                <w:rFonts w:ascii="Times New Roman;serif" w:hAnsi="Times New Roman;serif"/>
                <w:b/>
                <w:sz w:val="19"/>
              </w:rPr>
              <w:t>Total</w:t>
            </w:r>
          </w:p>
        </w:tc>
        <w:tc>
          <w:tcPr>
            <w:tcW w:w="146" w:type="dxa"/>
            <w:tcBorders/>
            <w:shd w:fill="auto" w:val="clear"/>
            <w:vAlign w:val="center"/>
          </w:tcPr>
          <w:p>
            <w:pPr>
              <w:pStyle w:val="TableContents"/>
              <w:spacing w:before="0" w:after="0"/>
              <w:ind w:left="0" w:right="0" w:hanging="0"/>
              <w:jc w:val="right"/>
              <w:rPr/>
            </w:pPr>
            <w:r>
              <w:rPr/>
              <w:t> </w:t>
            </w:r>
          </w:p>
        </w:tc>
        <w:tc>
          <w:tcPr>
            <w:tcW w:w="11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0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652,500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(11,726</w:t>
            </w:r>
          </w:p>
        </w:tc>
        <w:tc>
          <w:tcPr>
            <w:tcW w:w="17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55" w:type="dxa"/>
            <w:tcBorders/>
            <w:shd w:fill="auto" w:val="clear"/>
            <w:vAlign w:val="center"/>
          </w:tcPr>
          <w:p>
            <w:pPr>
              <w:pStyle w:val="TableContents"/>
              <w:spacing w:before="0" w:after="0"/>
              <w:ind w:left="0" w:right="0" w:hanging="0"/>
              <w:jc w:val="righ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5,718</w:t>
            </w:r>
          </w:p>
        </w:tc>
        <w:tc>
          <w:tcPr>
            <w:tcW w:w="1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 w:type="dxa"/>
            <w:tcBorders/>
            <w:shd w:fill="auto" w:val="clear"/>
            <w:vAlign w:val="center"/>
          </w:tcPr>
          <w:p>
            <w:pPr>
              <w:pStyle w:val="TableContents"/>
              <w:spacing w:before="0" w:after="0"/>
              <w:ind w:left="0" w:right="0" w:hanging="0"/>
              <w:jc w:val="righ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(6,008</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bl>
    <w:p>
      <w:pPr>
        <w:pStyle w:val="TextBody"/>
        <w:spacing w:before="0" w:after="0"/>
        <w:jc w:val="left"/>
        <w:rPr/>
      </w:pPr>
      <w:r>
        <w:rPr/>
        <w:t> </w:t>
      </w:r>
    </w:p>
    <w:p>
      <w:pPr>
        <w:pStyle w:val="TextBody"/>
        <w:spacing w:before="40" w:after="0"/>
        <w:jc w:val="left"/>
        <w:rPr>
          <w:rFonts w:ascii="Times New Roman" w:hAnsi="Times New Roman"/>
          <w:b w:val="false"/>
          <w:sz w:val="20"/>
        </w:rPr>
      </w:pPr>
      <w:r>
        <w:rPr>
          <w:rFonts w:ascii="Times New Roman" w:hAnsi="Times New Roman"/>
          <w:b w:val="false"/>
          <w:sz w:val="20"/>
        </w:rPr>
        <w:t>(1)</w:t>
      </w:r>
    </w:p>
    <w:p>
      <w:pPr>
        <w:pStyle w:val="TextBody"/>
        <w:spacing w:before="40" w:after="283"/>
        <w:jc w:val="left"/>
        <w:rPr>
          <w:rFonts w:ascii="Times New Roman;serif" w:hAnsi="Times New Roman;serif"/>
          <w:b w:val="false"/>
          <w:sz w:val="20"/>
        </w:rPr>
      </w:pPr>
      <w:r>
        <w:rPr>
          <w:rFonts w:ascii="Times New Roman;serif" w:hAnsi="Times New Roman;serif"/>
          <w:b w:val="false"/>
          <w:sz w:val="20"/>
        </w:rPr>
        <w:t>As of March 31, 2023, these interest rate swaps had either matured or been terminated due to repayment of the underlying</w:t>
        <w:br/>
        <w:t>investment or security.</w:t>
      </w:r>
    </w:p>
    <w:p>
      <w:pPr>
        <w:pStyle w:val="TextBody"/>
        <w:spacing w:before="0" w:after="0"/>
        <w:jc w:val="left"/>
        <w:rPr/>
      </w:pPr>
      <w:r>
        <w:rPr/>
        <w:t> </w:t>
      </w:r>
    </w:p>
    <w:tbl>
      <w:tblPr>
        <w:tblW w:w="8398" w:type="dxa"/>
        <w:jc w:val="left"/>
        <w:tblInd w:w="0" w:type="dxa"/>
        <w:tblCellMar>
          <w:top w:w="28" w:type="dxa"/>
          <w:left w:w="28" w:type="dxa"/>
          <w:bottom w:w="28" w:type="dxa"/>
          <w:right w:w="28" w:type="dxa"/>
        </w:tblCellMar>
      </w:tblPr>
      <w:tblGrid>
        <w:gridCol w:w="1516"/>
        <w:gridCol w:w="146"/>
        <w:gridCol w:w="1156"/>
        <w:gridCol w:w="146"/>
        <w:gridCol w:w="252"/>
        <w:gridCol w:w="1113"/>
        <w:gridCol w:w="146"/>
        <w:gridCol w:w="146"/>
        <w:gridCol w:w="237"/>
        <w:gridCol w:w="710"/>
        <w:gridCol w:w="187"/>
        <w:gridCol w:w="164"/>
        <w:gridCol w:w="237"/>
        <w:gridCol w:w="643"/>
        <w:gridCol w:w="164"/>
        <w:gridCol w:w="164"/>
        <w:gridCol w:w="237"/>
        <w:gridCol w:w="643"/>
        <w:gridCol w:w="391"/>
      </w:tblGrid>
      <w:tr>
        <w:trPr/>
        <w:tc>
          <w:tcPr>
            <w:tcW w:w="15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5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6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386"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 March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Maturity 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3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Notional 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Paid</w:t>
            </w:r>
          </w:p>
        </w:tc>
        <w:tc>
          <w:tcPr>
            <w:tcW w:w="1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4" w:type="dxa"/>
            <w:tcBorders/>
            <w:shd w:fill="auto" w:val="clear"/>
            <w:vAlign w:val="center"/>
          </w:tcPr>
          <w:p>
            <w:pPr>
              <w:pStyle w:val="TableContents"/>
              <w:spacing w:before="0" w:after="0"/>
              <w:ind w:left="0" w:right="0" w:hanging="0"/>
              <w:jc w:val="center"/>
              <w:rPr/>
            </w:pPr>
            <w:r>
              <w:rPr/>
              <w:t> </w:t>
            </w:r>
          </w:p>
        </w:tc>
        <w:tc>
          <w:tcPr>
            <w:tcW w:w="8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Received</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4" w:type="dxa"/>
            <w:tcBorders/>
            <w:shd w:fill="auto" w:val="clear"/>
            <w:vAlign w:val="center"/>
          </w:tcPr>
          <w:p>
            <w:pPr>
              <w:pStyle w:val="TableContents"/>
              <w:spacing w:before="0" w:after="0"/>
              <w:ind w:left="0" w:right="0" w:hanging="0"/>
              <w:jc w:val="center"/>
              <w:rPr/>
            </w:pPr>
            <w:r>
              <w:rPr/>
              <w:t> </w:t>
            </w:r>
          </w:p>
        </w:tc>
        <w:tc>
          <w:tcPr>
            <w:tcW w:w="8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Interest rate swap</w:t>
            </w:r>
          </w:p>
        </w:tc>
        <w:tc>
          <w:tcPr>
            <w:tcW w:w="146" w:type="dxa"/>
            <w:tcBorders/>
            <w:shd w:fill="auto" w:val="clear"/>
            <w:vAlign w:val="center"/>
          </w:tcPr>
          <w:p>
            <w:pPr>
              <w:pStyle w:val="TableContents"/>
              <w:spacing w:before="0" w:after="0"/>
              <w:ind w:left="0" w:right="0" w:hanging="0"/>
              <w:jc w:val="right"/>
              <w:rPr/>
            </w:pPr>
            <w:r>
              <w:rPr/>
              <w:t> </w:t>
            </w:r>
          </w:p>
        </w:tc>
        <w:tc>
          <w:tcPr>
            <w:tcW w:w="115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8/1/2022</w:t>
            </w:r>
          </w:p>
        </w:tc>
        <w:tc>
          <w:tcPr>
            <w:tcW w:w="146" w:type="dxa"/>
            <w:tcBorders/>
            <w:shd w:fill="auto" w:val="clear"/>
            <w:vAlign w:val="center"/>
          </w:tcPr>
          <w:p>
            <w:pPr>
              <w:pStyle w:val="TableContents"/>
              <w:spacing w:before="0" w:after="0"/>
              <w:ind w:left="0" w:right="0" w:hanging="0"/>
              <w:jc w:val="right"/>
              <w:rPr/>
            </w:pPr>
            <w:r>
              <w:rPr/>
              <w:t> </w:t>
            </w:r>
          </w:p>
        </w:tc>
        <w:tc>
          <w:tcPr>
            <w:tcW w:w="252"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11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115,000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1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(745</w:t>
            </w:r>
          </w:p>
        </w:tc>
        <w:tc>
          <w:tcPr>
            <w:tcW w:w="187"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64"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4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1,294</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4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549</w:t>
            </w:r>
          </w:p>
        </w:tc>
        <w:tc>
          <w:tcPr>
            <w:tcW w:w="391" w:type="dxa"/>
            <w:tcBorders/>
            <w:shd w:fill="auto" w:val="cle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Interest rate swap</w:t>
            </w:r>
          </w:p>
        </w:tc>
        <w:tc>
          <w:tcPr>
            <w:tcW w:w="146" w:type="dxa"/>
            <w:tcBorders/>
            <w:shd w:fill="auto" w:val="clear"/>
            <w:vAlign w:val="center"/>
          </w:tcPr>
          <w:p>
            <w:pPr>
              <w:pStyle w:val="TableContents"/>
              <w:spacing w:before="0" w:after="0"/>
              <w:ind w:left="0" w:right="0" w:hanging="0"/>
              <w:jc w:val="right"/>
              <w:rPr/>
            </w:pPr>
            <w:r>
              <w:rPr/>
              <w:t> </w:t>
            </w:r>
          </w:p>
        </w:tc>
        <w:tc>
          <w:tcPr>
            <w:tcW w:w="115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8/1/2022</w:t>
            </w:r>
          </w:p>
        </w:tc>
        <w:tc>
          <w:tcPr>
            <w:tcW w:w="146" w:type="dxa"/>
            <w:tcBorders/>
            <w:shd w:fill="auto" w:val="clear"/>
            <w:vAlign w:val="center"/>
          </w:tcPr>
          <w:p>
            <w:pPr>
              <w:pStyle w:val="TableContents"/>
              <w:spacing w:before="0" w:after="0"/>
              <w:ind w:left="0" w:right="0" w:hanging="0"/>
              <w:jc w:val="righ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111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71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(227</w:t>
            </w:r>
          </w:p>
        </w:tc>
        <w:tc>
          <w:tcPr>
            <w:tcW w:w="187"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64"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64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563</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64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336</w:t>
            </w:r>
          </w:p>
        </w:tc>
        <w:tc>
          <w:tcPr>
            <w:tcW w:w="391" w:type="dxa"/>
            <w:tcBorders/>
            <w:shd w:fill="auto" w:val="cle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Interest rate swap</w:t>
            </w:r>
          </w:p>
        </w:tc>
        <w:tc>
          <w:tcPr>
            <w:tcW w:w="146" w:type="dxa"/>
            <w:tcBorders/>
            <w:shd w:fill="auto" w:val="clear"/>
            <w:vAlign w:val="center"/>
          </w:tcPr>
          <w:p>
            <w:pPr>
              <w:pStyle w:val="TableContents"/>
              <w:spacing w:before="0" w:after="0"/>
              <w:ind w:left="0" w:right="0" w:hanging="0"/>
              <w:jc w:val="right"/>
              <w:rPr/>
            </w:pPr>
            <w:r>
              <w:rPr/>
              <w:t> </w:t>
            </w:r>
          </w:p>
        </w:tc>
        <w:tc>
          <w:tcPr>
            <w:tcW w:w="115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8/1/2022</w:t>
            </w:r>
          </w:p>
        </w:tc>
        <w:tc>
          <w:tcPr>
            <w:tcW w:w="146" w:type="dxa"/>
            <w:tcBorders/>
            <w:shd w:fill="auto" w:val="clear"/>
            <w:vAlign w:val="center"/>
          </w:tcPr>
          <w:p>
            <w:pPr>
              <w:pStyle w:val="TableContents"/>
              <w:spacing w:before="0" w:after="0"/>
              <w:ind w:left="0" w:right="0" w:hanging="0"/>
              <w:jc w:val="righ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111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7,500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71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(34</w:t>
            </w:r>
          </w:p>
        </w:tc>
        <w:tc>
          <w:tcPr>
            <w:tcW w:w="187"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64"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64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84</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64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50</w:t>
            </w:r>
          </w:p>
        </w:tc>
        <w:tc>
          <w:tcPr>
            <w:tcW w:w="391" w:type="dxa"/>
            <w:tcBorders/>
            <w:shd w:fill="auto" w:val="cle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Interest rate swap</w:t>
            </w:r>
          </w:p>
        </w:tc>
        <w:tc>
          <w:tcPr>
            <w:tcW w:w="146" w:type="dxa"/>
            <w:tcBorders/>
            <w:shd w:fill="auto" w:val="clear"/>
            <w:vAlign w:val="center"/>
          </w:tcPr>
          <w:p>
            <w:pPr>
              <w:pStyle w:val="TableContents"/>
              <w:spacing w:before="0" w:after="0"/>
              <w:ind w:left="0" w:right="0" w:hanging="0"/>
              <w:jc w:val="right"/>
              <w:rPr/>
            </w:pPr>
            <w:r>
              <w:rPr/>
              <w:t> </w:t>
            </w:r>
          </w:p>
        </w:tc>
        <w:tc>
          <w:tcPr>
            <w:tcW w:w="115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8/1/2022</w:t>
            </w:r>
          </w:p>
        </w:tc>
        <w:tc>
          <w:tcPr>
            <w:tcW w:w="146" w:type="dxa"/>
            <w:tcBorders/>
            <w:shd w:fill="auto" w:val="clear"/>
            <w:vAlign w:val="center"/>
          </w:tcPr>
          <w:p>
            <w:pPr>
              <w:pStyle w:val="TableContents"/>
              <w:spacing w:before="0" w:after="0"/>
              <w:ind w:left="0" w:right="0" w:hanging="0"/>
              <w:jc w:val="righ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111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27,531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71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(306</w:t>
            </w:r>
          </w:p>
        </w:tc>
        <w:tc>
          <w:tcPr>
            <w:tcW w:w="187"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64"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64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159</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64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(147</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Interest rate swap</w:t>
            </w:r>
          </w:p>
        </w:tc>
        <w:tc>
          <w:tcPr>
            <w:tcW w:w="146" w:type="dxa"/>
            <w:tcBorders/>
            <w:shd w:fill="auto" w:val="clear"/>
            <w:vAlign w:val="center"/>
          </w:tcPr>
          <w:p>
            <w:pPr>
              <w:pStyle w:val="TableContents"/>
              <w:spacing w:before="0" w:after="0"/>
              <w:ind w:left="0" w:right="0" w:hanging="0"/>
              <w:jc w:val="right"/>
              <w:rPr/>
            </w:pPr>
            <w:r>
              <w:rPr/>
              <w:t> </w:t>
            </w:r>
          </w:p>
        </w:tc>
        <w:tc>
          <w:tcPr>
            <w:tcW w:w="115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8/1/2022</w:t>
            </w:r>
          </w:p>
        </w:tc>
        <w:tc>
          <w:tcPr>
            <w:tcW w:w="146" w:type="dxa"/>
            <w:tcBorders/>
            <w:shd w:fill="auto" w:val="clear"/>
            <w:vAlign w:val="center"/>
          </w:tcPr>
          <w:p>
            <w:pPr>
              <w:pStyle w:val="TableContents"/>
              <w:spacing w:before="0" w:after="0"/>
              <w:ind w:left="0" w:right="0" w:hanging="0"/>
              <w:jc w:val="righ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111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2,160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71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(24</w:t>
            </w:r>
          </w:p>
        </w:tc>
        <w:tc>
          <w:tcPr>
            <w:tcW w:w="187"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64"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64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12</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64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(12</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Interest rate swap</w:t>
            </w:r>
          </w:p>
        </w:tc>
        <w:tc>
          <w:tcPr>
            <w:tcW w:w="146" w:type="dxa"/>
            <w:tcBorders/>
            <w:shd w:fill="auto" w:val="clear"/>
            <w:vAlign w:val="center"/>
          </w:tcPr>
          <w:p>
            <w:pPr>
              <w:pStyle w:val="TableContents"/>
              <w:spacing w:before="0" w:after="0"/>
              <w:ind w:left="0" w:right="0" w:hanging="0"/>
              <w:jc w:val="right"/>
              <w:rPr/>
            </w:pPr>
            <w:r>
              <w:rPr/>
              <w:t> </w:t>
            </w:r>
          </w:p>
        </w:tc>
        <w:tc>
          <w:tcPr>
            <w:tcW w:w="115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8/1/2022</w:t>
            </w:r>
          </w:p>
        </w:tc>
        <w:tc>
          <w:tcPr>
            <w:tcW w:w="146" w:type="dxa"/>
            <w:tcBorders/>
            <w:shd w:fill="auto" w:val="clear"/>
            <w:vAlign w:val="center"/>
          </w:tcPr>
          <w:p>
            <w:pPr>
              <w:pStyle w:val="TableContents"/>
              <w:spacing w:before="0" w:after="0"/>
              <w:ind w:left="0" w:right="0" w:hanging="0"/>
              <w:jc w:val="righ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111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42,819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71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(482</w:t>
            </w:r>
          </w:p>
        </w:tc>
        <w:tc>
          <w:tcPr>
            <w:tcW w:w="187"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64"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64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250</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64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(232</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Interest rate swap</w:t>
            </w:r>
          </w:p>
        </w:tc>
        <w:tc>
          <w:tcPr>
            <w:tcW w:w="146" w:type="dxa"/>
            <w:tcBorders/>
            <w:shd w:fill="auto" w:val="clear"/>
            <w:vAlign w:val="center"/>
          </w:tcPr>
          <w:p>
            <w:pPr>
              <w:pStyle w:val="TableContents"/>
              <w:spacing w:before="0" w:after="0"/>
              <w:ind w:left="0" w:right="0" w:hanging="0"/>
              <w:jc w:val="right"/>
              <w:rPr/>
            </w:pPr>
            <w:r>
              <w:rPr/>
              <w:t> </w:t>
            </w:r>
          </w:p>
        </w:tc>
        <w:tc>
          <w:tcPr>
            <w:tcW w:w="115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1/22/2023</w:t>
            </w:r>
          </w:p>
        </w:tc>
        <w:tc>
          <w:tcPr>
            <w:tcW w:w="146" w:type="dxa"/>
            <w:tcBorders/>
            <w:shd w:fill="auto" w:val="clear"/>
            <w:vAlign w:val="center"/>
          </w:tcPr>
          <w:p>
            <w:pPr>
              <w:pStyle w:val="TableContents"/>
              <w:spacing w:before="0" w:after="0"/>
              <w:ind w:left="0" w:right="0" w:hanging="0"/>
              <w:jc w:val="righ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111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71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(830</w:t>
            </w:r>
          </w:p>
        </w:tc>
        <w:tc>
          <w:tcPr>
            <w:tcW w:w="187"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64"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64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1,687</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64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857</w:t>
            </w:r>
          </w:p>
        </w:tc>
        <w:tc>
          <w:tcPr>
            <w:tcW w:w="391" w:type="dxa"/>
            <w:tcBorders/>
            <w:shd w:fill="auto" w:val="cle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Interest rate swap</w:t>
            </w:r>
          </w:p>
        </w:tc>
        <w:tc>
          <w:tcPr>
            <w:tcW w:w="146" w:type="dxa"/>
            <w:tcBorders/>
            <w:shd w:fill="auto" w:val="clear"/>
            <w:vAlign w:val="center"/>
          </w:tcPr>
          <w:p>
            <w:pPr>
              <w:pStyle w:val="TableContents"/>
              <w:spacing w:before="0" w:after="0"/>
              <w:ind w:left="0" w:right="0" w:hanging="0"/>
              <w:jc w:val="right"/>
              <w:rPr/>
            </w:pPr>
            <w:r>
              <w:rPr/>
              <w:t> </w:t>
            </w:r>
          </w:p>
        </w:tc>
        <w:tc>
          <w:tcPr>
            <w:tcW w:w="115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11/1/2024</w:t>
            </w:r>
          </w:p>
        </w:tc>
        <w:tc>
          <w:tcPr>
            <w:tcW w:w="146" w:type="dxa"/>
            <w:tcBorders/>
            <w:shd w:fill="auto" w:val="clear"/>
            <w:vAlign w:val="center"/>
          </w:tcPr>
          <w:p>
            <w:pPr>
              <w:pStyle w:val="TableContents"/>
              <w:spacing w:before="0" w:after="0"/>
              <w:ind w:left="0" w:right="0" w:hanging="0"/>
              <w:jc w:val="righ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111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300,000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71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(1,813</w:t>
            </w:r>
          </w:p>
        </w:tc>
        <w:tc>
          <w:tcPr>
            <w:tcW w:w="187"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64"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64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2,906</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64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1,093</w:t>
            </w:r>
          </w:p>
        </w:tc>
        <w:tc>
          <w:tcPr>
            <w:tcW w:w="391" w:type="dxa"/>
            <w:tcBorders/>
            <w:shd w:fill="auto" w:val="cle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Interest rate swap</w:t>
            </w:r>
          </w:p>
        </w:tc>
        <w:tc>
          <w:tcPr>
            <w:tcW w:w="146" w:type="dxa"/>
            <w:tcBorders/>
            <w:shd w:fill="auto" w:val="clear"/>
            <w:vAlign w:val="center"/>
          </w:tcPr>
          <w:p>
            <w:pPr>
              <w:pStyle w:val="TableContents"/>
              <w:spacing w:before="0" w:after="0"/>
              <w:ind w:left="0" w:right="0" w:hanging="0"/>
              <w:jc w:val="right"/>
              <w:rPr/>
            </w:pPr>
            <w:r>
              <w:rPr/>
              <w:t> </w:t>
            </w:r>
          </w:p>
        </w:tc>
        <w:tc>
          <w:tcPr>
            <w:tcW w:w="115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11/1/2024</w:t>
            </w:r>
          </w:p>
        </w:tc>
        <w:tc>
          <w:tcPr>
            <w:tcW w:w="146" w:type="dxa"/>
            <w:tcBorders/>
            <w:shd w:fill="auto" w:val="clear"/>
            <w:vAlign w:val="center"/>
          </w:tcPr>
          <w:p>
            <w:pPr>
              <w:pStyle w:val="TableContents"/>
              <w:spacing w:before="0" w:after="0"/>
              <w:ind w:left="0" w:right="0" w:hanging="0"/>
              <w:jc w:val="righ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111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71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(320</w:t>
            </w:r>
          </w:p>
        </w:tc>
        <w:tc>
          <w:tcPr>
            <w:tcW w:w="187"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64"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64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484</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64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164</w:t>
            </w:r>
          </w:p>
        </w:tc>
        <w:tc>
          <w:tcPr>
            <w:tcW w:w="391" w:type="dxa"/>
            <w:tcBorders/>
            <w:shd w:fill="auto" w:val="clear"/>
            <w:vAlign w:val="center"/>
          </w:tcPr>
          <w:p>
            <w:pPr>
              <w:pStyle w:val="TableContents"/>
              <w:spacing w:before="0" w:after="0"/>
              <w:ind w:left="0" w:right="0" w:hanging="0"/>
              <w:jc w:val="left"/>
              <w:rPr/>
            </w:pPr>
            <w:r>
              <w:rPr/>
              <w:t> </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Interest rate swap</w:t>
            </w:r>
          </w:p>
        </w:tc>
        <w:tc>
          <w:tcPr>
            <w:tcW w:w="146" w:type="dxa"/>
            <w:tcBorders/>
            <w:shd w:fill="auto" w:val="clear"/>
            <w:vAlign w:val="center"/>
          </w:tcPr>
          <w:p>
            <w:pPr>
              <w:pStyle w:val="TableContents"/>
              <w:spacing w:before="0" w:after="0"/>
              <w:ind w:left="0" w:right="0" w:hanging="0"/>
              <w:jc w:val="right"/>
              <w:rPr/>
            </w:pPr>
            <w:r>
              <w:rPr/>
              <w:t> </w:t>
            </w:r>
          </w:p>
        </w:tc>
        <w:tc>
          <w:tcPr>
            <w:tcW w:w="115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11/1/2024</w:t>
            </w:r>
          </w:p>
        </w:tc>
        <w:tc>
          <w:tcPr>
            <w:tcW w:w="146" w:type="dxa"/>
            <w:tcBorders/>
            <w:shd w:fill="auto" w:val="clear"/>
            <w:vAlign w:val="center"/>
          </w:tcPr>
          <w:p>
            <w:pPr>
              <w:pStyle w:val="TableContents"/>
              <w:spacing w:before="0" w:after="0"/>
              <w:ind w:left="0" w:right="0" w:hanging="0"/>
              <w:jc w:val="right"/>
              <w:rPr/>
            </w:pPr>
            <w:r>
              <w:rPr/>
              <w:t> </w:t>
            </w:r>
          </w:p>
        </w:tc>
        <w:tc>
          <w:tcPr>
            <w:tcW w:w="252" w:type="dxa"/>
            <w:tcBorders/>
            <w:shd w:fill="auto" w:val="clear"/>
            <w:vAlign w:val="center"/>
          </w:tcPr>
          <w:p>
            <w:pPr>
              <w:pStyle w:val="TableContents"/>
              <w:spacing w:before="0" w:after="0"/>
              <w:ind w:left="0" w:right="0" w:hanging="0"/>
              <w:jc w:val="left"/>
              <w:rPr/>
            </w:pPr>
            <w:r>
              <w:rPr/>
              <w:t> </w:t>
            </w:r>
          </w:p>
        </w:tc>
        <w:tc>
          <w:tcPr>
            <w:tcW w:w="111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710"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(23</w:t>
            </w:r>
          </w:p>
        </w:tc>
        <w:tc>
          <w:tcPr>
            <w:tcW w:w="187"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64"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64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15</w:t>
            </w:r>
          </w:p>
        </w:tc>
        <w:tc>
          <w:tcPr>
            <w:tcW w:w="164"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righ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643"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(8</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r>
      <w:tr>
        <w:trPr/>
        <w:tc>
          <w:tcPr>
            <w:tcW w:w="1516" w:type="dxa"/>
            <w:tcBorders/>
            <w:shd w:fill="auto" w:val="cle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Interest rate swap</w:t>
            </w:r>
          </w:p>
        </w:tc>
        <w:tc>
          <w:tcPr>
            <w:tcW w:w="146" w:type="dxa"/>
            <w:tcBorders/>
            <w:shd w:fill="auto" w:val="clear"/>
            <w:vAlign w:val="center"/>
          </w:tcPr>
          <w:p>
            <w:pPr>
              <w:pStyle w:val="TableContents"/>
              <w:spacing w:before="0" w:after="0"/>
              <w:ind w:left="0" w:right="0" w:hanging="0"/>
              <w:jc w:val="right"/>
              <w:rPr/>
            </w:pPr>
            <w:r>
              <w:rPr/>
              <w:t> </w:t>
            </w:r>
          </w:p>
        </w:tc>
        <w:tc>
          <w:tcPr>
            <w:tcW w:w="1156" w:type="dxa"/>
            <w:tcBorders/>
            <w:shd w:fill="auto" w:val="cle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8/1/2026</w:t>
            </w:r>
          </w:p>
        </w:tc>
        <w:tc>
          <w:tcPr>
            <w:tcW w:w="146" w:type="dxa"/>
            <w:tcBorders/>
            <w:shd w:fill="auto" w:val="clear"/>
            <w:vAlign w:val="center"/>
          </w:tcPr>
          <w:p>
            <w:pPr>
              <w:pStyle w:val="TableContents"/>
              <w:spacing w:before="0" w:after="0"/>
              <w:ind w:left="0" w:right="0" w:hanging="0"/>
              <w:jc w:val="right"/>
              <w:rPr/>
            </w:pPr>
            <w:r>
              <w:rPr/>
              <w:t> </w:t>
            </w:r>
          </w:p>
        </w:tc>
        <w:tc>
          <w:tcPr>
            <w:tcW w:w="2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300,000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(1,526</w:t>
            </w:r>
          </w:p>
        </w:tc>
        <w:tc>
          <w:tcPr>
            <w:tcW w:w="1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64" w:type="dxa"/>
            <w:tcBorders/>
            <w:shd w:fill="auto" w:val="clear"/>
            <w:vAlign w:val="center"/>
          </w:tcPr>
          <w:p>
            <w:pPr>
              <w:pStyle w:val="TableContents"/>
              <w:spacing w:before="0" w:after="0"/>
              <w:ind w:left="0" w:right="0" w:hanging="0"/>
              <w:jc w:val="righ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1,792</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right"/>
              <w:rPr/>
            </w:pPr>
            <w:r>
              <w:rPr/>
              <w:t> </w:t>
            </w:r>
          </w:p>
        </w:tc>
        <w:tc>
          <w:tcPr>
            <w:tcW w:w="23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266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1516" w:type="dxa"/>
            <w:tcBorders/>
            <w:shd w:fill="auto" w:val="clear"/>
            <w:vAlign w:val="center"/>
          </w:tcPr>
          <w:p>
            <w:pPr>
              <w:pStyle w:val="TableContents"/>
              <w:spacing w:before="0" w:after="0"/>
              <w:ind w:left="200" w:right="0" w:hanging="0"/>
              <w:jc w:val="left"/>
              <w:rPr>
                <w:rFonts w:ascii="Times New Roman;serif" w:hAnsi="Times New Roman;serif"/>
                <w:b/>
                <w:sz w:val="19"/>
              </w:rPr>
            </w:pPr>
            <w:r>
              <w:rPr>
                <w:rFonts w:ascii="Times New Roman;serif" w:hAnsi="Times New Roman;serif"/>
                <w:b/>
                <w:sz w:val="19"/>
              </w:rPr>
              <w:t>Total</w:t>
            </w:r>
          </w:p>
        </w:tc>
        <w:tc>
          <w:tcPr>
            <w:tcW w:w="146" w:type="dxa"/>
            <w:tcBorders/>
            <w:shd w:fill="auto" w:val="clear"/>
            <w:vAlign w:val="center"/>
          </w:tcPr>
          <w:p>
            <w:pPr>
              <w:pStyle w:val="TableContents"/>
              <w:spacing w:before="0" w:after="0"/>
              <w:ind w:left="0" w:right="0" w:hanging="0"/>
              <w:jc w:val="right"/>
              <w:rPr/>
            </w:pPr>
            <w:r>
              <w:rPr/>
              <w:t> </w:t>
            </w:r>
          </w:p>
        </w:tc>
        <w:tc>
          <w:tcPr>
            <w:tcW w:w="11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1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1,047,510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7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(6,330</w:t>
            </w:r>
          </w:p>
        </w:tc>
        <w:tc>
          <w:tcPr>
            <w:tcW w:w="1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164" w:type="dxa"/>
            <w:tcBorders/>
            <w:shd w:fill="auto" w:val="clear"/>
            <w:vAlign w:val="center"/>
          </w:tcPr>
          <w:p>
            <w:pPr>
              <w:pStyle w:val="TableContents"/>
              <w:spacing w:before="0" w:after="0"/>
              <w:ind w:left="0" w:right="0" w:hanging="0"/>
              <w:jc w:val="right"/>
              <w:rPr/>
            </w:pPr>
            <w:r>
              <w:rPr/>
              <w:t> </w:t>
            </w:r>
          </w:p>
        </w:tc>
        <w:tc>
          <w:tcPr>
            <w:tcW w:w="2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9,246</w:t>
            </w:r>
          </w:p>
        </w:tc>
        <w:tc>
          <w:tcPr>
            <w:tcW w:w="1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right"/>
              <w:rPr/>
            </w:pPr>
            <w:r>
              <w:rPr/>
              <w:t> </w:t>
            </w:r>
          </w:p>
        </w:tc>
        <w:tc>
          <w:tcPr>
            <w:tcW w:w="23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9"/>
              </w:rPr>
            </w:pPr>
            <w:r>
              <w:rPr>
                <w:rFonts w:ascii="Times New Roman;serif" w:hAnsi="Times New Roman;serif"/>
                <w:b w:val="false"/>
                <w:sz w:val="19"/>
              </w:rPr>
              <w:t>$</w:t>
            </w:r>
          </w:p>
        </w:tc>
        <w:tc>
          <w:tcPr>
            <w:tcW w:w="6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9"/>
              </w:rPr>
            </w:pPr>
            <w:r>
              <w:rPr>
                <w:rFonts w:ascii="Times New Roman;serif" w:hAnsi="Times New Roman;serif"/>
                <w:b w:val="false"/>
                <w:sz w:val="19"/>
              </w:rPr>
              <w:t>2,916</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For the three months ended March 31, 2023 and 2022, the Company recognized $0.2</w:t>
      </w:r>
      <w:r>
        <w:rPr>
          <w:rFonts w:ascii="Times New Roman" w:hAnsi="Times New Roman"/>
          <w:sz w:val="20"/>
        </w:rPr>
        <w:t xml:space="preserve"> </w:t>
      </w:r>
      <w:r>
        <w:rPr>
          <w:rFonts w:ascii="Times New Roman;serif" w:hAnsi="Times New Roman;serif"/>
          <w:b w:val="false"/>
          <w:sz w:val="20"/>
        </w:rPr>
        <w:t>million in net unrealized gains and $2.9</w:t>
      </w:r>
      <w:r>
        <w:rPr>
          <w:rFonts w:ascii="Times New Roman" w:hAnsi="Times New Roman"/>
          <w:sz w:val="20"/>
        </w:rPr>
        <w:t xml:space="preserve"> </w:t>
      </w:r>
      <w:r>
        <w:rPr>
          <w:rFonts w:ascii="Times New Roman;serif" w:hAnsi="Times New Roman;serif"/>
          <w:b w:val="false"/>
          <w:sz w:val="20"/>
        </w:rPr>
        <w:t>million in net unrealized losses, respectively, on interest rate swaps not designated as hedging instruments in the consolidated statements of operations related to the swap transactions. For the three months ended March 31, 2023 and 2022, the Company recognized $7.3</w:t>
      </w:r>
      <w:r>
        <w:rPr>
          <w:rFonts w:ascii="Times New Roman" w:hAnsi="Times New Roman"/>
          <w:sz w:val="20"/>
        </w:rPr>
        <w:t xml:space="preserve"> </w:t>
      </w:r>
      <w:r>
        <w:rPr>
          <w:rFonts w:ascii="Times New Roman;serif" w:hAnsi="Times New Roman;serif"/>
          <w:b w:val="false"/>
          <w:sz w:val="20"/>
        </w:rPr>
        <w:t>million and $27.2</w:t>
      </w:r>
      <w:r>
        <w:rPr>
          <w:rFonts w:ascii="Times New Roman" w:hAnsi="Times New Roman"/>
          <w:sz w:val="20"/>
        </w:rPr>
        <w:t xml:space="preserve"> </w:t>
      </w:r>
      <w:r>
        <w:rPr>
          <w:rFonts w:ascii="Times New Roman;serif" w:hAnsi="Times New Roman;serif"/>
          <w:b w:val="false"/>
          <w:sz w:val="20"/>
        </w:rPr>
        <w:t>million in unrealized losses, respectively, on interest rate swaps designated as hedging instruments in the consolidated statements of operations. For the three months ended March 31, 2023 and 2022, this amount is offset by an increase of $3.2</w:t>
      </w:r>
      <w:r>
        <w:rPr>
          <w:rFonts w:ascii="Times New Roman" w:hAnsi="Times New Roman"/>
          <w:sz w:val="20"/>
        </w:rPr>
        <w:t xml:space="preserve"> </w:t>
      </w:r>
      <w:r>
        <w:rPr>
          <w:rFonts w:ascii="Times New Roman;serif" w:hAnsi="Times New Roman;serif"/>
          <w:b w:val="false"/>
          <w:sz w:val="20"/>
        </w:rPr>
        <w:t>million and a decrease of $13.2</w:t>
      </w:r>
      <w:r>
        <w:rPr>
          <w:rFonts w:ascii="Times New Roman" w:hAnsi="Times New Roman"/>
          <w:sz w:val="20"/>
        </w:rPr>
        <w:t xml:space="preserve"> </w:t>
      </w:r>
      <w:r>
        <w:rPr>
          <w:rFonts w:ascii="Times New Roman;serif" w:hAnsi="Times New Roman;serif"/>
          <w:b w:val="false"/>
          <w:sz w:val="20"/>
        </w:rPr>
        <w:t>million, respectively, for a change in the carrying value of the 2024 Notes and an increase of $4.1</w:t>
      </w:r>
      <w:r>
        <w:rPr>
          <w:rFonts w:ascii="Times New Roman" w:hAnsi="Times New Roman"/>
          <w:sz w:val="20"/>
        </w:rPr>
        <w:t xml:space="preserve"> </w:t>
      </w:r>
      <w:r>
        <w:rPr>
          <w:rFonts w:ascii="Times New Roman;serif" w:hAnsi="Times New Roman;serif"/>
          <w:b w:val="false"/>
          <w:sz w:val="20"/>
        </w:rPr>
        <w:t>million and a decrease of $14.0</w:t>
      </w:r>
      <w:r>
        <w:rPr>
          <w:rFonts w:ascii="Times New Roman" w:hAnsi="Times New Roman"/>
          <w:sz w:val="20"/>
        </w:rPr>
        <w:t xml:space="preserve"> </w:t>
      </w:r>
      <w:r>
        <w:rPr>
          <w:rFonts w:ascii="Times New Roman;serif" w:hAnsi="Times New Roman;serif"/>
          <w:b w:val="false"/>
          <w:sz w:val="20"/>
        </w:rPr>
        <w:t>million, respectively, for a change in carrying value of the 2026 Notes.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of March 31, 2023, the swap transactions had a fair value of $(47.8) million which is netted against cash collateral on the Company’s consolidated balance sheet. As of December 31, 2022, the swap transactions had a fair value of $(55.3) million which is netted against cash collateral on the Company’s consolidated balance sheet.</w:t>
      </w:r>
    </w:p>
    <w:p>
      <w:pPr>
        <w:pStyle w:val="TextBody"/>
        <w:spacing w:before="240" w:after="0"/>
        <w:jc w:val="left"/>
        <w:rPr>
          <w:rFonts w:ascii="Times New Roman" w:hAnsi="Times New Roman"/>
          <w:sz w:val="20"/>
        </w:rPr>
      </w:pPr>
      <w:r>
        <w:rPr>
          <w:rFonts w:ascii="Times New Roman;serif" w:hAnsi="Times New Roman;serif"/>
          <w:b w:val="false"/>
          <w:sz w:val="20"/>
        </w:rPr>
        <w:t>The Company is required under the terms of its derivatives agreements to pledge assets as collateral to secure its obligations underlying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 of March 31, 2023, $16.2</w:t>
      </w:r>
      <w:r>
        <w:rPr>
          <w:rFonts w:ascii="Times New Roman" w:hAnsi="Times New Roman"/>
          <w:sz w:val="20"/>
        </w:rPr>
        <w:t xml:space="preserve"> </w:t>
      </w:r>
      <w:r>
        <w:rPr>
          <w:rFonts w:ascii="Times New Roman;serif" w:hAnsi="Times New Roman;serif"/>
          <w:b w:val="false"/>
          <w:sz w:val="20"/>
        </w:rPr>
        <w:t>million of cash is pledged as collateral under the Company’s derivative agreements and is included in restricted cash as a component of cash and cash equivalents on the Company’s consolidated balance sheet. As of December 31, 2022, $15.4</w:t>
      </w:r>
      <w:r>
        <w:rPr>
          <w:rFonts w:ascii="Times New Roman" w:hAnsi="Times New Roman"/>
          <w:sz w:val="20"/>
        </w:rPr>
        <w:t xml:space="preserve"> </w:t>
      </w:r>
      <w:r>
        <w:rPr>
          <w:rFonts w:ascii="Times New Roman;serif" w:hAnsi="Times New Roman;serif"/>
          <w:b w:val="false"/>
          <w:sz w:val="20"/>
        </w:rPr>
        <w:t>million of cash is pledged as collateral under the Company’s derivative agreements and is included in restricted cash as a component of cash and cash equivalents on the Company’s consolidated balance sheet.</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 may enter into other derivative instruments and incur other exposures with the same or other counterparties in the future.</w:t>
      </w:r>
    </w:p>
    <w:p>
      <w:pPr>
        <w:pStyle w:val="TextBody"/>
        <w:spacing w:before="360" w:after="0"/>
        <w:jc w:val="left"/>
        <w:rPr>
          <w:rFonts w:ascii="Times New Roman" w:hAnsi="Times New Roman"/>
          <w:sz w:val="20"/>
        </w:rPr>
      </w:pPr>
      <w:r>
        <w:rPr>
          <w:rFonts w:ascii="Times New Roman;serif" w:hAnsi="Times New Roman;serif"/>
          <w:b/>
          <w:sz w:val="20"/>
        </w:rPr>
        <w:t>6. Fair Value of Financial Instruments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Investments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following tables present fair value measurements of investments as of March 31, 2023 and December 31, 2022:</w:t>
      </w:r>
      <w:r>
        <w:rPr>
          <w:rFonts w:ascii="Times New Roman" w:hAnsi="Times New Roman"/>
          <w:sz w:val="20"/>
        </w:rPr>
        <w:t xml:space="preserve"> </w:t>
      </w:r>
    </w:p>
    <w:tbl>
      <w:tblPr>
        <w:tblW w:w="8047" w:type="dxa"/>
        <w:jc w:val="left"/>
        <w:tblInd w:w="0" w:type="dxa"/>
        <w:tblCellMar>
          <w:top w:w="28" w:type="dxa"/>
          <w:left w:w="28" w:type="dxa"/>
          <w:bottom w:w="28" w:type="dxa"/>
          <w:right w:w="28" w:type="dxa"/>
        </w:tblCellMar>
      </w:tblPr>
      <w:tblGrid>
        <w:gridCol w:w="2581"/>
        <w:gridCol w:w="146"/>
        <w:gridCol w:w="211"/>
        <w:gridCol w:w="571"/>
        <w:gridCol w:w="146"/>
        <w:gridCol w:w="146"/>
        <w:gridCol w:w="211"/>
        <w:gridCol w:w="736"/>
        <w:gridCol w:w="166"/>
        <w:gridCol w:w="146"/>
        <w:gridCol w:w="211"/>
        <w:gridCol w:w="931"/>
        <w:gridCol w:w="146"/>
        <w:gridCol w:w="146"/>
        <w:gridCol w:w="211"/>
        <w:gridCol w:w="931"/>
        <w:gridCol w:w="411"/>
      </w:tblGrid>
      <w:tr>
        <w:trPr/>
        <w:tc>
          <w:tcPr>
            <w:tcW w:w="25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5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909"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 Hierarchy at March 31, 2023</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First-lien debt investments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2,628,849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2,651,509</w:t>
            </w:r>
          </w:p>
        </w:tc>
        <w:tc>
          <w:tcPr>
            <w:tcW w:w="411" w:type="dxa"/>
            <w:tcBorders/>
            <w:shd w:fill="auto" w:val="clear"/>
            <w:vAlign w:val="center"/>
          </w:tcPr>
          <w:p>
            <w:pPr>
              <w:pStyle w:val="TableContents"/>
              <w:spacing w:before="0" w:after="0"/>
              <w:ind w:left="0" w:right="0" w:hanging="0"/>
              <w:jc w:val="left"/>
              <w:rPr/>
            </w:pPr>
            <w:r>
              <w:rPr/>
              <w:t> </w:t>
            </w:r>
          </w:p>
        </w:tc>
      </w:tr>
      <w:tr>
        <w:trPr/>
        <w:tc>
          <w:tcPr>
            <w:tcW w:w="2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Second-lien debt investments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44,805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44,805</w:t>
            </w:r>
          </w:p>
        </w:tc>
        <w:tc>
          <w:tcPr>
            <w:tcW w:w="411" w:type="dxa"/>
            <w:tcBorders/>
            <w:shd w:fill="auto" w:val="clear"/>
            <w:vAlign w:val="center"/>
          </w:tcPr>
          <w:p>
            <w:pPr>
              <w:pStyle w:val="TableContents"/>
              <w:spacing w:before="0" w:after="0"/>
              <w:ind w:left="0" w:right="0" w:hanging="0"/>
              <w:jc w:val="left"/>
              <w:rPr/>
            </w:pPr>
            <w:r>
              <w:rPr/>
              <w:t> </w:t>
            </w:r>
          </w:p>
        </w:tc>
      </w:tr>
      <w:tr>
        <w:trPr/>
        <w:tc>
          <w:tcPr>
            <w:tcW w:w="2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Mezzanine debt investments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11,093</w:t>
            </w:r>
          </w:p>
        </w:tc>
        <w:tc>
          <w:tcPr>
            <w:tcW w:w="411" w:type="dxa"/>
            <w:tcBorders/>
            <w:shd w:fill="auto" w:val="clear"/>
            <w:vAlign w:val="center"/>
          </w:tcPr>
          <w:p>
            <w:pPr>
              <w:pStyle w:val="TableContents"/>
              <w:spacing w:before="0" w:after="0"/>
              <w:ind w:left="0" w:right="0" w:hanging="0"/>
              <w:jc w:val="left"/>
              <w:rPr/>
            </w:pPr>
            <w:r>
              <w:rPr/>
              <w:t> </w:t>
            </w:r>
          </w:p>
        </w:tc>
      </w:tr>
      <w:tr>
        <w:trPr/>
        <w:tc>
          <w:tcPr>
            <w:tcW w:w="2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Equity and other investments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11,199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136,769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157,507</w:t>
            </w:r>
          </w:p>
        </w:tc>
        <w:tc>
          <w:tcPr>
            <w:tcW w:w="411" w:type="dxa"/>
            <w:tcBorders/>
            <w:shd w:fill="auto" w:val="clear"/>
            <w:vAlign w:val="center"/>
          </w:tcPr>
          <w:p>
            <w:pPr>
              <w:pStyle w:val="TableContents"/>
              <w:spacing w:before="0" w:after="0"/>
              <w:ind w:left="0" w:right="0" w:hanging="0"/>
              <w:jc w:val="left"/>
              <w:rPr/>
            </w:pPr>
            <w:r>
              <w:rPr/>
              <w:t> </w:t>
            </w:r>
          </w:p>
        </w:tc>
      </w:tr>
      <w:tr>
        <w:trPr/>
        <w:tc>
          <w:tcPr>
            <w:tcW w:w="2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Structured credit investments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53,670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53,670</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5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investments at fair value</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87,529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2,821,516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2,918,584</w:t>
            </w:r>
          </w:p>
        </w:tc>
        <w:tc>
          <w:tcPr>
            <w:tcW w:w="411" w:type="dxa"/>
            <w:tcBorders/>
            <w:shd w:fill="auto" w:val="clear"/>
            <w:vAlign w:val="center"/>
          </w:tcPr>
          <w:p>
            <w:pPr>
              <w:pStyle w:val="TableContents"/>
              <w:spacing w:before="0" w:after="0"/>
              <w:ind w:left="0" w:right="0" w:hanging="0"/>
              <w:jc w:val="left"/>
              <w:rPr/>
            </w:pPr>
            <w:r>
              <w:rPr/>
              <w:t> </w:t>
            </w:r>
          </w:p>
        </w:tc>
      </w:tr>
      <w:tr>
        <w:trPr/>
        <w:tc>
          <w:tcPr>
            <w:tcW w:w="2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rate swaps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(47,822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(47,822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81"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Total</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9,539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39,707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2,821,516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2,870,762</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tbl>
      <w:tblPr>
        <w:tblW w:w="8047" w:type="dxa"/>
        <w:jc w:val="left"/>
        <w:tblInd w:w="0" w:type="dxa"/>
        <w:tblCellMar>
          <w:top w:w="28" w:type="dxa"/>
          <w:left w:w="28" w:type="dxa"/>
          <w:bottom w:w="28" w:type="dxa"/>
          <w:right w:w="28" w:type="dxa"/>
        </w:tblCellMar>
      </w:tblPr>
      <w:tblGrid>
        <w:gridCol w:w="2581"/>
        <w:gridCol w:w="146"/>
        <w:gridCol w:w="211"/>
        <w:gridCol w:w="571"/>
        <w:gridCol w:w="146"/>
        <w:gridCol w:w="146"/>
        <w:gridCol w:w="211"/>
        <w:gridCol w:w="736"/>
        <w:gridCol w:w="166"/>
        <w:gridCol w:w="146"/>
        <w:gridCol w:w="211"/>
        <w:gridCol w:w="931"/>
        <w:gridCol w:w="146"/>
        <w:gridCol w:w="146"/>
        <w:gridCol w:w="211"/>
        <w:gridCol w:w="931"/>
        <w:gridCol w:w="411"/>
      </w:tblGrid>
      <w:tr>
        <w:trPr/>
        <w:tc>
          <w:tcPr>
            <w:tcW w:w="25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5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909"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 Hierarchy at December 31, 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First-lien debt investments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21,935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2,495,959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2,517,894</w:t>
            </w:r>
          </w:p>
        </w:tc>
        <w:tc>
          <w:tcPr>
            <w:tcW w:w="411" w:type="dxa"/>
            <w:tcBorders/>
            <w:shd w:fill="auto" w:val="clear"/>
            <w:vAlign w:val="center"/>
          </w:tcPr>
          <w:p>
            <w:pPr>
              <w:pStyle w:val="TableContents"/>
              <w:spacing w:before="0" w:after="0"/>
              <w:ind w:left="0" w:right="0" w:hanging="0"/>
              <w:jc w:val="left"/>
              <w:rPr/>
            </w:pPr>
            <w:r>
              <w:rPr/>
              <w:t> </w:t>
            </w:r>
          </w:p>
        </w:tc>
      </w:tr>
      <w:tr>
        <w:trPr/>
        <w:tc>
          <w:tcPr>
            <w:tcW w:w="2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Second-lien debt investments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40,762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40,762</w:t>
            </w:r>
          </w:p>
        </w:tc>
        <w:tc>
          <w:tcPr>
            <w:tcW w:w="411" w:type="dxa"/>
            <w:tcBorders/>
            <w:shd w:fill="auto" w:val="clear"/>
            <w:vAlign w:val="center"/>
          </w:tcPr>
          <w:p>
            <w:pPr>
              <w:pStyle w:val="TableContents"/>
              <w:spacing w:before="0" w:after="0"/>
              <w:ind w:left="0" w:right="0" w:hanging="0"/>
              <w:jc w:val="left"/>
              <w:rPr/>
            </w:pPr>
            <w:r>
              <w:rPr/>
              <w:t> </w:t>
            </w:r>
          </w:p>
        </w:tc>
      </w:tr>
      <w:tr>
        <w:trPr/>
        <w:tc>
          <w:tcPr>
            <w:tcW w:w="2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Mezzanine debt investments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10,158</w:t>
            </w:r>
          </w:p>
        </w:tc>
        <w:tc>
          <w:tcPr>
            <w:tcW w:w="411" w:type="dxa"/>
            <w:tcBorders/>
            <w:shd w:fill="auto" w:val="clear"/>
            <w:vAlign w:val="center"/>
          </w:tcPr>
          <w:p>
            <w:pPr>
              <w:pStyle w:val="TableContents"/>
              <w:spacing w:before="0" w:after="0"/>
              <w:ind w:left="0" w:right="0" w:hanging="0"/>
              <w:jc w:val="left"/>
              <w:rPr/>
            </w:pPr>
            <w:r>
              <w:rPr/>
              <w:t> </w:t>
            </w:r>
          </w:p>
        </w:tc>
      </w:tr>
      <w:tr>
        <w:trPr/>
        <w:tc>
          <w:tcPr>
            <w:tcW w:w="2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Equity and other investments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147,059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167,685</w:t>
            </w:r>
          </w:p>
        </w:tc>
        <w:tc>
          <w:tcPr>
            <w:tcW w:w="411" w:type="dxa"/>
            <w:tcBorders/>
            <w:shd w:fill="auto" w:val="clear"/>
            <w:vAlign w:val="center"/>
          </w:tcPr>
          <w:p>
            <w:pPr>
              <w:pStyle w:val="TableContents"/>
              <w:spacing w:before="0" w:after="0"/>
              <w:ind w:left="0" w:right="0" w:hanging="0"/>
              <w:jc w:val="left"/>
              <w:rPr/>
            </w:pPr>
            <w:r>
              <w:rPr/>
              <w:t> </w:t>
            </w:r>
          </w:p>
        </w:tc>
      </w:tr>
      <w:tr>
        <w:trPr/>
        <w:tc>
          <w:tcPr>
            <w:tcW w:w="2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Structured credit investments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51,426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51,426</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5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investments at fair value</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86,489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2,693,938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2,787,925</w:t>
            </w:r>
          </w:p>
        </w:tc>
        <w:tc>
          <w:tcPr>
            <w:tcW w:w="411" w:type="dxa"/>
            <w:tcBorders/>
            <w:shd w:fill="auto" w:val="clear"/>
            <w:vAlign w:val="center"/>
          </w:tcPr>
          <w:p>
            <w:pPr>
              <w:pStyle w:val="TableContents"/>
              <w:spacing w:before="0" w:after="0"/>
              <w:ind w:left="0" w:right="0" w:hanging="0"/>
              <w:jc w:val="left"/>
              <w:rPr/>
            </w:pPr>
            <w:r>
              <w:rPr/>
              <w:t> </w:t>
            </w:r>
          </w:p>
        </w:tc>
      </w:tr>
      <w:tr>
        <w:trPr/>
        <w:tc>
          <w:tcPr>
            <w:tcW w:w="2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rate swaps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(55,314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(55,314</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581"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Total</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7,498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31,175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2,693,938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2,732,611</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40" w:after="0"/>
        <w:jc w:val="left"/>
        <w:rPr>
          <w:rFonts w:ascii="Times New Roman" w:hAnsi="Times New Roman"/>
          <w:sz w:val="20"/>
        </w:rPr>
      </w:pPr>
      <w:r>
        <w:rPr>
          <w:rFonts w:ascii="Times New Roman;serif" w:hAnsi="Times New Roman;serif"/>
          <w:b w:val="false"/>
          <w:sz w:val="20"/>
        </w:rPr>
        <w:t>Transfers between levels, if any, are recognized at the beginning of the quarter in which the transfers occur.</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The following tables present the changes in the fair value of investments for which Level 3 inputs were used to determine the fair value as of and for the three months ended March 31, 2023 and 2022:</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3272"/>
        <w:gridCol w:w="146"/>
        <w:gridCol w:w="211"/>
        <w:gridCol w:w="931"/>
        <w:gridCol w:w="166"/>
        <w:gridCol w:w="146"/>
        <w:gridCol w:w="225"/>
        <w:gridCol w:w="721"/>
        <w:gridCol w:w="166"/>
        <w:gridCol w:w="146"/>
        <w:gridCol w:w="225"/>
        <w:gridCol w:w="721"/>
        <w:gridCol w:w="146"/>
        <w:gridCol w:w="146"/>
        <w:gridCol w:w="211"/>
        <w:gridCol w:w="781"/>
        <w:gridCol w:w="166"/>
        <w:gridCol w:w="146"/>
        <w:gridCol w:w="211"/>
        <w:gridCol w:w="931"/>
        <w:gridCol w:w="391"/>
      </w:tblGrid>
      <w:tr>
        <w:trPr/>
        <w:tc>
          <w:tcPr>
            <w:tcW w:w="327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27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396" w:type="dxa"/>
            <w:gridSpan w:val="18"/>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and for the Three Months Ended</w:t>
            </w:r>
          </w:p>
        </w:tc>
        <w:tc>
          <w:tcPr>
            <w:tcW w:w="391" w:type="dxa"/>
            <w:tcBorders/>
            <w:shd w:fill="auto" w:val="clear"/>
            <w:vAlign w:val="center"/>
          </w:tcPr>
          <w:p>
            <w:pPr>
              <w:pStyle w:val="TableContents"/>
              <w:spacing w:before="0" w:after="0"/>
              <w:ind w:left="0" w:right="0" w:hanging="0"/>
              <w:jc w:val="center"/>
              <w:rPr/>
            </w:pPr>
            <w:r>
              <w:rPr/>
              <w:t> </w:t>
            </w:r>
          </w:p>
        </w:tc>
      </w:tr>
      <w:tr>
        <w:trPr/>
        <w:tc>
          <w:tcPr>
            <w:tcW w:w="327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396"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7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First-lien</w:t>
              <w:br/>
              <w:t>debt</w:t>
              <w:br/>
              <w:t>investments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Second-lien</w:t>
              <w:br/>
              <w:t>debt</w:t>
              <w:br/>
              <w:t>investments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Mezzanine</w:t>
              <w:br/>
              <w:t> debt</w:t>
              <w:br/>
              <w:t>investments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Equity</w:t>
              <w:br/>
              <w:t>and other</w:t>
              <w:br/>
              <w:t>investments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beginning of period</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2,495,959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40,762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147,059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2,693,938</w:t>
            </w:r>
          </w:p>
        </w:tc>
        <w:tc>
          <w:tcPr>
            <w:tcW w:w="391" w:type="dxa"/>
            <w:tcBorders/>
            <w:shd w:fill="auto" w:val="clear"/>
            <w:vAlign w:val="center"/>
          </w:tcPr>
          <w:p>
            <w:pPr>
              <w:pStyle w:val="TableContents"/>
              <w:spacing w:before="0" w:after="0"/>
              <w:ind w:left="0" w:right="0" w:hanging="0"/>
              <w:jc w:val="left"/>
              <w:rPr/>
            </w:pPr>
            <w:r>
              <w:rPr/>
              <w:t> </w:t>
            </w:r>
          </w:p>
        </w:tc>
      </w:tr>
      <w:tr>
        <w:trPr/>
        <w:tc>
          <w:tcPr>
            <w:tcW w:w="3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Purchases or originations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168,042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174,953</w:t>
            </w:r>
          </w:p>
        </w:tc>
        <w:tc>
          <w:tcPr>
            <w:tcW w:w="391" w:type="dxa"/>
            <w:tcBorders/>
            <w:shd w:fill="auto" w:val="clear"/>
            <w:vAlign w:val="center"/>
          </w:tcPr>
          <w:p>
            <w:pPr>
              <w:pStyle w:val="TableContents"/>
              <w:spacing w:before="0" w:after="0"/>
              <w:ind w:left="0" w:right="0" w:hanging="0"/>
              <w:jc w:val="left"/>
              <w:rPr/>
            </w:pPr>
            <w:r>
              <w:rPr/>
              <w:t> </w:t>
            </w:r>
          </w:p>
        </w:tc>
      </w:tr>
      <w:tr>
        <w:trPr/>
        <w:tc>
          <w:tcPr>
            <w:tcW w:w="3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Repayments / redemptions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(57,338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(5,255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(62,593</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Paid-in-kind interest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3,300</w:t>
            </w:r>
          </w:p>
        </w:tc>
        <w:tc>
          <w:tcPr>
            <w:tcW w:w="391" w:type="dxa"/>
            <w:tcBorders/>
            <w:shd w:fill="auto" w:val="clear"/>
            <w:vAlign w:val="center"/>
          </w:tcPr>
          <w:p>
            <w:pPr>
              <w:pStyle w:val="TableContents"/>
              <w:spacing w:before="0" w:after="0"/>
              <w:ind w:left="0" w:right="0" w:hanging="0"/>
              <w:jc w:val="left"/>
              <w:rPr/>
            </w:pPr>
            <w:r>
              <w:rPr/>
              <w:t> </w:t>
            </w:r>
          </w:p>
        </w:tc>
      </w:tr>
      <w:tr>
        <w:trPr/>
        <w:tc>
          <w:tcPr>
            <w:tcW w:w="3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change in unrealized gains (losses)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15,779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4,008</w:t>
            </w:r>
          </w:p>
        </w:tc>
        <w:tc>
          <w:tcPr>
            <w:tcW w:w="391" w:type="dxa"/>
            <w:tcBorders/>
            <w:shd w:fill="auto" w:val="clear"/>
            <w:vAlign w:val="center"/>
          </w:tcPr>
          <w:p>
            <w:pPr>
              <w:pStyle w:val="TableContents"/>
              <w:spacing w:before="0" w:after="0"/>
              <w:ind w:left="0" w:right="0" w:hanging="0"/>
              <w:jc w:val="left"/>
              <w:rPr/>
            </w:pPr>
            <w:r>
              <w:rPr/>
              <w:t> </w:t>
            </w:r>
          </w:p>
        </w:tc>
      </w:tr>
      <w:tr>
        <w:trPr/>
        <w:tc>
          <w:tcPr>
            <w:tcW w:w="3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realized gains (losses)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4,699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4,699</w:t>
            </w:r>
          </w:p>
        </w:tc>
        <w:tc>
          <w:tcPr>
            <w:tcW w:w="391" w:type="dxa"/>
            <w:tcBorders/>
            <w:shd w:fill="auto" w:val="clear"/>
            <w:vAlign w:val="center"/>
          </w:tcPr>
          <w:p>
            <w:pPr>
              <w:pStyle w:val="TableContents"/>
              <w:spacing w:before="0" w:after="0"/>
              <w:ind w:left="0" w:right="0" w:hanging="0"/>
              <w:jc w:val="left"/>
              <w:rPr/>
            </w:pPr>
            <w:r>
              <w:rPr/>
              <w:t> </w:t>
            </w:r>
          </w:p>
        </w:tc>
      </w:tr>
      <w:tr>
        <w:trPr/>
        <w:tc>
          <w:tcPr>
            <w:tcW w:w="3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amortization of discount on securities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3,211</w:t>
            </w:r>
          </w:p>
        </w:tc>
        <w:tc>
          <w:tcPr>
            <w:tcW w:w="391" w:type="dxa"/>
            <w:tcBorders/>
            <w:shd w:fill="auto" w:val="clear"/>
            <w:vAlign w:val="center"/>
          </w:tcPr>
          <w:p>
            <w:pPr>
              <w:pStyle w:val="TableContents"/>
              <w:spacing w:before="0" w:after="0"/>
              <w:ind w:left="0" w:right="0" w:hanging="0"/>
              <w:jc w:val="left"/>
              <w:rPr/>
            </w:pPr>
            <w:r>
              <w:rPr/>
              <w:t> </w:t>
            </w:r>
          </w:p>
        </w:tc>
      </w:tr>
      <w:tr>
        <w:trPr/>
        <w:tc>
          <w:tcPr>
            <w:tcW w:w="3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Transfers within Level 3</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3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Transfers into (out of) Level 3</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272"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Balance, End of Period</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2,628,849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44,805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11,093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136,769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2,821,516</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40" w:after="0"/>
        <w:jc w:val="left"/>
        <w:rPr/>
      </w:pPr>
      <w:r>
        <w:rPr/>
        <w:t> </w:t>
      </w:r>
    </w:p>
    <w:tbl>
      <w:tblPr>
        <w:tblW w:w="10205" w:type="dxa"/>
        <w:jc w:val="left"/>
        <w:tblInd w:w="0" w:type="dxa"/>
        <w:tblCellMar>
          <w:top w:w="28" w:type="dxa"/>
          <w:left w:w="28" w:type="dxa"/>
          <w:bottom w:w="28" w:type="dxa"/>
          <w:right w:w="28" w:type="dxa"/>
        </w:tblCellMar>
      </w:tblPr>
      <w:tblGrid>
        <w:gridCol w:w="3252"/>
        <w:gridCol w:w="146"/>
        <w:gridCol w:w="211"/>
        <w:gridCol w:w="931"/>
        <w:gridCol w:w="166"/>
        <w:gridCol w:w="146"/>
        <w:gridCol w:w="225"/>
        <w:gridCol w:w="721"/>
        <w:gridCol w:w="166"/>
        <w:gridCol w:w="146"/>
        <w:gridCol w:w="225"/>
        <w:gridCol w:w="721"/>
        <w:gridCol w:w="166"/>
        <w:gridCol w:w="146"/>
        <w:gridCol w:w="211"/>
        <w:gridCol w:w="781"/>
        <w:gridCol w:w="166"/>
        <w:gridCol w:w="146"/>
        <w:gridCol w:w="211"/>
        <w:gridCol w:w="931"/>
        <w:gridCol w:w="391"/>
      </w:tblGrid>
      <w:tr>
        <w:trPr/>
        <w:tc>
          <w:tcPr>
            <w:tcW w:w="32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2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416" w:type="dxa"/>
            <w:gridSpan w:val="18"/>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 of and for the Three Months Ended</w:t>
            </w:r>
          </w:p>
        </w:tc>
        <w:tc>
          <w:tcPr>
            <w:tcW w:w="391" w:type="dxa"/>
            <w:tcBorders/>
            <w:shd w:fill="auto" w:val="clear"/>
            <w:vAlign w:val="center"/>
          </w:tcPr>
          <w:p>
            <w:pPr>
              <w:pStyle w:val="TableContents"/>
              <w:spacing w:before="0" w:after="0"/>
              <w:ind w:left="0" w:right="0" w:hanging="0"/>
              <w:jc w:val="center"/>
              <w:rPr/>
            </w:pPr>
            <w:r>
              <w:rPr/>
              <w:t> </w:t>
            </w:r>
          </w:p>
        </w:tc>
      </w:tr>
      <w:tr>
        <w:trPr/>
        <w:tc>
          <w:tcPr>
            <w:tcW w:w="32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6416"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First-lien</w:t>
              <w:br/>
              <w:t>debt</w:t>
              <w:br/>
              <w:t>investments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Second-lien</w:t>
              <w:br/>
              <w:t>debt</w:t>
              <w:br/>
              <w:t>investments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Mezzanine</w:t>
              <w:br/>
              <w:t> debt</w:t>
              <w:br/>
              <w:t>investments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Equity</w:t>
              <w:br/>
              <w:t>and other</w:t>
              <w:br/>
              <w:t>investments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Balance, beginning of period</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2,298,856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117,233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2,434,638</w:t>
            </w:r>
          </w:p>
        </w:tc>
        <w:tc>
          <w:tcPr>
            <w:tcW w:w="391" w:type="dxa"/>
            <w:tcBorders/>
            <w:shd w:fill="auto" w:val="clear"/>
            <w:vAlign w:val="center"/>
          </w:tcPr>
          <w:p>
            <w:pPr>
              <w:pStyle w:val="TableContents"/>
              <w:spacing w:before="0" w:after="0"/>
              <w:ind w:left="0" w:right="0" w:hanging="0"/>
              <w:jc w:val="left"/>
              <w:rPr/>
            </w:pPr>
            <w:r>
              <w:rPr/>
              <w:t> </w:t>
            </w:r>
          </w:p>
        </w:tc>
      </w:tr>
      <w:tr>
        <w:trPr/>
        <w:tc>
          <w:tcPr>
            <w:tcW w:w="32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Purchases or originations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79,947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4,275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84,222</w:t>
            </w:r>
          </w:p>
        </w:tc>
        <w:tc>
          <w:tcPr>
            <w:tcW w:w="391" w:type="dxa"/>
            <w:tcBorders/>
            <w:shd w:fill="auto" w:val="clear"/>
            <w:vAlign w:val="center"/>
          </w:tcPr>
          <w:p>
            <w:pPr>
              <w:pStyle w:val="TableContents"/>
              <w:spacing w:before="0" w:after="0"/>
              <w:ind w:left="0" w:right="0" w:hanging="0"/>
              <w:jc w:val="left"/>
              <w:rPr/>
            </w:pPr>
            <w:r>
              <w:rPr/>
              <w:t> </w:t>
            </w:r>
          </w:p>
        </w:tc>
      </w:tr>
      <w:tr>
        <w:trPr/>
        <w:tc>
          <w:tcPr>
            <w:tcW w:w="32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Repayments / redemptions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(146,096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(17,557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(163,653</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Paid-in-kind interest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3,032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3,096</w:t>
            </w:r>
          </w:p>
        </w:tc>
        <w:tc>
          <w:tcPr>
            <w:tcW w:w="391" w:type="dxa"/>
            <w:tcBorders/>
            <w:shd w:fill="auto" w:val="clear"/>
            <w:vAlign w:val="center"/>
          </w:tcPr>
          <w:p>
            <w:pPr>
              <w:pStyle w:val="TableContents"/>
              <w:spacing w:before="0" w:after="0"/>
              <w:ind w:left="0" w:right="0" w:hanging="0"/>
              <w:jc w:val="left"/>
              <w:rPr/>
            </w:pPr>
            <w:r>
              <w:rPr/>
              <w:t> </w:t>
            </w:r>
          </w:p>
        </w:tc>
      </w:tr>
      <w:tr>
        <w:trPr/>
        <w:tc>
          <w:tcPr>
            <w:tcW w:w="32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change in unrealized gains (losses)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(855</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realized gains (losses)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13,777</w:t>
            </w:r>
          </w:p>
        </w:tc>
        <w:tc>
          <w:tcPr>
            <w:tcW w:w="391" w:type="dxa"/>
            <w:tcBorders/>
            <w:shd w:fill="auto" w:val="clear"/>
            <w:vAlign w:val="center"/>
          </w:tcPr>
          <w:p>
            <w:pPr>
              <w:pStyle w:val="TableContents"/>
              <w:spacing w:before="0" w:after="0"/>
              <w:ind w:left="0" w:right="0" w:hanging="0"/>
              <w:jc w:val="left"/>
              <w:rPr/>
            </w:pPr>
            <w:r>
              <w:rPr/>
              <w:t> </w:t>
            </w:r>
          </w:p>
        </w:tc>
      </w:tr>
      <w:tr>
        <w:trPr/>
        <w:tc>
          <w:tcPr>
            <w:tcW w:w="32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amortization of discount on securities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4,742</w:t>
            </w:r>
          </w:p>
        </w:tc>
        <w:tc>
          <w:tcPr>
            <w:tcW w:w="391" w:type="dxa"/>
            <w:tcBorders/>
            <w:shd w:fill="auto" w:val="clear"/>
            <w:vAlign w:val="center"/>
          </w:tcPr>
          <w:p>
            <w:pPr>
              <w:pStyle w:val="TableContents"/>
              <w:spacing w:before="0" w:after="0"/>
              <w:ind w:left="0" w:right="0" w:hanging="0"/>
              <w:jc w:val="left"/>
              <w:rPr/>
            </w:pPr>
            <w:r>
              <w:rPr/>
              <w:t> </w:t>
            </w:r>
          </w:p>
        </w:tc>
      </w:tr>
      <w:tr>
        <w:trPr/>
        <w:tc>
          <w:tcPr>
            <w:tcW w:w="32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Transfers within Level 3</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32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Transfers into (out of) Level 3</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42,729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42,729</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252"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Balance, End of Period</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2,239,027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42,511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14,139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123,019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2,418,696</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Astra Acquisition Corp. was transferred into Level 3 from Level 2 for fair value measurement purposes during the three months ended March 31, 2022, as a result of changes in the observability of inputs into the security valuation for this portfolio company.</w:t>
      </w:r>
    </w:p>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The following table presents information with respect to the net change in unrealized gains or losses on investments for which Level 3 inputs were used in determining fair value that are still held by the Company at</w:t>
      </w:r>
      <w:r>
        <w:rPr>
          <w:rFonts w:ascii="Times New Roman" w:hAnsi="Times New Roman"/>
          <w:sz w:val="20"/>
        </w:rPr>
        <w:t xml:space="preserve"> </w:t>
      </w:r>
      <w:r>
        <w:rPr>
          <w:rFonts w:ascii="Times New Roman;serif" w:hAnsi="Times New Roman;serif"/>
          <w:b w:val="false"/>
          <w:sz w:val="20"/>
        </w:rPr>
        <w:t xml:space="preserve">March 31, 2023 and 2022: </w:t>
      </w:r>
    </w:p>
    <w:tbl>
      <w:tblPr>
        <w:tblW w:w="7660" w:type="dxa"/>
        <w:jc w:val="left"/>
        <w:tblInd w:w="0" w:type="dxa"/>
        <w:tblCellMar>
          <w:top w:w="28" w:type="dxa"/>
          <w:left w:w="28" w:type="dxa"/>
          <w:bottom w:w="28" w:type="dxa"/>
          <w:right w:w="28" w:type="dxa"/>
        </w:tblCellMar>
      </w:tblPr>
      <w:tblGrid>
        <w:gridCol w:w="2521"/>
        <w:gridCol w:w="146"/>
        <w:gridCol w:w="510"/>
        <w:gridCol w:w="1635"/>
        <w:gridCol w:w="166"/>
        <w:gridCol w:w="146"/>
        <w:gridCol w:w="510"/>
        <w:gridCol w:w="1635"/>
        <w:gridCol w:w="391"/>
      </w:tblGrid>
      <w:tr>
        <w:trPr/>
        <w:tc>
          <w:tcPr>
            <w:tcW w:w="25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63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63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5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4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 Change in Unrealized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4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 Change in Unrealized</w:t>
            </w:r>
          </w:p>
        </w:tc>
        <w:tc>
          <w:tcPr>
            <w:tcW w:w="391" w:type="dxa"/>
            <w:tcBorders/>
            <w:shd w:fill="auto" w:val="clear"/>
            <w:vAlign w:val="center"/>
          </w:tcPr>
          <w:p>
            <w:pPr>
              <w:pStyle w:val="TableContents"/>
              <w:spacing w:before="0" w:after="0"/>
              <w:ind w:left="0" w:right="0" w:hanging="0"/>
              <w:jc w:val="center"/>
              <w:rPr/>
            </w:pPr>
            <w:r>
              <w:rPr/>
              <w:t> </w:t>
            </w:r>
          </w:p>
        </w:tc>
      </w:tr>
      <w:tr>
        <w:trPr/>
        <w:tc>
          <w:tcPr>
            <w:tcW w:w="25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4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Gains or (Losses)</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4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Gains or (Losses)</w:t>
            </w:r>
          </w:p>
        </w:tc>
        <w:tc>
          <w:tcPr>
            <w:tcW w:w="391" w:type="dxa"/>
            <w:tcBorders/>
            <w:shd w:fill="auto" w:val="clear"/>
            <w:vAlign w:val="center"/>
          </w:tcPr>
          <w:p>
            <w:pPr>
              <w:pStyle w:val="TableContents"/>
              <w:spacing w:before="0" w:after="0"/>
              <w:ind w:left="0" w:right="0" w:hanging="0"/>
              <w:jc w:val="center"/>
              <w:rPr/>
            </w:pPr>
            <w:r>
              <w:rPr/>
              <w:t> </w:t>
            </w:r>
          </w:p>
        </w:tc>
      </w:tr>
      <w:tr>
        <w:trPr/>
        <w:tc>
          <w:tcPr>
            <w:tcW w:w="25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4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4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for the Three Months Ended</w:t>
            </w:r>
          </w:p>
        </w:tc>
        <w:tc>
          <w:tcPr>
            <w:tcW w:w="391" w:type="dxa"/>
            <w:tcBorders/>
            <w:shd w:fill="auto" w:val="clear"/>
            <w:vAlign w:val="center"/>
          </w:tcPr>
          <w:p>
            <w:pPr>
              <w:pStyle w:val="TableContents"/>
              <w:spacing w:before="0" w:after="0"/>
              <w:ind w:left="0" w:right="0" w:hanging="0"/>
              <w:jc w:val="center"/>
              <w:rPr/>
            </w:pPr>
            <w:r>
              <w:rPr/>
              <w:t> </w:t>
            </w:r>
          </w:p>
        </w:tc>
      </w:tr>
      <w:tr>
        <w:trPr/>
        <w:tc>
          <w:tcPr>
            <w:tcW w:w="25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4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 on</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4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2022 on</w:t>
            </w:r>
          </w:p>
        </w:tc>
        <w:tc>
          <w:tcPr>
            <w:tcW w:w="391" w:type="dxa"/>
            <w:tcBorders/>
            <w:shd w:fill="auto" w:val="clear"/>
            <w:vAlign w:val="center"/>
          </w:tcPr>
          <w:p>
            <w:pPr>
              <w:pStyle w:val="TableContents"/>
              <w:spacing w:before="0" w:after="0"/>
              <w:ind w:left="0" w:right="0" w:hanging="0"/>
              <w:jc w:val="center"/>
              <w:rPr/>
            </w:pPr>
            <w:r>
              <w:rPr/>
              <w:t> </w:t>
            </w:r>
          </w:p>
        </w:tc>
      </w:tr>
      <w:tr>
        <w:trPr/>
        <w:tc>
          <w:tcPr>
            <w:tcW w:w="25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4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Investments Held at</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4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Investments Held at</w:t>
            </w:r>
          </w:p>
        </w:tc>
        <w:tc>
          <w:tcPr>
            <w:tcW w:w="391" w:type="dxa"/>
            <w:tcBorders/>
            <w:shd w:fill="auto" w:val="clear"/>
            <w:vAlign w:val="center"/>
          </w:tcPr>
          <w:p>
            <w:pPr>
              <w:pStyle w:val="TableContents"/>
              <w:spacing w:before="0" w:after="0"/>
              <w:ind w:left="0" w:right="0" w:hanging="0"/>
              <w:jc w:val="center"/>
              <w:rPr/>
            </w:pPr>
            <w:r>
              <w:rPr/>
              <w:t> </w:t>
            </w:r>
          </w:p>
        </w:tc>
      </w:tr>
      <w:tr>
        <w:trPr/>
        <w:tc>
          <w:tcPr>
            <w:tcW w:w="25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First-lien debt investments</w:t>
            </w:r>
          </w:p>
        </w:tc>
        <w:tc>
          <w:tcPr>
            <w:tcW w:w="146" w:type="dxa"/>
            <w:tcBorders/>
            <w:shd w:fill="auto" w:val="clear"/>
            <w:vAlign w:val="center"/>
          </w:tcPr>
          <w:p>
            <w:pPr>
              <w:pStyle w:val="TableContents"/>
              <w:spacing w:before="0" w:after="0"/>
              <w:ind w:left="0" w:right="0" w:hanging="0"/>
              <w:jc w:val="right"/>
              <w:rPr/>
            </w:pPr>
            <w:r>
              <w:rPr/>
              <w:t> </w:t>
            </w:r>
          </w:p>
        </w:tc>
        <w:tc>
          <w:tcPr>
            <w:tcW w:w="5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17,347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1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1,745</w:t>
            </w:r>
          </w:p>
        </w:tc>
        <w:tc>
          <w:tcPr>
            <w:tcW w:w="39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Second-lien debt investments</w:t>
            </w:r>
          </w:p>
        </w:tc>
        <w:tc>
          <w:tcPr>
            <w:tcW w:w="146" w:type="dxa"/>
            <w:tcBorders/>
            <w:shd w:fill="auto" w:val="clear"/>
            <w:vAlign w:val="center"/>
          </w:tcPr>
          <w:p>
            <w:pPr>
              <w:pStyle w:val="TableContents"/>
              <w:spacing w:before="0" w:after="0"/>
              <w:ind w:left="0" w:right="0" w:hanging="0"/>
              <w:jc w:val="right"/>
              <w:rPr/>
            </w:pPr>
            <w:r>
              <w:rPr/>
              <w:t> </w:t>
            </w:r>
          </w:p>
        </w:tc>
        <w:tc>
          <w:tcPr>
            <w:tcW w:w="510" w:type="dxa"/>
            <w:tcBorders/>
            <w:shd w:fill="auto" w:val="clear"/>
            <w:vAlign w:val="center"/>
          </w:tcPr>
          <w:p>
            <w:pPr>
              <w:pStyle w:val="TableContents"/>
              <w:spacing w:before="0" w:after="0"/>
              <w:ind w:left="0" w:right="0" w:hanging="0"/>
              <w:jc w:val="left"/>
              <w:rPr/>
            </w:pPr>
            <w:r>
              <w:rPr/>
              <w:t> </w:t>
            </w:r>
          </w:p>
        </w:tc>
        <w:tc>
          <w:tcPr>
            <w:tcW w:w="16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510" w:type="dxa"/>
            <w:tcBorders/>
            <w:shd w:fill="auto" w:val="clear"/>
            <w:vAlign w:val="center"/>
          </w:tcPr>
          <w:p>
            <w:pPr>
              <w:pStyle w:val="TableContents"/>
              <w:spacing w:before="0" w:after="0"/>
              <w:ind w:left="0" w:right="0" w:hanging="0"/>
              <w:jc w:val="left"/>
              <w:rPr/>
            </w:pPr>
            <w:r>
              <w:rPr/>
              <w:t> </w:t>
            </w:r>
          </w:p>
        </w:tc>
        <w:tc>
          <w:tcPr>
            <w:tcW w:w="16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(236</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Mezzanine debt investments</w:t>
            </w:r>
          </w:p>
        </w:tc>
        <w:tc>
          <w:tcPr>
            <w:tcW w:w="146" w:type="dxa"/>
            <w:tcBorders/>
            <w:shd w:fill="auto" w:val="clear"/>
            <w:vAlign w:val="center"/>
          </w:tcPr>
          <w:p>
            <w:pPr>
              <w:pStyle w:val="TableContents"/>
              <w:spacing w:before="0" w:after="0"/>
              <w:ind w:left="0" w:right="0" w:hanging="0"/>
              <w:jc w:val="right"/>
              <w:rPr/>
            </w:pPr>
            <w:r>
              <w:rPr/>
              <w:t> </w:t>
            </w:r>
          </w:p>
        </w:tc>
        <w:tc>
          <w:tcPr>
            <w:tcW w:w="510" w:type="dxa"/>
            <w:tcBorders/>
            <w:shd w:fill="auto" w:val="clear"/>
            <w:vAlign w:val="center"/>
          </w:tcPr>
          <w:p>
            <w:pPr>
              <w:pStyle w:val="TableContents"/>
              <w:spacing w:before="0" w:after="0"/>
              <w:ind w:left="0" w:right="0" w:hanging="0"/>
              <w:jc w:val="left"/>
              <w:rPr/>
            </w:pPr>
            <w:r>
              <w:rPr/>
              <w:t> </w:t>
            </w:r>
          </w:p>
        </w:tc>
        <w:tc>
          <w:tcPr>
            <w:tcW w:w="16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10" w:type="dxa"/>
            <w:tcBorders/>
            <w:shd w:fill="auto" w:val="clear"/>
            <w:vAlign w:val="center"/>
          </w:tcPr>
          <w:p>
            <w:pPr>
              <w:pStyle w:val="TableContents"/>
              <w:spacing w:before="0" w:after="0"/>
              <w:ind w:left="0" w:right="0" w:hanging="0"/>
              <w:jc w:val="left"/>
              <w:rPr/>
            </w:pPr>
            <w:r>
              <w:rPr/>
              <w:t> </w:t>
            </w:r>
          </w:p>
        </w:tc>
        <w:tc>
          <w:tcPr>
            <w:tcW w:w="16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(2,341</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Equity and other investments</w:t>
            </w:r>
          </w:p>
        </w:tc>
        <w:tc>
          <w:tcPr>
            <w:tcW w:w="146" w:type="dxa"/>
            <w:tcBorders/>
            <w:shd w:fill="auto" w:val="clear"/>
            <w:vAlign w:val="center"/>
          </w:tcPr>
          <w:p>
            <w:pPr>
              <w:pStyle w:val="TableContents"/>
              <w:spacing w:before="0" w:after="0"/>
              <w:ind w:left="0" w:right="0" w:hanging="0"/>
              <w:jc w:val="right"/>
              <w:rPr/>
            </w:pPr>
            <w:r>
              <w:rPr/>
              <w:t> </w:t>
            </w:r>
          </w:p>
        </w:tc>
        <w:tc>
          <w:tcPr>
            <w:tcW w:w="5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(6,559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5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17,618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521"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Total</w:t>
            </w:r>
          </w:p>
        </w:tc>
        <w:tc>
          <w:tcPr>
            <w:tcW w:w="146" w:type="dxa"/>
            <w:tcBorders/>
            <w:shd w:fill="auto" w:val="clear"/>
            <w:vAlign w:val="center"/>
          </w:tcPr>
          <w:p>
            <w:pPr>
              <w:pStyle w:val="TableContents"/>
              <w:spacing w:before="0" w:after="0"/>
              <w:ind w:left="0" w:right="0" w:hanging="0"/>
              <w:jc w:val="right"/>
              <w:rPr/>
            </w:pPr>
            <w:r>
              <w:rPr/>
              <w:t> </w:t>
            </w:r>
          </w:p>
        </w:tc>
        <w:tc>
          <w:tcPr>
            <w:tcW w:w="5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10,117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6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16,786</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The following tables present the fair value of Level 3 Investments at fair value and the significant unobservable inputs used in the valuations as of March 31, 2023 and December 31, 2022. The tables are not intended to be all-inclusive, but instead capture the significant unobservable inputs relevant to the Company’s determination of fair values.</w:t>
      </w:r>
    </w:p>
    <w:tbl>
      <w:tblPr>
        <w:tblW w:w="10205" w:type="dxa"/>
        <w:jc w:val="left"/>
        <w:tblInd w:w="0" w:type="dxa"/>
        <w:tblCellMar>
          <w:top w:w="28" w:type="dxa"/>
          <w:left w:w="28" w:type="dxa"/>
          <w:bottom w:w="28" w:type="dxa"/>
          <w:right w:w="28" w:type="dxa"/>
        </w:tblCellMar>
      </w:tblPr>
      <w:tblGrid>
        <w:gridCol w:w="2030"/>
        <w:gridCol w:w="146"/>
        <w:gridCol w:w="196"/>
        <w:gridCol w:w="826"/>
        <w:gridCol w:w="146"/>
        <w:gridCol w:w="146"/>
        <w:gridCol w:w="1435"/>
        <w:gridCol w:w="146"/>
        <w:gridCol w:w="1513"/>
        <w:gridCol w:w="146"/>
        <w:gridCol w:w="1795"/>
        <w:gridCol w:w="146"/>
        <w:gridCol w:w="1534"/>
      </w:tblGrid>
      <w:tr>
        <w:trPr/>
        <w:tc>
          <w:tcPr>
            <w:tcW w:w="20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3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1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9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34" w:type="dxa"/>
            <w:tcBorders/>
            <w:shd w:fill="auto" w:val="clear"/>
            <w:vAlign w:val="center"/>
          </w:tcPr>
          <w:p>
            <w:pPr>
              <w:pStyle w:val="TableContents"/>
              <w:spacing w:before="0" w:after="283"/>
              <w:rPr>
                <w:sz w:val="4"/>
                <w:szCs w:val="4"/>
              </w:rPr>
            </w:pPr>
            <w:r>
              <w:rPr>
                <w:sz w:val="4"/>
                <w:szCs w:val="4"/>
              </w:rPr>
            </w:r>
          </w:p>
        </w:tc>
      </w:tr>
      <w:tr>
        <w:trPr/>
        <w:tc>
          <w:tcPr>
            <w:tcW w:w="203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29" w:type="dxa"/>
            <w:gridSpan w:val="11"/>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r>
      <w:tr>
        <w:trPr/>
        <w:tc>
          <w:tcPr>
            <w:tcW w:w="203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35"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Valuation</w:t>
            </w:r>
          </w:p>
        </w:tc>
        <w:tc>
          <w:tcPr>
            <w:tcW w:w="146" w:type="dxa"/>
            <w:tcBorders/>
            <w:shd w:fill="auto" w:val="clear"/>
            <w:vAlign w:val="center"/>
          </w:tcPr>
          <w:p>
            <w:pPr>
              <w:pStyle w:val="TableContents"/>
              <w:spacing w:before="0" w:after="0"/>
              <w:ind w:left="0" w:right="0" w:hanging="0"/>
              <w:jc w:val="left"/>
              <w:rPr/>
            </w:pPr>
            <w:r>
              <w:rPr/>
              <w:t> </w:t>
            </w:r>
          </w:p>
        </w:tc>
        <w:tc>
          <w:tcPr>
            <w:tcW w:w="1513"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Unobservable</w:t>
            </w:r>
          </w:p>
        </w:tc>
        <w:tc>
          <w:tcPr>
            <w:tcW w:w="146" w:type="dxa"/>
            <w:tcBorders/>
            <w:shd w:fill="auto" w:val="clear"/>
            <w:vAlign w:val="center"/>
          </w:tcPr>
          <w:p>
            <w:pPr>
              <w:pStyle w:val="TableContents"/>
              <w:spacing w:before="0" w:after="0"/>
              <w:ind w:left="0" w:right="0" w:hanging="0"/>
              <w:jc w:val="left"/>
              <w:rPr/>
            </w:pPr>
            <w:r>
              <w:rPr/>
              <w:t> </w:t>
            </w:r>
          </w:p>
        </w:tc>
        <w:tc>
          <w:tcPr>
            <w:tcW w:w="1795"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Range (Weighted</w:t>
            </w:r>
          </w:p>
        </w:tc>
        <w:tc>
          <w:tcPr>
            <w:tcW w:w="146" w:type="dxa"/>
            <w:tcBorders/>
            <w:shd w:fill="auto" w:val="clear"/>
            <w:vAlign w:val="center"/>
          </w:tcPr>
          <w:p>
            <w:pPr>
              <w:pStyle w:val="TableContents"/>
              <w:spacing w:before="0" w:after="0"/>
              <w:ind w:left="0" w:right="0" w:hanging="0"/>
              <w:jc w:val="left"/>
              <w:rPr/>
            </w:pPr>
            <w:r>
              <w:rPr/>
              <w:t> </w:t>
            </w:r>
          </w:p>
        </w:tc>
        <w:tc>
          <w:tcPr>
            <w:tcW w:w="1534"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Impact to Valuation</w:t>
              <w:br/>
              <w:t>from an</w:t>
            </w:r>
          </w:p>
        </w:tc>
      </w:tr>
      <w:tr>
        <w:trPr/>
        <w:tc>
          <w:tcPr>
            <w:tcW w:w="203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Technique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Input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Increase to Input</w:t>
            </w:r>
          </w:p>
        </w:tc>
      </w:tr>
      <w:tr>
        <w:trPr/>
        <w:tc>
          <w:tcPr>
            <w:tcW w:w="203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First-lien debt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2,628,849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35" w:type="dxa"/>
            <w:tcBorders/>
            <w:shd w:fill="auto" w:val="cle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Income approach</w:t>
            </w:r>
            <w:r>
              <w:rPr>
                <w:rFonts w:ascii="Times New Roman" w:hAnsi="Times New Roman"/>
                <w:sz w:val="18"/>
              </w:rPr>
              <w:t> </w:t>
            </w:r>
            <w:r>
              <w:rPr>
                <w:rFonts w:ascii="Times New Roman;serif" w:hAnsi="Times New Roman;serif"/>
                <w:b w:val="false"/>
                <w:sz w:val="12"/>
              </w:rPr>
              <w:t>(1)</w:t>
            </w:r>
          </w:p>
        </w:tc>
        <w:tc>
          <w:tcPr>
            <w:tcW w:w="146" w:type="dxa"/>
            <w:tcBorders/>
            <w:shd w:fill="auto" w:val="clear"/>
            <w:vAlign w:val="center"/>
          </w:tcPr>
          <w:p>
            <w:pPr>
              <w:pStyle w:val="TableContents"/>
              <w:spacing w:before="0" w:after="0"/>
              <w:ind w:left="0" w:right="0" w:hanging="0"/>
              <w:jc w:val="left"/>
              <w:rPr/>
            </w:pPr>
            <w:r>
              <w:rPr/>
              <w:t> </w:t>
            </w:r>
          </w:p>
        </w:tc>
        <w:tc>
          <w:tcPr>
            <w:tcW w:w="151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Discount rate</w:t>
            </w:r>
          </w:p>
        </w:tc>
        <w:tc>
          <w:tcPr>
            <w:tcW w:w="146" w:type="dxa"/>
            <w:tcBorders/>
            <w:shd w:fill="auto" w:val="clear"/>
            <w:vAlign w:val="center"/>
          </w:tcPr>
          <w:p>
            <w:pPr>
              <w:pStyle w:val="TableContents"/>
              <w:spacing w:before="0" w:after="0"/>
              <w:ind w:left="0" w:right="0" w:hanging="0"/>
              <w:jc w:val="left"/>
              <w:rPr/>
            </w:pPr>
            <w:r>
              <w:rPr/>
              <w:t> </w:t>
            </w:r>
          </w:p>
        </w:tc>
        <w:tc>
          <w:tcPr>
            <w:tcW w:w="1795"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9.9% — 18.0% (14.8%)</w:t>
            </w:r>
          </w:p>
        </w:tc>
        <w:tc>
          <w:tcPr>
            <w:tcW w:w="146" w:type="dxa"/>
            <w:tcBorders/>
            <w:shd w:fill="auto" w:val="clear"/>
            <w:vAlign w:val="center"/>
          </w:tcPr>
          <w:p>
            <w:pPr>
              <w:pStyle w:val="TableContents"/>
              <w:spacing w:before="0" w:after="0"/>
              <w:ind w:left="0" w:right="0" w:hanging="0"/>
              <w:jc w:val="left"/>
              <w:rPr/>
            </w:pPr>
            <w:r>
              <w:rPr/>
              <w:t> </w:t>
            </w:r>
          </w:p>
        </w:tc>
        <w:tc>
          <w:tcPr>
            <w:tcW w:w="153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Decrease</w:t>
            </w:r>
          </w:p>
        </w:tc>
      </w:tr>
      <w:tr>
        <w:trPr/>
        <w:tc>
          <w:tcPr>
            <w:tcW w:w="203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Second-lien debt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44,805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35"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Income approach</w:t>
            </w:r>
          </w:p>
        </w:tc>
        <w:tc>
          <w:tcPr>
            <w:tcW w:w="146" w:type="dxa"/>
            <w:tcBorders/>
            <w:shd w:fill="auto" w:val="clear"/>
            <w:vAlign w:val="center"/>
          </w:tcPr>
          <w:p>
            <w:pPr>
              <w:pStyle w:val="TableContents"/>
              <w:spacing w:before="0" w:after="0"/>
              <w:ind w:left="0" w:right="0" w:hanging="0"/>
              <w:jc w:val="left"/>
              <w:rPr/>
            </w:pPr>
            <w:r>
              <w:rPr/>
              <w:t> </w:t>
            </w:r>
          </w:p>
        </w:tc>
        <w:tc>
          <w:tcPr>
            <w:tcW w:w="151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Discount rate</w:t>
            </w:r>
          </w:p>
        </w:tc>
        <w:tc>
          <w:tcPr>
            <w:tcW w:w="146" w:type="dxa"/>
            <w:tcBorders/>
            <w:shd w:fill="auto" w:val="clear"/>
            <w:vAlign w:val="center"/>
          </w:tcPr>
          <w:p>
            <w:pPr>
              <w:pStyle w:val="TableContents"/>
              <w:spacing w:before="0" w:after="0"/>
              <w:ind w:left="0" w:right="0" w:hanging="0"/>
              <w:jc w:val="left"/>
              <w:rPr/>
            </w:pPr>
            <w:r>
              <w:rPr/>
              <w:t> </w:t>
            </w:r>
          </w:p>
        </w:tc>
        <w:tc>
          <w:tcPr>
            <w:tcW w:w="1795"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15.3% — 22.6% (21.8%)</w:t>
            </w:r>
          </w:p>
        </w:tc>
        <w:tc>
          <w:tcPr>
            <w:tcW w:w="146" w:type="dxa"/>
            <w:tcBorders/>
            <w:shd w:fill="auto" w:val="clear"/>
            <w:vAlign w:val="center"/>
          </w:tcPr>
          <w:p>
            <w:pPr>
              <w:pStyle w:val="TableContents"/>
              <w:spacing w:before="0" w:after="0"/>
              <w:ind w:left="0" w:right="0" w:hanging="0"/>
              <w:jc w:val="left"/>
              <w:rPr/>
            </w:pPr>
            <w:r>
              <w:rPr/>
              <w:t> </w:t>
            </w:r>
          </w:p>
        </w:tc>
        <w:tc>
          <w:tcPr>
            <w:tcW w:w="153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Decrease</w:t>
            </w:r>
          </w:p>
        </w:tc>
      </w:tr>
      <w:tr>
        <w:trPr/>
        <w:tc>
          <w:tcPr>
            <w:tcW w:w="203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Mezzanine debt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11,093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35" w:type="dxa"/>
            <w:tcBorders/>
            <w:shd w:fill="auto" w:val="cle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 xml:space="preserve">Income approach </w:t>
            </w:r>
            <w:r>
              <w:rPr>
                <w:rFonts w:ascii="Times New Roman;serif" w:hAnsi="Times New Roman;serif"/>
                <w:b w:val="false"/>
                <w:sz w:val="12"/>
              </w:rPr>
              <w:t>(2)</w:t>
            </w:r>
          </w:p>
        </w:tc>
        <w:tc>
          <w:tcPr>
            <w:tcW w:w="146" w:type="dxa"/>
            <w:tcBorders/>
            <w:shd w:fill="auto" w:val="clear"/>
            <w:vAlign w:val="center"/>
          </w:tcPr>
          <w:p>
            <w:pPr>
              <w:pStyle w:val="TableContents"/>
              <w:spacing w:before="0" w:after="0"/>
              <w:ind w:left="0" w:right="0" w:hanging="0"/>
              <w:jc w:val="left"/>
              <w:rPr/>
            </w:pPr>
            <w:r>
              <w:rPr/>
              <w:t> </w:t>
            </w:r>
          </w:p>
        </w:tc>
        <w:tc>
          <w:tcPr>
            <w:tcW w:w="151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Discount rate</w:t>
            </w:r>
          </w:p>
        </w:tc>
        <w:tc>
          <w:tcPr>
            <w:tcW w:w="146" w:type="dxa"/>
            <w:tcBorders/>
            <w:shd w:fill="auto" w:val="clear"/>
            <w:vAlign w:val="center"/>
          </w:tcPr>
          <w:p>
            <w:pPr>
              <w:pStyle w:val="TableContents"/>
              <w:spacing w:before="0" w:after="0"/>
              <w:ind w:left="0" w:right="0" w:hanging="0"/>
              <w:jc w:val="left"/>
              <w:rPr/>
            </w:pPr>
            <w:r>
              <w:rPr/>
              <w:t> </w:t>
            </w:r>
          </w:p>
        </w:tc>
        <w:tc>
          <w:tcPr>
            <w:tcW w:w="1795"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13.9% — 18.0% (16.0%)</w:t>
            </w:r>
          </w:p>
        </w:tc>
        <w:tc>
          <w:tcPr>
            <w:tcW w:w="146" w:type="dxa"/>
            <w:tcBorders/>
            <w:shd w:fill="auto" w:val="clear"/>
            <w:vAlign w:val="center"/>
          </w:tcPr>
          <w:p>
            <w:pPr>
              <w:pStyle w:val="TableContents"/>
              <w:spacing w:before="0" w:after="0"/>
              <w:ind w:left="0" w:right="0" w:hanging="0"/>
              <w:jc w:val="left"/>
              <w:rPr/>
            </w:pPr>
            <w:r>
              <w:rPr/>
              <w:t> </w:t>
            </w:r>
          </w:p>
        </w:tc>
        <w:tc>
          <w:tcPr>
            <w:tcW w:w="153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Decrease</w:t>
            </w:r>
          </w:p>
        </w:tc>
      </w:tr>
      <w:tr>
        <w:trPr/>
        <w:tc>
          <w:tcPr>
            <w:tcW w:w="203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Equity and other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136,769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Market</w:t>
            </w:r>
            <w:r>
              <w:rPr>
                <w:rFonts w:ascii="Times New Roman" w:hAnsi="Times New Roman"/>
                <w:sz w:val="18"/>
              </w:rPr>
              <w:t xml:space="preserve"> </w:t>
            </w:r>
            <w:r>
              <w:rPr>
                <w:rFonts w:ascii="Times New Roman;serif" w:hAnsi="Times New Roman;serif"/>
                <w:b w:val="false"/>
                <w:sz w:val="18"/>
              </w:rPr>
              <w:t xml:space="preserve">Multiple </w:t>
            </w:r>
            <w:r>
              <w:rPr>
                <w:rFonts w:ascii="Times New Roman;serif" w:hAnsi="Times New Roman;serif"/>
                <w:b w:val="false"/>
                <w:sz w:val="12"/>
              </w:rPr>
              <w:t>(3)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Comparable multiple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2.0x — 21.9x (7.5x)</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Increase</w:t>
            </w:r>
          </w:p>
        </w:tc>
      </w:tr>
      <w:tr>
        <w:trPr/>
        <w:tc>
          <w:tcPr>
            <w:tcW w:w="2030" w:type="dxa"/>
            <w:tcBorders/>
            <w:shd w:fill="auto" w:val="clear"/>
            <w:vAlign w:val="center"/>
          </w:tcPr>
          <w:p>
            <w:pPr>
              <w:pStyle w:val="TableContents"/>
              <w:spacing w:before="0" w:after="0"/>
              <w:ind w:left="200" w:right="0" w:hanging="0"/>
              <w:jc w:val="left"/>
              <w:rPr>
                <w:rFonts w:ascii="Times New Roman;serif" w:hAnsi="Times New Roman;serif"/>
                <w:b/>
                <w:sz w:val="18"/>
              </w:rPr>
            </w:pPr>
            <w:r>
              <w:rPr>
                <w:rFonts w:ascii="Times New Roman;serif" w:hAnsi="Times New Roman;serif"/>
                <w:b/>
                <w:sz w:val="18"/>
              </w:rPr>
              <w:t>Total</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2,821,516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3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95"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34" w:type="dxa"/>
            <w:tcBorders/>
            <w:shd w:fill="auto" w:val="clear"/>
            <w:vAlign w:val="center"/>
          </w:tcPr>
          <w:p>
            <w:pPr>
              <w:pStyle w:val="TableContents"/>
              <w:spacing w:before="0" w:after="0"/>
              <w:ind w:left="0" w:right="0" w:hanging="0"/>
              <w:jc w:val="left"/>
              <w:rPr/>
            </w:pPr>
            <w:r>
              <w:rPr/>
              <w:t> </w:t>
            </w:r>
          </w:p>
        </w:tc>
      </w:tr>
    </w:tbl>
    <w:p>
      <w:pPr>
        <w:pStyle w:val="TextBody"/>
        <w:spacing w:before="40" w:after="0"/>
        <w:jc w:val="left"/>
        <w:rPr>
          <w:rFonts w:ascii="Times New Roman" w:hAnsi="Times New Roman"/>
          <w:b w:val="false"/>
          <w:sz w:val="20"/>
        </w:rPr>
      </w:pPr>
      <w:r>
        <w:rPr>
          <w:rFonts w:ascii="Times New Roman" w:hAnsi="Times New Roman"/>
          <w:b w:val="false"/>
          <w:sz w:val="20"/>
        </w:rPr>
        <w:t>(1)</w:t>
      </w:r>
    </w:p>
    <w:p>
      <w:pPr>
        <w:pStyle w:val="TextBody"/>
        <w:spacing w:before="40" w:after="0"/>
        <w:jc w:val="left"/>
        <w:rPr>
          <w:rFonts w:ascii="Times New Roman;serif" w:hAnsi="Times New Roman;serif"/>
          <w:sz w:val="20"/>
        </w:rPr>
      </w:pPr>
      <w:r>
        <w:rPr>
          <w:rFonts w:ascii="Times New Roman;serif" w:hAnsi="Times New Roman;serif"/>
          <w:b w:val="false"/>
          <w:sz w:val="20"/>
        </w:rPr>
        <w:t>Includes $19.7</w:t>
      </w:r>
      <w:r>
        <w:rPr>
          <w:rFonts w:ascii="Times New Roman;serif" w:hAnsi="Times New Roman;serif"/>
          <w:sz w:val="20"/>
        </w:rPr>
        <w:t xml:space="preserve"> </w:t>
      </w:r>
      <w:r>
        <w:rPr>
          <w:rFonts w:ascii="Times New Roman;serif" w:hAnsi="Times New Roman;serif"/>
          <w:b w:val="false"/>
          <w:sz w:val="20"/>
        </w:rPr>
        <w:t xml:space="preserve">million of debt investments which were valued using an asset valuation waterfall. </w:t>
      </w:r>
    </w:p>
    <w:p>
      <w:pPr>
        <w:pStyle w:val="TextBody"/>
        <w:spacing w:before="40" w:after="0"/>
        <w:jc w:val="left"/>
        <w:rPr>
          <w:rFonts w:ascii="Times New Roman" w:hAnsi="Times New Roman"/>
          <w:b w:val="false"/>
          <w:sz w:val="20"/>
        </w:rPr>
      </w:pPr>
      <w:r>
        <w:rPr>
          <w:rFonts w:ascii="Times New Roman" w:hAnsi="Times New Roman"/>
          <w:b w:val="false"/>
          <w:sz w:val="20"/>
        </w:rPr>
        <w:t>(2)</w:t>
      </w:r>
    </w:p>
    <w:p>
      <w:pPr>
        <w:pStyle w:val="TextBody"/>
        <w:spacing w:before="40" w:after="0"/>
        <w:jc w:val="left"/>
        <w:rPr>
          <w:rFonts w:ascii="Times New Roman;serif" w:hAnsi="Times New Roman;serif"/>
          <w:sz w:val="20"/>
        </w:rPr>
      </w:pPr>
      <w:r>
        <w:rPr>
          <w:rFonts w:ascii="Times New Roman;serif" w:hAnsi="Times New Roman;serif"/>
          <w:b w:val="false"/>
          <w:sz w:val="20"/>
        </w:rPr>
        <w:t>Includes $0.1</w:t>
      </w:r>
      <w:r>
        <w:rPr>
          <w:rFonts w:ascii="Times New Roman;serif" w:hAnsi="Times New Roman;serif"/>
          <w:sz w:val="20"/>
        </w:rPr>
        <w:t xml:space="preserve"> </w:t>
      </w:r>
      <w:r>
        <w:rPr>
          <w:rFonts w:ascii="Times New Roman;serif" w:hAnsi="Times New Roman;serif"/>
          <w:b w:val="false"/>
          <w:sz w:val="20"/>
        </w:rPr>
        <w:t>million of debt investments which were valued using an asset valuation waterfall.</w:t>
      </w:r>
    </w:p>
    <w:p>
      <w:pPr>
        <w:pStyle w:val="TextBody"/>
        <w:spacing w:before="40" w:after="0"/>
        <w:jc w:val="left"/>
        <w:rPr>
          <w:rFonts w:ascii="Times New Roman" w:hAnsi="Times New Roman"/>
          <w:b w:val="false"/>
          <w:sz w:val="20"/>
        </w:rPr>
      </w:pPr>
      <w:r>
        <w:rPr>
          <w:rFonts w:ascii="Times New Roman" w:hAnsi="Times New Roman"/>
          <w:b w:val="false"/>
          <w:sz w:val="20"/>
        </w:rPr>
        <w:t>(3)</w:t>
      </w:r>
    </w:p>
    <w:p>
      <w:pPr>
        <w:pStyle w:val="TextBody"/>
        <w:spacing w:before="40" w:after="283"/>
        <w:jc w:val="left"/>
        <w:rPr>
          <w:rFonts w:ascii="Times New Roman;serif" w:hAnsi="Times New Roman;serif"/>
          <w:sz w:val="20"/>
        </w:rPr>
      </w:pPr>
      <w:r>
        <w:rPr>
          <w:rFonts w:ascii="Times New Roman;serif" w:hAnsi="Times New Roman;serif"/>
          <w:b w:val="false"/>
          <w:sz w:val="20"/>
        </w:rPr>
        <w:t>Includes $31.5</w:t>
      </w:r>
      <w:r>
        <w:rPr>
          <w:rFonts w:ascii="Times New Roman;serif" w:hAnsi="Times New Roman;serif"/>
          <w:sz w:val="20"/>
        </w:rPr>
        <w:t xml:space="preserve"> </w:t>
      </w:r>
      <w:r>
        <w:rPr>
          <w:rFonts w:ascii="Times New Roman;serif" w:hAnsi="Times New Roman;serif"/>
          <w:b w:val="false"/>
          <w:sz w:val="20"/>
        </w:rPr>
        <w:t>million of equity investments which were valued using an asset valuation waterfall, $2.2</w:t>
      </w:r>
      <w:r>
        <w:rPr>
          <w:rFonts w:ascii="Times New Roman;serif" w:hAnsi="Times New Roman;serif"/>
          <w:sz w:val="20"/>
        </w:rPr>
        <w:t xml:space="preserve"> </w:t>
      </w:r>
      <w:r>
        <w:rPr>
          <w:rFonts w:ascii="Times New Roman;serif" w:hAnsi="Times New Roman;serif"/>
          <w:b w:val="false"/>
          <w:sz w:val="20"/>
        </w:rPr>
        <w:t>million of equity investments using a Black-Scholes model, and $13.9</w:t>
      </w:r>
      <w:r>
        <w:rPr>
          <w:rFonts w:ascii="Times New Roman;serif" w:hAnsi="Times New Roman;serif"/>
          <w:sz w:val="20"/>
        </w:rPr>
        <w:t xml:space="preserve"> </w:t>
      </w:r>
      <w:r>
        <w:rPr>
          <w:rFonts w:ascii="Times New Roman;serif" w:hAnsi="Times New Roman;serif"/>
          <w:b w:val="false"/>
          <w:sz w:val="20"/>
        </w:rPr>
        <w:t>million using discounted cash flow analysis.</w:t>
      </w:r>
    </w:p>
    <w:tbl>
      <w:tblPr>
        <w:tblW w:w="10205" w:type="dxa"/>
        <w:jc w:val="left"/>
        <w:tblInd w:w="0" w:type="dxa"/>
        <w:tblCellMar>
          <w:top w:w="28" w:type="dxa"/>
          <w:left w:w="28" w:type="dxa"/>
          <w:bottom w:w="28" w:type="dxa"/>
          <w:right w:w="28" w:type="dxa"/>
        </w:tblCellMar>
      </w:tblPr>
      <w:tblGrid>
        <w:gridCol w:w="2033"/>
        <w:gridCol w:w="146"/>
        <w:gridCol w:w="196"/>
        <w:gridCol w:w="826"/>
        <w:gridCol w:w="146"/>
        <w:gridCol w:w="146"/>
        <w:gridCol w:w="1429"/>
        <w:gridCol w:w="146"/>
        <w:gridCol w:w="1514"/>
        <w:gridCol w:w="146"/>
        <w:gridCol w:w="1797"/>
        <w:gridCol w:w="146"/>
        <w:gridCol w:w="1534"/>
      </w:tblGrid>
      <w:tr>
        <w:trPr/>
        <w:tc>
          <w:tcPr>
            <w:tcW w:w="203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1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9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34" w:type="dxa"/>
            <w:tcBorders/>
            <w:shd w:fill="auto" w:val="clear"/>
            <w:vAlign w:val="center"/>
          </w:tcPr>
          <w:p>
            <w:pPr>
              <w:pStyle w:val="TableContents"/>
              <w:spacing w:before="0" w:after="283"/>
              <w:rPr>
                <w:sz w:val="4"/>
                <w:szCs w:val="4"/>
              </w:rPr>
            </w:pPr>
            <w:r>
              <w:rPr>
                <w:sz w:val="4"/>
                <w:szCs w:val="4"/>
              </w:rPr>
            </w:r>
          </w:p>
        </w:tc>
      </w:tr>
      <w:tr>
        <w:trPr/>
        <w:tc>
          <w:tcPr>
            <w:tcW w:w="203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026" w:type="dxa"/>
            <w:gridSpan w:val="11"/>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r>
      <w:tr>
        <w:trPr/>
        <w:tc>
          <w:tcPr>
            <w:tcW w:w="203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29"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Valuation</w:t>
            </w:r>
          </w:p>
        </w:tc>
        <w:tc>
          <w:tcPr>
            <w:tcW w:w="146" w:type="dxa"/>
            <w:tcBorders/>
            <w:shd w:fill="auto" w:val="clear"/>
            <w:vAlign w:val="center"/>
          </w:tcPr>
          <w:p>
            <w:pPr>
              <w:pStyle w:val="TableContents"/>
              <w:spacing w:before="0" w:after="0"/>
              <w:ind w:left="0" w:right="0" w:hanging="0"/>
              <w:jc w:val="left"/>
              <w:rPr/>
            </w:pPr>
            <w:r>
              <w:rPr/>
              <w:t> </w:t>
            </w:r>
          </w:p>
        </w:tc>
        <w:tc>
          <w:tcPr>
            <w:tcW w:w="1514"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Unobservable</w:t>
            </w:r>
          </w:p>
        </w:tc>
        <w:tc>
          <w:tcPr>
            <w:tcW w:w="146" w:type="dxa"/>
            <w:tcBorders/>
            <w:shd w:fill="auto" w:val="clear"/>
            <w:vAlign w:val="center"/>
          </w:tcPr>
          <w:p>
            <w:pPr>
              <w:pStyle w:val="TableContents"/>
              <w:spacing w:before="0" w:after="0"/>
              <w:ind w:left="0" w:right="0" w:hanging="0"/>
              <w:jc w:val="left"/>
              <w:rPr/>
            </w:pPr>
            <w:r>
              <w:rPr/>
              <w:t> </w:t>
            </w:r>
          </w:p>
        </w:tc>
        <w:tc>
          <w:tcPr>
            <w:tcW w:w="1797"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Range (Weighted</w:t>
            </w:r>
          </w:p>
        </w:tc>
        <w:tc>
          <w:tcPr>
            <w:tcW w:w="146" w:type="dxa"/>
            <w:tcBorders/>
            <w:shd w:fill="auto" w:val="clear"/>
            <w:vAlign w:val="center"/>
          </w:tcPr>
          <w:p>
            <w:pPr>
              <w:pStyle w:val="TableContents"/>
              <w:spacing w:before="0" w:after="0"/>
              <w:ind w:left="0" w:right="0" w:hanging="0"/>
              <w:jc w:val="left"/>
              <w:rPr/>
            </w:pPr>
            <w:r>
              <w:rPr/>
              <w:t> </w:t>
            </w:r>
          </w:p>
        </w:tc>
        <w:tc>
          <w:tcPr>
            <w:tcW w:w="1534"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Impact to Valuation</w:t>
              <w:br/>
              <w:t>from an</w:t>
            </w:r>
          </w:p>
        </w:tc>
      </w:tr>
      <w:tr>
        <w:trPr/>
        <w:tc>
          <w:tcPr>
            <w:tcW w:w="203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Technique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Input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Increase to Input</w:t>
            </w:r>
          </w:p>
        </w:tc>
      </w:tr>
      <w:tr>
        <w:trPr/>
        <w:tc>
          <w:tcPr>
            <w:tcW w:w="203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First-lien debt investments</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2,495,959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29" w:type="dxa"/>
            <w:tcBorders/>
            <w:shd w:fill="auto" w:val="cle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 xml:space="preserve">Income approach </w:t>
            </w:r>
            <w:r>
              <w:rPr>
                <w:rFonts w:ascii="Times New Roman;serif" w:hAnsi="Times New Roman;serif"/>
                <w:b w:val="false"/>
                <w:sz w:val="12"/>
              </w:rPr>
              <w:t>(1)</w:t>
            </w:r>
          </w:p>
        </w:tc>
        <w:tc>
          <w:tcPr>
            <w:tcW w:w="146" w:type="dxa"/>
            <w:tcBorders/>
            <w:shd w:fill="auto" w:val="clear"/>
            <w:vAlign w:val="center"/>
          </w:tcPr>
          <w:p>
            <w:pPr>
              <w:pStyle w:val="TableContents"/>
              <w:spacing w:before="0" w:after="0"/>
              <w:ind w:left="0" w:right="0" w:hanging="0"/>
              <w:jc w:val="right"/>
              <w:rPr/>
            </w:pPr>
            <w:r>
              <w:rPr/>
              <w:t> </w:t>
            </w:r>
          </w:p>
        </w:tc>
        <w:tc>
          <w:tcPr>
            <w:tcW w:w="151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Discount rate</w:t>
            </w:r>
          </w:p>
        </w:tc>
        <w:tc>
          <w:tcPr>
            <w:tcW w:w="146" w:type="dxa"/>
            <w:tcBorders/>
            <w:shd w:fill="auto" w:val="clear"/>
            <w:vAlign w:val="center"/>
          </w:tcPr>
          <w:p>
            <w:pPr>
              <w:pStyle w:val="TableContents"/>
              <w:spacing w:before="0" w:after="0"/>
              <w:ind w:left="0" w:right="0" w:hanging="0"/>
              <w:jc w:val="right"/>
              <w:rPr/>
            </w:pPr>
            <w:r>
              <w:rPr/>
              <w:t> </w:t>
            </w:r>
          </w:p>
        </w:tc>
        <w:tc>
          <w:tcPr>
            <w:tcW w:w="1797"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9.3% — 18.5% (14.8%)</w:t>
            </w:r>
          </w:p>
        </w:tc>
        <w:tc>
          <w:tcPr>
            <w:tcW w:w="146" w:type="dxa"/>
            <w:tcBorders/>
            <w:shd w:fill="auto" w:val="clear"/>
            <w:vAlign w:val="center"/>
          </w:tcPr>
          <w:p>
            <w:pPr>
              <w:pStyle w:val="TableContents"/>
              <w:spacing w:before="0" w:after="0"/>
              <w:ind w:left="0" w:right="0" w:hanging="0"/>
              <w:jc w:val="right"/>
              <w:rPr/>
            </w:pPr>
            <w:r>
              <w:rPr/>
              <w:t> </w:t>
            </w:r>
          </w:p>
        </w:tc>
        <w:tc>
          <w:tcPr>
            <w:tcW w:w="153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Decrease</w:t>
            </w:r>
          </w:p>
        </w:tc>
      </w:tr>
      <w:tr>
        <w:trPr/>
        <w:tc>
          <w:tcPr>
            <w:tcW w:w="203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Second-lien debt investments</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40,762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29"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Income approach</w:t>
            </w:r>
          </w:p>
        </w:tc>
        <w:tc>
          <w:tcPr>
            <w:tcW w:w="146" w:type="dxa"/>
            <w:tcBorders/>
            <w:shd w:fill="auto" w:val="clear"/>
            <w:vAlign w:val="center"/>
          </w:tcPr>
          <w:p>
            <w:pPr>
              <w:pStyle w:val="TableContents"/>
              <w:spacing w:before="0" w:after="0"/>
              <w:ind w:left="0" w:right="0" w:hanging="0"/>
              <w:jc w:val="right"/>
              <w:rPr/>
            </w:pPr>
            <w:r>
              <w:rPr/>
              <w:t> </w:t>
            </w:r>
          </w:p>
        </w:tc>
        <w:tc>
          <w:tcPr>
            <w:tcW w:w="151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Discount rate</w:t>
            </w:r>
          </w:p>
        </w:tc>
        <w:tc>
          <w:tcPr>
            <w:tcW w:w="146" w:type="dxa"/>
            <w:tcBorders/>
            <w:shd w:fill="auto" w:val="clear"/>
            <w:vAlign w:val="center"/>
          </w:tcPr>
          <w:p>
            <w:pPr>
              <w:pStyle w:val="TableContents"/>
              <w:spacing w:before="0" w:after="0"/>
              <w:ind w:left="0" w:right="0" w:hanging="0"/>
              <w:jc w:val="right"/>
              <w:rPr/>
            </w:pPr>
            <w:r>
              <w:rPr/>
              <w:t> </w:t>
            </w:r>
          </w:p>
        </w:tc>
        <w:tc>
          <w:tcPr>
            <w:tcW w:w="1797"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19.6% — 19.6% (19.6%)</w:t>
            </w:r>
          </w:p>
        </w:tc>
        <w:tc>
          <w:tcPr>
            <w:tcW w:w="146" w:type="dxa"/>
            <w:tcBorders/>
            <w:shd w:fill="auto" w:val="clear"/>
            <w:vAlign w:val="center"/>
          </w:tcPr>
          <w:p>
            <w:pPr>
              <w:pStyle w:val="TableContents"/>
              <w:spacing w:before="0" w:after="0"/>
              <w:ind w:left="0" w:right="0" w:hanging="0"/>
              <w:jc w:val="right"/>
              <w:rPr/>
            </w:pPr>
            <w:r>
              <w:rPr/>
              <w:t> </w:t>
            </w:r>
          </w:p>
        </w:tc>
        <w:tc>
          <w:tcPr>
            <w:tcW w:w="153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Decrease</w:t>
            </w:r>
          </w:p>
        </w:tc>
      </w:tr>
      <w:tr>
        <w:trPr/>
        <w:tc>
          <w:tcPr>
            <w:tcW w:w="203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Mezzanine debt investments</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2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10,158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29" w:type="dxa"/>
            <w:tcBorders/>
            <w:shd w:fill="auto" w:val="cle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 xml:space="preserve">Income approach </w:t>
            </w:r>
            <w:r>
              <w:rPr>
                <w:rFonts w:ascii="Times New Roman;serif" w:hAnsi="Times New Roman;serif"/>
                <w:b w:val="false"/>
                <w:sz w:val="12"/>
              </w:rPr>
              <w:t>(2)</w:t>
            </w:r>
          </w:p>
        </w:tc>
        <w:tc>
          <w:tcPr>
            <w:tcW w:w="146" w:type="dxa"/>
            <w:tcBorders/>
            <w:shd w:fill="auto" w:val="clear"/>
            <w:vAlign w:val="center"/>
          </w:tcPr>
          <w:p>
            <w:pPr>
              <w:pStyle w:val="TableContents"/>
              <w:spacing w:before="0" w:after="0"/>
              <w:ind w:left="0" w:right="0" w:hanging="0"/>
              <w:jc w:val="right"/>
              <w:rPr/>
            </w:pPr>
            <w:r>
              <w:rPr/>
              <w:t> </w:t>
            </w:r>
          </w:p>
        </w:tc>
        <w:tc>
          <w:tcPr>
            <w:tcW w:w="151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Discount rate</w:t>
            </w:r>
          </w:p>
        </w:tc>
        <w:tc>
          <w:tcPr>
            <w:tcW w:w="146" w:type="dxa"/>
            <w:tcBorders/>
            <w:shd w:fill="auto" w:val="clear"/>
            <w:vAlign w:val="center"/>
          </w:tcPr>
          <w:p>
            <w:pPr>
              <w:pStyle w:val="TableContents"/>
              <w:spacing w:before="0" w:after="0"/>
              <w:ind w:left="0" w:right="0" w:hanging="0"/>
              <w:jc w:val="right"/>
              <w:rPr/>
            </w:pPr>
            <w:r>
              <w:rPr/>
              <w:t> </w:t>
            </w:r>
          </w:p>
        </w:tc>
        <w:tc>
          <w:tcPr>
            <w:tcW w:w="1797" w:type="dxa"/>
            <w:tcBorders/>
            <w:shd w:fill="auto" w:val="cle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14.5% — 18.0% (16.0%)</w:t>
            </w:r>
          </w:p>
        </w:tc>
        <w:tc>
          <w:tcPr>
            <w:tcW w:w="146" w:type="dxa"/>
            <w:tcBorders/>
            <w:shd w:fill="auto" w:val="clear"/>
            <w:vAlign w:val="center"/>
          </w:tcPr>
          <w:p>
            <w:pPr>
              <w:pStyle w:val="TableContents"/>
              <w:spacing w:before="0" w:after="0"/>
              <w:ind w:left="0" w:right="0" w:hanging="0"/>
              <w:jc w:val="right"/>
              <w:rPr/>
            </w:pPr>
            <w:r>
              <w:rPr/>
              <w:t> </w:t>
            </w:r>
          </w:p>
        </w:tc>
        <w:tc>
          <w:tcPr>
            <w:tcW w:w="153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Decrease</w:t>
            </w:r>
          </w:p>
        </w:tc>
      </w:tr>
      <w:tr>
        <w:trPr/>
        <w:tc>
          <w:tcPr>
            <w:tcW w:w="2033"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Equity and other investments</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147,059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18"/>
              </w:rPr>
            </w:pPr>
            <w:r>
              <w:rPr>
                <w:rFonts w:ascii="Times New Roman;serif" w:hAnsi="Times New Roman;serif"/>
                <w:b w:val="false"/>
                <w:sz w:val="18"/>
              </w:rPr>
              <w:t>Market</w:t>
            </w:r>
            <w:r>
              <w:rPr>
                <w:rFonts w:ascii="Times New Roman" w:hAnsi="Times New Roman"/>
                <w:sz w:val="18"/>
              </w:rPr>
              <w:t xml:space="preserve"> </w:t>
            </w:r>
            <w:r>
              <w:rPr>
                <w:rFonts w:ascii="Times New Roman;serif" w:hAnsi="Times New Roman;serif"/>
                <w:b w:val="false"/>
                <w:sz w:val="18"/>
              </w:rPr>
              <w:t xml:space="preserve">Multiple </w:t>
            </w:r>
            <w:r>
              <w:rPr>
                <w:rFonts w:ascii="Times New Roman;serif" w:hAnsi="Times New Roman;serif"/>
                <w:b w:val="false"/>
                <w:sz w:val="12"/>
              </w:rPr>
              <w:t>(3)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5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Comparable multiple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7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18"/>
              </w:rPr>
            </w:pPr>
            <w:r>
              <w:rPr>
                <w:rFonts w:ascii="Times New Roman;serif" w:hAnsi="Times New Roman;serif"/>
                <w:b w:val="false"/>
                <w:sz w:val="18"/>
              </w:rPr>
              <w:t>2.0x — 26.6x (7.9x)</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5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Increase</w:t>
            </w:r>
          </w:p>
        </w:tc>
      </w:tr>
      <w:tr>
        <w:trPr/>
        <w:tc>
          <w:tcPr>
            <w:tcW w:w="2033" w:type="dxa"/>
            <w:tcBorders/>
            <w:shd w:fill="auto" w:val="clear"/>
            <w:vAlign w:val="center"/>
          </w:tcPr>
          <w:p>
            <w:pPr>
              <w:pStyle w:val="TableContents"/>
              <w:spacing w:before="0" w:after="0"/>
              <w:ind w:left="200" w:right="0" w:hanging="0"/>
              <w:jc w:val="left"/>
              <w:rPr>
                <w:rFonts w:ascii="Times New Roman;serif" w:hAnsi="Times New Roman;serif"/>
                <w:b/>
                <w:sz w:val="18"/>
              </w:rPr>
            </w:pPr>
            <w:r>
              <w:rPr>
                <w:rFonts w:ascii="Times New Roman;serif" w:hAnsi="Times New Roman;serif"/>
                <w:b/>
                <w:sz w:val="18"/>
              </w:rPr>
              <w:t>Total</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2,693,938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29"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51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79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534"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spacing w:before="0" w:after="0"/>
        <w:jc w:val="left"/>
        <w:rPr>
          <w:rFonts w:ascii="Times New Roman;serif" w:hAnsi="Times New Roman;serif"/>
          <w:sz w:val="20"/>
        </w:rPr>
      </w:pPr>
      <w:r>
        <w:rPr>
          <w:rFonts w:ascii="Times New Roman;serif" w:hAnsi="Times New Roman;serif"/>
          <w:b w:val="false"/>
          <w:sz w:val="20"/>
        </w:rPr>
        <w:t>Includes $21.0</w:t>
      </w:r>
      <w:r>
        <w:rPr>
          <w:rFonts w:ascii="Times New Roman;serif" w:hAnsi="Times New Roman;serif"/>
          <w:sz w:val="20"/>
        </w:rPr>
        <w:t xml:space="preserve"> </w:t>
      </w:r>
      <w:r>
        <w:rPr>
          <w:rFonts w:ascii="Times New Roman;serif" w:hAnsi="Times New Roman;serif"/>
          <w:b w:val="false"/>
          <w:sz w:val="20"/>
        </w:rPr>
        <w:t>million of first-lien debt investments which were valued using an asset valuation waterfall.</w:t>
      </w:r>
    </w:p>
    <w:p>
      <w:pPr>
        <w:pStyle w:val="TextBody"/>
        <w:spacing w:before="0" w:after="0"/>
        <w:jc w:val="left"/>
        <w:rPr>
          <w:rFonts w:ascii="Times New Roman" w:hAnsi="Times New Roman"/>
          <w:b w:val="false"/>
          <w:sz w:val="20"/>
        </w:rPr>
      </w:pPr>
      <w:r>
        <w:rPr>
          <w:rFonts w:ascii="Times New Roman" w:hAnsi="Times New Roman"/>
          <w:b w:val="false"/>
          <w:sz w:val="20"/>
        </w:rPr>
        <w:t>(2)</w:t>
      </w:r>
    </w:p>
    <w:p>
      <w:pPr>
        <w:pStyle w:val="TextBody"/>
        <w:spacing w:before="0" w:after="0"/>
        <w:jc w:val="left"/>
        <w:rPr>
          <w:rFonts w:ascii="Times New Roman;serif" w:hAnsi="Times New Roman;serif"/>
          <w:sz w:val="20"/>
        </w:rPr>
      </w:pPr>
      <w:r>
        <w:rPr>
          <w:rFonts w:ascii="Times New Roman;serif" w:hAnsi="Times New Roman;serif"/>
          <w:b w:val="false"/>
          <w:sz w:val="20"/>
        </w:rPr>
        <w:t>Includes $0.1</w:t>
      </w:r>
      <w:r>
        <w:rPr>
          <w:rFonts w:ascii="Times New Roman;serif" w:hAnsi="Times New Roman;serif"/>
          <w:sz w:val="20"/>
        </w:rPr>
        <w:t xml:space="preserve"> </w:t>
      </w:r>
      <w:r>
        <w:rPr>
          <w:rFonts w:ascii="Times New Roman;serif" w:hAnsi="Times New Roman;serif"/>
          <w:b w:val="false"/>
          <w:sz w:val="20"/>
        </w:rPr>
        <w:t>million of debt investments which were valued using an asset valuation waterfall.</w:t>
      </w:r>
    </w:p>
    <w:p>
      <w:pPr>
        <w:pStyle w:val="TextBody"/>
        <w:spacing w:before="0" w:after="0"/>
        <w:jc w:val="left"/>
        <w:rPr>
          <w:rFonts w:ascii="Times New Roman" w:hAnsi="Times New Roman"/>
          <w:b w:val="false"/>
          <w:sz w:val="20"/>
        </w:rPr>
      </w:pPr>
      <w:r>
        <w:rPr>
          <w:rFonts w:ascii="Times New Roman" w:hAnsi="Times New Roman"/>
          <w:b w:val="false"/>
          <w:sz w:val="20"/>
        </w:rPr>
        <w:t>(3)</w:t>
      </w:r>
    </w:p>
    <w:p>
      <w:pPr>
        <w:pStyle w:val="TextBody"/>
        <w:jc w:val="left"/>
        <w:rPr>
          <w:rFonts w:ascii="Times New Roman;serif" w:hAnsi="Times New Roman;serif"/>
          <w:sz w:val="20"/>
        </w:rPr>
      </w:pPr>
      <w:r>
        <w:rPr>
          <w:rFonts w:ascii="Times New Roman;serif" w:hAnsi="Times New Roman;serif"/>
          <w:b w:val="false"/>
          <w:sz w:val="20"/>
        </w:rPr>
        <w:t>Includes $38.4</w:t>
      </w:r>
      <w:r>
        <w:rPr>
          <w:rFonts w:ascii="Times New Roman;serif" w:hAnsi="Times New Roman;serif"/>
          <w:sz w:val="20"/>
        </w:rPr>
        <w:t xml:space="preserve"> </w:t>
      </w:r>
      <w:r>
        <w:rPr>
          <w:rFonts w:ascii="Times New Roman;serif" w:hAnsi="Times New Roman;serif"/>
          <w:b w:val="false"/>
          <w:sz w:val="20"/>
        </w:rPr>
        <w:t>million of equity investments which were valued using an asset valuation waterfall, $7.5</w:t>
      </w:r>
      <w:r>
        <w:rPr>
          <w:rFonts w:ascii="Times New Roman;serif" w:hAnsi="Times New Roman;serif"/>
          <w:sz w:val="20"/>
        </w:rPr>
        <w:t xml:space="preserve"> </w:t>
      </w:r>
      <w:r>
        <w:rPr>
          <w:rFonts w:ascii="Times New Roman;serif" w:hAnsi="Times New Roman;serif"/>
          <w:b w:val="false"/>
          <w:sz w:val="20"/>
        </w:rPr>
        <w:t>million of equity investments using a Black-Scholes model, and $13.1</w:t>
      </w:r>
      <w:r>
        <w:rPr>
          <w:rFonts w:ascii="Times New Roman;serif" w:hAnsi="Times New Roman;serif"/>
          <w:sz w:val="20"/>
        </w:rPr>
        <w:t xml:space="preserve"> </w:t>
      </w:r>
      <w:r>
        <w:rPr>
          <w:rFonts w:ascii="Times New Roman;serif" w:hAnsi="Times New Roman;serif"/>
          <w:b w:val="false"/>
          <w:sz w:val="20"/>
        </w:rPr>
        <w:t xml:space="preserve">million using a discounted cash flow analysis. </w:t>
      </w:r>
    </w:p>
    <w:p>
      <w:pPr>
        <w:pStyle w:val="TextBody"/>
        <w:spacing w:before="240" w:after="0"/>
        <w:jc w:val="left"/>
        <w:rPr>
          <w:rFonts w:ascii="Times New Roman" w:hAnsi="Times New Roman"/>
          <w:sz w:val="20"/>
        </w:rPr>
      </w:pPr>
      <w:r>
        <w:rPr>
          <w:rFonts w:ascii="Times New Roman;serif" w:hAnsi="Times New Roman;serif"/>
          <w:b w:val="false"/>
          <w:sz w:val="20"/>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val="false"/>
          <w:i/>
          <w:sz w:val="20"/>
        </w:rPr>
        <w:t>Financial Instruments Not Carried at Fair Value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Debt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fair value of the Company’s Revolving Credit Facility, which is categorized as Level 3 within the fair value hierarchy, as of March 31, 2023 and December 31, 2022, approximates its carrying value as the outstanding balance is callable at carrying value.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The following table presents the fair value of the Company’s 2023 Notes, 2024 Notes and 2026 Notes, as of March 31, 2023 and December 31, 2022.</w:t>
      </w:r>
      <w:r>
        <w:rPr>
          <w:rFonts w:ascii="Times New Roman" w:hAnsi="Times New Roman"/>
          <w:sz w:val="20"/>
        </w:rPr>
        <w:t xml:space="preserve"> </w:t>
      </w:r>
    </w:p>
    <w:p>
      <w:pPr>
        <w:pStyle w:val="TextBody"/>
        <w:spacing w:before="0" w:after="0"/>
        <w:jc w:val="left"/>
        <w:rPr/>
      </w:pPr>
      <w:r>
        <w:rPr/>
        <w:t> </w:t>
      </w:r>
    </w:p>
    <w:tbl>
      <w:tblPr>
        <w:tblW w:w="6460" w:type="dxa"/>
        <w:jc w:val="left"/>
        <w:tblInd w:w="0" w:type="dxa"/>
        <w:tblCellMar>
          <w:top w:w="28" w:type="dxa"/>
          <w:left w:w="28" w:type="dxa"/>
          <w:bottom w:w="28" w:type="dxa"/>
          <w:right w:w="28" w:type="dxa"/>
        </w:tblCellMar>
      </w:tblPr>
      <w:tblGrid>
        <w:gridCol w:w="1051"/>
        <w:gridCol w:w="146"/>
        <w:gridCol w:w="213"/>
        <w:gridCol w:w="793"/>
        <w:gridCol w:w="146"/>
        <w:gridCol w:w="146"/>
        <w:gridCol w:w="211"/>
        <w:gridCol w:w="781"/>
        <w:gridCol w:w="146"/>
        <w:gridCol w:w="146"/>
        <w:gridCol w:w="213"/>
        <w:gridCol w:w="793"/>
        <w:gridCol w:w="146"/>
        <w:gridCol w:w="146"/>
        <w:gridCol w:w="211"/>
        <w:gridCol w:w="781"/>
        <w:gridCol w:w="391"/>
      </w:tblGrid>
      <w:tr>
        <w:trPr/>
        <w:tc>
          <w:tcPr>
            <w:tcW w:w="10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0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9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Outstanding</w:t>
              <w:br/>
              <w:t>Principal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Fair</w:t>
              <w:br/>
              <w:t xml:space="preserve">Value </w:t>
            </w:r>
            <w:r>
              <w:rPr>
                <w:rFonts w:ascii="Times New Roman;serif" w:hAnsi="Times New Roman;serif"/>
                <w:b/>
                <w:sz w:val="11"/>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Outstanding</w:t>
              <w:br/>
              <w:t>Principal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Fair</w:t>
              <w:br/>
              <w:t xml:space="preserve">Value </w:t>
            </w:r>
            <w:r>
              <w:rPr>
                <w:rFonts w:ascii="Times New Roman;serif" w:hAnsi="Times New Roman;serif"/>
                <w:b/>
                <w:sz w:val="11"/>
              </w:rPr>
              <w:t>(1)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2023 Notes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149,640</w:t>
            </w:r>
          </w:p>
        </w:tc>
        <w:tc>
          <w:tcPr>
            <w:tcW w:w="391" w:type="dxa"/>
            <w:tcBorders/>
            <w:shd w:fill="auto" w:val="clear"/>
            <w:vAlign w:val="center"/>
          </w:tcPr>
          <w:p>
            <w:pPr>
              <w:pStyle w:val="TableContents"/>
              <w:spacing w:before="0" w:after="0"/>
              <w:ind w:left="0" w:right="0" w:hanging="0"/>
              <w:jc w:val="left"/>
              <w:rPr/>
            </w:pPr>
            <w:r>
              <w:rPr/>
              <w:t> </w:t>
            </w:r>
          </w:p>
        </w:tc>
      </w:tr>
      <w:tr>
        <w:trPr/>
        <w:tc>
          <w:tcPr>
            <w:tcW w:w="10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 Notes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331,011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7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332,853</w:t>
            </w:r>
          </w:p>
        </w:tc>
        <w:tc>
          <w:tcPr>
            <w:tcW w:w="391" w:type="dxa"/>
            <w:tcBorders/>
            <w:shd w:fill="auto" w:val="clear"/>
            <w:vAlign w:val="center"/>
          </w:tcPr>
          <w:p>
            <w:pPr>
              <w:pStyle w:val="TableContents"/>
              <w:spacing w:before="0" w:after="0"/>
              <w:ind w:left="0" w:right="0" w:hanging="0"/>
              <w:jc w:val="left"/>
              <w:rPr/>
            </w:pPr>
            <w:r>
              <w:rPr/>
              <w:t> </w:t>
            </w:r>
          </w:p>
        </w:tc>
      </w:tr>
      <w:tr>
        <w:trPr/>
        <w:tc>
          <w:tcPr>
            <w:tcW w:w="10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 Notes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261,495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261,750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1051"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647,500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592,506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797,500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744,243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The fair value is based on broker quotes received by the Company and is categorized as Level 2 within the fair value hierarchy.</w:t>
      </w:r>
    </w:p>
    <w:p>
      <w:pPr>
        <w:pStyle w:val="TextBody"/>
        <w:spacing w:before="360" w:after="0"/>
        <w:jc w:val="left"/>
        <w:rPr>
          <w:rFonts w:ascii="Times New Roman" w:hAnsi="Times New Roman"/>
          <w:sz w:val="20"/>
        </w:rPr>
      </w:pPr>
      <w:r>
        <w:rPr>
          <w:rFonts w:ascii="Times New Roman;serif" w:hAnsi="Times New Roman;serif"/>
          <w:b w:val="false"/>
          <w:sz w:val="20"/>
        </w:rPr>
        <w:t>Other Financial Assets and Liabilities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carrying amounts of the Company’s assets and liabilities, other than investments at fair value and the 2023 Notes, 2024 Notes and 2026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r>
        <w:rPr>
          <w:rFonts w:ascii="Times New Roman" w:hAnsi="Times New Roman"/>
          <w:sz w:val="20"/>
        </w:rPr>
        <w:t xml:space="preserve"> </w:t>
      </w:r>
    </w:p>
    <w:p>
      <w:pPr>
        <w:pStyle w:val="TextBody"/>
        <w:spacing w:before="0" w:after="0"/>
        <w:jc w:val="left"/>
        <w:rPr/>
      </w:pPr>
      <w:r>
        <w:rPr/>
        <w:t> </w:t>
      </w:r>
    </w:p>
    <w:p>
      <w:pPr>
        <w:pStyle w:val="TextBody"/>
        <w:spacing w:before="180" w:after="0"/>
        <w:jc w:val="left"/>
        <w:rPr>
          <w:rFonts w:ascii="Times New Roman" w:hAnsi="Times New Roman"/>
          <w:sz w:val="20"/>
        </w:rPr>
      </w:pPr>
      <w:r>
        <w:rPr>
          <w:rFonts w:ascii="Times New Roman;serif" w:hAnsi="Times New Roman;serif"/>
          <w:b/>
          <w:sz w:val="20"/>
        </w:rPr>
        <w:t>7. Debt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Revolving Credit Facility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On August 23, 2012, the Company entered into a senior secured revolving credit agreement with Truist Bank (as a successor by merger to SunTrust Bank), as administrative agent, and J.P. Morgan Chase Bank, N.A., as syndication agent, and certain other lenders (as amended and restated, the “Revolving Credit Facility”).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 of March 31, 2022, aggregate commitments under the facility were $1.510</w:t>
      </w:r>
      <w:r>
        <w:rPr>
          <w:rFonts w:ascii="Times New Roman" w:hAnsi="Times New Roman"/>
          <w:sz w:val="20"/>
        </w:rPr>
        <w:t xml:space="preserve"> </w:t>
      </w:r>
      <w:r>
        <w:rPr>
          <w:rFonts w:ascii="Times New Roman;serif" w:hAnsi="Times New Roman;serif"/>
          <w:b w:val="false"/>
          <w:sz w:val="20"/>
        </w:rPr>
        <w:t>billion. Pursuant to an amendment to the Revolving Credit Facility dated as of April 25, 2022 (the “Twelfth Amendment”), the aggregate commitments under the facility were increased to $1.585</w:t>
      </w:r>
      <w:r>
        <w:rPr>
          <w:rFonts w:ascii="Times New Roman" w:hAnsi="Times New Roman"/>
          <w:sz w:val="20"/>
        </w:rPr>
        <w:t xml:space="preserve"> </w:t>
      </w:r>
      <w:r>
        <w:rPr>
          <w:rFonts w:ascii="Times New Roman;serif" w:hAnsi="Times New Roman;serif"/>
          <w:b w:val="false"/>
          <w:sz w:val="20"/>
        </w:rPr>
        <w:t>billion. The facility includes an uncommitted accordion feature that allows the Company, under certain circumstances, to increase the size of the facility to up to $2.0</w:t>
      </w:r>
      <w:r>
        <w:rPr>
          <w:rFonts w:ascii="Times New Roman" w:hAnsi="Times New Roman"/>
          <w:sz w:val="20"/>
        </w:rPr>
        <w:t xml:space="preserve"> </w:t>
      </w:r>
      <w:r>
        <w:rPr>
          <w:rFonts w:ascii="Times New Roman;serif" w:hAnsi="Times New Roman;serif"/>
          <w:b w:val="false"/>
          <w:sz w:val="20"/>
        </w:rPr>
        <w:t>billion.</w:t>
      </w:r>
    </w:p>
    <w:p>
      <w:pPr>
        <w:pStyle w:val="TextBody"/>
        <w:spacing w:before="240" w:after="0"/>
        <w:jc w:val="left"/>
        <w:rPr>
          <w:rFonts w:ascii="Times New Roman" w:hAnsi="Times New Roman"/>
          <w:sz w:val="20"/>
        </w:rPr>
      </w:pPr>
      <w:r>
        <w:rPr>
          <w:rFonts w:ascii="Times New Roman;serif" w:hAnsi="Times New Roman;serif"/>
          <w:b w:val="false"/>
          <w:sz w:val="20"/>
        </w:rPr>
        <w:t>Pursuant to the Twelfth Amendment, with respect to $1.510</w:t>
      </w:r>
      <w:r>
        <w:rPr>
          <w:rFonts w:ascii="Times New Roman" w:hAnsi="Times New Roman"/>
          <w:sz w:val="20"/>
        </w:rPr>
        <w:t xml:space="preserve"> </w:t>
      </w:r>
      <w:r>
        <w:rPr>
          <w:rFonts w:ascii="Times New Roman;serif" w:hAnsi="Times New Roman;serif"/>
          <w:b w:val="false"/>
          <w:sz w:val="20"/>
        </w:rPr>
        <w:t>billion in commitments, the revolving period, during which period the Company, subject to certain conditions, may make borrowings under the facility, was extended to April 24, 2026</w:t>
      </w:r>
      <w:r>
        <w:rPr>
          <w:rFonts w:ascii="Times New Roman" w:hAnsi="Times New Roman"/>
          <w:sz w:val="20"/>
        </w:rPr>
        <w:t xml:space="preserve"> </w:t>
      </w:r>
      <w:r>
        <w:rPr>
          <w:rFonts w:ascii="Times New Roman;serif" w:hAnsi="Times New Roman;serif"/>
          <w:b w:val="false"/>
          <w:sz w:val="20"/>
        </w:rPr>
        <w:t>and the stated maturity date was extended to April 23, 2027. For the remaining $75.0</w:t>
      </w:r>
      <w:r>
        <w:rPr>
          <w:rFonts w:ascii="Times New Roman" w:hAnsi="Times New Roman"/>
          <w:sz w:val="20"/>
        </w:rPr>
        <w:t xml:space="preserve"> </w:t>
      </w:r>
      <w:r>
        <w:rPr>
          <w:rFonts w:ascii="Times New Roman;serif" w:hAnsi="Times New Roman;serif"/>
          <w:b w:val="false"/>
          <w:sz w:val="20"/>
        </w:rPr>
        <w:t>million of commitments, (A) with respect to $25.0</w:t>
      </w:r>
      <w:r>
        <w:rPr>
          <w:rFonts w:ascii="Times New Roman" w:hAnsi="Times New Roman"/>
          <w:sz w:val="20"/>
        </w:rPr>
        <w:t xml:space="preserve"> </w:t>
      </w:r>
      <w:r>
        <w:rPr>
          <w:rFonts w:ascii="Times New Roman;serif" w:hAnsi="Times New Roman;serif"/>
          <w:b w:val="false"/>
          <w:sz w:val="20"/>
        </w:rPr>
        <w:t>million of commitments, the revolving period ends January 31, 2024</w:t>
      </w:r>
      <w:r>
        <w:rPr>
          <w:rFonts w:ascii="Times New Roman" w:hAnsi="Times New Roman"/>
          <w:sz w:val="20"/>
        </w:rPr>
        <w:t xml:space="preserve"> </w:t>
      </w:r>
      <w:r>
        <w:rPr>
          <w:rFonts w:ascii="Times New Roman;serif" w:hAnsi="Times New Roman;serif"/>
          <w:b w:val="false"/>
          <w:sz w:val="20"/>
        </w:rPr>
        <w:t>and the stated maturity is January 31, 2025</w:t>
      </w:r>
      <w:r>
        <w:rPr>
          <w:rFonts w:ascii="Times New Roman" w:hAnsi="Times New Roman"/>
          <w:sz w:val="20"/>
        </w:rPr>
        <w:t xml:space="preserve"> </w:t>
      </w:r>
      <w:r>
        <w:rPr>
          <w:rFonts w:ascii="Times New Roman;serif" w:hAnsi="Times New Roman;serif"/>
          <w:b w:val="false"/>
          <w:sz w:val="20"/>
        </w:rPr>
        <w:t>and (B) with respect to $50.0</w:t>
      </w:r>
      <w:r>
        <w:rPr>
          <w:rFonts w:ascii="Times New Roman" w:hAnsi="Times New Roman"/>
          <w:sz w:val="20"/>
        </w:rPr>
        <w:t xml:space="preserve"> </w:t>
      </w:r>
      <w:r>
        <w:rPr>
          <w:rFonts w:ascii="Times New Roman;serif" w:hAnsi="Times New Roman;serif"/>
          <w:b w:val="false"/>
          <w:sz w:val="20"/>
        </w:rPr>
        <w:t>million of commitments, the revolving period ends on February 4, 2025</w:t>
      </w:r>
      <w:r>
        <w:rPr>
          <w:rFonts w:ascii="Times New Roman" w:hAnsi="Times New Roman"/>
          <w:sz w:val="20"/>
        </w:rPr>
        <w:t xml:space="preserve"> </w:t>
      </w:r>
      <w:r>
        <w:rPr>
          <w:rFonts w:ascii="Times New Roman;serif" w:hAnsi="Times New Roman;serif"/>
          <w:b w:val="false"/>
          <w:sz w:val="20"/>
        </w:rPr>
        <w:t>and the stated maturity is February 4, 2026.</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Pursuant to an amendment to the Revolving Credit Facility dated as of May 19, 2022 (the “Thirteenth Amendment”), certain non-substantive administrative and operational elements were updated.</w:t>
      </w:r>
    </w:p>
    <w:p>
      <w:pPr>
        <w:pStyle w:val="TextBody"/>
        <w:spacing w:before="240" w:after="0"/>
        <w:jc w:val="left"/>
        <w:rPr>
          <w:rFonts w:ascii="Times New Roman" w:hAnsi="Times New Roman"/>
          <w:sz w:val="20"/>
        </w:rPr>
      </w:pPr>
      <w:r>
        <w:rPr>
          <w:rFonts w:ascii="Times New Roman;serif" w:hAnsi="Times New Roman;serif"/>
          <w:b w:val="false"/>
          <w:sz w:val="20"/>
        </w:rPr>
        <w:t>The Company may borrow amounts in U.S. dollars or certain other permitted currencies. As of March 31, 2023, the Company had outstanding debt denominated in Australian dollars (AUD) of 67.6</w:t>
      </w:r>
      <w:r>
        <w:rPr>
          <w:rFonts w:ascii="Times New Roman" w:hAnsi="Times New Roman"/>
          <w:sz w:val="20"/>
        </w:rPr>
        <w:t xml:space="preserve"> </w:t>
      </w:r>
      <w:r>
        <w:rPr>
          <w:rFonts w:ascii="Times New Roman;serif" w:hAnsi="Times New Roman;serif"/>
          <w:b w:val="false"/>
          <w:sz w:val="20"/>
        </w:rPr>
        <w:t>million, British pounds (GBP) of 14.0</w:t>
      </w:r>
      <w:r>
        <w:rPr>
          <w:rFonts w:ascii="Times New Roman" w:hAnsi="Times New Roman"/>
          <w:sz w:val="20"/>
        </w:rPr>
        <w:t xml:space="preserve"> </w:t>
      </w:r>
      <w:r>
        <w:rPr>
          <w:rFonts w:ascii="Times New Roman;serif" w:hAnsi="Times New Roman;serif"/>
          <w:b w:val="false"/>
          <w:sz w:val="20"/>
        </w:rPr>
        <w:t>million, Canadian dollars (CAD) of 99.1</w:t>
      </w:r>
      <w:r>
        <w:rPr>
          <w:rFonts w:ascii="Times New Roman" w:hAnsi="Times New Roman"/>
          <w:sz w:val="20"/>
        </w:rPr>
        <w:t xml:space="preserve"> </w:t>
      </w:r>
      <w:r>
        <w:rPr>
          <w:rFonts w:ascii="Times New Roman;serif" w:hAnsi="Times New Roman;serif"/>
          <w:b w:val="false"/>
          <w:sz w:val="20"/>
        </w:rPr>
        <w:t>million, and Euro (EUR) of 27.1</w:t>
      </w:r>
      <w:r>
        <w:rPr>
          <w:rFonts w:ascii="Times New Roman" w:hAnsi="Times New Roman"/>
          <w:sz w:val="20"/>
        </w:rPr>
        <w:t xml:space="preserve"> </w:t>
      </w:r>
      <w:r>
        <w:rPr>
          <w:rFonts w:ascii="Times New Roman;serif" w:hAnsi="Times New Roman;serif"/>
          <w:b w:val="false"/>
          <w:sz w:val="20"/>
        </w:rPr>
        <w:t>million on its Revolving Credit Facility, included in the Outstanding Principal amount in the table above.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Revolving Credit Facility also provides for the issuance of letters of credit up to an aggregate amount of $75</w:t>
      </w:r>
      <w:r>
        <w:rPr>
          <w:rFonts w:ascii="Times New Roman" w:hAnsi="Times New Roman"/>
          <w:sz w:val="20"/>
        </w:rPr>
        <w:t xml:space="preserve"> </w:t>
      </w:r>
      <w:r>
        <w:rPr>
          <w:rFonts w:ascii="Times New Roman;serif" w:hAnsi="Times New Roman;serif"/>
          <w:b w:val="false"/>
          <w:sz w:val="20"/>
        </w:rPr>
        <w:t>million. As of March 31, 2023 and December 31, 2022 the Company had $0.2</w:t>
      </w:r>
      <w:r>
        <w:rPr>
          <w:rFonts w:ascii="Times New Roman" w:hAnsi="Times New Roman"/>
          <w:sz w:val="20"/>
        </w:rPr>
        <w:t xml:space="preserve"> </w:t>
      </w:r>
      <w:r>
        <w:rPr>
          <w:rFonts w:ascii="Times New Roman;serif" w:hAnsi="Times New Roman;serif"/>
          <w:b w:val="false"/>
          <w:sz w:val="20"/>
        </w:rPr>
        <w:t>million and less than $0.1</w:t>
      </w:r>
      <w:r>
        <w:rPr>
          <w:rFonts w:ascii="Times New Roman" w:hAnsi="Times New Roman"/>
          <w:sz w:val="20"/>
        </w:rPr>
        <w:t xml:space="preserve"> </w:t>
      </w:r>
      <w:r>
        <w:rPr>
          <w:rFonts w:ascii="Times New Roman;serif" w:hAnsi="Times New Roman;serif"/>
          <w:b w:val="false"/>
          <w:sz w:val="20"/>
        </w:rPr>
        <w:t>million letters of credit issued through the Revolving Credit Facility. The amount available for borrowing under the Revolving Credit Facility is reduced by any letters of credit issued through the Revolving Credit Facility.</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 Company may elect either the applicable reference rate or base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The Revolving Credit Facility is guaranteed by Sixth Street SL SPV, LLC, TC Lending, LLC and Sixth Street SL Holding, LLC.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Revolving Credit Facility includes customary events of default, as well as customary covenants, including restrictions on certain distributions and financial covenants. In accordance with the terms of the Thirteenth Amendment, the financial covenants require:</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sz w:val="24"/>
        </w:rPr>
      </w:pPr>
      <w:r>
        <w:rPr>
          <w:rFonts w:ascii="Times New Roman;serif" w:hAnsi="Times New Roman;serif"/>
          <w:b w:val="false"/>
          <w:sz w:val="20"/>
        </w:rPr>
        <w:t>an asset coverage ratio of no less than 1.5</w:t>
      </w:r>
      <w:r>
        <w:rPr>
          <w:rFonts w:ascii="Times New Roman;serif" w:hAnsi="Times New Roman;serif"/>
          <w:sz w:val="24"/>
        </w:rPr>
        <w:t xml:space="preserve"> </w:t>
      </w:r>
      <w:r>
        <w:rPr>
          <w:rFonts w:ascii="Times New Roman;serif" w:hAnsi="Times New Roman;serif"/>
          <w:b w:val="false"/>
          <w:sz w:val="20"/>
        </w:rPr>
        <w:t xml:space="preserve">to 1 on the last day of any fiscal quarter; </w:t>
      </w:r>
    </w:p>
    <w:p>
      <w:pPr>
        <w:pStyle w:val="TextBody"/>
        <w:spacing w:before="120" w:after="0"/>
        <w:jc w:val="left"/>
        <w:rPr/>
      </w:pPr>
      <w:r>
        <w:rPr/>
        <w:t>•</w:t>
      </w:r>
    </w:p>
    <w:p>
      <w:pPr>
        <w:pStyle w:val="TextBody"/>
        <w:spacing w:before="120" w:after="0"/>
        <w:jc w:val="left"/>
        <w:rPr>
          <w:rFonts w:ascii="Times New Roman;serif" w:hAnsi="Times New Roman;serif"/>
          <w:sz w:val="24"/>
        </w:rPr>
      </w:pPr>
      <w:r>
        <w:rPr>
          <w:rFonts w:ascii="Times New Roman;serif" w:hAnsi="Times New Roman;serif"/>
          <w:b w:val="false"/>
          <w:sz w:val="20"/>
        </w:rPr>
        <w:t>stockholders’ equity of at least $500</w:t>
      </w:r>
      <w:r>
        <w:rPr>
          <w:rFonts w:ascii="Times New Roman;serif" w:hAnsi="Times New Roman;serif"/>
          <w:sz w:val="24"/>
        </w:rPr>
        <w:t xml:space="preserve"> </w:t>
      </w:r>
      <w:r>
        <w:rPr>
          <w:rFonts w:ascii="Times New Roman;serif" w:hAnsi="Times New Roman;serif"/>
          <w:b w:val="false"/>
          <w:sz w:val="20"/>
        </w:rPr>
        <w:t>million plus 25% of the net proceeds of the sale of equity interests after January 31, 2020; and</w:t>
      </w:r>
    </w:p>
    <w:p>
      <w:pPr>
        <w:pStyle w:val="TextBody"/>
        <w:spacing w:before="120" w:after="0"/>
        <w:jc w:val="left"/>
        <w:rPr/>
      </w:pPr>
      <w:r>
        <w:rPr/>
        <w:t>•</w:t>
      </w:r>
    </w:p>
    <w:p>
      <w:pPr>
        <w:pStyle w:val="TextBody"/>
        <w:spacing w:before="120" w:after="283"/>
        <w:jc w:val="left"/>
        <w:rPr>
          <w:rFonts w:ascii="Times New Roman;serif" w:hAnsi="Times New Roman;serif"/>
          <w:sz w:val="24"/>
        </w:rPr>
      </w:pPr>
      <w:r>
        <w:rPr>
          <w:rFonts w:ascii="Times New Roman;serif" w:hAnsi="Times New Roman;serif"/>
          <w:b w:val="false"/>
          <w:sz w:val="20"/>
        </w:rPr>
        <w:t>a minimum asset coverage ratio of no less than 2</w:t>
      </w:r>
      <w:r>
        <w:rPr>
          <w:rFonts w:ascii="Times New Roman;serif" w:hAnsi="Times New Roman;serif"/>
          <w:sz w:val="24"/>
        </w:rPr>
        <w:t xml:space="preserve"> </w:t>
      </w:r>
      <w:r>
        <w:rPr>
          <w:rFonts w:ascii="Times New Roman;serif" w:hAnsi="Times New Roman;serif"/>
          <w:b w:val="false"/>
          <w:sz w:val="20"/>
        </w:rPr>
        <w:t>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Revolving Credit Facility also contains certain additional concentration limits in connection with the calculation of the borrowing base, based on the Obligor Asset Coverage Ratio.</w:t>
      </w:r>
    </w:p>
    <w:p>
      <w:pPr>
        <w:pStyle w:val="TextBody"/>
        <w:spacing w:before="240" w:after="0"/>
        <w:jc w:val="left"/>
        <w:rPr>
          <w:rFonts w:ascii="Times New Roman" w:hAnsi="Times New Roman"/>
          <w:sz w:val="20"/>
        </w:rPr>
      </w:pPr>
      <w:r>
        <w:rPr>
          <w:rFonts w:ascii="Times New Roman;serif" w:hAnsi="Times New Roman;serif"/>
          <w:b w:val="false"/>
          <w:sz w:val="20"/>
        </w:rPr>
        <w:t>Net proceeds received from the Company’s common stock issuance in February 2021 and net proceeds received from the issuance of the 2023 Notes, 2024 Notes and 2026 Notes were used to pay down borrowings on the Revolving Credit Facility.</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of March 31, 2023 and December 31, 2022, the Company was in compliance with the terms of the Revolving Credit Facility.</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2022 Convertible Notes</w:t>
      </w:r>
    </w:p>
    <w:p>
      <w:pPr>
        <w:pStyle w:val="TextBody"/>
        <w:spacing w:before="120" w:after="0"/>
        <w:jc w:val="left"/>
        <w:rPr>
          <w:rFonts w:ascii="Times New Roman" w:hAnsi="Times New Roman"/>
          <w:sz w:val="20"/>
        </w:rPr>
      </w:pPr>
      <w:r>
        <w:rPr>
          <w:rFonts w:ascii="Times New Roman;serif" w:hAnsi="Times New Roman;serif"/>
          <w:b w:val="false"/>
          <w:sz w:val="20"/>
        </w:rPr>
        <w:t>In February 2017, the Company issued in a private offering $115.0</w:t>
      </w:r>
      <w:r>
        <w:rPr>
          <w:rFonts w:ascii="Times New Roman" w:hAnsi="Times New Roman"/>
          <w:sz w:val="20"/>
        </w:rPr>
        <w:t xml:space="preserve"> </w:t>
      </w:r>
      <w:r>
        <w:rPr>
          <w:rFonts w:ascii="Times New Roman;serif" w:hAnsi="Times New Roman;serif"/>
          <w:b w:val="false"/>
          <w:sz w:val="20"/>
        </w:rPr>
        <w:t>million aggregate principal amount convertible notes due August 2022 (the “2022 Convertible Notes”). The 2022 Convertible Notes were issued in a private placement only to qualified institutional buyers pursuant to Rule 144A under the Securities Act. The 2022 Convertible Notes were unsecured, and bore interest at a rate of 4.50% per year, payable semiannually. In June 2018, the Company issued an additional $57.5</w:t>
      </w:r>
      <w:r>
        <w:rPr>
          <w:rFonts w:ascii="Times New Roman" w:hAnsi="Times New Roman"/>
          <w:sz w:val="20"/>
        </w:rPr>
        <w:t xml:space="preserve"> </w:t>
      </w:r>
      <w:r>
        <w:rPr>
          <w:rFonts w:ascii="Times New Roman;serif" w:hAnsi="Times New Roman;serif"/>
          <w:b w:val="false"/>
          <w:sz w:val="20"/>
        </w:rPr>
        <w:t>million aggregate principal amount of 2022 Convertible Notes. The additional 2022 Convertible Notes were issued with identical terms, and were fungible with and were part of a single series with the previously outstanding $115.0</w:t>
      </w:r>
      <w:r>
        <w:rPr>
          <w:rFonts w:ascii="Times New Roman" w:hAnsi="Times New Roman"/>
          <w:sz w:val="20"/>
        </w:rPr>
        <w:t xml:space="preserve"> </w:t>
      </w:r>
      <w:r>
        <w:rPr>
          <w:rFonts w:ascii="Times New Roman;serif" w:hAnsi="Times New Roman;serif"/>
          <w:b w:val="false"/>
          <w:sz w:val="20"/>
        </w:rPr>
        <w:t>million aggregate principal amount of the Company’s 2022 Convertible Notes issued in February 2017. In connection with the offering of 2022 Convertible Notes in February 2017 and the reopening in June 2018, the Company entered into interest rate swaps to align the interest rates of its liabilities with its investment portfolio, which consists of predominately floating rate loans. The notional amount of the interest rate swaps matched the amount of principal outstanding, and matured on August 1, 2022, matching the maturity date of the 2022 Convertible Notes.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On August 1, 2022, the 2022 Convertible Notes matured in accordance with the governing indenture. Holders of $79.2</w:t>
      </w:r>
      <w:r>
        <w:rPr>
          <w:rFonts w:ascii="Times New Roman" w:hAnsi="Times New Roman"/>
          <w:sz w:val="20"/>
        </w:rPr>
        <w:t xml:space="preserve"> </w:t>
      </w:r>
      <w:r>
        <w:rPr>
          <w:rFonts w:ascii="Times New Roman;serif" w:hAnsi="Times New Roman;serif"/>
          <w:b w:val="false"/>
          <w:sz w:val="20"/>
        </w:rPr>
        <w:t>million aggregate principal amount of notes provided valid notice of conversion and were subject to the combination settlement method previously elected by the Company, with a specified cash amount (as defined in the indenture governing the 2022 Convertible Notes) of $20.00</w:t>
      </w:r>
      <w:r>
        <w:rPr>
          <w:rFonts w:ascii="Times New Roman" w:hAnsi="Times New Roman"/>
          <w:sz w:val="20"/>
        </w:rPr>
        <w:t xml:space="preserve"> </w:t>
      </w:r>
      <w:r>
        <w:rPr>
          <w:rFonts w:ascii="Times New Roman;serif" w:hAnsi="Times New Roman;serif"/>
          <w:b w:val="false"/>
          <w:sz w:val="20"/>
        </w:rPr>
        <w:t>per $1,000</w:t>
      </w:r>
      <w:r>
        <w:rPr>
          <w:rFonts w:ascii="Times New Roman" w:hAnsi="Times New Roman"/>
          <w:sz w:val="20"/>
        </w:rPr>
        <w:t xml:space="preserve"> </w:t>
      </w:r>
      <w:r>
        <w:rPr>
          <w:rFonts w:ascii="Times New Roman;serif" w:hAnsi="Times New Roman;serif"/>
          <w:b w:val="false"/>
          <w:sz w:val="20"/>
        </w:rPr>
        <w:t>principal amount of the 2022 Convertible Notes and any additional amounts in stock based on the applicable conversion rate as described in the indenture. In accordance with the settlement method, the Company issued a total of 4,360,125</w:t>
      </w:r>
      <w:r>
        <w:rPr>
          <w:rFonts w:ascii="Times New Roman" w:hAnsi="Times New Roman"/>
          <w:sz w:val="20"/>
        </w:rPr>
        <w:t xml:space="preserve"> </w:t>
      </w:r>
      <w:r>
        <w:rPr>
          <w:rFonts w:ascii="Times New Roman;serif" w:hAnsi="Times New Roman;serif"/>
          <w:b w:val="false"/>
          <w:sz w:val="20"/>
        </w:rPr>
        <w:t>shares of common stock, or $77.6</w:t>
      </w:r>
      <w:r>
        <w:rPr>
          <w:rFonts w:ascii="Times New Roman" w:hAnsi="Times New Roman"/>
          <w:sz w:val="20"/>
        </w:rPr>
        <w:t xml:space="preserve"> </w:t>
      </w:r>
      <w:r>
        <w:rPr>
          <w:rFonts w:ascii="Times New Roman;serif" w:hAnsi="Times New Roman;serif"/>
          <w:b w:val="false"/>
          <w:sz w:val="20"/>
        </w:rPr>
        <w:t>million at the adjusted conversion price per share of $17.92. The remaining balance of the notes that were not converted into newly issued shares of common stock were settled with existing cash resources, including through utilization of the Company’s Revolving Credit Facility. The interest rate swaps associated with the principal amount of the notes outstanding were terminated on the date of maturity of the 2022 Convertible Notes.</w:t>
      </w:r>
    </w:p>
    <w:p>
      <w:pPr>
        <w:pStyle w:val="TextBody"/>
        <w:spacing w:before="0" w:after="0"/>
        <w:jc w:val="left"/>
        <w:rPr/>
      </w:pPr>
      <w:r>
        <w:rPr/>
        <w:t> </w:t>
      </w:r>
    </w:p>
    <w:p>
      <w:pPr>
        <w:pStyle w:val="TextBody"/>
        <w:spacing w:before="160" w:after="0"/>
        <w:jc w:val="left"/>
        <w:rPr>
          <w:rFonts w:ascii="Times New Roman;serif" w:hAnsi="Times New Roman;serif"/>
          <w:b w:val="false"/>
          <w:i/>
          <w:sz w:val="20"/>
        </w:rPr>
      </w:pPr>
      <w:r>
        <w:rPr>
          <w:rFonts w:ascii="Times New Roman;serif" w:hAnsi="Times New Roman;serif"/>
          <w:b w:val="false"/>
          <w:i/>
          <w:sz w:val="20"/>
        </w:rPr>
        <w:t>2023 Notes</w:t>
      </w:r>
    </w:p>
    <w:p>
      <w:pPr>
        <w:pStyle w:val="TextBody"/>
        <w:spacing w:before="120" w:after="0"/>
        <w:jc w:val="left"/>
        <w:rPr>
          <w:rFonts w:ascii="Times New Roman" w:hAnsi="Times New Roman"/>
          <w:sz w:val="20"/>
        </w:rPr>
      </w:pPr>
      <w:r>
        <w:rPr>
          <w:rFonts w:ascii="Times New Roman;serif" w:hAnsi="Times New Roman;serif"/>
          <w:b w:val="false"/>
          <w:sz w:val="20"/>
        </w:rPr>
        <w:t>In January 2018, the Company issued $150.0</w:t>
      </w:r>
      <w:r>
        <w:rPr>
          <w:rFonts w:ascii="Times New Roman" w:hAnsi="Times New Roman"/>
          <w:sz w:val="20"/>
        </w:rPr>
        <w:t xml:space="preserve"> </w:t>
      </w:r>
      <w:r>
        <w:rPr>
          <w:rFonts w:ascii="Times New Roman;serif" w:hAnsi="Times New Roman;serif"/>
          <w:b w:val="false"/>
          <w:sz w:val="20"/>
        </w:rPr>
        <w:t>million aggregate principal amount of unsecured notes that matured on January 22, 2023</w:t>
      </w:r>
      <w:r>
        <w:rPr>
          <w:rFonts w:ascii="Times New Roman" w:hAnsi="Times New Roman"/>
          <w:sz w:val="20"/>
        </w:rPr>
        <w:t xml:space="preserve"> </w:t>
      </w:r>
      <w:r>
        <w:rPr>
          <w:rFonts w:ascii="Times New Roman;serif" w:hAnsi="Times New Roman;serif"/>
          <w:b w:val="false"/>
          <w:sz w:val="20"/>
        </w:rPr>
        <w:t>(the “2023 Notes”). The principal amount of the 2023 Notes was payable at maturity. The 2023 Notes bore interest at a rate of 4.50% per year, payable semi-annually commencing on July 22, 2018, and were redeemable in whole or in part at the Company’s option at any time at par plus a “make whole” premium. Total proceeds from the issuance of the 2023 Notes, net of underwriting discounts and offering costs, were $146.9</w:t>
      </w:r>
      <w:r>
        <w:rPr>
          <w:rFonts w:ascii="Times New Roman" w:hAnsi="Times New Roman"/>
          <w:sz w:val="20"/>
        </w:rPr>
        <w:t xml:space="preserve"> </w:t>
      </w:r>
      <w:r>
        <w:rPr>
          <w:rFonts w:ascii="Times New Roman;serif" w:hAnsi="Times New Roman;serif"/>
          <w:b w:val="false"/>
          <w:sz w:val="20"/>
        </w:rPr>
        <w:t>million. The Company used the net proceeds of the 2023 Notes to repay outstanding indebtedness under the Revolving Credit Facility. The 2023 Notes matured on January 22, 2023 and were fully repaid in cash. The swap transaction associated with the issuance of the 2023 Notes also matured on January 22, 2023.</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2024 Notes</w:t>
      </w:r>
    </w:p>
    <w:p>
      <w:pPr>
        <w:pStyle w:val="TextBody"/>
        <w:spacing w:before="120" w:after="0"/>
        <w:jc w:val="left"/>
        <w:rPr>
          <w:rFonts w:ascii="Times New Roman" w:hAnsi="Times New Roman"/>
          <w:sz w:val="20"/>
        </w:rPr>
      </w:pPr>
      <w:r>
        <w:rPr>
          <w:rFonts w:ascii="Times New Roman;serif" w:hAnsi="Times New Roman;serif"/>
          <w:b w:val="false"/>
          <w:sz w:val="20"/>
        </w:rPr>
        <w:t>In November 2019, the Company issued $300.0</w:t>
      </w:r>
      <w:r>
        <w:rPr>
          <w:rFonts w:ascii="Times New Roman" w:hAnsi="Times New Roman"/>
          <w:sz w:val="20"/>
        </w:rPr>
        <w:t xml:space="preserve"> </w:t>
      </w:r>
      <w:r>
        <w:rPr>
          <w:rFonts w:ascii="Times New Roman;serif" w:hAnsi="Times New Roman;serif"/>
          <w:b w:val="false"/>
          <w:sz w:val="20"/>
        </w:rPr>
        <w:t>million aggregate principal amount of unsecured notes that mature on November 1, 2024</w:t>
      </w:r>
      <w:r>
        <w:rPr>
          <w:rFonts w:ascii="Times New Roman" w:hAnsi="Times New Roman"/>
          <w:sz w:val="20"/>
        </w:rPr>
        <w:t xml:space="preserve"> </w:t>
      </w:r>
      <w:r>
        <w:rPr>
          <w:rFonts w:ascii="Times New Roman;serif" w:hAnsi="Times New Roman;serif"/>
          <w:b w:val="false"/>
          <w:sz w:val="20"/>
        </w:rPr>
        <w:t>(the “2024 Notes”). The principal amount of the 2024 Notes is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w:t>
      </w:r>
      <w:r>
        <w:rPr>
          <w:rFonts w:ascii="Times New Roman" w:hAnsi="Times New Roman"/>
          <w:sz w:val="20"/>
        </w:rPr>
        <w:t xml:space="preserve"> </w:t>
      </w:r>
      <w:r>
        <w:rPr>
          <w:rFonts w:ascii="Times New Roman;serif" w:hAnsi="Times New Roman;serif"/>
          <w:b w:val="false"/>
          <w:sz w:val="20"/>
        </w:rPr>
        <w:t>million. The Company used the net proceeds of the 2024 Notes to repay outstanding indebtedness under the Revolving Credit Facility.</w:t>
      </w:r>
    </w:p>
    <w:p>
      <w:pPr>
        <w:pStyle w:val="TextBody"/>
        <w:spacing w:before="240" w:after="0"/>
        <w:jc w:val="left"/>
        <w:rPr>
          <w:rFonts w:ascii="Times New Roman" w:hAnsi="Times New Roman"/>
          <w:sz w:val="20"/>
        </w:rPr>
      </w:pPr>
      <w:r>
        <w:rPr>
          <w:rFonts w:ascii="Times New Roman;serif" w:hAnsi="Times New Roman;serif"/>
          <w:b w:val="false"/>
          <w:sz w:val="20"/>
        </w:rPr>
        <w:t>On February 5, 2020, the Company issued an additional $50.0</w:t>
      </w:r>
      <w:r>
        <w:rPr>
          <w:rFonts w:ascii="Times New Roman" w:hAnsi="Times New Roman"/>
          <w:sz w:val="20"/>
        </w:rPr>
        <w:t xml:space="preserve"> </w:t>
      </w:r>
      <w:r>
        <w:rPr>
          <w:rFonts w:ascii="Times New Roman;serif" w:hAnsi="Times New Roman;serif"/>
          <w:b w:val="false"/>
          <w:sz w:val="20"/>
        </w:rPr>
        <w:t>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w:t>
      </w:r>
      <w:r>
        <w:rPr>
          <w:rFonts w:ascii="Times New Roman" w:hAnsi="Times New Roman"/>
          <w:sz w:val="20"/>
        </w:rPr>
        <w:t xml:space="preserve"> </w:t>
      </w:r>
      <w:r>
        <w:rPr>
          <w:rFonts w:ascii="Times New Roman;serif" w:hAnsi="Times New Roman;serif"/>
          <w:b w:val="false"/>
          <w:sz w:val="20"/>
        </w:rPr>
        <w:t>million. The Company used the net proceeds of the 2024 Notes to repay outstanding indebtedness under the Revolving Credit Facility.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connection with the 2024 Notes offering and the reopening of the 2024 Notes, the Company entered into interest rate swaps to align the interest rates of its liabilities with the Company’s investment portfolio, which consists of predominately floating rate loans. The notional amount of the two interest rates swaps is $300.0</w:t>
      </w:r>
      <w:r>
        <w:rPr>
          <w:rFonts w:ascii="Times New Roman" w:hAnsi="Times New Roman"/>
          <w:sz w:val="20"/>
        </w:rPr>
        <w:t xml:space="preserve"> </w:t>
      </w:r>
      <w:r>
        <w:rPr>
          <w:rFonts w:ascii="Times New Roman;serif" w:hAnsi="Times New Roman;serif"/>
          <w:b w:val="false"/>
          <w:sz w:val="20"/>
        </w:rPr>
        <w:t>million and $50.0</w:t>
      </w:r>
      <w:r>
        <w:rPr>
          <w:rFonts w:ascii="Times New Roman" w:hAnsi="Times New Roman"/>
          <w:sz w:val="20"/>
        </w:rPr>
        <w:t xml:space="preserve"> </w:t>
      </w:r>
      <w:r>
        <w:rPr>
          <w:rFonts w:ascii="Times New Roman;serif" w:hAnsi="Times New Roman;serif"/>
          <w:b w:val="false"/>
          <w:sz w:val="20"/>
        </w:rPr>
        <w:t>million, respectively, each of which matures on November 1, 2024, matching the maturity date of the 2024 Notes. As a result of the swaps, the Company’s effective interest rate on the 2024 Notes is three-month LIBOR</w:t>
      </w:r>
      <w:r>
        <w:rPr>
          <w:rFonts w:ascii="Times New Roman" w:hAnsi="Times New Roman"/>
          <w:sz w:val="20"/>
        </w:rPr>
        <w:t xml:space="preserve"> </w:t>
      </w:r>
      <w:r>
        <w:rPr>
          <w:rFonts w:ascii="Times New Roman;serif" w:hAnsi="Times New Roman;serif"/>
          <w:b w:val="false"/>
          <w:sz w:val="20"/>
        </w:rPr>
        <w:t>plus 2.28% (on a weighted average basis). The interest expense related to the 2024 Notes is offset by proceeds received from the interest rate swaps designated as a hedge. The swap adjusted interest expense is included as a component of interest expense on the Company’s Consolidated Statements of Operations. As of March 31, 2023, and December 31, 2022, the effective hedge interest rate swaps had a fair value of $(16.3) million and $(19.4) million, respectively, which is offset within interest expense by an equal, but opposite, fair value change for the hedged risk on the 2024 Notes.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During the year ended December 31, 2020, the Company repurchased on the open market and extinguished $2.5</w:t>
      </w:r>
      <w:r>
        <w:rPr>
          <w:rFonts w:ascii="Times New Roman" w:hAnsi="Times New Roman"/>
          <w:sz w:val="20"/>
        </w:rPr>
        <w:t xml:space="preserve"> </w:t>
      </w:r>
      <w:r>
        <w:rPr>
          <w:rFonts w:ascii="Times New Roman;serif" w:hAnsi="Times New Roman;serif"/>
          <w:b w:val="false"/>
          <w:sz w:val="20"/>
        </w:rPr>
        <w:t>million in aggregate principal amount of the 2024 Notes for $2.4</w:t>
      </w:r>
      <w:r>
        <w:rPr>
          <w:rFonts w:ascii="Times New Roman" w:hAnsi="Times New Roman"/>
          <w:sz w:val="20"/>
        </w:rPr>
        <w:t xml:space="preserve"> </w:t>
      </w:r>
      <w:r>
        <w:rPr>
          <w:rFonts w:ascii="Times New Roman;serif" w:hAnsi="Times New Roman;serif"/>
          <w:b w:val="false"/>
          <w:sz w:val="20"/>
        </w:rPr>
        <w:t>million. In connection with the repurchase of the 2024 Notes, the Company entered into a floating-to-fixed interest rate swap with a notional amount equal to the amount of 2024 Notes repurchased, which had the effect of reducing the notional exposure of the fixed-to-floating interest rate swaps, which were entered into in connection with the issuance of the 2024 Notes, to match the remaining principal amount of the 2024 Notes outstanding. As a result of the swap, the Company’s effective interest rate on the outstanding 2024 Notes is three-month LIBOR</w:t>
      </w:r>
      <w:r>
        <w:rPr>
          <w:rFonts w:ascii="Times New Roman" w:hAnsi="Times New Roman"/>
          <w:sz w:val="20"/>
        </w:rPr>
        <w:t xml:space="preserve"> </w:t>
      </w:r>
      <w:r>
        <w:rPr>
          <w:rFonts w:ascii="Times New Roman;serif" w:hAnsi="Times New Roman;serif"/>
          <w:b w:val="false"/>
          <w:sz w:val="20"/>
        </w:rPr>
        <w:t>plus 2.28% (on a weighted average basis).</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2026 Notes</w:t>
      </w:r>
    </w:p>
    <w:p>
      <w:pPr>
        <w:pStyle w:val="TextBody"/>
        <w:spacing w:before="120" w:after="0"/>
        <w:jc w:val="left"/>
        <w:rPr>
          <w:rFonts w:ascii="Times New Roman" w:hAnsi="Times New Roman"/>
          <w:sz w:val="20"/>
        </w:rPr>
      </w:pPr>
      <w:r>
        <w:rPr>
          <w:rFonts w:ascii="Times New Roman;serif" w:hAnsi="Times New Roman;serif"/>
          <w:b w:val="false"/>
          <w:sz w:val="20"/>
        </w:rPr>
        <w:t>On February 3, 2021, the Company issued $300.0</w:t>
      </w:r>
      <w:r>
        <w:rPr>
          <w:rFonts w:ascii="Times New Roman" w:hAnsi="Times New Roman"/>
          <w:sz w:val="20"/>
        </w:rPr>
        <w:t xml:space="preserve"> </w:t>
      </w:r>
      <w:r>
        <w:rPr>
          <w:rFonts w:ascii="Times New Roman;serif" w:hAnsi="Times New Roman;serif"/>
          <w:b w:val="false"/>
          <w:sz w:val="20"/>
        </w:rPr>
        <w:t>million aggregate principal amount of unsecured notes that mature on August 1, 2026</w:t>
      </w:r>
      <w:r>
        <w:rPr>
          <w:rFonts w:ascii="Times New Roman" w:hAnsi="Times New Roman"/>
          <w:sz w:val="20"/>
        </w:rPr>
        <w:t xml:space="preserve"> </w:t>
      </w:r>
      <w:r>
        <w:rPr>
          <w:rFonts w:ascii="Times New Roman;serif" w:hAnsi="Times New Roman;serif"/>
          <w:b w:val="false"/>
          <w:sz w:val="20"/>
        </w:rPr>
        <w:t>(the “2026 Notes”). The principal amount of the 2026 Notes is payable at maturity. The 2026 Notes bear interest at a rate of 2.50% per year, payable semi-annually commencing on August 1, 2021, and may be redeemed in whole or in part at the Company’s option at any time at par plus a “make whole” premium. Total proceeds from the issuance of the 2026 Notes, net of underwriting discounts, offering costs and original issue discount, were $293.7</w:t>
      </w:r>
      <w:r>
        <w:rPr>
          <w:rFonts w:ascii="Times New Roman" w:hAnsi="Times New Roman"/>
          <w:sz w:val="20"/>
        </w:rPr>
        <w:t xml:space="preserve"> </w:t>
      </w:r>
      <w:r>
        <w:rPr>
          <w:rFonts w:ascii="Times New Roman;serif" w:hAnsi="Times New Roman;serif"/>
          <w:b w:val="false"/>
          <w:sz w:val="20"/>
        </w:rPr>
        <w:t>million. The Company used the net proceeds of the 2026 Notes to repay outstanding indebtedness under the Revolving Credit Facility.</w:t>
      </w:r>
    </w:p>
    <w:p>
      <w:pPr>
        <w:pStyle w:val="TextBody"/>
        <w:spacing w:before="240" w:after="0"/>
        <w:jc w:val="left"/>
        <w:rPr>
          <w:rFonts w:ascii="Times New Roman" w:hAnsi="Times New Roman"/>
          <w:sz w:val="20"/>
        </w:rPr>
      </w:pPr>
      <w:r>
        <w:rPr>
          <w:rFonts w:ascii="Times New Roman;serif" w:hAnsi="Times New Roman;serif"/>
          <w:b w:val="false"/>
          <w:sz w:val="20"/>
        </w:rPr>
        <w:t>In connection with the issuance of the 2026 Notes, the Company entered into an interest rate swap to align the interest rates of its liabilities with the Company’s investment portfolio, which consists of predominately floating rate loans. The notional amount of the interest rate swap is $300.0</w:t>
      </w:r>
      <w:r>
        <w:rPr>
          <w:rFonts w:ascii="Times New Roman" w:hAnsi="Times New Roman"/>
          <w:sz w:val="20"/>
        </w:rPr>
        <w:t xml:space="preserve"> </w:t>
      </w:r>
      <w:r>
        <w:rPr>
          <w:rFonts w:ascii="Times New Roman;serif" w:hAnsi="Times New Roman;serif"/>
          <w:b w:val="false"/>
          <w:sz w:val="20"/>
        </w:rPr>
        <w:t>million, which matures on August 1, 2026, matching the maturity date of the 2026 Notes. As a result of the swap, the Company’s effective interest rate on the 2026 Notes is three-month LIBOR</w:t>
      </w:r>
      <w:r>
        <w:rPr>
          <w:rFonts w:ascii="Times New Roman" w:hAnsi="Times New Roman"/>
          <w:sz w:val="20"/>
        </w:rPr>
        <w:t xml:space="preserve"> </w:t>
      </w:r>
      <w:r>
        <w:rPr>
          <w:rFonts w:ascii="Times New Roman;serif" w:hAnsi="Times New Roman;serif"/>
          <w:b w:val="false"/>
          <w:sz w:val="20"/>
        </w:rPr>
        <w:t>plus 1.91%. The interest expense related to the 2026 Notes is offset by proceeds received from the interest rate swaps designated as a hedge. The swap adjusted interest expense is included as a component of interest expense on the Company’s Consolidated Statements of Operations. As of March 31, 2023 and December 31, 2022 the effective hedge interest rate swaps had a fair value of $(31.5)</w:t>
      </w:r>
      <w:r>
        <w:rPr>
          <w:rFonts w:ascii="Times New Roman" w:hAnsi="Times New Roman"/>
          <w:sz w:val="20"/>
        </w:rPr>
        <w:t xml:space="preserve"> </w:t>
      </w:r>
      <w:r>
        <w:rPr>
          <w:rFonts w:ascii="Times New Roman;serif" w:hAnsi="Times New Roman;serif"/>
          <w:b w:val="false"/>
          <w:sz w:val="20"/>
        </w:rPr>
        <w:t>million and $(35.7) million, respectively, which is offset within interest expense by an equal, but opposite, fair value change for the hedged risk on the 2026 Notes.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For the three months ended March 31, 2023 and 2022, the components of interest expense related to the 2023 Notes, 2024 Notes and 2026 Notes were as follows:</w:t>
      </w:r>
    </w:p>
    <w:tbl>
      <w:tblPr>
        <w:tblW w:w="6740" w:type="dxa"/>
        <w:jc w:val="left"/>
        <w:tblInd w:w="0" w:type="dxa"/>
        <w:tblCellMar>
          <w:top w:w="28" w:type="dxa"/>
          <w:left w:w="28" w:type="dxa"/>
          <w:bottom w:w="28" w:type="dxa"/>
          <w:right w:w="28" w:type="dxa"/>
        </w:tblCellMar>
      </w:tblPr>
      <w:tblGrid>
        <w:gridCol w:w="3391"/>
        <w:gridCol w:w="146"/>
        <w:gridCol w:w="340"/>
        <w:gridCol w:w="920"/>
        <w:gridCol w:w="146"/>
        <w:gridCol w:w="146"/>
        <w:gridCol w:w="340"/>
        <w:gridCol w:w="920"/>
        <w:gridCol w:w="391"/>
      </w:tblGrid>
      <w:tr>
        <w:trPr/>
        <w:tc>
          <w:tcPr>
            <w:tcW w:w="3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3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1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6,929</w:t>
            </w:r>
          </w:p>
        </w:tc>
        <w:tc>
          <w:tcPr>
            <w:tcW w:w="391" w:type="dxa"/>
            <w:tcBorders/>
            <w:shd w:fill="auto" w:val="clear"/>
            <w:vAlign w:val="center"/>
          </w:tcPr>
          <w:p>
            <w:pPr>
              <w:pStyle w:val="TableContents"/>
              <w:spacing w:before="0" w:after="0"/>
              <w:ind w:left="0" w:right="0" w:hanging="0"/>
              <w:jc w:val="left"/>
              <w:rPr/>
            </w:pPr>
            <w:r>
              <w:rPr/>
              <w:t> </w:t>
            </w:r>
          </w:p>
        </w:tc>
      </w:tr>
      <w:tr>
        <w:trPr/>
        <w:tc>
          <w:tcPr>
            <w:tcW w:w="3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Accretion of original issue discount</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w:t>
            </w:r>
          </w:p>
        </w:tc>
        <w:tc>
          <w:tcPr>
            <w:tcW w:w="391" w:type="dxa"/>
            <w:tcBorders/>
            <w:shd w:fill="auto" w:val="clear"/>
            <w:vAlign w:val="center"/>
          </w:tcPr>
          <w:p>
            <w:pPr>
              <w:pStyle w:val="TableContents"/>
              <w:spacing w:before="0" w:after="0"/>
              <w:ind w:left="0" w:right="0" w:hanging="0"/>
              <w:jc w:val="left"/>
              <w:rPr/>
            </w:pPr>
            <w:r>
              <w:rPr/>
              <w:t> </w:t>
            </w:r>
          </w:p>
        </w:tc>
      </w:tr>
      <w:tr>
        <w:trPr/>
        <w:tc>
          <w:tcPr>
            <w:tcW w:w="3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deferred financing costs</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391"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Total Interest Expense</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6,301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7,710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Total interest expense in the table above does not include the effect of the interest rate swaps related to the 2023 Notes, 2024 Notes and 2026 Notes. During the three months ended March 31, 2023 and 2022, the Company received $5.7</w:t>
      </w:r>
      <w:r>
        <w:rPr>
          <w:rFonts w:ascii="Times New Roman" w:hAnsi="Times New Roman"/>
          <w:sz w:val="20"/>
        </w:rPr>
        <w:t xml:space="preserve"> </w:t>
      </w:r>
      <w:r>
        <w:rPr>
          <w:rFonts w:ascii="Times New Roman;serif" w:hAnsi="Times New Roman;serif"/>
          <w:b w:val="false"/>
          <w:sz w:val="20"/>
        </w:rPr>
        <w:t>million and $6.9</w:t>
      </w:r>
      <w:r>
        <w:rPr>
          <w:rFonts w:ascii="Times New Roman" w:hAnsi="Times New Roman"/>
          <w:sz w:val="20"/>
        </w:rPr>
        <w:t xml:space="preserve"> </w:t>
      </w:r>
      <w:r>
        <w:rPr>
          <w:rFonts w:ascii="Times New Roman;serif" w:hAnsi="Times New Roman;serif"/>
          <w:b w:val="false"/>
          <w:sz w:val="20"/>
        </w:rPr>
        <w:t>million, respectively, and paid $11.7</w:t>
      </w:r>
      <w:r>
        <w:rPr>
          <w:rFonts w:ascii="Times New Roman" w:hAnsi="Times New Roman"/>
          <w:sz w:val="20"/>
        </w:rPr>
        <w:t xml:space="preserve"> </w:t>
      </w:r>
      <w:r>
        <w:rPr>
          <w:rFonts w:ascii="Times New Roman;serif" w:hAnsi="Times New Roman;serif"/>
          <w:b w:val="false"/>
          <w:sz w:val="20"/>
        </w:rPr>
        <w:t>million and $4.5</w:t>
      </w:r>
      <w:r>
        <w:rPr>
          <w:rFonts w:ascii="Times New Roman" w:hAnsi="Times New Roman"/>
          <w:sz w:val="20"/>
        </w:rPr>
        <w:t xml:space="preserve"> </w:t>
      </w:r>
      <w:r>
        <w:rPr>
          <w:rFonts w:ascii="Times New Roman;serif" w:hAnsi="Times New Roman;serif"/>
          <w:b w:val="false"/>
          <w:sz w:val="20"/>
        </w:rPr>
        <w:t>million, respectively, related to the settlements of its interest rate swaps, excluding upfront fees, related to the 2023, 2024 and 2026 Notes. These net amounts are reflected in interest expense in the Company’s consolidated statements of operations. See Note 5 for further information about the Company’s interest rate swaps.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March 31, 2023 and December 31, 2022, the components of the carrying value of the 2023 Notes, 2024 Notes and 2026 Notes and the stated interest rate were as follows: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3115"/>
        <w:gridCol w:w="146"/>
        <w:gridCol w:w="211"/>
        <w:gridCol w:w="781"/>
        <w:gridCol w:w="271"/>
        <w:gridCol w:w="146"/>
        <w:gridCol w:w="211"/>
        <w:gridCol w:w="781"/>
        <w:gridCol w:w="271"/>
        <w:gridCol w:w="146"/>
        <w:gridCol w:w="211"/>
        <w:gridCol w:w="781"/>
        <w:gridCol w:w="271"/>
        <w:gridCol w:w="146"/>
        <w:gridCol w:w="211"/>
        <w:gridCol w:w="781"/>
        <w:gridCol w:w="271"/>
        <w:gridCol w:w="146"/>
        <w:gridCol w:w="211"/>
        <w:gridCol w:w="781"/>
        <w:gridCol w:w="316"/>
      </w:tblGrid>
      <w:tr>
        <w:trPr/>
        <w:tc>
          <w:tcPr>
            <w:tcW w:w="311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115"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0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10" w:type="dxa"/>
            <w:gridSpan w:val="10"/>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15"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2024 Notes</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2026 Notes</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 Notes</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2024 Notes</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2026 Notes</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amount of debt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347,500</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300,000</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150,000</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347,500</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300,000</w:t>
            </w:r>
          </w:p>
        </w:tc>
        <w:tc>
          <w:tcPr>
            <w:tcW w:w="316" w:type="dxa"/>
            <w:tcBorders/>
            <w:shd w:fill="auto" w:val="clear"/>
            <w:vAlign w:val="center"/>
          </w:tcPr>
          <w:p>
            <w:pPr>
              <w:pStyle w:val="TableContents"/>
              <w:spacing w:before="0" w:after="0"/>
              <w:ind w:left="0" w:right="0" w:hanging="0"/>
              <w:jc w:val="left"/>
              <w:rPr/>
            </w:pPr>
            <w:r>
              <w:rPr/>
              <w:t> </w:t>
            </w:r>
          </w:p>
        </w:tc>
      </w:tr>
      <w:tr>
        <w:trPr/>
        <w:tc>
          <w:tcPr>
            <w:tcW w:w="31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Original issue discount, net of accretion</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(626</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(1,468</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financing costs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(1,619</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(2,495</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(1,869</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(2,679</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Fair value of an effective hedge</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(16,286</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(31,536</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(19,418</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(35,665</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Carrying value of debt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328,969</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264,598</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149,960</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325,492</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260,188</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1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Stated interest rate</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3.875</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3.875</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The stated interest rate in the table above does not include the effect of the interest rate swaps. As of March 31, 2023, the Company’s swap-adjusted interest rate on the 2024 Notes and 2026 Notes is three month LIBOR</w:t>
      </w:r>
      <w:r>
        <w:rPr>
          <w:rFonts w:ascii="Times New Roman" w:hAnsi="Times New Roman"/>
          <w:sz w:val="20"/>
        </w:rPr>
        <w:t xml:space="preserve"> </w:t>
      </w:r>
      <w:r>
        <w:rPr>
          <w:rFonts w:ascii="Times New Roman;serif" w:hAnsi="Times New Roman;serif"/>
          <w:b w:val="false"/>
          <w:sz w:val="20"/>
        </w:rPr>
        <w:t>plus 2.28% (on a weighted average basis), and 1.91%, respectively. As of December 31, 2022, the Company's swap-adjusted interest rate on the 2023 Notes, 2024 Notes and 2026 Notes is three month LIBOR</w:t>
      </w:r>
      <w:r>
        <w:rPr>
          <w:rFonts w:ascii="Times New Roman" w:hAnsi="Times New Roman"/>
          <w:sz w:val="20"/>
        </w:rPr>
        <w:t xml:space="preserve"> </w:t>
      </w:r>
      <w:r>
        <w:rPr>
          <w:rFonts w:ascii="Times New Roman;serif" w:hAnsi="Times New Roman;serif"/>
          <w:b w:val="false"/>
          <w:sz w:val="20"/>
        </w:rPr>
        <w:t>plus 1.99%, 2.28% (on a weighted average basis), and 1.91%, respectively.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 of March 31, 2023, the Company was in compliance with the terms of the indentures governing the 2024 Notes and 2026 Notes. As of December 31, 2022, the Company was in compliance with the terms of the indentures governing the 2023 Notes, 2024 Notes and 2026 Notes.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accordance with the 1940 Act, with certain limitations, the Company is allowed to borrow amounts such that its asset coverage, as defined in the 1940 Act, is at least 150% after such borrowing. As of March 31, 2023 and December 31, 2022, the Company’s asset coverage was 183.3%</w:t>
      </w:r>
      <w:r>
        <w:rPr>
          <w:rFonts w:ascii="Times New Roman" w:hAnsi="Times New Roman"/>
          <w:sz w:val="20"/>
        </w:rPr>
        <w:t xml:space="preserve"> </w:t>
      </w:r>
      <w:r>
        <w:rPr>
          <w:rFonts w:ascii="Times New Roman;serif" w:hAnsi="Times New Roman;serif"/>
          <w:b w:val="false"/>
          <w:sz w:val="20"/>
        </w:rPr>
        <w:t>and 188.6%, respectively.</w:t>
      </w:r>
    </w:p>
    <w:p>
      <w:pPr>
        <w:pStyle w:val="TextBody"/>
        <w:spacing w:before="240" w:after="0"/>
        <w:jc w:val="left"/>
        <w:rPr>
          <w:rFonts w:ascii="Times New Roman" w:hAnsi="Times New Roman"/>
          <w:sz w:val="20"/>
        </w:rPr>
      </w:pPr>
      <w:r>
        <w:rPr>
          <w:rFonts w:ascii="Times New Roman;serif" w:hAnsi="Times New Roman;serif"/>
          <w:b w:val="false"/>
          <w:sz w:val="20"/>
        </w:rPr>
        <w:t>Debt obligations consisted of the following as of March 31, 2023 and December 31, 2022:</w:t>
      </w:r>
      <w:r>
        <w:rPr>
          <w:rFonts w:ascii="Times New Roman" w:hAnsi="Times New Roman"/>
          <w:sz w:val="20"/>
        </w:rPr>
        <w:t xml:space="preserve"> </w:t>
      </w:r>
    </w:p>
    <w:p>
      <w:pPr>
        <w:pStyle w:val="TextBody"/>
        <w:spacing w:before="0" w:after="0"/>
        <w:jc w:val="left"/>
        <w:rPr/>
      </w:pPr>
      <w:r>
        <w:rPr/>
        <w:t> </w:t>
      </w:r>
    </w:p>
    <w:tbl>
      <w:tblPr>
        <w:tblW w:w="8052" w:type="dxa"/>
        <w:jc w:val="left"/>
        <w:tblInd w:w="0" w:type="dxa"/>
        <w:tblCellMar>
          <w:top w:w="28" w:type="dxa"/>
          <w:left w:w="28" w:type="dxa"/>
          <w:bottom w:w="28" w:type="dxa"/>
          <w:right w:w="28" w:type="dxa"/>
        </w:tblCellMar>
      </w:tblPr>
      <w:tblGrid>
        <w:gridCol w:w="2221"/>
        <w:gridCol w:w="146"/>
        <w:gridCol w:w="211"/>
        <w:gridCol w:w="931"/>
        <w:gridCol w:w="146"/>
        <w:gridCol w:w="146"/>
        <w:gridCol w:w="211"/>
        <w:gridCol w:w="931"/>
        <w:gridCol w:w="146"/>
        <w:gridCol w:w="146"/>
        <w:gridCol w:w="211"/>
        <w:gridCol w:w="781"/>
        <w:gridCol w:w="146"/>
        <w:gridCol w:w="146"/>
        <w:gridCol w:w="211"/>
        <w:gridCol w:w="931"/>
        <w:gridCol w:w="391"/>
      </w:tblGrid>
      <w:tr>
        <w:trPr/>
        <w:tc>
          <w:tcPr>
            <w:tcW w:w="22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2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94"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Aggregate</w:t>
              <w:br/>
              <w:t>Principal</w:t>
              <w:br/>
              <w:t>Amount</w:t>
              <w:br/>
              <w:t>Committed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Outstanding</w:t>
              <w:br/>
              <w:t>Principal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Amount</w:t>
              <w:br/>
              <w:t xml:space="preserve">Available </w:t>
            </w:r>
            <w:r>
              <w:rPr>
                <w:rFonts w:ascii="Times New Roman;serif" w:hAnsi="Times New Roman;serif"/>
                <w:b/>
                <w:sz w:val="11"/>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Carrying</w:t>
              <w:br/>
              <w:t xml:space="preserve">Value </w:t>
            </w:r>
            <w:r>
              <w:rPr>
                <w:rFonts w:ascii="Times New Roman;serif" w:hAnsi="Times New Roman;serif"/>
                <w:b/>
                <w:sz w:val="11"/>
              </w:rPr>
              <w:t>(2)(3)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Revolving Credit Facility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981,889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603,111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969,469</w:t>
            </w:r>
          </w:p>
        </w:tc>
        <w:tc>
          <w:tcPr>
            <w:tcW w:w="391" w:type="dxa"/>
            <w:tcBorders/>
            <w:shd w:fill="auto" w:val="clear"/>
            <w:vAlign w:val="center"/>
          </w:tcPr>
          <w:p>
            <w:pPr>
              <w:pStyle w:val="TableContents"/>
              <w:spacing w:before="0" w:after="0"/>
              <w:ind w:left="0" w:right="0" w:hanging="0"/>
              <w:jc w:val="left"/>
              <w:rPr/>
            </w:pPr>
            <w:r>
              <w:rPr/>
              <w:t> </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 Notes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328,969</w:t>
            </w:r>
          </w:p>
        </w:tc>
        <w:tc>
          <w:tcPr>
            <w:tcW w:w="391" w:type="dxa"/>
            <w:tcBorders/>
            <w:shd w:fill="auto" w:val="clear"/>
            <w:vAlign w:val="center"/>
          </w:tcPr>
          <w:p>
            <w:pPr>
              <w:pStyle w:val="TableContents"/>
              <w:spacing w:before="0" w:after="0"/>
              <w:ind w:left="0" w:right="0" w:hanging="0"/>
              <w:jc w:val="left"/>
              <w:rPr/>
            </w:pPr>
            <w:r>
              <w:rPr/>
              <w:t> </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 Notes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264,598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221"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Total Debt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2,232,500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1,629,389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603,111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1,563,036</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amount available may be subject to limitations related to the borrowing base under the Revolving Credit Facility and asset coverage requirements.</w:t>
      </w:r>
    </w:p>
    <w:p>
      <w:pPr>
        <w:pStyle w:val="TextBody"/>
        <w:spacing w:before="0" w:after="0"/>
        <w:jc w:val="left"/>
        <w:rPr>
          <w:rFonts w:ascii="Times New Roman" w:hAnsi="Times New Roman"/>
          <w:b w:val="false"/>
          <w:sz w:val="20"/>
        </w:rPr>
      </w:pPr>
      <w:r>
        <w:rPr>
          <w:rFonts w:ascii="Times New Roman" w:hAnsi="Times New Roman"/>
          <w:b w:val="false"/>
          <w:sz w:val="20"/>
        </w:rPr>
        <w:t>(2)</w:t>
      </w:r>
    </w:p>
    <w:p>
      <w:pPr>
        <w:pStyle w:val="TextBody"/>
        <w:spacing w:before="0" w:after="0"/>
        <w:jc w:val="left"/>
        <w:rPr>
          <w:rFonts w:ascii="Times New Roman;serif" w:hAnsi="Times New Roman;serif"/>
          <w:sz w:val="24"/>
        </w:rPr>
      </w:pPr>
      <w:r>
        <w:rPr>
          <w:rFonts w:ascii="Times New Roman;serif" w:hAnsi="Times New Roman;serif"/>
          <w:b w:val="false"/>
          <w:sz w:val="20"/>
        </w:rPr>
        <w:t>The carrying values of the Revolving Credit Facility, 2024 Notes and 2026 Notes are presented net of the combination of deferred financing costs and original issue discounts totaling $12.4</w:t>
      </w:r>
      <w:r>
        <w:rPr>
          <w:rFonts w:ascii="Times New Roman;serif" w:hAnsi="Times New Roman;serif"/>
          <w:sz w:val="24"/>
        </w:rPr>
        <w:t xml:space="preserve"> </w:t>
      </w:r>
      <w:r>
        <w:rPr>
          <w:rFonts w:ascii="Times New Roman;serif" w:hAnsi="Times New Roman;serif"/>
          <w:b w:val="false"/>
          <w:sz w:val="20"/>
        </w:rPr>
        <w:t>million, $2.2</w:t>
      </w:r>
      <w:r>
        <w:rPr>
          <w:rFonts w:ascii="Times New Roman;serif" w:hAnsi="Times New Roman;serif"/>
          <w:sz w:val="24"/>
        </w:rPr>
        <w:t xml:space="preserve"> </w:t>
      </w:r>
      <w:r>
        <w:rPr>
          <w:rFonts w:ascii="Times New Roman;serif" w:hAnsi="Times New Roman;serif"/>
          <w:b w:val="false"/>
          <w:sz w:val="20"/>
        </w:rPr>
        <w:t>million and $3.9</w:t>
      </w:r>
      <w:r>
        <w:rPr>
          <w:rFonts w:ascii="Times New Roman;serif" w:hAnsi="Times New Roman;serif"/>
          <w:sz w:val="24"/>
        </w:rPr>
        <w:t xml:space="preserve"> </w:t>
      </w:r>
      <w:r>
        <w:rPr>
          <w:rFonts w:ascii="Times New Roman;serif" w:hAnsi="Times New Roman;serif"/>
          <w:b w:val="false"/>
          <w:sz w:val="20"/>
        </w:rPr>
        <w:t>million, respectively.</w:t>
      </w:r>
    </w:p>
    <w:p>
      <w:pPr>
        <w:pStyle w:val="TextBody"/>
        <w:spacing w:before="0" w:after="0"/>
        <w:jc w:val="left"/>
        <w:rPr>
          <w:rFonts w:ascii="Times New Roman" w:hAnsi="Times New Roman"/>
          <w:b w:val="false"/>
          <w:sz w:val="20"/>
        </w:rPr>
      </w:pPr>
      <w:r>
        <w:rPr>
          <w:rFonts w:ascii="Times New Roman" w:hAnsi="Times New Roman"/>
          <w:b w:val="false"/>
          <w:sz w:val="20"/>
        </w:rPr>
        <w:t>(3)</w:t>
      </w:r>
    </w:p>
    <w:p>
      <w:pPr>
        <w:pStyle w:val="TextBody"/>
        <w:jc w:val="left"/>
        <w:rPr>
          <w:rFonts w:ascii="Times New Roman;serif" w:hAnsi="Times New Roman;serif"/>
          <w:b w:val="false"/>
          <w:sz w:val="20"/>
        </w:rPr>
      </w:pPr>
      <w:r>
        <w:rPr>
          <w:rFonts w:ascii="Times New Roman;serif" w:hAnsi="Times New Roman;serif"/>
          <w:b w:val="false"/>
          <w:sz w:val="20"/>
        </w:rPr>
        <w:t>The carrying values of the 2024 Notes and 2026 Notes are presented inclusive of an incremental $(16.3) million and $(31.5) million, respectively, which represents an adjustment in the carrying values of the 2024 Notes and 2026 Notes, each resulting from a hedge accounting relationship.</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0"/>
        <w:jc w:val="left"/>
        <w:rPr/>
      </w:pPr>
      <w:r>
        <w:rPr/>
        <w:t> </w:t>
      </w:r>
    </w:p>
    <w:p>
      <w:pPr>
        <w:pStyle w:val="TextBody"/>
        <w:spacing w:before="0" w:after="0"/>
        <w:jc w:val="left"/>
        <w:rPr/>
      </w:pPr>
      <w:r>
        <w:rPr/>
        <w:t> </w:t>
      </w:r>
    </w:p>
    <w:tbl>
      <w:tblPr>
        <w:tblW w:w="8052" w:type="dxa"/>
        <w:jc w:val="left"/>
        <w:tblInd w:w="0" w:type="dxa"/>
        <w:tblCellMar>
          <w:top w:w="28" w:type="dxa"/>
          <w:left w:w="28" w:type="dxa"/>
          <w:bottom w:w="28" w:type="dxa"/>
          <w:right w:w="28" w:type="dxa"/>
        </w:tblCellMar>
      </w:tblPr>
      <w:tblGrid>
        <w:gridCol w:w="2221"/>
        <w:gridCol w:w="146"/>
        <w:gridCol w:w="211"/>
        <w:gridCol w:w="931"/>
        <w:gridCol w:w="146"/>
        <w:gridCol w:w="146"/>
        <w:gridCol w:w="211"/>
        <w:gridCol w:w="931"/>
        <w:gridCol w:w="146"/>
        <w:gridCol w:w="146"/>
        <w:gridCol w:w="211"/>
        <w:gridCol w:w="781"/>
        <w:gridCol w:w="146"/>
        <w:gridCol w:w="146"/>
        <w:gridCol w:w="211"/>
        <w:gridCol w:w="931"/>
        <w:gridCol w:w="391"/>
      </w:tblGrid>
      <w:tr>
        <w:trPr/>
        <w:tc>
          <w:tcPr>
            <w:tcW w:w="22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2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94"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Aggregate</w:t>
              <w:br/>
              <w:t>Principal</w:t>
              <w:br/>
              <w:t>Amount</w:t>
              <w:br/>
              <w:t>Committed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Outstanding</w:t>
              <w:br/>
              <w:t>Principal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Amount</w:t>
              <w:br/>
              <w:t xml:space="preserve">Available </w:t>
            </w:r>
            <w:r>
              <w:rPr>
                <w:rFonts w:ascii="Times New Roman;serif" w:hAnsi="Times New Roman;serif"/>
                <w:b/>
                <w:sz w:val="11"/>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Carrying</w:t>
              <w:br/>
              <w:t xml:space="preserve">Value </w:t>
            </w:r>
            <w:r>
              <w:rPr>
                <w:rFonts w:ascii="Times New Roman;serif" w:hAnsi="Times New Roman;serif"/>
                <w:b/>
                <w:sz w:val="11"/>
              </w:rPr>
              <w:t>(2)(3)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Revolving Credit Facility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719,328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865,672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706,156</w:t>
            </w:r>
          </w:p>
        </w:tc>
        <w:tc>
          <w:tcPr>
            <w:tcW w:w="391" w:type="dxa"/>
            <w:tcBorders/>
            <w:shd w:fill="auto" w:val="clear"/>
            <w:vAlign w:val="center"/>
          </w:tcPr>
          <w:p>
            <w:pPr>
              <w:pStyle w:val="TableContents"/>
              <w:spacing w:before="0" w:after="0"/>
              <w:ind w:left="0" w:right="0" w:hanging="0"/>
              <w:jc w:val="left"/>
              <w:rPr/>
            </w:pPr>
            <w:r>
              <w:rPr/>
              <w:t> </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2023 Notes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149,960</w:t>
            </w:r>
          </w:p>
        </w:tc>
        <w:tc>
          <w:tcPr>
            <w:tcW w:w="391" w:type="dxa"/>
            <w:tcBorders/>
            <w:shd w:fill="auto" w:val="clear"/>
            <w:vAlign w:val="center"/>
          </w:tcPr>
          <w:p>
            <w:pPr>
              <w:pStyle w:val="TableContents"/>
              <w:spacing w:before="0" w:after="0"/>
              <w:ind w:left="0" w:right="0" w:hanging="0"/>
              <w:jc w:val="left"/>
              <w:rPr/>
            </w:pPr>
            <w:r>
              <w:rPr/>
              <w:t> </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 Notes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325,492</w:t>
            </w:r>
          </w:p>
        </w:tc>
        <w:tc>
          <w:tcPr>
            <w:tcW w:w="391" w:type="dxa"/>
            <w:tcBorders/>
            <w:shd w:fill="auto" w:val="clear"/>
            <w:vAlign w:val="center"/>
          </w:tcPr>
          <w:p>
            <w:pPr>
              <w:pStyle w:val="TableContents"/>
              <w:spacing w:before="0" w:after="0"/>
              <w:ind w:left="0" w:right="0" w:hanging="0"/>
              <w:jc w:val="left"/>
              <w:rPr/>
            </w:pPr>
            <w:r>
              <w:rPr/>
              <w:t> </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 Notes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260,188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221"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Total Debt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2,382,500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1,516,828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865,672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1,441,796</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The amount available may be subject to limitations related to the borrowing base under the Revolving Credit Facility and asset coverage requirements. </w:t>
      </w:r>
    </w:p>
    <w:p>
      <w:pPr>
        <w:pStyle w:val="TextBody"/>
        <w:spacing w:before="0" w:after="0"/>
        <w:jc w:val="left"/>
        <w:rPr>
          <w:rFonts w:ascii="Times New Roman" w:hAnsi="Times New Roman"/>
          <w:b w:val="false"/>
          <w:sz w:val="20"/>
        </w:rPr>
      </w:pPr>
      <w:r>
        <w:rPr>
          <w:rFonts w:ascii="Times New Roman" w:hAnsi="Times New Roman"/>
          <w:b w:val="false"/>
          <w:sz w:val="20"/>
        </w:rPr>
        <w:t>(2)</w:t>
      </w:r>
    </w:p>
    <w:p>
      <w:pPr>
        <w:pStyle w:val="TextBody"/>
        <w:spacing w:before="0" w:after="0"/>
        <w:jc w:val="left"/>
        <w:rPr>
          <w:rFonts w:ascii="Times New Roman;serif" w:hAnsi="Times New Roman;serif"/>
          <w:sz w:val="24"/>
        </w:rPr>
      </w:pPr>
      <w:r>
        <w:rPr>
          <w:rFonts w:ascii="Times New Roman;serif" w:hAnsi="Times New Roman;serif"/>
          <w:b w:val="false"/>
          <w:sz w:val="20"/>
        </w:rPr>
        <w:t>The carrying values of the Revolving Credit Facility, 2023 Notes, 2024 Notes and 2026 Notes are presented net of the combination of deferred financing costs and original issue discounts totaling</w:t>
      </w:r>
      <w:r>
        <w:rPr>
          <w:rFonts w:ascii="Times New Roman;serif" w:hAnsi="Times New Roman;serif"/>
          <w:sz w:val="24"/>
        </w:rPr>
        <w:t xml:space="preserve"> </w:t>
      </w:r>
      <w:r>
        <w:rPr>
          <w:rFonts w:ascii="Times New Roman;serif" w:hAnsi="Times New Roman;serif"/>
          <w:b w:val="false"/>
          <w:sz w:val="20"/>
        </w:rPr>
        <w:t>$13.2</w:t>
      </w:r>
      <w:r>
        <w:rPr>
          <w:rFonts w:ascii="Times New Roman;serif" w:hAnsi="Times New Roman;serif"/>
          <w:sz w:val="24"/>
        </w:rPr>
        <w:t xml:space="preserve"> </w:t>
      </w:r>
      <w:r>
        <w:rPr>
          <w:rFonts w:ascii="Times New Roman;serif" w:hAnsi="Times New Roman;serif"/>
          <w:b w:val="false"/>
          <w:sz w:val="20"/>
        </w:rPr>
        <w:t>million, less than $0.1</w:t>
      </w:r>
      <w:r>
        <w:rPr>
          <w:rFonts w:ascii="Times New Roman;serif" w:hAnsi="Times New Roman;serif"/>
          <w:sz w:val="24"/>
        </w:rPr>
        <w:t xml:space="preserve"> </w:t>
      </w:r>
      <w:r>
        <w:rPr>
          <w:rFonts w:ascii="Times New Roman;serif" w:hAnsi="Times New Roman;serif"/>
          <w:b w:val="false"/>
          <w:sz w:val="20"/>
        </w:rPr>
        <w:t>million, $2.6</w:t>
      </w:r>
      <w:r>
        <w:rPr>
          <w:rFonts w:ascii="Times New Roman;serif" w:hAnsi="Times New Roman;serif"/>
          <w:sz w:val="24"/>
        </w:rPr>
        <w:t xml:space="preserve"> </w:t>
      </w:r>
      <w:r>
        <w:rPr>
          <w:rFonts w:ascii="Times New Roman;serif" w:hAnsi="Times New Roman;serif"/>
          <w:b w:val="false"/>
          <w:sz w:val="20"/>
        </w:rPr>
        <w:t>million and $4.1</w:t>
      </w:r>
      <w:r>
        <w:rPr>
          <w:rFonts w:ascii="Times New Roman;serif" w:hAnsi="Times New Roman;serif"/>
          <w:sz w:val="24"/>
        </w:rPr>
        <w:t xml:space="preserve"> </w:t>
      </w:r>
      <w:r>
        <w:rPr>
          <w:rFonts w:ascii="Times New Roman;serif" w:hAnsi="Times New Roman;serif"/>
          <w:b w:val="false"/>
          <w:sz w:val="20"/>
        </w:rPr>
        <w:t>million, respectively.</w:t>
      </w:r>
    </w:p>
    <w:p>
      <w:pPr>
        <w:pStyle w:val="TextBody"/>
        <w:spacing w:before="0" w:after="0"/>
        <w:jc w:val="left"/>
        <w:rPr>
          <w:rFonts w:ascii="Times New Roman" w:hAnsi="Times New Roman"/>
          <w:b w:val="false"/>
          <w:sz w:val="20"/>
        </w:rPr>
      </w:pPr>
      <w:r>
        <w:rPr>
          <w:rFonts w:ascii="Times New Roman" w:hAnsi="Times New Roman"/>
          <w:b w:val="false"/>
          <w:sz w:val="20"/>
        </w:rPr>
        <w:t>(3)</w:t>
      </w:r>
    </w:p>
    <w:p>
      <w:pPr>
        <w:pStyle w:val="TextBody"/>
        <w:jc w:val="left"/>
        <w:rPr>
          <w:rFonts w:ascii="Times New Roman;serif" w:hAnsi="Times New Roman;serif"/>
          <w:b w:val="false"/>
          <w:sz w:val="20"/>
        </w:rPr>
      </w:pPr>
      <w:r>
        <w:rPr>
          <w:rFonts w:ascii="Times New Roman;serif" w:hAnsi="Times New Roman;serif"/>
          <w:b w:val="false"/>
          <w:sz w:val="20"/>
        </w:rPr>
        <w:t>The carrying values of the 2024 Notes and 2026 Notes are presented inclusive of an incremental $(19.4) million and $(35.7) million, respectively, which represents an adjustment in the carrying values of the 2024 Notes and 2026 Notes, each resulting from a hedge accounting relationship.</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For the three months ended March 31, 2023 and 2022, the components of interest expense were as follows:</w:t>
      </w:r>
      <w:r>
        <w:rPr>
          <w:rFonts w:ascii="Times New Roman" w:hAnsi="Times New Roman"/>
          <w:sz w:val="20"/>
        </w:rPr>
        <w:t xml:space="preserve"> </w:t>
      </w:r>
    </w:p>
    <w:tbl>
      <w:tblPr>
        <w:tblW w:w="6885" w:type="dxa"/>
        <w:jc w:val="left"/>
        <w:tblInd w:w="0" w:type="dxa"/>
        <w:tblCellMar>
          <w:top w:w="28" w:type="dxa"/>
          <w:left w:w="28" w:type="dxa"/>
          <w:bottom w:w="28" w:type="dxa"/>
          <w:right w:w="28" w:type="dxa"/>
        </w:tblCellMar>
      </w:tblPr>
      <w:tblGrid>
        <w:gridCol w:w="3391"/>
        <w:gridCol w:w="146"/>
        <w:gridCol w:w="285"/>
        <w:gridCol w:w="975"/>
        <w:gridCol w:w="271"/>
        <w:gridCol w:w="146"/>
        <w:gridCol w:w="285"/>
        <w:gridCol w:w="975"/>
        <w:gridCol w:w="411"/>
      </w:tblGrid>
      <w:tr>
        <w:trPr/>
        <w:tc>
          <w:tcPr>
            <w:tcW w:w="3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33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3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expense</w:t>
            </w:r>
          </w:p>
        </w:tc>
        <w:tc>
          <w:tcPr>
            <w:tcW w:w="146" w:type="dxa"/>
            <w:tcBorders/>
            <w:shd w:fill="auto" w:val="clear"/>
            <w:vAlign w:val="center"/>
          </w:tcPr>
          <w:p>
            <w:pPr>
              <w:pStyle w:val="TableContents"/>
              <w:spacing w:before="0" w:after="0"/>
              <w:ind w:left="0" w:right="0" w:hanging="0"/>
              <w:jc w:val="right"/>
              <w:rPr/>
            </w:pPr>
            <w:r>
              <w:rPr/>
              <w:t> </w:t>
            </w:r>
          </w:p>
        </w:tc>
        <w:tc>
          <w:tcPr>
            <w:tcW w:w="2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20,405</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9,762</w:t>
            </w:r>
          </w:p>
        </w:tc>
        <w:tc>
          <w:tcPr>
            <w:tcW w:w="411" w:type="dxa"/>
            <w:tcBorders/>
            <w:shd w:fill="auto" w:val="clear"/>
            <w:vAlign w:val="center"/>
          </w:tcPr>
          <w:p>
            <w:pPr>
              <w:pStyle w:val="TableContents"/>
              <w:spacing w:before="0" w:after="0"/>
              <w:ind w:left="0" w:right="0" w:hanging="0"/>
              <w:jc w:val="left"/>
              <w:rPr/>
            </w:pPr>
            <w:r>
              <w:rPr/>
              <w:t> </w:t>
            </w:r>
          </w:p>
        </w:tc>
      </w:tr>
      <w:tr>
        <w:trPr/>
        <w:tc>
          <w:tcPr>
            <w:tcW w:w="3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 fees</w:t>
            </w:r>
          </w:p>
        </w:tc>
        <w:tc>
          <w:tcPr>
            <w:tcW w:w="146" w:type="dxa"/>
            <w:tcBorders/>
            <w:shd w:fill="auto" w:val="clear"/>
            <w:vAlign w:val="center"/>
          </w:tcPr>
          <w:p>
            <w:pPr>
              <w:pStyle w:val="TableContents"/>
              <w:spacing w:before="0" w:after="0"/>
              <w:ind w:left="0" w:right="0" w:hanging="0"/>
              <w:jc w:val="righ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9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654</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9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1,125</w:t>
            </w:r>
          </w:p>
        </w:tc>
        <w:tc>
          <w:tcPr>
            <w:tcW w:w="411" w:type="dxa"/>
            <w:tcBorders/>
            <w:shd w:fill="auto" w:val="clear"/>
            <w:vAlign w:val="center"/>
          </w:tcPr>
          <w:p>
            <w:pPr>
              <w:pStyle w:val="TableContents"/>
              <w:spacing w:before="0" w:after="0"/>
              <w:ind w:left="0" w:right="0" w:hanging="0"/>
              <w:jc w:val="left"/>
              <w:rPr/>
            </w:pPr>
            <w:r>
              <w:rPr/>
              <w:t> </w:t>
            </w:r>
          </w:p>
        </w:tc>
      </w:tr>
      <w:tr>
        <w:trPr/>
        <w:tc>
          <w:tcPr>
            <w:tcW w:w="3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Amortization of deferred financing costs</w:t>
            </w:r>
          </w:p>
        </w:tc>
        <w:tc>
          <w:tcPr>
            <w:tcW w:w="146" w:type="dxa"/>
            <w:tcBorders/>
            <w:shd w:fill="auto" w:val="clear"/>
            <w:vAlign w:val="center"/>
          </w:tcPr>
          <w:p>
            <w:pPr>
              <w:pStyle w:val="TableContents"/>
              <w:spacing w:before="0" w:after="0"/>
              <w:ind w:left="0" w:right="0" w:hanging="0"/>
              <w:jc w:val="righ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9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1,227</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9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1,443</w:t>
            </w:r>
          </w:p>
        </w:tc>
        <w:tc>
          <w:tcPr>
            <w:tcW w:w="411" w:type="dxa"/>
            <w:tcBorders/>
            <w:shd w:fill="auto" w:val="clear"/>
            <w:vAlign w:val="center"/>
          </w:tcPr>
          <w:p>
            <w:pPr>
              <w:pStyle w:val="TableContents"/>
              <w:spacing w:before="0" w:after="0"/>
              <w:ind w:left="0" w:right="0" w:hanging="0"/>
              <w:jc w:val="left"/>
              <w:rPr/>
            </w:pPr>
            <w:r>
              <w:rPr/>
              <w:t> </w:t>
            </w:r>
          </w:p>
        </w:tc>
      </w:tr>
      <w:tr>
        <w:trPr/>
        <w:tc>
          <w:tcPr>
            <w:tcW w:w="3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Accretion of original issue discount</w:t>
            </w:r>
          </w:p>
        </w:tc>
        <w:tc>
          <w:tcPr>
            <w:tcW w:w="146" w:type="dxa"/>
            <w:tcBorders/>
            <w:shd w:fill="auto" w:val="clear"/>
            <w:vAlign w:val="center"/>
          </w:tcPr>
          <w:p>
            <w:pPr>
              <w:pStyle w:val="TableContents"/>
              <w:spacing w:before="0" w:after="0"/>
              <w:ind w:left="0" w:right="0" w:hanging="0"/>
              <w:jc w:val="righ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9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192</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9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w:t>
            </w:r>
          </w:p>
        </w:tc>
        <w:tc>
          <w:tcPr>
            <w:tcW w:w="411" w:type="dxa"/>
            <w:tcBorders/>
            <w:shd w:fill="auto" w:val="clear"/>
            <w:vAlign w:val="center"/>
          </w:tcPr>
          <w:p>
            <w:pPr>
              <w:pStyle w:val="TableContents"/>
              <w:spacing w:before="0" w:after="0"/>
              <w:ind w:left="0" w:right="0" w:hanging="0"/>
              <w:jc w:val="left"/>
              <w:rPr/>
            </w:pPr>
            <w:r>
              <w:rPr/>
              <w:t> </w:t>
            </w:r>
          </w:p>
        </w:tc>
      </w:tr>
      <w:tr>
        <w:trPr/>
        <w:tc>
          <w:tcPr>
            <w:tcW w:w="3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Swap settlement</w:t>
            </w:r>
          </w:p>
        </w:tc>
        <w:tc>
          <w:tcPr>
            <w:tcW w:w="146" w:type="dxa"/>
            <w:tcBorders/>
            <w:shd w:fill="auto" w:val="clear"/>
            <w:vAlign w:val="center"/>
          </w:tcPr>
          <w:p>
            <w:pPr>
              <w:pStyle w:val="TableContents"/>
              <w:spacing w:before="0" w:after="0"/>
              <w:ind w:left="0" w:right="0" w:hanging="0"/>
              <w:jc w:val="righ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6,008</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(2,915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391"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Total Interest Expense</w:t>
            </w:r>
          </w:p>
        </w:tc>
        <w:tc>
          <w:tcPr>
            <w:tcW w:w="146" w:type="dxa"/>
            <w:tcBorders/>
            <w:shd w:fill="auto" w:val="clear"/>
            <w:vAlign w:val="center"/>
          </w:tcPr>
          <w:p>
            <w:pPr>
              <w:pStyle w:val="TableContents"/>
              <w:spacing w:before="0" w:after="0"/>
              <w:ind w:left="0" w:right="0" w:hanging="0"/>
              <w:jc w:val="right"/>
              <w:rPr/>
            </w:pPr>
            <w:r>
              <w:rPr/>
              <w:t> </w:t>
            </w:r>
          </w:p>
        </w:tc>
        <w:tc>
          <w:tcPr>
            <w:tcW w:w="2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28,486</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9,602</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Average debt outstanding (in millions)</w:t>
            </w:r>
          </w:p>
        </w:tc>
        <w:tc>
          <w:tcPr>
            <w:tcW w:w="146" w:type="dxa"/>
            <w:tcBorders/>
            <w:shd w:fill="auto" w:val="clear"/>
            <w:vAlign w:val="center"/>
          </w:tcPr>
          <w:p>
            <w:pPr>
              <w:pStyle w:val="TableContents"/>
              <w:spacing w:before="0" w:after="0"/>
              <w:ind w:left="0" w:right="0" w:hanging="0"/>
              <w:jc w:val="right"/>
              <w:rPr/>
            </w:pPr>
            <w:r>
              <w:rPr/>
              <w:t> </w:t>
            </w:r>
          </w:p>
        </w:tc>
        <w:tc>
          <w:tcPr>
            <w:tcW w:w="2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1,569.4</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1,211.0</w:t>
            </w:r>
          </w:p>
        </w:tc>
        <w:tc>
          <w:tcPr>
            <w:tcW w:w="411" w:type="dxa"/>
            <w:tcBorders/>
            <w:shd w:fill="auto" w:val="clear"/>
            <w:vAlign w:val="center"/>
          </w:tcPr>
          <w:p>
            <w:pPr>
              <w:pStyle w:val="TableContents"/>
              <w:spacing w:before="0" w:after="0"/>
              <w:ind w:left="0" w:right="0" w:hanging="0"/>
              <w:jc w:val="left"/>
              <w:rPr/>
            </w:pPr>
            <w:r>
              <w:rPr/>
              <w:t> </w:t>
            </w:r>
          </w:p>
        </w:tc>
      </w:tr>
      <w:tr>
        <w:trPr/>
        <w:tc>
          <w:tcPr>
            <w:tcW w:w="3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interest rate</w:t>
            </w:r>
          </w:p>
        </w:tc>
        <w:tc>
          <w:tcPr>
            <w:tcW w:w="146" w:type="dxa"/>
            <w:tcBorders/>
            <w:shd w:fill="auto" w:val="clear"/>
            <w:vAlign w:val="center"/>
          </w:tcPr>
          <w:p>
            <w:pPr>
              <w:pStyle w:val="TableContents"/>
              <w:spacing w:before="0" w:after="0"/>
              <w:ind w:left="0" w:right="0" w:hanging="0"/>
              <w:jc w:val="righ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9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9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4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40" w:after="0"/>
        <w:jc w:val="left"/>
        <w:rPr/>
      </w:pPr>
      <w:r>
        <w:rPr/>
        <w:t> </w:t>
      </w:r>
    </w:p>
    <w:p>
      <w:pPr>
        <w:pStyle w:val="TextBody"/>
        <w:spacing w:before="120" w:after="0"/>
        <w:jc w:val="left"/>
        <w:rPr>
          <w:rFonts w:ascii="Times New Roman" w:hAnsi="Times New Roman"/>
          <w:sz w:val="20"/>
        </w:rPr>
      </w:pPr>
      <w:r>
        <w:rPr>
          <w:rFonts w:ascii="Times New Roman;serif" w:hAnsi="Times New Roman;serif"/>
          <w:b/>
          <w:sz w:val="20"/>
        </w:rPr>
        <w:t>8. Commitments and Contingencies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Portfolio Company Commitments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As of March 31, 2023 and December 31, 2022, the Company had the following commitments to fund investments in current portfolio companies:</w:t>
      </w:r>
      <w:r>
        <w:rPr>
          <w:rFonts w:ascii="Times New Roman" w:hAnsi="Times New Roman"/>
          <w:sz w:val="20"/>
        </w:rPr>
        <w:t xml:space="preserve"> </w:t>
      </w:r>
    </w:p>
    <w:p>
      <w:pPr>
        <w:pStyle w:val="TextBody"/>
        <w:spacing w:before="0" w:after="0"/>
        <w:jc w:val="left"/>
        <w:rPr/>
      </w:pPr>
      <w:r>
        <w:rPr/>
        <w:t> </w:t>
      </w:r>
    </w:p>
    <w:tbl>
      <w:tblPr>
        <w:tblW w:w="8600" w:type="dxa"/>
        <w:jc w:val="left"/>
        <w:tblInd w:w="0" w:type="dxa"/>
        <w:tblCellMar>
          <w:top w:w="28" w:type="dxa"/>
          <w:left w:w="28" w:type="dxa"/>
          <w:bottom w:w="28" w:type="dxa"/>
          <w:right w:w="28" w:type="dxa"/>
        </w:tblCellMar>
      </w:tblPr>
      <w:tblGrid>
        <w:gridCol w:w="4711"/>
        <w:gridCol w:w="246"/>
        <w:gridCol w:w="278"/>
        <w:gridCol w:w="982"/>
        <w:gridCol w:w="246"/>
        <w:gridCol w:w="246"/>
        <w:gridCol w:w="331"/>
        <w:gridCol w:w="1169"/>
        <w:gridCol w:w="391"/>
      </w:tblGrid>
      <w:tr>
        <w:trPr/>
        <w:tc>
          <w:tcPr>
            <w:tcW w:w="471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16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711"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righ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Alpha Midco, Inc. - Delayed Draw</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810</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910</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American Achievement, Corp. - Revolver</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2,403</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2,403</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ASG II, LLC - Delayed Draw</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6,037</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6,952</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Avalara, Inc. - Revolver</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3,864</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3,864</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Axonify, Inc. - Delayed Draw</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5,088</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6,113</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Banyan Software Holdings, LLC - Delayed Draw</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20,000</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500" w:type="dxa"/>
            <w:gridSpan w:val="2"/>
            <w:tcBorders/>
            <w:shd w:fill="auto" w:val="clear"/>
            <w:vAlign w:val="center"/>
          </w:tcPr>
          <w:p>
            <w:pPr>
              <w:pStyle w:val="TableContents"/>
              <w:spacing w:before="0" w:after="0"/>
              <w:ind w:left="100" w:right="0" w:hanging="0"/>
              <w:jc w:val="right"/>
              <w:rPr/>
            </w:pPr>
            <w:r>
              <w:rPr/>
              <w:t>—</w:t>
            </w:r>
          </w:p>
        </w:tc>
        <w:tc>
          <w:tcPr>
            <w:tcW w:w="391" w:type="dxa"/>
            <w:tcBorders/>
            <w:shd w:fill="auto" w:val="clear"/>
            <w:vAlign w:val="center"/>
          </w:tcPr>
          <w:p>
            <w:pPr>
              <w:pStyle w:val="TableContents"/>
              <w:spacing w:before="0" w:after="0"/>
              <w:ind w:left="0" w:right="0" w:hanging="0"/>
              <w:jc w:val="righ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Bayshore Intermediate #2, L.P. - Revolver</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1,930</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1,618</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BCTO Ace Purchaser, Inc. - Delayed Draw</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5,449</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6,556</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Bear OpCo, LLC - Delayed Draw</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2,256</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2,606</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BlueSnap, Inc. - Delayed Draw &amp; Revolver</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2,500</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2,500</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BTRS Holdings, Inc. - Delayed Draw &amp; Revolver</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7,524</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8,638</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Carlstar Group, LLC - Revolver</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8,500</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8,500</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Cordance Operations, LLC - Delayed Draw &amp; Revolver</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7,335</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12,093</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Coupa Holdings, LLC - Delayed Draw &amp; Revolver</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6,809</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500" w:type="dxa"/>
            <w:gridSpan w:val="2"/>
            <w:tcBorders/>
            <w:shd w:fill="auto" w:val="clear"/>
            <w:vAlign w:val="center"/>
          </w:tcPr>
          <w:p>
            <w:pPr>
              <w:pStyle w:val="TableContents"/>
              <w:spacing w:before="0" w:after="0"/>
              <w:ind w:left="100" w:right="0" w:hanging="0"/>
              <w:jc w:val="right"/>
              <w:rPr/>
            </w:pPr>
            <w:r>
              <w:rPr/>
              <w:t>—</w:t>
            </w:r>
          </w:p>
        </w:tc>
        <w:tc>
          <w:tcPr>
            <w:tcW w:w="391" w:type="dxa"/>
            <w:tcBorders/>
            <w:shd w:fill="auto" w:val="clear"/>
            <w:vAlign w:val="center"/>
          </w:tcPr>
          <w:p>
            <w:pPr>
              <w:pStyle w:val="TableContents"/>
              <w:spacing w:before="0" w:after="0"/>
              <w:ind w:left="0" w:right="0" w:hanging="0"/>
              <w:jc w:val="righ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CrunchTime Information Systems, Inc. - Delayed Draw</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7,101</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7,101</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Disco Parent, Inc. - Revolver</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455</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500" w:type="dxa"/>
            <w:gridSpan w:val="2"/>
            <w:tcBorders/>
            <w:shd w:fill="auto" w:val="clear"/>
            <w:vAlign w:val="center"/>
          </w:tcPr>
          <w:p>
            <w:pPr>
              <w:pStyle w:val="TableContents"/>
              <w:spacing w:before="0" w:after="0"/>
              <w:ind w:left="100" w:right="0" w:hanging="0"/>
              <w:jc w:val="right"/>
              <w:rPr/>
            </w:pPr>
            <w:r>
              <w:rPr/>
              <w:t>—</w:t>
            </w:r>
          </w:p>
        </w:tc>
        <w:tc>
          <w:tcPr>
            <w:tcW w:w="391" w:type="dxa"/>
            <w:tcBorders/>
            <w:shd w:fill="auto" w:val="clear"/>
            <w:vAlign w:val="center"/>
          </w:tcPr>
          <w:p>
            <w:pPr>
              <w:pStyle w:val="TableContents"/>
              <w:spacing w:before="0" w:after="0"/>
              <w:ind w:left="0" w:right="0" w:hanging="0"/>
              <w:jc w:val="righ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Dye &amp; Durham Corp. - Delayed Draw &amp; Revolver</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4,408</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6,280</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EDB Parent, LLC - Delayed Draw</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16,411</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18,037</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Edge Bidco B.V. - Delayed Draw &amp; Revolver</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1,346</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500" w:type="dxa"/>
            <w:gridSpan w:val="2"/>
            <w:tcBorders/>
            <w:shd w:fill="auto" w:val="clear"/>
            <w:vAlign w:val="center"/>
          </w:tcPr>
          <w:p>
            <w:pPr>
              <w:pStyle w:val="TableContents"/>
              <w:spacing w:before="0" w:after="0"/>
              <w:ind w:left="100" w:right="0" w:hanging="0"/>
              <w:jc w:val="right"/>
              <w:rPr/>
            </w:pPr>
            <w:r>
              <w:rPr/>
              <w:t>—</w:t>
            </w:r>
          </w:p>
        </w:tc>
        <w:tc>
          <w:tcPr>
            <w:tcW w:w="391" w:type="dxa"/>
            <w:tcBorders/>
            <w:shd w:fill="auto" w:val="clear"/>
            <w:vAlign w:val="center"/>
          </w:tcPr>
          <w:p>
            <w:pPr>
              <w:pStyle w:val="TableContents"/>
              <w:spacing w:before="0" w:after="0"/>
              <w:ind w:left="0" w:right="0" w:hanging="0"/>
              <w:jc w:val="righ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Elysian Finco Ltd. - Delayed Draw &amp; Revolver</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6,308</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6,792</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Employment Hero Holdings Pty Ltd. - Delayed Draw &amp; Revolver</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8,706</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8,816</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EMS Linq, Inc. - Revolver</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6,149</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8,784</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Erling Lux Bidco SARL - Delayed Draw &amp; Revolver</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5,719</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5,618</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ExtraHop Networks, Inc. - Delayed Draw</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15,800</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17,050</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ForeScout Technologies, Inc. - Delayed Draw &amp; Revolver</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2,925</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3,425</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G Treasury SS, LLC - Delayed Draw</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2,999</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3,400</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Hornetsecurity Holding GmbH - Delayed Draw &amp; Revolver</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2,078</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2,041</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Ibis Intermediate Co. - Delayed Draw</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6,338</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6,338</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IRGSE Holding Corp. - Revolver</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63</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253</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Kyriba Corp. - Delayed Draw &amp; Revolver</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Laramie Energy, LLC - Delayed Draw</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7,683</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500" w:type="dxa"/>
            <w:gridSpan w:val="2"/>
            <w:tcBorders/>
            <w:shd w:fill="auto" w:val="clear"/>
            <w:vAlign w:val="center"/>
          </w:tcPr>
          <w:p>
            <w:pPr>
              <w:pStyle w:val="TableContents"/>
              <w:spacing w:before="0" w:after="0"/>
              <w:ind w:left="100" w:right="0" w:hanging="0"/>
              <w:jc w:val="right"/>
              <w:rPr/>
            </w:pPr>
            <w:r>
              <w:rPr/>
              <w:t>—</w:t>
            </w:r>
          </w:p>
        </w:tc>
        <w:tc>
          <w:tcPr>
            <w:tcW w:w="391" w:type="dxa"/>
            <w:tcBorders/>
            <w:shd w:fill="auto" w:val="clear"/>
            <w:vAlign w:val="center"/>
          </w:tcPr>
          <w:p>
            <w:pPr>
              <w:pStyle w:val="TableContents"/>
              <w:spacing w:before="0" w:after="0"/>
              <w:ind w:left="0" w:right="0" w:hanging="0"/>
              <w:jc w:val="righ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LeanTaaS Holdings, Inc. - Delayed Draw</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42,481</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47,218</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Lithium Technologies, LLC - Revolver</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1,979</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1,979</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Lucidworks, Inc. - Delayed Draw</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833</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833</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Murchison Oil and Gas, LLC - Delayed Draw</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3,257</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9,772</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Netwrix Corp. - Delayed Draw &amp; Revolver</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13,035</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13,881</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Neuintel, LLC - Delayed Draw</w:t>
            </w:r>
          </w:p>
        </w:tc>
        <w:tc>
          <w:tcPr>
            <w:tcW w:w="246" w:type="dxa"/>
            <w:tcBorders/>
            <w:shd w:fill="auto" w:val="clear"/>
            <w:vAlign w:val="center"/>
          </w:tcPr>
          <w:p>
            <w:pPr>
              <w:pStyle w:val="TableContents"/>
              <w:spacing w:before="0" w:after="0"/>
              <w:ind w:left="0" w:right="0" w:firstLine="100"/>
              <w:jc w:val="right"/>
              <w:rPr/>
            </w:pPr>
            <w:r>
              <w:rPr/>
              <w:t> </w:t>
            </w:r>
          </w:p>
        </w:tc>
        <w:tc>
          <w:tcPr>
            <w:tcW w:w="1260" w:type="dxa"/>
            <w:gridSpan w:val="2"/>
            <w:tcBorders/>
            <w:shd w:fill="auto" w:val="clear"/>
            <w:vAlign w:val="center"/>
          </w:tcPr>
          <w:p>
            <w:pPr>
              <w:pStyle w:val="TableContents"/>
              <w:spacing w:before="0" w:after="0"/>
              <w:ind w:left="100" w:right="0" w:hanging="0"/>
              <w:jc w:val="right"/>
              <w:rPr/>
            </w:pPr>
            <w:r>
              <w:rPr/>
              <w:t>—</w:t>
            </w:r>
          </w:p>
        </w:tc>
        <w:tc>
          <w:tcPr>
            <w:tcW w:w="246" w:type="dxa"/>
            <w:tcBorders/>
            <w:shd w:fill="auto" w:val="cle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4,200</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OutSystems Luxco SARL - Delayed Draw</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2,176</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2,137</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PageUp People, Ltd. - Delayed Draw &amp; Revolver</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5,693</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5,764</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Passport Labs, Inc. - Delayed Draw &amp; Revolver</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2,778</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2,778</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Ping Identity Holding Corp. - Revolver</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2,273</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2,273</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PrimePay Intermediate, LLC - Delayed Draw</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784</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2,474</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PrimeRevenue, Inc. - Delayed Draw &amp; Revolver</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6,490</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6,250</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Project44, Inc. - Delayed Draw</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19,861</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19,861</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ReliaQuest Holdings, LLC - Delayed Draw</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21,595</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22,752</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Tango Management Consulting, LLC - Delayed Draw &amp; Revolver</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24,277</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26,576</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TRP Assets, LLC - Delayed Draw &amp; Membership Interest</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shd w:fill="auto" w:val="clear"/>
            <w:vAlign w:val="center"/>
          </w:tcPr>
          <w:p>
            <w:pPr>
              <w:pStyle w:val="TableContents"/>
              <w:spacing w:before="0" w:after="0"/>
              <w:ind w:left="0" w:right="0" w:hanging="0"/>
              <w:jc w:val="left"/>
              <w:rPr/>
            </w:pPr>
            <w:r>
              <w:rPr/>
              <w:t> </w:t>
            </w:r>
          </w:p>
        </w:tc>
        <w:tc>
          <w:tcPr>
            <w:tcW w:w="98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7,803</w:t>
            </w:r>
          </w:p>
        </w:tc>
        <w:tc>
          <w:tcPr>
            <w:tcW w:w="2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116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7,806</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WideOrbit, Inc. - Revolver</w:t>
            </w:r>
          </w:p>
        </w:tc>
        <w:tc>
          <w:tcPr>
            <w:tcW w:w="246" w:type="dxa"/>
            <w:tcBorders/>
            <w:shd w:fill="auto" w:val="clear"/>
            <w:vAlign w:val="center"/>
          </w:tcPr>
          <w:p>
            <w:pPr>
              <w:pStyle w:val="TableContents"/>
              <w:spacing w:before="0" w:after="0"/>
              <w:ind w:left="0" w:right="0" w:firstLine="100"/>
              <w:jc w:val="righ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100" w:right="0" w:hanging="0"/>
              <w:jc w:val="right"/>
              <w:rPr/>
            </w:pPr>
            <w:r>
              <w:rPr/>
              <w:t>—</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4,756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711" w:type="dxa"/>
            <w:tcBorders/>
            <w:shd w:fill="auto" w:val="clear"/>
            <w:vAlign w:val="center"/>
          </w:tcPr>
          <w:p>
            <w:pPr>
              <w:pStyle w:val="TableContents"/>
              <w:spacing w:before="0" w:after="0"/>
              <w:ind w:left="200" w:right="0" w:hanging="0"/>
              <w:jc w:val="left"/>
              <w:rPr>
                <w:rFonts w:ascii="Times New Roman" w:hAnsi="Times New Roman"/>
                <w:sz w:val="16"/>
              </w:rPr>
            </w:pPr>
            <w:r>
              <w:rPr>
                <w:rFonts w:ascii="Times New Roman;serif" w:hAnsi="Times New Roman;serif"/>
                <w:b/>
                <w:sz w:val="16"/>
              </w:rPr>
              <w:t>Total Portfolio Company Commitments</w:t>
            </w:r>
            <w:r>
              <w:rPr>
                <w:rFonts w:ascii="Times New Roman" w:hAnsi="Times New Roman"/>
                <w:sz w:val="16"/>
              </w:rPr>
              <w:t xml:space="preserve"> </w:t>
            </w:r>
            <w:r>
              <w:rPr>
                <w:rFonts w:ascii="Times New Roman;serif" w:hAnsi="Times New Roman;serif"/>
                <w:b/>
                <w:sz w:val="11"/>
              </w:rPr>
              <w:t>(1)(2)</w:t>
            </w:r>
          </w:p>
        </w:tc>
        <w:tc>
          <w:tcPr>
            <w:tcW w:w="246" w:type="dxa"/>
            <w:tcBorders/>
            <w:shd w:fill="auto" w:val="clear"/>
            <w:vAlign w:val="center"/>
          </w:tcPr>
          <w:p>
            <w:pPr>
              <w:pStyle w:val="TableContents"/>
              <w:spacing w:before="0" w:after="0"/>
              <w:ind w:left="0" w:right="0" w:hanging="0"/>
              <w:jc w:val="right"/>
              <w:rPr/>
            </w:pPr>
            <w:r>
              <w:rPr/>
              <w:t> </w:t>
            </w:r>
          </w:p>
        </w:tc>
        <w:tc>
          <w:tcPr>
            <w:tcW w:w="27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330,354</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246" w:type="dxa"/>
            <w:tcBorders/>
            <w:shd w:fill="auto" w:val="clear"/>
            <w:vAlign w:val="center"/>
          </w:tcPr>
          <w:p>
            <w:pPr>
              <w:pStyle w:val="TableContents"/>
              <w:spacing w:before="0" w:after="0"/>
              <w:ind w:left="100" w:right="0" w:hanging="0"/>
              <w:jc w:val="left"/>
              <w:rPr/>
            </w:pPr>
            <w:r>
              <w:rPr/>
              <w:t> </w:t>
            </w:r>
          </w:p>
        </w:tc>
        <w:tc>
          <w:tcPr>
            <w:tcW w:w="3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338,043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40" w:after="0"/>
        <w:jc w:val="left"/>
        <w:rPr/>
      </w:pPr>
      <w:r>
        <w:rPr/>
        <w:t> </w:t>
      </w:r>
    </w:p>
    <w:p>
      <w:pPr>
        <w:pStyle w:val="TextBody"/>
        <w:spacing w:before="40" w:after="0"/>
        <w:jc w:val="left"/>
        <w:rPr>
          <w:rFonts w:ascii="Times New Roman" w:hAnsi="Times New Roman"/>
          <w:b w:val="false"/>
          <w:sz w:val="20"/>
        </w:rPr>
      </w:pPr>
      <w:r>
        <w:rPr>
          <w:rFonts w:ascii="Times New Roman" w:hAnsi="Times New Roman"/>
          <w:b w:val="false"/>
          <w:sz w:val="20"/>
        </w:rPr>
        <w:t>(1)</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pStyle w:val="TextBody"/>
        <w:spacing w:before="40" w:after="0"/>
        <w:jc w:val="left"/>
        <w:rPr>
          <w:rFonts w:ascii="Times New Roman" w:hAnsi="Times New Roman"/>
          <w:b w:val="false"/>
          <w:sz w:val="20"/>
        </w:rPr>
      </w:pPr>
      <w:r>
        <w:rPr>
          <w:rFonts w:ascii="Times New Roman" w:hAnsi="Times New Roman"/>
          <w:b w:val="false"/>
          <w:sz w:val="20"/>
        </w:rPr>
        <w:t>(2)</w:t>
      </w:r>
    </w:p>
    <w:p>
      <w:pPr>
        <w:pStyle w:val="TextBody"/>
        <w:spacing w:before="40" w:after="283"/>
        <w:jc w:val="left"/>
        <w:rPr>
          <w:rFonts w:ascii="Times New Roman;serif" w:hAnsi="Times New Roman;serif"/>
          <w:b w:val="false"/>
          <w:sz w:val="20"/>
        </w:rPr>
      </w:pPr>
      <w:r>
        <w:rPr>
          <w:rFonts w:ascii="Times New Roman;serif" w:hAnsi="Times New Roman;serif"/>
          <w:b w:val="false"/>
          <w:sz w:val="20"/>
        </w:rPr>
        <w:t>The Company’s estimate of the fair value of the current investments in these portfolio companies includes an analysis of the fair value of any unfunded commitments.</w:t>
      </w:r>
    </w:p>
    <w:p>
      <w:pPr>
        <w:pStyle w:val="TextBody"/>
        <w:spacing w:before="360" w:after="0"/>
        <w:jc w:val="left"/>
        <w:rPr>
          <w:rFonts w:ascii="Times New Roman" w:hAnsi="Times New Roman"/>
          <w:sz w:val="20"/>
        </w:rPr>
      </w:pPr>
      <w:r>
        <w:rPr>
          <w:rFonts w:ascii="Times New Roman;serif" w:hAnsi="Times New Roman;serif"/>
          <w:b w:val="false"/>
          <w:i/>
          <w:sz w:val="20"/>
        </w:rPr>
        <w:t>Other Commitments and Contingencies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of March 31, 2023 and December 31, 2022, the Company did not have any unfunded commitments to fund investments to new borrowers that were not current portfolio companies as of such date.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From time to time, the Company may become a party to certain legal proceedings incidental to the normal course of its business. As of March 31, 2023 and December 31, 2022, management is not aware of any material pending or threatened litigation that would require accounting recognition or financial statement disclosure.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9. Net Assets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February 2021, the Company issued a total of 4,000,000</w:t>
      </w:r>
      <w:r>
        <w:rPr>
          <w:rFonts w:ascii="Times New Roman" w:hAnsi="Times New Roman"/>
          <w:sz w:val="20"/>
        </w:rPr>
        <w:t xml:space="preserve"> </w:t>
      </w:r>
      <w:r>
        <w:rPr>
          <w:rFonts w:ascii="Times New Roman;serif" w:hAnsi="Times New Roman;serif"/>
          <w:b w:val="false"/>
          <w:sz w:val="20"/>
        </w:rPr>
        <w:t>shares of common stock at $21.30</w:t>
      </w:r>
      <w:r>
        <w:rPr>
          <w:rFonts w:ascii="Times New Roman" w:hAnsi="Times New Roman"/>
          <w:sz w:val="20"/>
        </w:rPr>
        <w:t xml:space="preserve"> </w:t>
      </w:r>
      <w:r>
        <w:rPr>
          <w:rFonts w:ascii="Times New Roman;serif" w:hAnsi="Times New Roman;serif"/>
          <w:b w:val="false"/>
          <w:sz w:val="20"/>
        </w:rPr>
        <w:t>per share. Net of underwriting fees and offering costs, the Company received total cash proceeds of $84.9</w:t>
      </w:r>
      <w:r>
        <w:rPr>
          <w:rFonts w:ascii="Times New Roman" w:hAnsi="Times New Roman"/>
          <w:sz w:val="20"/>
        </w:rPr>
        <w:t xml:space="preserve"> </w:t>
      </w:r>
      <w:r>
        <w:rPr>
          <w:rFonts w:ascii="Times New Roman;serif" w:hAnsi="Times New Roman;serif"/>
          <w:b w:val="false"/>
          <w:sz w:val="20"/>
        </w:rPr>
        <w:t>million. Subsequent to the offering the Company issued an additional 49,689</w:t>
      </w:r>
      <w:r>
        <w:rPr>
          <w:rFonts w:ascii="Times New Roman" w:hAnsi="Times New Roman"/>
          <w:sz w:val="20"/>
        </w:rPr>
        <w:t xml:space="preserve"> </w:t>
      </w:r>
      <w:r>
        <w:rPr>
          <w:rFonts w:ascii="Times New Roman;serif" w:hAnsi="Times New Roman;serif"/>
          <w:b w:val="false"/>
          <w:sz w:val="20"/>
        </w:rPr>
        <w:t>shares in March 2021 pursuant to the overallotment option granted to underwriters and received, net of underwriting fees, total cash proceeds of $1.0</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December 2021, the Company issued a total of 2,324,820</w:t>
      </w:r>
      <w:r>
        <w:rPr>
          <w:rFonts w:ascii="Times New Roman" w:hAnsi="Times New Roman"/>
          <w:sz w:val="20"/>
        </w:rPr>
        <w:t xml:space="preserve"> </w:t>
      </w:r>
      <w:r>
        <w:rPr>
          <w:rFonts w:ascii="Times New Roman;serif" w:hAnsi="Times New Roman;serif"/>
          <w:b w:val="false"/>
          <w:sz w:val="20"/>
        </w:rPr>
        <w:t>shares of common stock as settlement for the conversion of $42.8</w:t>
      </w:r>
      <w:r>
        <w:rPr>
          <w:rFonts w:ascii="Times New Roman" w:hAnsi="Times New Roman"/>
          <w:sz w:val="20"/>
        </w:rPr>
        <w:t xml:space="preserve"> </w:t>
      </w:r>
      <w:r>
        <w:rPr>
          <w:rFonts w:ascii="Times New Roman;serif" w:hAnsi="Times New Roman;serif"/>
          <w:b w:val="false"/>
          <w:sz w:val="20"/>
        </w:rPr>
        <w:t>million principal amount of the 2022 Convertible Notes.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August 2022, the Company issued a total of 4,360,125</w:t>
      </w:r>
      <w:r>
        <w:rPr>
          <w:rFonts w:ascii="Times New Roman" w:hAnsi="Times New Roman"/>
          <w:sz w:val="20"/>
        </w:rPr>
        <w:t xml:space="preserve"> </w:t>
      </w:r>
      <w:r>
        <w:rPr>
          <w:rFonts w:ascii="Times New Roman;serif" w:hAnsi="Times New Roman;serif"/>
          <w:b w:val="false"/>
          <w:sz w:val="20"/>
        </w:rPr>
        <w:t>shares of common stock, or $77.6</w:t>
      </w:r>
      <w:r>
        <w:rPr>
          <w:rFonts w:ascii="Times New Roman" w:hAnsi="Times New Roman"/>
          <w:sz w:val="20"/>
        </w:rPr>
        <w:t xml:space="preserve"> </w:t>
      </w:r>
      <w:r>
        <w:rPr>
          <w:rFonts w:ascii="Times New Roman;serif" w:hAnsi="Times New Roman;serif"/>
          <w:b w:val="false"/>
          <w:sz w:val="20"/>
        </w:rPr>
        <w:t>million as settlement for the conversion of $79.2</w:t>
      </w:r>
      <w:r>
        <w:rPr>
          <w:rFonts w:ascii="Times New Roman" w:hAnsi="Times New Roman"/>
          <w:sz w:val="20"/>
        </w:rPr>
        <w:t xml:space="preserve"> </w:t>
      </w:r>
      <w:r>
        <w:rPr>
          <w:rFonts w:ascii="Times New Roman;serif" w:hAnsi="Times New Roman;serif"/>
          <w:b w:val="false"/>
          <w:sz w:val="20"/>
        </w:rPr>
        <w:t>million principal amount of the 2022 Convertible Notes.</w:t>
      </w:r>
    </w:p>
    <w:p>
      <w:pPr>
        <w:pStyle w:val="TextBody"/>
        <w:spacing w:before="240" w:after="0"/>
        <w:jc w:val="left"/>
        <w:rPr>
          <w:rFonts w:ascii="Times New Roman" w:hAnsi="Times New Roman"/>
          <w:sz w:val="20"/>
        </w:rPr>
      </w:pPr>
      <w:r>
        <w:rPr>
          <w:rFonts w:ascii="Times New Roman;serif" w:hAnsi="Times New Roman;serif"/>
          <w:b w:val="false"/>
          <w:sz w:val="20"/>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Pursuant to the Company’s dividend reinvestment plan, the following tables summarize the shares issued to stockholders who have not opted out of the Company’s dividend reinvestment plan during the three months ended March 31, 2023 and 2022. All shares issued to stockholders in the tables below are newly issued shares.</w:t>
      </w:r>
      <w:r>
        <w:rPr>
          <w:rFonts w:ascii="Times New Roman" w:hAnsi="Times New Roman"/>
          <w:sz w:val="20"/>
        </w:rPr>
        <w:t xml:space="preserve"> </w:t>
      </w:r>
    </w:p>
    <w:tbl>
      <w:tblPr>
        <w:tblW w:w="8229" w:type="dxa"/>
        <w:jc w:val="left"/>
        <w:tblInd w:w="0" w:type="dxa"/>
        <w:tblCellMar>
          <w:top w:w="28" w:type="dxa"/>
          <w:left w:w="28" w:type="dxa"/>
          <w:bottom w:w="28" w:type="dxa"/>
          <w:right w:w="28" w:type="dxa"/>
        </w:tblCellMar>
      </w:tblPr>
      <w:tblGrid>
        <w:gridCol w:w="1771"/>
        <w:gridCol w:w="346"/>
        <w:gridCol w:w="1231"/>
        <w:gridCol w:w="146"/>
        <w:gridCol w:w="1591"/>
        <w:gridCol w:w="146"/>
        <w:gridCol w:w="1396"/>
        <w:gridCol w:w="146"/>
        <w:gridCol w:w="167"/>
        <w:gridCol w:w="898"/>
        <w:gridCol w:w="391"/>
      </w:tblGrid>
      <w:tr>
        <w:trPr/>
        <w:tc>
          <w:tcPr>
            <w:tcW w:w="177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77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 </w:t>
            </w:r>
          </w:p>
        </w:tc>
        <w:tc>
          <w:tcPr>
            <w:tcW w:w="5721" w:type="dxa"/>
            <w:gridSpan w:val="8"/>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391" w:type="dxa"/>
            <w:tcBorders/>
            <w:shd w:fill="auto" w:val="clear"/>
            <w:vAlign w:val="center"/>
          </w:tcPr>
          <w:p>
            <w:pPr>
              <w:pStyle w:val="TableContents"/>
              <w:spacing w:before="0" w:after="0"/>
              <w:ind w:left="0" w:right="0" w:hanging="0"/>
              <w:jc w:val="center"/>
              <w:rPr/>
            </w:pPr>
            <w:r>
              <w:rPr/>
              <w:t> </w:t>
            </w:r>
          </w:p>
        </w:tc>
      </w:tr>
      <w:tr>
        <w:trPr/>
        <w:tc>
          <w:tcPr>
            <w:tcW w:w="177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 </w:t>
            </w:r>
          </w:p>
        </w:tc>
        <w:tc>
          <w:tcPr>
            <w:tcW w:w="5721"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7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 </w:t>
            </w:r>
          </w:p>
        </w:tc>
        <w:tc>
          <w:tcPr>
            <w:tcW w:w="12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5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96"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Date</w:t>
            </w:r>
          </w:p>
        </w:tc>
        <w:tc>
          <w:tcPr>
            <w:tcW w:w="146" w:type="dxa"/>
            <w:tcBorders/>
            <w:shd w:fill="auto" w:val="clear"/>
            <w:vAlign w:val="center"/>
          </w:tcPr>
          <w:p>
            <w:pPr>
              <w:pStyle w:val="TableContents"/>
              <w:spacing w:before="0" w:after="0"/>
              <w:ind w:left="0" w:right="0" w:hanging="0"/>
              <w:jc w:val="right"/>
              <w:rPr/>
            </w:pPr>
            <w:r>
              <w:rPr/>
              <w:t> </w:t>
            </w:r>
          </w:p>
        </w:tc>
        <w:tc>
          <w:tcPr>
            <w:tcW w:w="1065"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1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Date Declared</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 xml:space="preserve">Dividend </w:t>
            </w:r>
            <w:r>
              <w:rPr>
                <w:rFonts w:ascii="Times New Roman;serif" w:hAnsi="Times New Roman;serif"/>
                <w:b/>
                <w:sz w:val="11"/>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Record 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3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 Issued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0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 Issued</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February 16, 2023</w:t>
            </w:r>
          </w:p>
        </w:tc>
        <w:tc>
          <w:tcPr>
            <w:tcW w:w="346" w:type="dxa"/>
            <w:tcBorders/>
            <w:shd w:fill="auto" w:val="clear"/>
            <w:vAlign w:val="center"/>
          </w:tcPr>
          <w:p>
            <w:pPr>
              <w:pStyle w:val="TableContents"/>
              <w:spacing w:before="0" w:after="0"/>
              <w:ind w:left="0" w:right="0" w:hanging="0"/>
              <w:jc w:val="right"/>
              <w:rPr/>
            </w:pPr>
            <w:r>
              <w:rPr/>
              <w:t> </w:t>
            </w:r>
          </w:p>
        </w:tc>
        <w:tc>
          <w:tcPr>
            <w:tcW w:w="123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Supplemental</w:t>
            </w:r>
          </w:p>
        </w:tc>
        <w:tc>
          <w:tcPr>
            <w:tcW w:w="146" w:type="dxa"/>
            <w:tcBorders/>
            <w:shd w:fill="auto" w:val="clear"/>
            <w:vAlign w:val="center"/>
          </w:tcPr>
          <w:p>
            <w:pPr>
              <w:pStyle w:val="TableContents"/>
              <w:spacing w:before="0" w:after="0"/>
              <w:ind w:left="0" w:right="0" w:hanging="0"/>
              <w:jc w:val="right"/>
              <w:rPr/>
            </w:pPr>
            <w:r>
              <w:rPr/>
              <w:t> </w:t>
            </w:r>
          </w:p>
        </w:tc>
        <w:tc>
          <w:tcPr>
            <w:tcW w:w="15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February 28, 2023</w:t>
            </w:r>
          </w:p>
        </w:tc>
        <w:tc>
          <w:tcPr>
            <w:tcW w:w="146" w:type="dxa"/>
            <w:tcBorders/>
            <w:shd w:fill="auto" w:val="clear"/>
            <w:vAlign w:val="center"/>
          </w:tcPr>
          <w:p>
            <w:pPr>
              <w:pStyle w:val="TableContents"/>
              <w:spacing w:before="0" w:after="0"/>
              <w:ind w:left="0" w:right="0" w:hanging="0"/>
              <w:jc w:val="right"/>
              <w:rPr/>
            </w:pPr>
            <w:r>
              <w:rPr/>
              <w:t> </w:t>
            </w:r>
          </w:p>
        </w:tc>
        <w:tc>
          <w:tcPr>
            <w:tcW w:w="13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March 20, 2023</w:t>
            </w:r>
          </w:p>
        </w:tc>
        <w:tc>
          <w:tcPr>
            <w:tcW w:w="146" w:type="dxa"/>
            <w:tcBorders/>
            <w:shd w:fill="auto" w:val="clear"/>
            <w:vAlign w:val="center"/>
          </w:tcPr>
          <w:p>
            <w:pPr>
              <w:pStyle w:val="TableContents"/>
              <w:spacing w:before="0" w:after="0"/>
              <w:ind w:left="0" w:right="0" w:hanging="0"/>
              <w:jc w:val="right"/>
              <w:rPr/>
            </w:pPr>
            <w:r>
              <w:rPr/>
              <w:t> </w:t>
            </w:r>
          </w:p>
        </w:tc>
        <w:tc>
          <w:tcPr>
            <w:tcW w:w="167"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61,590</w:t>
            </w:r>
          </w:p>
        </w:tc>
        <w:tc>
          <w:tcPr>
            <w:tcW w:w="391" w:type="dxa"/>
            <w:tcBorders/>
            <w:shd w:fill="auto" w:val="clear"/>
            <w:vAlign w:val="center"/>
          </w:tcPr>
          <w:p>
            <w:pPr>
              <w:pStyle w:val="TableContents"/>
              <w:spacing w:before="0" w:after="0"/>
              <w:ind w:left="0" w:right="0" w:hanging="0"/>
              <w:jc w:val="left"/>
              <w:rPr/>
            </w:pPr>
            <w:r>
              <w:rPr/>
              <w:t> </w:t>
            </w:r>
          </w:p>
        </w:tc>
      </w:tr>
      <w:tr>
        <w:trPr/>
        <w:tc>
          <w:tcPr>
            <w:tcW w:w="1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February 16, 2023</w:t>
            </w:r>
          </w:p>
        </w:tc>
        <w:tc>
          <w:tcPr>
            <w:tcW w:w="346" w:type="dxa"/>
            <w:tcBorders/>
            <w:shd w:fill="auto" w:val="clear"/>
            <w:vAlign w:val="center"/>
          </w:tcPr>
          <w:p>
            <w:pPr>
              <w:pStyle w:val="TableContents"/>
              <w:spacing w:before="0" w:after="0"/>
              <w:ind w:left="0" w:right="0" w:hanging="0"/>
              <w:jc w:val="right"/>
              <w:rPr/>
            </w:pPr>
            <w:r>
              <w:rPr/>
              <w:t> </w:t>
            </w:r>
          </w:p>
        </w:tc>
        <w:tc>
          <w:tcPr>
            <w:tcW w:w="123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Base</w:t>
            </w:r>
          </w:p>
        </w:tc>
        <w:tc>
          <w:tcPr>
            <w:tcW w:w="146" w:type="dxa"/>
            <w:tcBorders/>
            <w:shd w:fill="auto" w:val="clear"/>
            <w:vAlign w:val="center"/>
          </w:tcPr>
          <w:p>
            <w:pPr>
              <w:pStyle w:val="TableContents"/>
              <w:spacing w:before="0" w:after="0"/>
              <w:ind w:left="0" w:right="0" w:hanging="0"/>
              <w:jc w:val="right"/>
              <w:rPr/>
            </w:pPr>
            <w:r>
              <w:rPr/>
              <w:t> </w:t>
            </w:r>
          </w:p>
        </w:tc>
        <w:tc>
          <w:tcPr>
            <w:tcW w:w="15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March 15, 2023</w:t>
            </w:r>
          </w:p>
        </w:tc>
        <w:tc>
          <w:tcPr>
            <w:tcW w:w="146" w:type="dxa"/>
            <w:tcBorders/>
            <w:shd w:fill="auto" w:val="clear"/>
            <w:vAlign w:val="center"/>
          </w:tcPr>
          <w:p>
            <w:pPr>
              <w:pStyle w:val="TableContents"/>
              <w:spacing w:before="0" w:after="0"/>
              <w:ind w:left="0" w:right="0" w:hanging="0"/>
              <w:jc w:val="right"/>
              <w:rPr/>
            </w:pPr>
            <w:r>
              <w:rPr/>
              <w:t> </w:t>
            </w:r>
          </w:p>
        </w:tc>
        <w:tc>
          <w:tcPr>
            <w:tcW w:w="13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March 31, 2023</w:t>
            </w:r>
          </w:p>
        </w:tc>
        <w:tc>
          <w:tcPr>
            <w:tcW w:w="146" w:type="dxa"/>
            <w:tcBorders/>
            <w:shd w:fill="auto" w:val="clear"/>
            <w:vAlign w:val="center"/>
          </w:tcPr>
          <w:p>
            <w:pPr>
              <w:pStyle w:val="TableContents"/>
              <w:spacing w:before="0" w:after="0"/>
              <w:ind w:left="0" w:right="0" w:hanging="0"/>
              <w:jc w:val="righ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300,988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1771"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Total Shares Issued</w:t>
            </w:r>
          </w:p>
        </w:tc>
        <w:tc>
          <w:tcPr>
            <w:tcW w:w="346" w:type="dxa"/>
            <w:tcBorders/>
            <w:shd w:fill="auto" w:val="clear"/>
            <w:vAlign w:val="center"/>
          </w:tcPr>
          <w:p>
            <w:pPr>
              <w:pStyle w:val="TableContents"/>
              <w:spacing w:before="0" w:after="0"/>
              <w:ind w:left="0" w:right="0" w:firstLine="200"/>
              <w:jc w:val="right"/>
              <w:rPr/>
            </w:pPr>
            <w:r>
              <w:rPr/>
              <w:t> </w:t>
            </w:r>
          </w:p>
        </w:tc>
        <w:tc>
          <w:tcPr>
            <w:tcW w:w="1231"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5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362,578</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8424" w:type="dxa"/>
        <w:jc w:val="left"/>
        <w:tblInd w:w="0" w:type="dxa"/>
        <w:tblCellMar>
          <w:top w:w="28" w:type="dxa"/>
          <w:left w:w="28" w:type="dxa"/>
          <w:bottom w:w="28" w:type="dxa"/>
          <w:right w:w="28" w:type="dxa"/>
        </w:tblCellMar>
      </w:tblPr>
      <w:tblGrid>
        <w:gridCol w:w="1771"/>
        <w:gridCol w:w="346"/>
        <w:gridCol w:w="1231"/>
        <w:gridCol w:w="146"/>
        <w:gridCol w:w="1681"/>
        <w:gridCol w:w="146"/>
        <w:gridCol w:w="1501"/>
        <w:gridCol w:w="146"/>
        <w:gridCol w:w="167"/>
        <w:gridCol w:w="898"/>
        <w:gridCol w:w="391"/>
      </w:tblGrid>
      <w:tr>
        <w:trPr/>
        <w:tc>
          <w:tcPr>
            <w:tcW w:w="177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77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 </w:t>
            </w:r>
          </w:p>
        </w:tc>
        <w:tc>
          <w:tcPr>
            <w:tcW w:w="5916" w:type="dxa"/>
            <w:gridSpan w:val="8"/>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391" w:type="dxa"/>
            <w:tcBorders/>
            <w:shd w:fill="auto" w:val="clear"/>
            <w:vAlign w:val="center"/>
          </w:tcPr>
          <w:p>
            <w:pPr>
              <w:pStyle w:val="TableContents"/>
              <w:spacing w:before="0" w:after="0"/>
              <w:ind w:left="0" w:right="0" w:hanging="0"/>
              <w:jc w:val="center"/>
              <w:rPr/>
            </w:pPr>
            <w:r>
              <w:rPr/>
              <w:t> </w:t>
            </w:r>
          </w:p>
        </w:tc>
      </w:tr>
      <w:tr>
        <w:trPr/>
        <w:tc>
          <w:tcPr>
            <w:tcW w:w="177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 </w:t>
            </w:r>
          </w:p>
        </w:tc>
        <w:tc>
          <w:tcPr>
            <w:tcW w:w="5916"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7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 </w:t>
            </w:r>
          </w:p>
        </w:tc>
        <w:tc>
          <w:tcPr>
            <w:tcW w:w="12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501" w:type="dxa"/>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Date</w:t>
            </w:r>
          </w:p>
        </w:tc>
        <w:tc>
          <w:tcPr>
            <w:tcW w:w="146" w:type="dxa"/>
            <w:tcBorders/>
            <w:shd w:fill="auto" w:val="clear"/>
            <w:vAlign w:val="center"/>
          </w:tcPr>
          <w:p>
            <w:pPr>
              <w:pStyle w:val="TableContents"/>
              <w:spacing w:before="0" w:after="0"/>
              <w:ind w:left="0" w:right="0" w:hanging="0"/>
              <w:jc w:val="right"/>
              <w:rPr/>
            </w:pPr>
            <w:r>
              <w:rPr/>
              <w:t> </w:t>
            </w:r>
          </w:p>
        </w:tc>
        <w:tc>
          <w:tcPr>
            <w:tcW w:w="1065"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17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Date Declared</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 xml:space="preserve">Dividend </w:t>
            </w:r>
            <w:r>
              <w:rPr>
                <w:rFonts w:ascii="Times New Roman;serif" w:hAnsi="Times New Roman;serif"/>
                <w:b/>
                <w:sz w:val="11"/>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Record 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5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 Issued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0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 Issued</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November 2, 2021</w:t>
            </w:r>
          </w:p>
        </w:tc>
        <w:tc>
          <w:tcPr>
            <w:tcW w:w="346" w:type="dxa"/>
            <w:tcBorders/>
            <w:shd w:fill="auto" w:val="clear"/>
            <w:vAlign w:val="center"/>
          </w:tcPr>
          <w:p>
            <w:pPr>
              <w:pStyle w:val="TableContents"/>
              <w:spacing w:before="0" w:after="0"/>
              <w:ind w:left="0" w:right="0" w:hanging="0"/>
              <w:jc w:val="right"/>
              <w:rPr/>
            </w:pPr>
            <w:r>
              <w:rPr/>
              <w:t> </w:t>
            </w:r>
          </w:p>
        </w:tc>
        <w:tc>
          <w:tcPr>
            <w:tcW w:w="123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Base</w:t>
            </w:r>
          </w:p>
        </w:tc>
        <w:tc>
          <w:tcPr>
            <w:tcW w:w="146" w:type="dxa"/>
            <w:tcBorders/>
            <w:shd w:fill="auto" w:val="clear"/>
            <w:vAlign w:val="center"/>
          </w:tcPr>
          <w:p>
            <w:pPr>
              <w:pStyle w:val="TableContents"/>
              <w:spacing w:before="0" w:after="0"/>
              <w:ind w:left="0" w:right="0" w:hanging="0"/>
              <w:jc w:val="right"/>
              <w:rPr/>
            </w:pPr>
            <w:r>
              <w:rPr/>
              <w:t> </w:t>
            </w:r>
          </w:p>
        </w:tc>
        <w:tc>
          <w:tcPr>
            <w:tcW w:w="16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December 15, 2021</w:t>
            </w:r>
          </w:p>
        </w:tc>
        <w:tc>
          <w:tcPr>
            <w:tcW w:w="146" w:type="dxa"/>
            <w:tcBorders/>
            <w:shd w:fill="auto" w:val="clear"/>
            <w:vAlign w:val="center"/>
          </w:tcPr>
          <w:p>
            <w:pPr>
              <w:pStyle w:val="TableContents"/>
              <w:spacing w:before="0" w:after="0"/>
              <w:ind w:left="0" w:right="0" w:hanging="0"/>
              <w:jc w:val="right"/>
              <w:rPr/>
            </w:pPr>
            <w:r>
              <w:rPr/>
              <w:t> </w:t>
            </w:r>
          </w:p>
        </w:tc>
        <w:tc>
          <w:tcPr>
            <w:tcW w:w="15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January 14, 2022</w:t>
            </w:r>
          </w:p>
        </w:tc>
        <w:tc>
          <w:tcPr>
            <w:tcW w:w="146" w:type="dxa"/>
            <w:tcBorders/>
            <w:shd w:fill="auto" w:val="clear"/>
            <w:vAlign w:val="center"/>
          </w:tcPr>
          <w:p>
            <w:pPr>
              <w:pStyle w:val="TableContents"/>
              <w:spacing w:before="0" w:after="0"/>
              <w:ind w:left="0" w:right="0" w:hanging="0"/>
              <w:jc w:val="right"/>
              <w:rPr/>
            </w:pPr>
            <w:r>
              <w:rPr/>
              <w:t> </w:t>
            </w:r>
          </w:p>
        </w:tc>
        <w:tc>
          <w:tcPr>
            <w:tcW w:w="167" w:type="dxa"/>
            <w:tcBorders/>
            <w:shd w:fill="auto" w:val="clear"/>
            <w:vAlign w:val="center"/>
          </w:tcPr>
          <w:p>
            <w:pPr>
              <w:pStyle w:val="TableContents"/>
              <w:spacing w:before="0" w:after="0"/>
              <w:ind w:left="0" w:right="0" w:hanging="0"/>
              <w:jc w:val="left"/>
              <w:rPr/>
            </w:pPr>
            <w:r>
              <w:rPr/>
              <w:t> </w:t>
            </w:r>
          </w:p>
        </w:tc>
        <w:tc>
          <w:tcPr>
            <w:tcW w:w="89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233,542</w:t>
            </w:r>
          </w:p>
        </w:tc>
        <w:tc>
          <w:tcPr>
            <w:tcW w:w="391" w:type="dxa"/>
            <w:tcBorders/>
            <w:shd w:fill="auto" w:val="clear"/>
            <w:vAlign w:val="center"/>
          </w:tcPr>
          <w:p>
            <w:pPr>
              <w:pStyle w:val="TableContents"/>
              <w:spacing w:before="0" w:after="0"/>
              <w:ind w:left="0" w:right="0" w:hanging="0"/>
              <w:jc w:val="left"/>
              <w:rPr/>
            </w:pPr>
            <w:r>
              <w:rPr/>
              <w:t> </w:t>
            </w:r>
          </w:p>
        </w:tc>
      </w:tr>
      <w:tr>
        <w:trPr/>
        <w:tc>
          <w:tcPr>
            <w:tcW w:w="17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February 17, 2022</w:t>
            </w:r>
          </w:p>
        </w:tc>
        <w:tc>
          <w:tcPr>
            <w:tcW w:w="346" w:type="dxa"/>
            <w:tcBorders/>
            <w:shd w:fill="auto" w:val="clear"/>
            <w:vAlign w:val="center"/>
          </w:tcPr>
          <w:p>
            <w:pPr>
              <w:pStyle w:val="TableContents"/>
              <w:spacing w:before="0" w:after="0"/>
              <w:ind w:left="0" w:right="0" w:hanging="0"/>
              <w:jc w:val="right"/>
              <w:rPr/>
            </w:pPr>
            <w:r>
              <w:rPr/>
              <w:t> </w:t>
            </w:r>
          </w:p>
        </w:tc>
        <w:tc>
          <w:tcPr>
            <w:tcW w:w="123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Supplemental</w:t>
            </w:r>
          </w:p>
        </w:tc>
        <w:tc>
          <w:tcPr>
            <w:tcW w:w="146" w:type="dxa"/>
            <w:tcBorders/>
            <w:shd w:fill="auto" w:val="clear"/>
            <w:vAlign w:val="center"/>
          </w:tcPr>
          <w:p>
            <w:pPr>
              <w:pStyle w:val="TableContents"/>
              <w:spacing w:before="0" w:after="0"/>
              <w:ind w:left="0" w:right="0" w:hanging="0"/>
              <w:jc w:val="right"/>
              <w:rPr/>
            </w:pPr>
            <w:r>
              <w:rPr/>
              <w:t> </w:t>
            </w:r>
          </w:p>
        </w:tc>
        <w:tc>
          <w:tcPr>
            <w:tcW w:w="16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February 28, 2022</w:t>
            </w:r>
          </w:p>
        </w:tc>
        <w:tc>
          <w:tcPr>
            <w:tcW w:w="146" w:type="dxa"/>
            <w:tcBorders/>
            <w:shd w:fill="auto" w:val="clear"/>
            <w:vAlign w:val="center"/>
          </w:tcPr>
          <w:p>
            <w:pPr>
              <w:pStyle w:val="TableContents"/>
              <w:spacing w:before="0" w:after="0"/>
              <w:ind w:left="0" w:right="0" w:hanging="0"/>
              <w:jc w:val="right"/>
              <w:rPr/>
            </w:pPr>
            <w:r>
              <w:rPr/>
              <w:t> </w:t>
            </w:r>
          </w:p>
        </w:tc>
        <w:tc>
          <w:tcPr>
            <w:tcW w:w="15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March 31, 2022</w:t>
            </w:r>
          </w:p>
        </w:tc>
        <w:tc>
          <w:tcPr>
            <w:tcW w:w="146" w:type="dxa"/>
            <w:tcBorders/>
            <w:shd w:fill="auto" w:val="clear"/>
            <w:vAlign w:val="center"/>
          </w:tcPr>
          <w:p>
            <w:pPr>
              <w:pStyle w:val="TableContents"/>
              <w:spacing w:before="0" w:after="0"/>
              <w:ind w:left="0" w:right="0" w:hanging="0"/>
              <w:jc w:val="right"/>
              <w:rPr/>
            </w:pPr>
            <w:r>
              <w:rPr/>
              <w:t> </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65,596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1771"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Total Shares Issued</w:t>
            </w:r>
          </w:p>
        </w:tc>
        <w:tc>
          <w:tcPr>
            <w:tcW w:w="346" w:type="dxa"/>
            <w:tcBorders/>
            <w:shd w:fill="auto" w:val="clear"/>
            <w:vAlign w:val="center"/>
          </w:tcPr>
          <w:p>
            <w:pPr>
              <w:pStyle w:val="TableContents"/>
              <w:spacing w:before="0" w:after="0"/>
              <w:ind w:left="0" w:right="0" w:firstLine="200"/>
              <w:jc w:val="right"/>
              <w:rPr/>
            </w:pPr>
            <w:r>
              <w:rPr/>
              <w:t> </w:t>
            </w:r>
          </w:p>
        </w:tc>
        <w:tc>
          <w:tcPr>
            <w:tcW w:w="1231"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8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50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299,138</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 w:hAnsi="Times New Roman"/>
          <w:b w:val="false"/>
          <w:sz w:val="20"/>
        </w:rPr>
      </w:pPr>
      <w:r>
        <w:rPr>
          <w:rFonts w:ascii="Times New Roman" w:hAnsi="Times New Roman"/>
          <w:b w:val="false"/>
          <w:sz w:val="20"/>
        </w:rPr>
        <w:t>(1)</w:t>
      </w:r>
    </w:p>
    <w:p>
      <w:pPr>
        <w:pStyle w:val="TextBody"/>
        <w:spacing w:before="40" w:after="283"/>
        <w:jc w:val="left"/>
        <w:rPr>
          <w:rFonts w:ascii="Times New Roman;serif" w:hAnsi="Times New Roman;serif"/>
          <w:b w:val="false"/>
          <w:sz w:val="20"/>
        </w:rPr>
      </w:pPr>
      <w:r>
        <w:rPr>
          <w:rFonts w:ascii="Times New Roman;serif" w:hAnsi="Times New Roman;serif"/>
          <w:b w:val="false"/>
          <w:sz w:val="20"/>
        </w:rPr>
        <w:t>See Note 11 for further information on base, supplemental and special dividends.</w:t>
      </w:r>
    </w:p>
    <w:p>
      <w:pPr>
        <w:pStyle w:val="TextBody"/>
        <w:spacing w:before="240" w:after="0"/>
        <w:jc w:val="left"/>
        <w:rPr>
          <w:rFonts w:ascii="Times New Roman" w:hAnsi="Times New Roman"/>
          <w:sz w:val="20"/>
        </w:rPr>
      </w:pPr>
      <w:r>
        <w:rPr>
          <w:rFonts w:ascii="Times New Roman;serif" w:hAnsi="Times New Roman;serif"/>
          <w:b w:val="false"/>
          <w:sz w:val="20"/>
        </w:rPr>
        <w:t>On August 4, 2015, the Company's Board authorized the Company to acquire up to $50</w:t>
      </w:r>
      <w:r>
        <w:rPr>
          <w:rFonts w:ascii="Times New Roman" w:hAnsi="Times New Roman"/>
          <w:sz w:val="20"/>
        </w:rPr>
        <w:t xml:space="preserve"> </w:t>
      </w:r>
      <w:r>
        <w:rPr>
          <w:rFonts w:ascii="Times New Roman;serif" w:hAnsi="Times New Roman;serif"/>
          <w:b w:val="false"/>
          <w:sz w:val="20"/>
        </w:rPr>
        <w:t>million in aggregate of the Company’s common stock from time to time over an initial six month</w:t>
      </w:r>
      <w:r>
        <w:rPr>
          <w:rFonts w:ascii="Times New Roman" w:hAnsi="Times New Roman"/>
          <w:sz w:val="20"/>
        </w:rPr>
        <w:t xml:space="preserve"> </w:t>
      </w:r>
      <w:r>
        <w:rPr>
          <w:rFonts w:ascii="Times New Roman;serif" w:hAnsi="Times New Roman;serif"/>
          <w:b w:val="false"/>
          <w:sz w:val="20"/>
        </w:rPr>
        <w:t>period, and has continued to authorize the refreshment of the $50</w:t>
      </w:r>
      <w:r>
        <w:rPr>
          <w:rFonts w:ascii="Times New Roman" w:hAnsi="Times New Roman"/>
          <w:sz w:val="20"/>
        </w:rPr>
        <w:t xml:space="preserve"> </w:t>
      </w:r>
      <w:r>
        <w:rPr>
          <w:rFonts w:ascii="Times New Roman;serif" w:hAnsi="Times New Roman;serif"/>
          <w:b w:val="false"/>
          <w:sz w:val="20"/>
        </w:rPr>
        <w:t>million amount authorized under and extension of the stock repurchase program prior to its expiration since that time, most recently as of May 8, 2023. The amount and timing of stock repurchases under the program may vary depending on market conditions, and no assurance can be given that any particular amount of common stock will be repurchased.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No</w:t>
      </w:r>
      <w:r>
        <w:rPr>
          <w:rFonts w:ascii="Times New Roman" w:hAnsi="Times New Roman"/>
          <w:sz w:val="20"/>
        </w:rPr>
        <w:t xml:space="preserve"> </w:t>
      </w:r>
      <w:r>
        <w:rPr>
          <w:rFonts w:ascii="Times New Roman;serif" w:hAnsi="Times New Roman;serif"/>
          <w:b w:val="false"/>
          <w:sz w:val="20"/>
        </w:rPr>
        <w:t>shares were repurchased during the three months ended March 31, 2023 and 2022.</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40</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10. Earnings per share</w:t>
      </w:r>
    </w:p>
    <w:p>
      <w:pPr>
        <w:pStyle w:val="TextBody"/>
        <w:spacing w:before="120" w:after="0"/>
        <w:jc w:val="left"/>
        <w:rPr>
          <w:rFonts w:ascii="Times New Roman" w:hAnsi="Times New Roman"/>
          <w:sz w:val="20"/>
        </w:rPr>
      </w:pPr>
      <w:r>
        <w:rPr>
          <w:rFonts w:ascii="Times New Roman;serif" w:hAnsi="Times New Roman;serif"/>
          <w:b w:val="false"/>
          <w:sz w:val="20"/>
        </w:rPr>
        <w:t>The following table sets forth the computation of basic and diluted earnings per common share for the three months ended March 31, 2023 and 2022:</w:t>
      </w:r>
      <w:r>
        <w:rPr>
          <w:rFonts w:ascii="Times New Roman" w:hAnsi="Times New Roman"/>
          <w:sz w:val="20"/>
        </w:rPr>
        <w:t xml:space="preserve"> </w:t>
      </w:r>
    </w:p>
    <w:tbl>
      <w:tblPr>
        <w:tblW w:w="7875" w:type="dxa"/>
        <w:jc w:val="left"/>
        <w:tblInd w:w="0" w:type="dxa"/>
        <w:tblCellMar>
          <w:top w:w="28" w:type="dxa"/>
          <w:left w:w="28" w:type="dxa"/>
          <w:bottom w:w="28" w:type="dxa"/>
          <w:right w:w="28" w:type="dxa"/>
        </w:tblCellMar>
      </w:tblPr>
      <w:tblGrid>
        <w:gridCol w:w="4726"/>
        <w:gridCol w:w="146"/>
        <w:gridCol w:w="213"/>
        <w:gridCol w:w="1047"/>
        <w:gridCol w:w="146"/>
        <w:gridCol w:w="146"/>
        <w:gridCol w:w="213"/>
        <w:gridCol w:w="1047"/>
        <w:gridCol w:w="191"/>
      </w:tblGrid>
      <w:tr>
        <w:trPr/>
        <w:tc>
          <w:tcPr>
            <w:tcW w:w="47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7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1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2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Earnings per common share—basic</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47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Numerator for basic earnings per share</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52,952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40,885</w:t>
            </w:r>
          </w:p>
        </w:tc>
        <w:tc>
          <w:tcPr>
            <w:tcW w:w="191" w:type="dxa"/>
            <w:tcBorders/>
            <w:shd w:fill="auto" w:val="clear"/>
            <w:vAlign w:val="center"/>
          </w:tcPr>
          <w:p>
            <w:pPr>
              <w:pStyle w:val="TableContents"/>
              <w:spacing w:before="0" w:after="0"/>
              <w:ind w:left="0" w:right="0" w:hanging="0"/>
              <w:jc w:val="left"/>
              <w:rPr/>
            </w:pPr>
            <w:r>
              <w:rPr/>
              <w:t> </w:t>
            </w:r>
          </w:p>
        </w:tc>
      </w:tr>
      <w:tr>
        <w:trPr/>
        <w:tc>
          <w:tcPr>
            <w:tcW w:w="47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Denominator for basic weighted average shares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81,400,843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75,972,079</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Earnings per common share—basic</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0.54</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2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Earnings per common share—diluted</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47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Numerator for increase in net assets per share</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52,952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40,885</w:t>
            </w:r>
          </w:p>
        </w:tc>
        <w:tc>
          <w:tcPr>
            <w:tcW w:w="191" w:type="dxa"/>
            <w:tcBorders/>
            <w:shd w:fill="auto" w:val="clear"/>
            <w:vAlign w:val="center"/>
          </w:tcPr>
          <w:p>
            <w:pPr>
              <w:pStyle w:val="TableContents"/>
              <w:spacing w:before="0" w:after="0"/>
              <w:ind w:left="0" w:right="0" w:hanging="0"/>
              <w:jc w:val="left"/>
              <w:rPr/>
            </w:pPr>
            <w:r>
              <w:rPr/>
              <w:t> </w:t>
            </w:r>
          </w:p>
        </w:tc>
      </w:tr>
      <w:tr>
        <w:trPr/>
        <w:tc>
          <w:tcPr>
            <w:tcW w:w="47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Adjustment for interest expense and deferred financing </w:t>
              <w:br/>
              <w:t>   costs on 2022 Convertible Notes, incentive fee and</w:t>
              <w:br/>
              <w:t>   excise tax, net</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Numerator for diluted earnings per share</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52,952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41,883</w:t>
            </w:r>
          </w:p>
        </w:tc>
        <w:tc>
          <w:tcPr>
            <w:tcW w:w="191" w:type="dxa"/>
            <w:tcBorders/>
            <w:shd w:fill="auto" w:val="clear"/>
            <w:vAlign w:val="center"/>
          </w:tcPr>
          <w:p>
            <w:pPr>
              <w:pStyle w:val="TableContents"/>
              <w:spacing w:before="0" w:after="0"/>
              <w:ind w:left="0" w:right="0" w:hanging="0"/>
              <w:jc w:val="left"/>
              <w:rPr/>
            </w:pPr>
            <w:r>
              <w:rPr/>
              <w:t> </w:t>
            </w:r>
          </w:p>
        </w:tc>
      </w:tr>
      <w:tr>
        <w:trPr/>
        <w:tc>
          <w:tcPr>
            <w:tcW w:w="47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Denominator for basic weighted average shares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0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81,400,843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3" w:type="dxa"/>
            <w:tcBorders/>
            <w:shd w:fill="auto" w:val="clear"/>
            <w:vAlign w:val="center"/>
          </w:tcPr>
          <w:p>
            <w:pPr>
              <w:pStyle w:val="TableContents"/>
              <w:spacing w:before="0" w:after="0"/>
              <w:ind w:left="0" w:right="0" w:hanging="0"/>
              <w:jc w:val="left"/>
              <w:rPr/>
            </w:pPr>
            <w:r>
              <w:rPr/>
              <w:t> </w:t>
            </w:r>
          </w:p>
        </w:tc>
        <w:tc>
          <w:tcPr>
            <w:tcW w:w="10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75,972,079</w:t>
            </w:r>
          </w:p>
        </w:tc>
        <w:tc>
          <w:tcPr>
            <w:tcW w:w="191" w:type="dxa"/>
            <w:tcBorders/>
            <w:shd w:fill="auto" w:val="clear"/>
            <w:vAlign w:val="center"/>
          </w:tcPr>
          <w:p>
            <w:pPr>
              <w:pStyle w:val="TableContents"/>
              <w:spacing w:before="0" w:after="0"/>
              <w:ind w:left="0" w:right="0" w:hanging="0"/>
              <w:jc w:val="left"/>
              <w:rPr/>
            </w:pPr>
            <w:r>
              <w:rPr/>
              <w:t> </w:t>
            </w:r>
          </w:p>
        </w:tc>
      </w:tr>
      <w:tr>
        <w:trPr/>
        <w:tc>
          <w:tcPr>
            <w:tcW w:w="47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 for dilutive effect of 2022 Convertible Notes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5,564,172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Denominator for diluted weighted average shares</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81,400,843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81,536,251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Earnings per common share—diluted</w:t>
            </w:r>
          </w:p>
        </w:tc>
        <w:tc>
          <w:tcPr>
            <w:tcW w:w="146" w:type="dxa"/>
            <w:tcBorders/>
            <w:shd w:fill="auto" w:val="clear"/>
            <w:vAlign w:val="center"/>
          </w:tcPr>
          <w:p>
            <w:pPr>
              <w:pStyle w:val="TableContents"/>
              <w:spacing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2022 Convertible Notes were convertible into a combination of cash and shares of the Company’s common stock, which could have been dilutive to common stockholders. Diluted earnings per share is the amount of earnings available to each share of common stock outstanding during the reporting period including any additional shares of common stock that would be issued if all potentially dilutive securities were exercised. Upon adoption of ASU 2020-06 during the period ended March 31, 2021, the Company was required to disclose diluted EPS using the if-converted method. The if-converted method is a method of computing EPS that assumes conversion of convertible securities at the beginning of the reporting period and is intended to show the maximum dilution effect to common stockholders regardless of how the conversion can occur.</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For the purpose of calculating diluted earnings per common share, the average closing price of the Company’s common stock for the three months ended March 31, 2022</w:t>
      </w:r>
      <w:r>
        <w:rPr>
          <w:rFonts w:ascii="Times New Roman" w:hAnsi="Times New Roman"/>
          <w:sz w:val="20"/>
        </w:rPr>
        <w:t xml:space="preserve"> </w:t>
      </w:r>
      <w:r>
        <w:rPr>
          <w:rFonts w:ascii="Times New Roman;serif" w:hAnsi="Times New Roman;serif"/>
          <w:b w:val="false"/>
          <w:sz w:val="20"/>
        </w:rPr>
        <w:t>was greater than the estimated adjusted conversion price for the 2022 Convertible Notes outstanding as of March 31, 2022. Therefore, for this period presented in the consolidated financial statements the Company applied the if-converted method for purposes of calculating diluted earnings per common share.</w:t>
      </w:r>
    </w:p>
    <w:p>
      <w:pPr>
        <w:pStyle w:val="TextBody"/>
        <w:spacing w:before="360" w:after="0"/>
        <w:jc w:val="left"/>
        <w:rPr>
          <w:rFonts w:ascii="Times New Roman" w:hAnsi="Times New Roman"/>
          <w:sz w:val="20"/>
        </w:rPr>
      </w:pPr>
      <w:r>
        <w:rPr>
          <w:rFonts w:ascii="Times New Roman;serif" w:hAnsi="Times New Roman;serif"/>
          <w:b/>
          <w:sz w:val="20"/>
        </w:rPr>
        <w:t>11. Dividends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following tables summarize dividends declared during the three months ended March 31, 2023 and 2022:</w:t>
      </w:r>
      <w:r>
        <w:rPr>
          <w:rFonts w:ascii="Times New Roman" w:hAnsi="Times New Roman"/>
          <w:sz w:val="20"/>
        </w:rPr>
        <w:t xml:space="preserve"> </w:t>
      </w:r>
    </w:p>
    <w:p>
      <w:pPr>
        <w:pStyle w:val="TextBody"/>
        <w:spacing w:before="0" w:after="0"/>
        <w:jc w:val="left"/>
        <w:rPr/>
      </w:pPr>
      <w:r>
        <w:rPr/>
        <w:t> </w:t>
      </w:r>
    </w:p>
    <w:tbl>
      <w:tblPr>
        <w:tblW w:w="9174" w:type="dxa"/>
        <w:jc w:val="left"/>
        <w:tblInd w:w="0" w:type="dxa"/>
        <w:tblCellMar>
          <w:top w:w="28" w:type="dxa"/>
          <w:left w:w="28" w:type="dxa"/>
          <w:bottom w:w="28" w:type="dxa"/>
          <w:right w:w="28" w:type="dxa"/>
        </w:tblCellMar>
      </w:tblPr>
      <w:tblGrid>
        <w:gridCol w:w="2281"/>
        <w:gridCol w:w="346"/>
        <w:gridCol w:w="1231"/>
        <w:gridCol w:w="146"/>
        <w:gridCol w:w="1591"/>
        <w:gridCol w:w="146"/>
        <w:gridCol w:w="1396"/>
        <w:gridCol w:w="146"/>
        <w:gridCol w:w="467"/>
        <w:gridCol w:w="1033"/>
        <w:gridCol w:w="391"/>
      </w:tblGrid>
      <w:tr>
        <w:trPr/>
        <w:tc>
          <w:tcPr>
            <w:tcW w:w="228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28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 </w:t>
            </w:r>
          </w:p>
        </w:tc>
        <w:tc>
          <w:tcPr>
            <w:tcW w:w="6156" w:type="dxa"/>
            <w:gridSpan w:val="8"/>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391" w:type="dxa"/>
            <w:tcBorders/>
            <w:shd w:fill="auto" w:val="clear"/>
            <w:vAlign w:val="center"/>
          </w:tcPr>
          <w:p>
            <w:pPr>
              <w:pStyle w:val="TableContents"/>
              <w:spacing w:before="0" w:after="0"/>
              <w:ind w:left="0" w:right="0" w:hanging="0"/>
              <w:jc w:val="center"/>
              <w:rPr/>
            </w:pPr>
            <w:r>
              <w:rPr/>
              <w:t> </w:t>
            </w:r>
          </w:p>
        </w:tc>
      </w:tr>
      <w:tr>
        <w:trPr/>
        <w:tc>
          <w:tcPr>
            <w:tcW w:w="228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 </w:t>
            </w:r>
          </w:p>
        </w:tc>
        <w:tc>
          <w:tcPr>
            <w:tcW w:w="6156"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8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Date Declared</w:t>
            </w:r>
          </w:p>
        </w:tc>
        <w:tc>
          <w:tcPr>
            <w:tcW w:w="346" w:type="dxa"/>
            <w:tcBorders/>
            <w:shd w:fill="auto" w:val="clear"/>
            <w:vAlign w:val="center"/>
          </w:tcPr>
          <w:p>
            <w:pPr>
              <w:pStyle w:val="TableContents"/>
              <w:spacing w:before="0" w:after="0"/>
              <w:ind w:left="0" w:right="0" w:hanging="0"/>
              <w:jc w:val="right"/>
              <w:rPr/>
            </w:pPr>
            <w:r>
              <w:rPr/>
              <w:t> </w:t>
            </w:r>
          </w:p>
        </w:tc>
        <w:tc>
          <w:tcPr>
            <w:tcW w:w="1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Dividend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Record 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3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Payment 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Dividend per Share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February 16, 2023</w:t>
            </w:r>
          </w:p>
        </w:tc>
        <w:tc>
          <w:tcPr>
            <w:tcW w:w="346" w:type="dxa"/>
            <w:tcBorders/>
            <w:shd w:fill="auto" w:val="clear"/>
            <w:vAlign w:val="center"/>
          </w:tcPr>
          <w:p>
            <w:pPr>
              <w:pStyle w:val="TableContents"/>
              <w:spacing w:before="0" w:after="0"/>
              <w:ind w:left="0" w:right="0" w:hanging="0"/>
              <w:jc w:val="right"/>
              <w:rPr/>
            </w:pPr>
            <w:r>
              <w:rPr/>
              <w:t> </w:t>
            </w:r>
          </w:p>
        </w:tc>
        <w:tc>
          <w:tcPr>
            <w:tcW w:w="123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Supplemental</w:t>
            </w:r>
          </w:p>
        </w:tc>
        <w:tc>
          <w:tcPr>
            <w:tcW w:w="146" w:type="dxa"/>
            <w:tcBorders/>
            <w:shd w:fill="auto" w:val="clear"/>
            <w:vAlign w:val="center"/>
          </w:tcPr>
          <w:p>
            <w:pPr>
              <w:pStyle w:val="TableContents"/>
              <w:spacing w:before="0" w:after="0"/>
              <w:ind w:left="0" w:right="0" w:hanging="0"/>
              <w:jc w:val="right"/>
              <w:rPr/>
            </w:pPr>
            <w:r>
              <w:rPr/>
              <w:t> </w:t>
            </w:r>
          </w:p>
        </w:tc>
        <w:tc>
          <w:tcPr>
            <w:tcW w:w="15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February 28, 2023</w:t>
            </w:r>
          </w:p>
        </w:tc>
        <w:tc>
          <w:tcPr>
            <w:tcW w:w="146" w:type="dxa"/>
            <w:tcBorders/>
            <w:shd w:fill="auto" w:val="clear"/>
            <w:vAlign w:val="center"/>
          </w:tcPr>
          <w:p>
            <w:pPr>
              <w:pStyle w:val="TableContents"/>
              <w:spacing w:before="0" w:after="0"/>
              <w:ind w:left="0" w:right="0" w:hanging="0"/>
              <w:jc w:val="right"/>
              <w:rPr/>
            </w:pPr>
            <w:r>
              <w:rPr/>
              <w:t> </w:t>
            </w:r>
          </w:p>
        </w:tc>
        <w:tc>
          <w:tcPr>
            <w:tcW w:w="13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March 20, 2023</w:t>
            </w:r>
          </w:p>
        </w:tc>
        <w:tc>
          <w:tcPr>
            <w:tcW w:w="146" w:type="dxa"/>
            <w:tcBorders/>
            <w:shd w:fill="auto" w:val="clear"/>
            <w:vAlign w:val="center"/>
          </w:tcPr>
          <w:p>
            <w:pPr>
              <w:pStyle w:val="TableContents"/>
              <w:spacing w:before="0" w:after="0"/>
              <w:ind w:left="0" w:right="0" w:hanging="0"/>
              <w:jc w:val="right"/>
              <w:rPr/>
            </w:pPr>
            <w:r>
              <w:rPr/>
              <w:t> </w:t>
            </w:r>
          </w:p>
        </w:tc>
        <w:tc>
          <w:tcPr>
            <w:tcW w:w="4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0.09</w:t>
            </w:r>
          </w:p>
        </w:tc>
        <w:tc>
          <w:tcPr>
            <w:tcW w:w="391" w:type="dxa"/>
            <w:tcBorders/>
            <w:shd w:fill="auto" w:val="clear"/>
            <w:vAlign w:val="center"/>
          </w:tcPr>
          <w:p>
            <w:pPr>
              <w:pStyle w:val="TableContents"/>
              <w:spacing w:before="0" w:after="0"/>
              <w:ind w:left="0" w:right="0" w:hanging="0"/>
              <w:jc w:val="left"/>
              <w:rPr/>
            </w:pPr>
            <w:r>
              <w:rPr/>
              <w:t> </w:t>
            </w:r>
          </w:p>
        </w:tc>
      </w:tr>
      <w:tr>
        <w:trPr/>
        <w:tc>
          <w:tcPr>
            <w:tcW w:w="2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February 16, 2023</w:t>
            </w:r>
          </w:p>
        </w:tc>
        <w:tc>
          <w:tcPr>
            <w:tcW w:w="346" w:type="dxa"/>
            <w:tcBorders/>
            <w:shd w:fill="auto" w:val="clear"/>
            <w:vAlign w:val="center"/>
          </w:tcPr>
          <w:p>
            <w:pPr>
              <w:pStyle w:val="TableContents"/>
              <w:spacing w:before="0" w:after="0"/>
              <w:ind w:left="0" w:right="0" w:hanging="0"/>
              <w:jc w:val="right"/>
              <w:rPr/>
            </w:pPr>
            <w:r>
              <w:rPr/>
              <w:t> </w:t>
            </w:r>
          </w:p>
        </w:tc>
        <w:tc>
          <w:tcPr>
            <w:tcW w:w="123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Base</w:t>
            </w:r>
          </w:p>
        </w:tc>
        <w:tc>
          <w:tcPr>
            <w:tcW w:w="146" w:type="dxa"/>
            <w:tcBorders/>
            <w:shd w:fill="auto" w:val="clear"/>
            <w:vAlign w:val="center"/>
          </w:tcPr>
          <w:p>
            <w:pPr>
              <w:pStyle w:val="TableContents"/>
              <w:spacing w:before="0" w:after="0"/>
              <w:ind w:left="0" w:right="0" w:hanging="0"/>
              <w:jc w:val="right"/>
              <w:rPr/>
            </w:pPr>
            <w:r>
              <w:rPr/>
              <w:t> </w:t>
            </w:r>
          </w:p>
        </w:tc>
        <w:tc>
          <w:tcPr>
            <w:tcW w:w="15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March 15, 2023</w:t>
            </w:r>
          </w:p>
        </w:tc>
        <w:tc>
          <w:tcPr>
            <w:tcW w:w="146" w:type="dxa"/>
            <w:tcBorders/>
            <w:shd w:fill="auto" w:val="clear"/>
            <w:vAlign w:val="center"/>
          </w:tcPr>
          <w:p>
            <w:pPr>
              <w:pStyle w:val="TableContents"/>
              <w:spacing w:before="0" w:after="0"/>
              <w:ind w:left="0" w:right="0" w:hanging="0"/>
              <w:jc w:val="right"/>
              <w:rPr/>
            </w:pPr>
            <w:r>
              <w:rPr/>
              <w:t> </w:t>
            </w:r>
          </w:p>
        </w:tc>
        <w:tc>
          <w:tcPr>
            <w:tcW w:w="13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March 31, 2023</w:t>
            </w:r>
          </w:p>
        </w:tc>
        <w:tc>
          <w:tcPr>
            <w:tcW w:w="146" w:type="dxa"/>
            <w:tcBorders/>
            <w:shd w:fill="auto" w:val="clear"/>
            <w:vAlign w:val="center"/>
          </w:tcPr>
          <w:p>
            <w:pPr>
              <w:pStyle w:val="TableContents"/>
              <w:spacing w:before="0" w:after="0"/>
              <w:ind w:left="0" w:right="0" w:hanging="0"/>
              <w:jc w:val="right"/>
              <w:rPr/>
            </w:pPr>
            <w:r>
              <w:rPr/>
              <w:t> </w:t>
            </w:r>
          </w:p>
        </w:tc>
        <w:tc>
          <w:tcPr>
            <w:tcW w:w="4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281"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Total Dividends Declared</w:t>
            </w:r>
          </w:p>
        </w:tc>
        <w:tc>
          <w:tcPr>
            <w:tcW w:w="346" w:type="dxa"/>
            <w:tcBorders/>
            <w:shd w:fill="auto" w:val="clear"/>
            <w:vAlign w:val="center"/>
          </w:tcPr>
          <w:p>
            <w:pPr>
              <w:pStyle w:val="TableContents"/>
              <w:spacing w:before="0" w:after="0"/>
              <w:ind w:left="0" w:right="0" w:firstLine="200"/>
              <w:jc w:val="right"/>
              <w:rPr/>
            </w:pPr>
            <w:r>
              <w:rPr/>
              <w:t> </w:t>
            </w:r>
          </w:p>
        </w:tc>
        <w:tc>
          <w:tcPr>
            <w:tcW w:w="1231"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5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0.55</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9174" w:type="dxa"/>
        <w:jc w:val="left"/>
        <w:tblInd w:w="0" w:type="dxa"/>
        <w:tblCellMar>
          <w:top w:w="28" w:type="dxa"/>
          <w:left w:w="28" w:type="dxa"/>
          <w:bottom w:w="28" w:type="dxa"/>
          <w:right w:w="28" w:type="dxa"/>
        </w:tblCellMar>
      </w:tblPr>
      <w:tblGrid>
        <w:gridCol w:w="2281"/>
        <w:gridCol w:w="346"/>
        <w:gridCol w:w="1231"/>
        <w:gridCol w:w="146"/>
        <w:gridCol w:w="1591"/>
        <w:gridCol w:w="146"/>
        <w:gridCol w:w="1396"/>
        <w:gridCol w:w="146"/>
        <w:gridCol w:w="467"/>
        <w:gridCol w:w="1033"/>
        <w:gridCol w:w="391"/>
      </w:tblGrid>
      <w:tr>
        <w:trPr/>
        <w:tc>
          <w:tcPr>
            <w:tcW w:w="228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28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 </w:t>
            </w:r>
          </w:p>
        </w:tc>
        <w:tc>
          <w:tcPr>
            <w:tcW w:w="6156" w:type="dxa"/>
            <w:gridSpan w:val="8"/>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391" w:type="dxa"/>
            <w:tcBorders/>
            <w:shd w:fill="auto" w:val="clear"/>
            <w:vAlign w:val="center"/>
          </w:tcPr>
          <w:p>
            <w:pPr>
              <w:pStyle w:val="TableContents"/>
              <w:spacing w:before="0" w:after="0"/>
              <w:ind w:left="0" w:right="0" w:hanging="0"/>
              <w:jc w:val="center"/>
              <w:rPr/>
            </w:pPr>
            <w:r>
              <w:rPr/>
              <w:t> </w:t>
            </w:r>
          </w:p>
        </w:tc>
      </w:tr>
      <w:tr>
        <w:trPr/>
        <w:tc>
          <w:tcPr>
            <w:tcW w:w="228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 </w:t>
            </w:r>
          </w:p>
        </w:tc>
        <w:tc>
          <w:tcPr>
            <w:tcW w:w="6156" w:type="dxa"/>
            <w:gridSpan w:val="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8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Date Declared</w:t>
            </w:r>
          </w:p>
        </w:tc>
        <w:tc>
          <w:tcPr>
            <w:tcW w:w="346" w:type="dxa"/>
            <w:tcBorders/>
            <w:shd w:fill="auto" w:val="clear"/>
            <w:vAlign w:val="center"/>
          </w:tcPr>
          <w:p>
            <w:pPr>
              <w:pStyle w:val="TableContents"/>
              <w:spacing w:before="0" w:after="0"/>
              <w:ind w:left="0" w:right="0" w:hanging="0"/>
              <w:jc w:val="right"/>
              <w:rPr/>
            </w:pPr>
            <w:r>
              <w:rPr/>
              <w:t> </w:t>
            </w:r>
          </w:p>
        </w:tc>
        <w:tc>
          <w:tcPr>
            <w:tcW w:w="1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Dividend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Record 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3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Payment 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Dividend per Share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February 17, 2022</w:t>
            </w:r>
          </w:p>
        </w:tc>
        <w:tc>
          <w:tcPr>
            <w:tcW w:w="346" w:type="dxa"/>
            <w:tcBorders/>
            <w:shd w:fill="auto" w:val="clear"/>
            <w:vAlign w:val="center"/>
          </w:tcPr>
          <w:p>
            <w:pPr>
              <w:pStyle w:val="TableContents"/>
              <w:spacing w:before="0" w:after="0"/>
              <w:ind w:left="0" w:right="0" w:hanging="0"/>
              <w:jc w:val="right"/>
              <w:rPr/>
            </w:pPr>
            <w:r>
              <w:rPr/>
              <w:t> </w:t>
            </w:r>
          </w:p>
        </w:tc>
        <w:tc>
          <w:tcPr>
            <w:tcW w:w="123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Supplemental</w:t>
            </w:r>
          </w:p>
        </w:tc>
        <w:tc>
          <w:tcPr>
            <w:tcW w:w="146" w:type="dxa"/>
            <w:tcBorders/>
            <w:shd w:fill="auto" w:val="clear"/>
            <w:vAlign w:val="center"/>
          </w:tcPr>
          <w:p>
            <w:pPr>
              <w:pStyle w:val="TableContents"/>
              <w:spacing w:before="0" w:after="0"/>
              <w:ind w:left="0" w:right="0" w:hanging="0"/>
              <w:jc w:val="right"/>
              <w:rPr/>
            </w:pPr>
            <w:r>
              <w:rPr/>
              <w:t> </w:t>
            </w:r>
          </w:p>
        </w:tc>
        <w:tc>
          <w:tcPr>
            <w:tcW w:w="15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February 28, 2022</w:t>
            </w:r>
          </w:p>
        </w:tc>
        <w:tc>
          <w:tcPr>
            <w:tcW w:w="146" w:type="dxa"/>
            <w:tcBorders/>
            <w:shd w:fill="auto" w:val="clear"/>
            <w:vAlign w:val="center"/>
          </w:tcPr>
          <w:p>
            <w:pPr>
              <w:pStyle w:val="TableContents"/>
              <w:spacing w:before="0" w:after="0"/>
              <w:ind w:left="0" w:right="0" w:hanging="0"/>
              <w:jc w:val="right"/>
              <w:rPr/>
            </w:pPr>
            <w:r>
              <w:rPr/>
              <w:t> </w:t>
            </w:r>
          </w:p>
        </w:tc>
        <w:tc>
          <w:tcPr>
            <w:tcW w:w="13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March 31, 2022</w:t>
            </w:r>
          </w:p>
        </w:tc>
        <w:tc>
          <w:tcPr>
            <w:tcW w:w="146" w:type="dxa"/>
            <w:tcBorders/>
            <w:shd w:fill="auto" w:val="clear"/>
            <w:vAlign w:val="center"/>
          </w:tcPr>
          <w:p>
            <w:pPr>
              <w:pStyle w:val="TableContents"/>
              <w:spacing w:before="0" w:after="0"/>
              <w:ind w:left="0" w:right="0" w:hanging="0"/>
              <w:jc w:val="right"/>
              <w:rPr/>
            </w:pPr>
            <w:r>
              <w:rPr/>
              <w:t> </w:t>
            </w:r>
          </w:p>
        </w:tc>
        <w:tc>
          <w:tcPr>
            <w:tcW w:w="46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0.11</w:t>
            </w:r>
          </w:p>
        </w:tc>
        <w:tc>
          <w:tcPr>
            <w:tcW w:w="391" w:type="dxa"/>
            <w:tcBorders/>
            <w:shd w:fill="auto" w:val="clear"/>
            <w:vAlign w:val="center"/>
          </w:tcPr>
          <w:p>
            <w:pPr>
              <w:pStyle w:val="TableContents"/>
              <w:spacing w:before="0" w:after="0"/>
              <w:ind w:left="0" w:right="0" w:hanging="0"/>
              <w:jc w:val="left"/>
              <w:rPr/>
            </w:pPr>
            <w:r>
              <w:rPr/>
              <w:t> </w:t>
            </w:r>
          </w:p>
        </w:tc>
      </w:tr>
      <w:tr>
        <w:trPr/>
        <w:tc>
          <w:tcPr>
            <w:tcW w:w="2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February 17, 2022</w:t>
            </w:r>
          </w:p>
        </w:tc>
        <w:tc>
          <w:tcPr>
            <w:tcW w:w="346" w:type="dxa"/>
            <w:tcBorders/>
            <w:shd w:fill="auto" w:val="clear"/>
            <w:vAlign w:val="center"/>
          </w:tcPr>
          <w:p>
            <w:pPr>
              <w:pStyle w:val="TableContents"/>
              <w:spacing w:before="0" w:after="0"/>
              <w:ind w:left="0" w:right="0" w:hanging="0"/>
              <w:jc w:val="right"/>
              <w:rPr/>
            </w:pPr>
            <w:r>
              <w:rPr/>
              <w:t> </w:t>
            </w:r>
          </w:p>
        </w:tc>
        <w:tc>
          <w:tcPr>
            <w:tcW w:w="123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Base</w:t>
            </w:r>
          </w:p>
        </w:tc>
        <w:tc>
          <w:tcPr>
            <w:tcW w:w="146" w:type="dxa"/>
            <w:tcBorders/>
            <w:shd w:fill="auto" w:val="clear"/>
            <w:vAlign w:val="center"/>
          </w:tcPr>
          <w:p>
            <w:pPr>
              <w:pStyle w:val="TableContents"/>
              <w:spacing w:before="0" w:after="0"/>
              <w:ind w:left="0" w:right="0" w:hanging="0"/>
              <w:jc w:val="right"/>
              <w:rPr/>
            </w:pPr>
            <w:r>
              <w:rPr/>
              <w:t> </w:t>
            </w:r>
          </w:p>
        </w:tc>
        <w:tc>
          <w:tcPr>
            <w:tcW w:w="159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March 15, 2022</w:t>
            </w:r>
          </w:p>
        </w:tc>
        <w:tc>
          <w:tcPr>
            <w:tcW w:w="146" w:type="dxa"/>
            <w:tcBorders/>
            <w:shd w:fill="auto" w:val="clear"/>
            <w:vAlign w:val="center"/>
          </w:tcPr>
          <w:p>
            <w:pPr>
              <w:pStyle w:val="TableContents"/>
              <w:spacing w:before="0" w:after="0"/>
              <w:ind w:left="0" w:right="0" w:hanging="0"/>
              <w:jc w:val="right"/>
              <w:rPr/>
            </w:pPr>
            <w:r>
              <w:rPr/>
              <w:t> </w:t>
            </w:r>
          </w:p>
        </w:tc>
        <w:tc>
          <w:tcPr>
            <w:tcW w:w="13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April 18, 2022</w:t>
            </w:r>
          </w:p>
        </w:tc>
        <w:tc>
          <w:tcPr>
            <w:tcW w:w="146" w:type="dxa"/>
            <w:tcBorders/>
            <w:shd w:fill="auto" w:val="clear"/>
            <w:vAlign w:val="center"/>
          </w:tcPr>
          <w:p>
            <w:pPr>
              <w:pStyle w:val="TableContents"/>
              <w:spacing w:before="0" w:after="0"/>
              <w:ind w:left="0" w:right="0" w:hanging="0"/>
              <w:jc w:val="right"/>
              <w:rPr/>
            </w:pPr>
            <w:r>
              <w:rPr/>
              <w:t> </w:t>
            </w:r>
          </w:p>
        </w:tc>
        <w:tc>
          <w:tcPr>
            <w:tcW w:w="4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281"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Total Dividends Declared</w:t>
            </w:r>
          </w:p>
        </w:tc>
        <w:tc>
          <w:tcPr>
            <w:tcW w:w="346" w:type="dxa"/>
            <w:tcBorders/>
            <w:shd w:fill="auto" w:val="clear"/>
            <w:vAlign w:val="center"/>
          </w:tcPr>
          <w:p>
            <w:pPr>
              <w:pStyle w:val="TableContents"/>
              <w:spacing w:before="0" w:after="0"/>
              <w:ind w:left="0" w:right="0" w:firstLine="200"/>
              <w:jc w:val="right"/>
              <w:rPr/>
            </w:pPr>
            <w:r>
              <w:rPr/>
              <w:t> </w:t>
            </w:r>
          </w:p>
        </w:tc>
        <w:tc>
          <w:tcPr>
            <w:tcW w:w="1231"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59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3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0.52</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 dividends declared during the three months ended March 31, 2023 and 2022</w:t>
      </w:r>
      <w:r>
        <w:rPr>
          <w:rFonts w:ascii="Times New Roman" w:hAnsi="Times New Roman"/>
          <w:sz w:val="20"/>
        </w:rPr>
        <w:t xml:space="preserve"> </w:t>
      </w:r>
      <w:r>
        <w:rPr>
          <w:rFonts w:ascii="Times New Roman;serif" w:hAnsi="Times New Roman;serif"/>
          <w:b w:val="false"/>
          <w:sz w:val="20"/>
        </w:rPr>
        <w:t>were derived from net investment income, determined on a tax basis.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41</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r>
        <w:rPr>
          <w:rFonts w:ascii="Times New Roman;serif" w:hAnsi="Times New Roman;serif"/>
          <w:b/>
          <w:sz w:val="20"/>
        </w:rPr>
        <w:t>12. Income Taxes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tax character of shareholder distributions attributable to the three months ended March 31, 2023 and 2022 were as follows:</w:t>
      </w:r>
      <w:r>
        <w:rPr>
          <w:rFonts w:ascii="Times New Roman" w:hAnsi="Times New Roman"/>
          <w:sz w:val="20"/>
        </w:rPr>
        <w:t xml:space="preserve"> </w:t>
      </w:r>
    </w:p>
    <w:p>
      <w:pPr>
        <w:pStyle w:val="TextBody"/>
        <w:spacing w:before="0" w:after="0"/>
        <w:jc w:val="left"/>
        <w:rPr/>
      </w:pPr>
      <w:r>
        <w:rPr/>
        <w:t> </w:t>
      </w:r>
    </w:p>
    <w:tbl>
      <w:tblPr>
        <w:tblW w:w="5325" w:type="dxa"/>
        <w:jc w:val="left"/>
        <w:tblInd w:w="0" w:type="dxa"/>
        <w:tblCellMar>
          <w:top w:w="28" w:type="dxa"/>
          <w:left w:w="28" w:type="dxa"/>
          <w:bottom w:w="28" w:type="dxa"/>
          <w:right w:w="28" w:type="dxa"/>
        </w:tblCellMar>
      </w:tblPr>
      <w:tblGrid>
        <w:gridCol w:w="1486"/>
        <w:gridCol w:w="146"/>
        <w:gridCol w:w="382"/>
        <w:gridCol w:w="1223"/>
        <w:gridCol w:w="146"/>
        <w:gridCol w:w="146"/>
        <w:gridCol w:w="382"/>
        <w:gridCol w:w="1223"/>
        <w:gridCol w:w="191"/>
      </w:tblGrid>
      <w:tr>
        <w:trPr/>
        <w:tc>
          <w:tcPr>
            <w:tcW w:w="14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4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0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0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91" w:type="dxa"/>
            <w:tcBorders/>
            <w:shd w:fill="auto" w:val="clear"/>
            <w:vAlign w:val="center"/>
          </w:tcPr>
          <w:p>
            <w:pPr>
              <w:pStyle w:val="TableContents"/>
              <w:spacing w:before="0" w:after="0"/>
              <w:ind w:left="0" w:right="0" w:hanging="0"/>
              <w:jc w:val="center"/>
              <w:rPr/>
            </w:pPr>
            <w:r>
              <w:rPr/>
              <w:t> </w:t>
            </w:r>
          </w:p>
        </w:tc>
      </w:tr>
      <w:tr>
        <w:trPr/>
        <w:tc>
          <w:tcPr>
            <w:tcW w:w="14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Ordinary Income</w:t>
            </w:r>
          </w:p>
        </w:tc>
        <w:tc>
          <w:tcPr>
            <w:tcW w:w="146" w:type="dxa"/>
            <w:tcBorders/>
            <w:shd w:fill="auto" w:val="clear"/>
            <w:vAlign w:val="center"/>
          </w:tcPr>
          <w:p>
            <w:pPr>
              <w:pStyle w:val="TableContents"/>
              <w:spacing w:before="0" w:after="0"/>
              <w:ind w:left="0" w:right="0" w:hanging="0"/>
              <w:jc w:val="right"/>
              <w:rPr/>
            </w:pPr>
            <w:r>
              <w:rPr/>
              <w:t> </w:t>
            </w:r>
          </w:p>
        </w:tc>
        <w:tc>
          <w:tcPr>
            <w:tcW w:w="38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8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39,522</w:t>
            </w:r>
          </w:p>
        </w:tc>
        <w:tc>
          <w:tcPr>
            <w:tcW w:w="191" w:type="dxa"/>
            <w:tcBorders/>
            <w:shd w:fill="auto" w:val="clear"/>
            <w:vAlign w:val="center"/>
          </w:tcPr>
          <w:p>
            <w:pPr>
              <w:pStyle w:val="TableContents"/>
              <w:spacing w:before="0" w:after="0"/>
              <w:ind w:left="0" w:right="0" w:hanging="0"/>
              <w:jc w:val="left"/>
              <w:rPr/>
            </w:pPr>
            <w:r>
              <w:rPr/>
              <w:t> </w:t>
            </w:r>
          </w:p>
        </w:tc>
      </w:tr>
      <w:tr>
        <w:trPr/>
        <w:tc>
          <w:tcPr>
            <w:tcW w:w="14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Capital Gains</w:t>
            </w:r>
          </w:p>
        </w:tc>
        <w:tc>
          <w:tcPr>
            <w:tcW w:w="146" w:type="dxa"/>
            <w:tcBorders/>
            <w:shd w:fill="auto" w:val="clear"/>
            <w:vAlign w:val="center"/>
          </w:tcPr>
          <w:p>
            <w:pPr>
              <w:pStyle w:val="TableContents"/>
              <w:spacing w:before="0" w:after="0"/>
              <w:ind w:left="0" w:right="0" w:hanging="0"/>
              <w:jc w:val="right"/>
              <w:rPr/>
            </w:pPr>
            <w:r>
              <w:rPr/>
              <w:t> </w:t>
            </w:r>
          </w:p>
        </w:tc>
        <w:tc>
          <w:tcPr>
            <w:tcW w:w="3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48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Total</w:t>
            </w:r>
          </w:p>
        </w:tc>
        <w:tc>
          <w:tcPr>
            <w:tcW w:w="146" w:type="dxa"/>
            <w:tcBorders/>
            <w:shd w:fill="auto" w:val="clear"/>
            <w:vAlign w:val="center"/>
          </w:tcPr>
          <w:p>
            <w:pPr>
              <w:pStyle w:val="TableContents"/>
              <w:spacing w:before="0" w:after="0"/>
              <w:ind w:left="0" w:right="0" w:hanging="0"/>
              <w:jc w:val="right"/>
              <w:rPr/>
            </w:pPr>
            <w:r>
              <w:rPr/>
              <w:t> </w:t>
            </w:r>
          </w:p>
        </w:tc>
        <w:tc>
          <w:tcPr>
            <w:tcW w:w="3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44,764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39,522</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tax basis components of distributable earnings as of March 31, 2023 and December 31, 2022 were as follows:</w:t>
      </w:r>
    </w:p>
    <w:p>
      <w:pPr>
        <w:pStyle w:val="TextBody"/>
        <w:spacing w:before="0" w:after="0"/>
        <w:jc w:val="left"/>
        <w:rPr/>
      </w:pPr>
      <w:r>
        <w:rPr/>
        <w:t> </w:t>
      </w:r>
    </w:p>
    <w:tbl>
      <w:tblPr>
        <w:tblW w:w="7820" w:type="dxa"/>
        <w:jc w:val="left"/>
        <w:tblInd w:w="0" w:type="dxa"/>
        <w:tblCellMar>
          <w:top w:w="28" w:type="dxa"/>
          <w:left w:w="28" w:type="dxa"/>
          <w:bottom w:w="28" w:type="dxa"/>
          <w:right w:w="28" w:type="dxa"/>
        </w:tblCellMar>
      </w:tblPr>
      <w:tblGrid>
        <w:gridCol w:w="3991"/>
        <w:gridCol w:w="146"/>
        <w:gridCol w:w="280"/>
        <w:gridCol w:w="980"/>
        <w:gridCol w:w="166"/>
        <w:gridCol w:w="146"/>
        <w:gridCol w:w="334"/>
        <w:gridCol w:w="1166"/>
        <w:gridCol w:w="611"/>
      </w:tblGrid>
      <w:tr>
        <w:trPr/>
        <w:tc>
          <w:tcPr>
            <w:tcW w:w="39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39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Undistributed net investment income - tax basis</w:t>
            </w:r>
          </w:p>
        </w:tc>
        <w:tc>
          <w:tcPr>
            <w:tcW w:w="146" w:type="dxa"/>
            <w:tcBorders/>
            <w:shd w:fill="auto" w:val="clear"/>
            <w:vAlign w:val="center"/>
          </w:tcPr>
          <w:p>
            <w:pPr>
              <w:pStyle w:val="TableContents"/>
              <w:spacing w:before="0" w:after="0"/>
              <w:ind w:left="0" w:right="0" w:hanging="0"/>
              <w:jc w:val="right"/>
              <w:rPr/>
            </w:pPr>
            <w:r>
              <w:rPr/>
              <w:t> </w:t>
            </w:r>
          </w:p>
        </w:tc>
        <w:tc>
          <w:tcPr>
            <w:tcW w:w="2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37,618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36,436</w:t>
            </w:r>
          </w:p>
        </w:tc>
        <w:tc>
          <w:tcPr>
            <w:tcW w:w="611" w:type="dxa"/>
            <w:tcBorders/>
            <w:shd w:fill="auto" w:val="clear"/>
            <w:vAlign w:val="center"/>
          </w:tcPr>
          <w:p>
            <w:pPr>
              <w:pStyle w:val="TableContents"/>
              <w:spacing w:before="0" w:after="0"/>
              <w:ind w:left="0" w:right="0" w:hanging="0"/>
              <w:jc w:val="left"/>
              <w:rPr/>
            </w:pPr>
            <w:r>
              <w:rPr/>
              <w:t> </w:t>
            </w:r>
          </w:p>
        </w:tc>
      </w:tr>
      <w:tr>
        <w:trPr/>
        <w:tc>
          <w:tcPr>
            <w:tcW w:w="39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Undistributed net realized gains - tax basis</w:t>
            </w:r>
          </w:p>
        </w:tc>
        <w:tc>
          <w:tcPr>
            <w:tcW w:w="146" w:type="dxa"/>
            <w:tcBorders/>
            <w:shd w:fill="auto" w:val="clear"/>
            <w:vAlign w:val="center"/>
          </w:tcPr>
          <w:p>
            <w:pPr>
              <w:pStyle w:val="TableContents"/>
              <w:spacing w:before="0" w:after="0"/>
              <w:ind w:left="0" w:right="0" w:hanging="0"/>
              <w:jc w:val="righ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33,323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4" w:type="dxa"/>
            <w:tcBorders/>
            <w:shd w:fill="auto" w:val="clear"/>
            <w:vAlign w:val="center"/>
          </w:tcPr>
          <w:p>
            <w:pPr>
              <w:pStyle w:val="TableContents"/>
              <w:spacing w:before="0" w:after="0"/>
              <w:ind w:left="0" w:right="0" w:hanging="0"/>
              <w:jc w:val="left"/>
              <w:rPr/>
            </w:pPr>
            <w:r>
              <w:rPr/>
              <w:t> </w:t>
            </w:r>
          </w:p>
        </w:tc>
        <w:tc>
          <w:tcPr>
            <w:tcW w:w="11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26,377</w:t>
            </w:r>
          </w:p>
        </w:tc>
        <w:tc>
          <w:tcPr>
            <w:tcW w:w="611" w:type="dxa"/>
            <w:tcBorders/>
            <w:shd w:fill="auto" w:val="clear"/>
            <w:vAlign w:val="center"/>
          </w:tcPr>
          <w:p>
            <w:pPr>
              <w:pStyle w:val="TableContents"/>
              <w:spacing w:before="0" w:after="0"/>
              <w:ind w:left="0" w:right="0" w:hanging="0"/>
              <w:jc w:val="left"/>
              <w:rPr/>
            </w:pPr>
            <w:r>
              <w:rPr/>
              <w:t> </w:t>
            </w:r>
          </w:p>
        </w:tc>
      </w:tr>
      <w:tr>
        <w:trPr/>
        <w:tc>
          <w:tcPr>
            <w:tcW w:w="39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unrealized gains on investments</w:t>
            </w:r>
          </w:p>
        </w:tc>
        <w:tc>
          <w:tcPr>
            <w:tcW w:w="146" w:type="dxa"/>
            <w:tcBorders/>
            <w:shd w:fill="auto" w:val="clear"/>
            <w:vAlign w:val="center"/>
          </w:tcPr>
          <w:p>
            <w:pPr>
              <w:pStyle w:val="TableContents"/>
              <w:spacing w:before="0" w:after="0"/>
              <w:ind w:left="0" w:right="0" w:hanging="0"/>
              <w:jc w:val="right"/>
              <w:rPr/>
            </w:pPr>
            <w:r>
              <w:rPr/>
              <w:t> </w:t>
            </w:r>
          </w:p>
        </w:tc>
        <w:tc>
          <w:tcPr>
            <w:tcW w:w="280" w:type="dxa"/>
            <w:tcBorders/>
            <w:shd w:fill="auto" w:val="clear"/>
            <w:vAlign w:val="center"/>
          </w:tcPr>
          <w:p>
            <w:pPr>
              <w:pStyle w:val="TableContents"/>
              <w:spacing w:before="0" w:after="0"/>
              <w:ind w:left="0" w:right="0" w:hanging="0"/>
              <w:jc w:val="left"/>
              <w:rPr/>
            </w:pPr>
            <w:r>
              <w:rPr/>
              <w:t> </w:t>
            </w:r>
          </w:p>
        </w:tc>
        <w:tc>
          <w:tcPr>
            <w:tcW w:w="98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4" w:type="dxa"/>
            <w:tcBorders/>
            <w:shd w:fill="auto" w:val="clear"/>
            <w:vAlign w:val="center"/>
          </w:tcPr>
          <w:p>
            <w:pPr>
              <w:pStyle w:val="TableContents"/>
              <w:spacing w:before="0" w:after="0"/>
              <w:ind w:left="0" w:right="0" w:hanging="0"/>
              <w:jc w:val="left"/>
              <w:rPr/>
            </w:pPr>
            <w:r>
              <w:rPr/>
              <w:t> </w:t>
            </w:r>
          </w:p>
        </w:tc>
        <w:tc>
          <w:tcPr>
            <w:tcW w:w="11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3,823</w:t>
            </w:r>
          </w:p>
        </w:tc>
        <w:tc>
          <w:tcPr>
            <w:tcW w:w="611" w:type="dxa"/>
            <w:tcBorders/>
            <w:shd w:fill="auto" w:val="clear"/>
            <w:vAlign w:val="center"/>
          </w:tcPr>
          <w:p>
            <w:pPr>
              <w:pStyle w:val="TableContents"/>
              <w:spacing w:before="0" w:after="0"/>
              <w:ind w:left="0" w:right="0" w:hanging="0"/>
              <w:jc w:val="left"/>
              <w:rPr/>
            </w:pPr>
            <w:r>
              <w:rPr/>
              <w:t> </w:t>
            </w:r>
          </w:p>
        </w:tc>
      </w:tr>
      <w:tr>
        <w:trPr/>
        <w:tc>
          <w:tcPr>
            <w:tcW w:w="39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temporary differences</w:t>
            </w:r>
          </w:p>
        </w:tc>
        <w:tc>
          <w:tcPr>
            <w:tcW w:w="146" w:type="dxa"/>
            <w:tcBorders/>
            <w:shd w:fill="auto" w:val="clear"/>
            <w:vAlign w:val="center"/>
          </w:tcPr>
          <w:p>
            <w:pPr>
              <w:pStyle w:val="TableContents"/>
              <w:spacing w:before="0" w:after="0"/>
              <w:ind w:left="0" w:right="0" w:hanging="0"/>
              <w:jc w:val="right"/>
              <w:rPr/>
            </w:pPr>
            <w:r>
              <w:rPr/>
              <w:t> </w:t>
            </w:r>
          </w:p>
        </w:tc>
        <w:tc>
          <w:tcPr>
            <w:tcW w:w="2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(11,913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3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(10,180</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991" w:type="dxa"/>
            <w:tcBorders/>
            <w:shd w:fill="auto" w:val="clear"/>
            <w:vAlign w:val="center"/>
          </w:tcPr>
          <w:p>
            <w:pPr>
              <w:pStyle w:val="TableContents"/>
              <w:spacing w:before="0" w:after="0"/>
              <w:ind w:left="400" w:right="0" w:hanging="0"/>
              <w:jc w:val="left"/>
              <w:rPr>
                <w:rFonts w:ascii="Times New Roman;serif" w:hAnsi="Times New Roman;serif"/>
                <w:b/>
                <w:sz w:val="20"/>
              </w:rPr>
            </w:pPr>
            <w:r>
              <w:rPr>
                <w:rFonts w:ascii="Times New Roman;serif" w:hAnsi="Times New Roman;serif"/>
                <w:b/>
                <w:sz w:val="20"/>
              </w:rPr>
              <w:t>Total distributable earnings - book basis</w:t>
            </w:r>
          </w:p>
        </w:tc>
        <w:tc>
          <w:tcPr>
            <w:tcW w:w="146" w:type="dxa"/>
            <w:tcBorders/>
            <w:shd w:fill="auto" w:val="clear"/>
            <w:vAlign w:val="center"/>
          </w:tcPr>
          <w:p>
            <w:pPr>
              <w:pStyle w:val="TableContents"/>
              <w:spacing w:before="0" w:after="0"/>
              <w:ind w:left="0" w:right="0" w:hanging="0"/>
              <w:jc w:val="right"/>
              <w:rPr/>
            </w:pPr>
            <w:r>
              <w:rPr/>
              <w:t> </w:t>
            </w:r>
          </w:p>
        </w:tc>
        <w:tc>
          <w:tcPr>
            <w:tcW w:w="2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65,047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3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56,456</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The following reconciles increase in net assets resulting from operations for the three months ended March 31, 2023 and 2022 to taxable income at March 31, 2023, and 2022:</w:t>
      </w:r>
    </w:p>
    <w:p>
      <w:pPr>
        <w:pStyle w:val="TextBody"/>
        <w:spacing w:before="0" w:after="0"/>
        <w:jc w:val="left"/>
        <w:rPr/>
      </w:pPr>
      <w:r>
        <w:rPr/>
        <w:t> </w:t>
      </w:r>
    </w:p>
    <w:tbl>
      <w:tblPr>
        <w:tblW w:w="8045" w:type="dxa"/>
        <w:jc w:val="left"/>
        <w:tblInd w:w="0" w:type="dxa"/>
        <w:tblCellMar>
          <w:top w:w="28" w:type="dxa"/>
          <w:left w:w="28" w:type="dxa"/>
          <w:bottom w:w="28" w:type="dxa"/>
          <w:right w:w="28" w:type="dxa"/>
        </w:tblCellMar>
      </w:tblPr>
      <w:tblGrid>
        <w:gridCol w:w="3706"/>
        <w:gridCol w:w="186"/>
        <w:gridCol w:w="382"/>
        <w:gridCol w:w="1223"/>
        <w:gridCol w:w="166"/>
        <w:gridCol w:w="186"/>
        <w:gridCol w:w="382"/>
        <w:gridCol w:w="1223"/>
        <w:gridCol w:w="591"/>
      </w:tblGrid>
      <w:tr>
        <w:trPr/>
        <w:tc>
          <w:tcPr>
            <w:tcW w:w="370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370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right"/>
              <w:rPr/>
            </w:pPr>
            <w:r>
              <w:rPr/>
              <w:t> </w:t>
            </w:r>
          </w:p>
        </w:tc>
        <w:tc>
          <w:tcPr>
            <w:tcW w:w="160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shd w:fill="auto" w:val="clear"/>
            <w:vAlign w:val="center"/>
          </w:tcPr>
          <w:p>
            <w:pPr>
              <w:pStyle w:val="TableContents"/>
              <w:spacing w:before="0" w:after="0"/>
              <w:ind w:left="0" w:right="0" w:hanging="0"/>
              <w:jc w:val="center"/>
              <w:rPr/>
            </w:pPr>
            <w:r>
              <w:rPr/>
              <w:t> </w:t>
            </w:r>
          </w:p>
        </w:tc>
        <w:tc>
          <w:tcPr>
            <w:tcW w:w="186" w:type="dxa"/>
            <w:tcBorders/>
            <w:shd w:fill="auto" w:val="clear"/>
            <w:vAlign w:val="center"/>
          </w:tcPr>
          <w:p>
            <w:pPr>
              <w:pStyle w:val="TableContents"/>
              <w:spacing w:before="0" w:after="0"/>
              <w:ind w:left="0" w:right="0" w:hanging="0"/>
              <w:jc w:val="right"/>
              <w:rPr/>
            </w:pPr>
            <w:r>
              <w:rPr/>
              <w:t> </w:t>
            </w:r>
          </w:p>
        </w:tc>
        <w:tc>
          <w:tcPr>
            <w:tcW w:w="160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591" w:type="dxa"/>
            <w:tcBorders/>
            <w:shd w:fill="auto" w:val="clear"/>
            <w:vAlign w:val="center"/>
          </w:tcPr>
          <w:p>
            <w:pPr>
              <w:pStyle w:val="TableContents"/>
              <w:spacing w:before="0" w:after="0"/>
              <w:ind w:left="0" w:right="0" w:hanging="0"/>
              <w:jc w:val="center"/>
              <w:rPr/>
            </w:pPr>
            <w:r>
              <w:rPr/>
              <w:t> </w:t>
            </w:r>
          </w:p>
        </w:tc>
      </w:tr>
      <w:tr>
        <w:trPr/>
        <w:tc>
          <w:tcPr>
            <w:tcW w:w="370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right"/>
              <w:rPr/>
            </w:pPr>
            <w:r>
              <w:rPr/>
              <w:t> </w:t>
            </w:r>
          </w:p>
        </w:tc>
        <w:tc>
          <w:tcPr>
            <w:tcW w:w="16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6" w:type="dxa"/>
            <w:tcBorders/>
            <w:shd w:fill="auto" w:val="clear"/>
            <w:vAlign w:val="center"/>
          </w:tcPr>
          <w:p>
            <w:pPr>
              <w:pStyle w:val="TableContents"/>
              <w:spacing w:before="0" w:after="0"/>
              <w:ind w:left="0" w:right="0" w:hanging="0"/>
              <w:jc w:val="right"/>
              <w:rPr/>
            </w:pPr>
            <w:r>
              <w:rPr/>
              <w:t> </w:t>
            </w:r>
          </w:p>
        </w:tc>
        <w:tc>
          <w:tcPr>
            <w:tcW w:w="16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Increase in net assets resulting from</w:t>
              <w:br/>
              <w:t>   operations</w:t>
            </w:r>
          </w:p>
        </w:tc>
        <w:tc>
          <w:tcPr>
            <w:tcW w:w="186" w:type="dxa"/>
            <w:tcBorders/>
            <w:shd w:fill="auto" w:val="clear"/>
            <w:vAlign w:val="center"/>
          </w:tcPr>
          <w:p>
            <w:pPr>
              <w:pStyle w:val="TableContents"/>
              <w:spacing w:before="0" w:after="0"/>
              <w:ind w:left="0" w:right="0" w:hanging="0"/>
              <w:jc w:val="right"/>
              <w:rPr/>
            </w:pPr>
            <w:r>
              <w:rPr/>
              <w:t> </w:t>
            </w:r>
          </w:p>
        </w:tc>
        <w:tc>
          <w:tcPr>
            <w:tcW w:w="38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52,952</w:t>
            </w:r>
          </w:p>
        </w:tc>
        <w:tc>
          <w:tcPr>
            <w:tcW w:w="16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right"/>
              <w:rPr/>
            </w:pPr>
            <w:r>
              <w:rPr/>
              <w:t> </w:t>
            </w:r>
          </w:p>
        </w:tc>
        <w:tc>
          <w:tcPr>
            <w:tcW w:w="38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40,885</w:t>
            </w:r>
          </w:p>
        </w:tc>
        <w:tc>
          <w:tcPr>
            <w:tcW w:w="591" w:type="dxa"/>
            <w:tcBorders/>
            <w:shd w:fill="auto" w:val="clear"/>
            <w:vAlign w:val="center"/>
          </w:tcPr>
          <w:p>
            <w:pPr>
              <w:pStyle w:val="TableContents"/>
              <w:spacing w:before="0" w:after="0"/>
              <w:ind w:left="0" w:right="0" w:hanging="0"/>
              <w:jc w:val="left"/>
              <w:rPr/>
            </w:pPr>
            <w:r>
              <w:rPr/>
              <w:t> </w:t>
            </w:r>
          </w:p>
        </w:tc>
      </w:tr>
      <w:tr>
        <w:trPr/>
        <w:tc>
          <w:tcPr>
            <w:tcW w:w="37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w:t>
            </w:r>
          </w:p>
        </w:tc>
        <w:tc>
          <w:tcPr>
            <w:tcW w:w="186" w:type="dxa"/>
            <w:tcBorders/>
            <w:shd w:fill="auto" w:val="clear"/>
            <w:vAlign w:val="center"/>
          </w:tcPr>
          <w:p>
            <w:pPr>
              <w:pStyle w:val="TableContents"/>
              <w:spacing w:before="0" w:after="0"/>
              <w:ind w:left="0" w:right="0" w:firstLine="40"/>
              <w:jc w:val="right"/>
              <w:rPr/>
            </w:pPr>
            <w:r>
              <w:rPr/>
              <w:t> </w:t>
            </w:r>
          </w:p>
        </w:tc>
        <w:tc>
          <w:tcPr>
            <w:tcW w:w="1605" w:type="dxa"/>
            <w:gridSpan w:val="2"/>
            <w:tcBorders/>
            <w:shd w:fill="auto" w:val="clear"/>
            <w:vAlign w:val="center"/>
          </w:tcPr>
          <w:p>
            <w:pPr>
              <w:pStyle w:val="TableContents"/>
              <w:spacing w:before="0" w:after="0"/>
              <w:ind w:left="4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86" w:type="dxa"/>
            <w:tcBorders/>
            <w:shd w:fill="auto" w:val="clear"/>
            <w:vAlign w:val="center"/>
          </w:tcPr>
          <w:p>
            <w:pPr>
              <w:pStyle w:val="TableContents"/>
              <w:spacing w:before="0" w:after="0"/>
              <w:ind w:left="0" w:right="0" w:firstLine="40"/>
              <w:jc w:val="right"/>
              <w:rPr/>
            </w:pPr>
            <w:r>
              <w:rPr/>
              <w:t> </w:t>
            </w:r>
          </w:p>
        </w:tc>
        <w:tc>
          <w:tcPr>
            <w:tcW w:w="1605" w:type="dxa"/>
            <w:gridSpan w:val="2"/>
            <w:tcBorders/>
            <w:shd w:fill="auto" w:val="clear"/>
            <w:vAlign w:val="center"/>
          </w:tcPr>
          <w:p>
            <w:pPr>
              <w:pStyle w:val="TableContents"/>
              <w:spacing w:before="0" w:after="0"/>
              <w:ind w:left="4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37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unrealized (gains) losses on investments</w:t>
            </w:r>
          </w:p>
        </w:tc>
        <w:tc>
          <w:tcPr>
            <w:tcW w:w="186" w:type="dxa"/>
            <w:tcBorders/>
            <w:shd w:fill="auto" w:val="clear"/>
            <w:vAlign w:val="center"/>
          </w:tcPr>
          <w:p>
            <w:pPr>
              <w:pStyle w:val="TableContents"/>
              <w:spacing w:before="0" w:after="0"/>
              <w:ind w:left="0" w:right="0" w:hanging="0"/>
              <w:jc w:val="right"/>
              <w:rPr/>
            </w:pPr>
            <w:r>
              <w:rPr/>
              <w:t> </w:t>
            </w:r>
          </w:p>
        </w:tc>
        <w:tc>
          <w:tcPr>
            <w:tcW w:w="382" w:type="dxa"/>
            <w:tcBorders/>
            <w:shd w:fill="auto" w:val="clear"/>
            <w:vAlign w:val="center"/>
          </w:tcPr>
          <w:p>
            <w:pPr>
              <w:pStyle w:val="TableContents"/>
              <w:spacing w:before="0" w:after="0"/>
              <w:ind w:left="0" w:right="0" w:hanging="0"/>
              <w:jc w:val="left"/>
              <w:rPr/>
            </w:pPr>
            <w:r>
              <w:rPr/>
              <w:t> </w:t>
            </w:r>
          </w:p>
        </w:tc>
        <w:tc>
          <w:tcPr>
            <w:tcW w:w="12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(4,777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6" w:type="dxa"/>
            <w:tcBorders/>
            <w:shd w:fill="auto" w:val="clear"/>
            <w:vAlign w:val="center"/>
          </w:tcPr>
          <w:p>
            <w:pPr>
              <w:pStyle w:val="TableContents"/>
              <w:spacing w:before="0" w:after="0"/>
              <w:ind w:left="0" w:right="0" w:hanging="0"/>
              <w:jc w:val="right"/>
              <w:rPr/>
            </w:pPr>
            <w:r>
              <w:rPr/>
              <w:t> </w:t>
            </w:r>
          </w:p>
        </w:tc>
        <w:tc>
          <w:tcPr>
            <w:tcW w:w="382" w:type="dxa"/>
            <w:tcBorders/>
            <w:shd w:fill="auto" w:val="clear"/>
            <w:vAlign w:val="center"/>
          </w:tcPr>
          <w:p>
            <w:pPr>
              <w:pStyle w:val="TableContents"/>
              <w:spacing w:before="0" w:after="0"/>
              <w:ind w:left="0" w:right="0" w:hanging="0"/>
              <w:jc w:val="left"/>
              <w:rPr/>
            </w:pPr>
            <w:r>
              <w:rPr/>
              <w:t> </w:t>
            </w:r>
          </w:p>
        </w:tc>
        <w:tc>
          <w:tcPr>
            <w:tcW w:w="12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8,495</w:t>
            </w:r>
          </w:p>
        </w:tc>
        <w:tc>
          <w:tcPr>
            <w:tcW w:w="591" w:type="dxa"/>
            <w:tcBorders/>
            <w:shd w:fill="auto" w:val="clear"/>
            <w:vAlign w:val="center"/>
          </w:tcPr>
          <w:p>
            <w:pPr>
              <w:pStyle w:val="TableContents"/>
              <w:spacing w:before="0" w:after="0"/>
              <w:ind w:left="0" w:right="0" w:firstLine="200"/>
              <w:jc w:val="left"/>
              <w:rPr/>
            </w:pPr>
            <w:r>
              <w:rPr/>
              <w:t> </w:t>
            </w:r>
          </w:p>
        </w:tc>
      </w:tr>
      <w:tr>
        <w:trPr/>
        <w:tc>
          <w:tcPr>
            <w:tcW w:w="37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for tax purposes, not book</w:t>
            </w:r>
          </w:p>
        </w:tc>
        <w:tc>
          <w:tcPr>
            <w:tcW w:w="186" w:type="dxa"/>
            <w:tcBorders/>
            <w:shd w:fill="auto" w:val="clear"/>
            <w:vAlign w:val="center"/>
          </w:tcPr>
          <w:p>
            <w:pPr>
              <w:pStyle w:val="TableContents"/>
              <w:spacing w:before="0" w:after="0"/>
              <w:ind w:left="0" w:right="0" w:hanging="0"/>
              <w:jc w:val="right"/>
              <w:rPr/>
            </w:pPr>
            <w:r>
              <w:rPr/>
              <w:t> </w:t>
            </w:r>
          </w:p>
        </w:tc>
        <w:tc>
          <w:tcPr>
            <w:tcW w:w="382" w:type="dxa"/>
            <w:tcBorders/>
            <w:shd w:fill="auto" w:val="clear"/>
            <w:vAlign w:val="center"/>
          </w:tcPr>
          <w:p>
            <w:pPr>
              <w:pStyle w:val="TableContents"/>
              <w:spacing w:before="0" w:after="0"/>
              <w:ind w:left="0" w:right="0" w:hanging="0"/>
              <w:jc w:val="left"/>
              <w:rPr/>
            </w:pPr>
            <w:r>
              <w:rPr/>
              <w:t> </w:t>
            </w:r>
          </w:p>
        </w:tc>
        <w:tc>
          <w:tcPr>
            <w:tcW w:w="12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2,873</w:t>
            </w:r>
          </w:p>
        </w:tc>
        <w:tc>
          <w:tcPr>
            <w:tcW w:w="16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right"/>
              <w:rPr/>
            </w:pPr>
            <w:r>
              <w:rPr/>
              <w:t> </w:t>
            </w:r>
          </w:p>
        </w:tc>
        <w:tc>
          <w:tcPr>
            <w:tcW w:w="382" w:type="dxa"/>
            <w:tcBorders/>
            <w:shd w:fill="auto" w:val="clear"/>
            <w:vAlign w:val="center"/>
          </w:tcPr>
          <w:p>
            <w:pPr>
              <w:pStyle w:val="TableContents"/>
              <w:spacing w:before="0" w:after="0"/>
              <w:ind w:left="0" w:right="0" w:hanging="0"/>
              <w:jc w:val="left"/>
              <w:rPr/>
            </w:pPr>
            <w:r>
              <w:rPr/>
              <w:t> </w:t>
            </w:r>
          </w:p>
        </w:tc>
        <w:tc>
          <w:tcPr>
            <w:tcW w:w="12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999</w:t>
            </w:r>
          </w:p>
        </w:tc>
        <w:tc>
          <w:tcPr>
            <w:tcW w:w="591" w:type="dxa"/>
            <w:tcBorders/>
            <w:shd w:fill="auto" w:val="clear"/>
            <w:vAlign w:val="center"/>
          </w:tcPr>
          <w:p>
            <w:pPr>
              <w:pStyle w:val="TableContents"/>
              <w:spacing w:before="0" w:after="0"/>
              <w:ind w:left="0" w:right="0" w:firstLine="200"/>
              <w:jc w:val="left"/>
              <w:rPr/>
            </w:pPr>
            <w:r>
              <w:rPr/>
              <w:t> </w:t>
            </w:r>
          </w:p>
        </w:tc>
      </w:tr>
      <w:tr>
        <w:trPr/>
        <w:tc>
          <w:tcPr>
            <w:tcW w:w="37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organization costs</w:t>
            </w:r>
          </w:p>
        </w:tc>
        <w:tc>
          <w:tcPr>
            <w:tcW w:w="186" w:type="dxa"/>
            <w:tcBorders/>
            <w:shd w:fill="auto" w:val="clear"/>
            <w:vAlign w:val="center"/>
          </w:tcPr>
          <w:p>
            <w:pPr>
              <w:pStyle w:val="TableContents"/>
              <w:spacing w:before="0" w:after="0"/>
              <w:ind w:left="0" w:right="0" w:hanging="0"/>
              <w:jc w:val="right"/>
              <w:rPr/>
            </w:pPr>
            <w:r>
              <w:rPr/>
              <w:t> </w:t>
            </w:r>
          </w:p>
        </w:tc>
        <w:tc>
          <w:tcPr>
            <w:tcW w:w="382" w:type="dxa"/>
            <w:tcBorders/>
            <w:shd w:fill="auto" w:val="clear"/>
            <w:vAlign w:val="center"/>
          </w:tcPr>
          <w:p>
            <w:pPr>
              <w:pStyle w:val="TableContents"/>
              <w:spacing w:before="0" w:after="0"/>
              <w:ind w:left="0" w:right="0" w:hanging="0"/>
              <w:jc w:val="left"/>
              <w:rPr/>
            </w:pPr>
            <w:r>
              <w:rPr/>
              <w:t> </w:t>
            </w:r>
          </w:p>
        </w:tc>
        <w:tc>
          <w:tcPr>
            <w:tcW w:w="12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6" w:type="dxa"/>
            <w:tcBorders/>
            <w:shd w:fill="auto" w:val="clear"/>
            <w:vAlign w:val="center"/>
          </w:tcPr>
          <w:p>
            <w:pPr>
              <w:pStyle w:val="TableContents"/>
              <w:spacing w:before="0" w:after="0"/>
              <w:ind w:left="0" w:right="0" w:hanging="0"/>
              <w:jc w:val="right"/>
              <w:rPr/>
            </w:pPr>
            <w:r>
              <w:rPr/>
              <w:t> </w:t>
            </w:r>
          </w:p>
        </w:tc>
        <w:tc>
          <w:tcPr>
            <w:tcW w:w="382" w:type="dxa"/>
            <w:tcBorders/>
            <w:shd w:fill="auto" w:val="clear"/>
            <w:vAlign w:val="center"/>
          </w:tcPr>
          <w:p>
            <w:pPr>
              <w:pStyle w:val="TableContents"/>
              <w:spacing w:before="0" w:after="0"/>
              <w:ind w:left="0" w:right="0" w:hanging="0"/>
              <w:jc w:val="left"/>
              <w:rPr/>
            </w:pPr>
            <w:r>
              <w:rPr/>
              <w:t> </w:t>
            </w:r>
          </w:p>
        </w:tc>
        <w:tc>
          <w:tcPr>
            <w:tcW w:w="12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c>
          <w:tcPr>
            <w:tcW w:w="59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7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expenses not currently deductible</w:t>
            </w:r>
          </w:p>
        </w:tc>
        <w:tc>
          <w:tcPr>
            <w:tcW w:w="186" w:type="dxa"/>
            <w:tcBorders/>
            <w:shd w:fill="auto" w:val="clear"/>
            <w:vAlign w:val="center"/>
          </w:tcPr>
          <w:p>
            <w:pPr>
              <w:pStyle w:val="TableContents"/>
              <w:spacing w:before="0" w:after="0"/>
              <w:ind w:left="0" w:right="0" w:hanging="0"/>
              <w:jc w:val="right"/>
              <w:rPr/>
            </w:pPr>
            <w:r>
              <w:rPr/>
              <w:t> </w:t>
            </w:r>
          </w:p>
        </w:tc>
        <w:tc>
          <w:tcPr>
            <w:tcW w:w="382" w:type="dxa"/>
            <w:tcBorders/>
            <w:shd w:fill="auto" w:val="clear"/>
            <w:vAlign w:val="center"/>
          </w:tcPr>
          <w:p>
            <w:pPr>
              <w:pStyle w:val="TableContents"/>
              <w:spacing w:before="0" w:after="0"/>
              <w:ind w:left="0" w:right="0" w:hanging="0"/>
              <w:jc w:val="left"/>
              <w:rPr/>
            </w:pPr>
            <w:r>
              <w:rPr/>
              <w:t> </w:t>
            </w:r>
          </w:p>
        </w:tc>
        <w:tc>
          <w:tcPr>
            <w:tcW w:w="12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403</w:t>
            </w:r>
          </w:p>
        </w:tc>
        <w:tc>
          <w:tcPr>
            <w:tcW w:w="16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right"/>
              <w:rPr/>
            </w:pPr>
            <w:r>
              <w:rPr/>
              <w:t> </w:t>
            </w:r>
          </w:p>
        </w:tc>
        <w:tc>
          <w:tcPr>
            <w:tcW w:w="382" w:type="dxa"/>
            <w:tcBorders/>
            <w:shd w:fill="auto" w:val="clear"/>
            <w:vAlign w:val="center"/>
          </w:tcPr>
          <w:p>
            <w:pPr>
              <w:pStyle w:val="TableContents"/>
              <w:spacing w:before="0" w:after="0"/>
              <w:ind w:left="0" w:right="0" w:hanging="0"/>
              <w:jc w:val="left"/>
              <w:rPr/>
            </w:pPr>
            <w:r>
              <w:rPr/>
              <w:t> </w:t>
            </w:r>
          </w:p>
        </w:tc>
        <w:tc>
          <w:tcPr>
            <w:tcW w:w="12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351</w:t>
            </w:r>
          </w:p>
        </w:tc>
        <w:tc>
          <w:tcPr>
            <w:tcW w:w="591" w:type="dxa"/>
            <w:tcBorders/>
            <w:shd w:fill="auto" w:val="clear"/>
            <w:vAlign w:val="center"/>
          </w:tcPr>
          <w:p>
            <w:pPr>
              <w:pStyle w:val="TableContents"/>
              <w:spacing w:before="0" w:after="0"/>
              <w:ind w:left="0" w:right="0" w:firstLine="200"/>
              <w:jc w:val="left"/>
              <w:rPr/>
            </w:pPr>
            <w:r>
              <w:rPr/>
              <w:t> </w:t>
            </w:r>
          </w:p>
        </w:tc>
      </w:tr>
      <w:tr>
        <w:trPr/>
        <w:tc>
          <w:tcPr>
            <w:tcW w:w="37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book-tax differences</w:t>
            </w:r>
          </w:p>
        </w:tc>
        <w:tc>
          <w:tcPr>
            <w:tcW w:w="186" w:type="dxa"/>
            <w:tcBorders/>
            <w:shd w:fill="auto" w:val="clear"/>
            <w:vAlign w:val="center"/>
          </w:tcPr>
          <w:p>
            <w:pPr>
              <w:pStyle w:val="TableContents"/>
              <w:spacing w:before="0" w:after="0"/>
              <w:ind w:left="0" w:right="0" w:hanging="0"/>
              <w:jc w:val="right"/>
              <w:rPr/>
            </w:pPr>
            <w:r>
              <w:rPr/>
              <w:t> </w:t>
            </w:r>
          </w:p>
        </w:tc>
        <w:tc>
          <w:tcPr>
            <w:tcW w:w="3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right"/>
              <w:rPr/>
            </w:pPr>
            <w:r>
              <w:rPr/>
              <w:t> </w:t>
            </w:r>
          </w:p>
        </w:tc>
        <w:tc>
          <w:tcPr>
            <w:tcW w:w="3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1,475</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3706" w:type="dxa"/>
            <w:tcBorders/>
            <w:shd w:fill="auto" w:val="clear"/>
            <w:vAlign w:val="center"/>
          </w:tcPr>
          <w:p>
            <w:pPr>
              <w:pStyle w:val="TableContents"/>
              <w:spacing w:before="0" w:after="0"/>
              <w:ind w:left="400" w:right="0" w:hanging="0"/>
              <w:jc w:val="left"/>
              <w:rPr>
                <w:rFonts w:ascii="Times New Roman;serif" w:hAnsi="Times New Roman;serif"/>
                <w:b/>
                <w:sz w:val="20"/>
              </w:rPr>
            </w:pPr>
            <w:r>
              <w:rPr>
                <w:rFonts w:ascii="Times New Roman;serif" w:hAnsi="Times New Roman;serif"/>
                <w:b/>
                <w:sz w:val="20"/>
              </w:rPr>
              <w:t>Taxable Income</w:t>
            </w:r>
          </w:p>
        </w:tc>
        <w:tc>
          <w:tcPr>
            <w:tcW w:w="186" w:type="dxa"/>
            <w:tcBorders/>
            <w:shd w:fill="auto" w:val="clear"/>
            <w:vAlign w:val="center"/>
          </w:tcPr>
          <w:p>
            <w:pPr>
              <w:pStyle w:val="TableContents"/>
              <w:spacing w:before="0" w:after="0"/>
              <w:ind w:left="0" w:right="0" w:hanging="0"/>
              <w:jc w:val="right"/>
              <w:rPr/>
            </w:pPr>
            <w:r>
              <w:rPr/>
              <w:t> </w:t>
            </w:r>
          </w:p>
        </w:tc>
        <w:tc>
          <w:tcPr>
            <w:tcW w:w="3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52,891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right"/>
              <w:rPr/>
            </w:pPr>
            <w:r>
              <w:rPr/>
              <w:t> </w:t>
            </w:r>
          </w:p>
        </w:tc>
        <w:tc>
          <w:tcPr>
            <w:tcW w:w="3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52,180</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Note: Taxable income is an estimate and is not fully determined until the Company’s tax return is filed. The Company’s tax year end is March 31st.</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or distributable earnings, as appropriate. In addition, due to the Company’s differing fiscal, tax, and excise tax year ends, the best estimates available are recorded to the above accounts in the period that such differences arise or are identifiable.</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During the three months ended March 31, 2023 and 2022, the Company increased distributable earnings and decreased additional paid in capital by $0.4</w:t>
      </w:r>
      <w:r>
        <w:rPr>
          <w:rFonts w:ascii="Times New Roman" w:hAnsi="Times New Roman"/>
          <w:sz w:val="20"/>
        </w:rPr>
        <w:t xml:space="preserve"> </w:t>
      </w:r>
      <w:r>
        <w:rPr>
          <w:rFonts w:ascii="Times New Roman;serif" w:hAnsi="Times New Roman;serif"/>
          <w:b w:val="false"/>
          <w:sz w:val="20"/>
        </w:rPr>
        <w:t>million and $0.4</w:t>
      </w:r>
      <w:r>
        <w:rPr>
          <w:rFonts w:ascii="Times New Roman" w:hAnsi="Times New Roman"/>
          <w:sz w:val="20"/>
        </w:rPr>
        <w:t xml:space="preserve"> </w:t>
      </w:r>
      <w:r>
        <w:rPr>
          <w:rFonts w:ascii="Times New Roman;serif" w:hAnsi="Times New Roman;serif"/>
          <w:b w:val="false"/>
          <w:sz w:val="20"/>
        </w:rPr>
        <w:t>million, respectively, which was primarily attributable to reclassification of income and U.S. federal excise taxes.</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Company’s wholly-owned subsidiary, Sixth Street SL Holding, LLC, is a taxable subsidiary in which the Company holds certain equity investments. Sixth Street SL Holding, LLC is not consolidated for U.S. federal income tax purposes and may generate income tax expense as a result of its ownership of certain portfolio companies. The income tax expense, or benefit, and the related tax assets and liabilities, if any, are reflected in our Statement of Operations.</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As of March 31, 2023, the Company had a deferred tax liability of $3.4</w:t>
      </w:r>
      <w:r>
        <w:rPr>
          <w:rFonts w:ascii="Times New Roman" w:hAnsi="Times New Roman"/>
          <w:sz w:val="20"/>
        </w:rPr>
        <w:t xml:space="preserve"> </w:t>
      </w:r>
      <w:r>
        <w:rPr>
          <w:rFonts w:ascii="Times New Roman;serif" w:hAnsi="Times New Roman;serif"/>
          <w:b w:val="false"/>
          <w:sz w:val="20"/>
        </w:rPr>
        <w:t>million, pertaining to net operating losses and unrealized gains related to eight of its investments. Given the unrealized gains generated by this entity, the deferred tax liability has been offset by a deferred tax asset of $0.9</w:t>
      </w:r>
      <w:r>
        <w:rPr>
          <w:rFonts w:ascii="Times New Roman" w:hAnsi="Times New Roman"/>
          <w:sz w:val="20"/>
        </w:rPr>
        <w:t xml:space="preserve"> </w:t>
      </w:r>
      <w:r>
        <w:rPr>
          <w:rFonts w:ascii="Times New Roman;serif" w:hAnsi="Times New Roman;serif"/>
          <w:b w:val="false"/>
          <w:sz w:val="20"/>
        </w:rPr>
        <w:t>million pertaining to operating losses.</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42</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As of December 31, 2022, the Company had a deferred tax liability of $3.3</w:t>
      </w:r>
      <w:r>
        <w:rPr>
          <w:rFonts w:ascii="Times New Roman" w:hAnsi="Times New Roman"/>
          <w:sz w:val="20"/>
        </w:rPr>
        <w:t xml:space="preserve"> </w:t>
      </w:r>
      <w:r>
        <w:rPr>
          <w:rFonts w:ascii="Times New Roman;serif" w:hAnsi="Times New Roman;serif"/>
          <w:b w:val="false"/>
          <w:sz w:val="20"/>
        </w:rPr>
        <w:t>million pertaining to unrealized gains, related to five of its investments. Given the unrealized gains generated by this entity, the deferred tax liability has been offset by a deferred tax asset of $0.8</w:t>
      </w:r>
      <w:r>
        <w:rPr>
          <w:rFonts w:ascii="Times New Roman" w:hAnsi="Times New Roman"/>
          <w:sz w:val="20"/>
        </w:rPr>
        <w:t xml:space="preserve"> </w:t>
      </w:r>
      <w:r>
        <w:rPr>
          <w:rFonts w:ascii="Times New Roman;serif" w:hAnsi="Times New Roman;serif"/>
          <w:b w:val="false"/>
          <w:sz w:val="20"/>
        </w:rPr>
        <w:t>million pertaining to operating losses.</w:t>
      </w:r>
    </w:p>
    <w:p>
      <w:pPr>
        <w:pStyle w:val="TextBody"/>
        <w:spacing w:before="0" w:after="0"/>
        <w:jc w:val="left"/>
        <w:rPr>
          <w:rFonts w:ascii="Times New Roman" w:hAnsi="Times New Roman"/>
          <w:sz w:val="20"/>
        </w:rPr>
      </w:pPr>
      <w:r>
        <w:rPr>
          <w:rFonts w:ascii="Times New Roman;serif" w:hAnsi="Times New Roman;serif"/>
          <w:b w:val="false"/>
          <w:sz w:val="20"/>
        </w:rPr>
        <w:t>During the period April 1, 2022 through March 31, 2023, the Company’s estimated U.S. federal taxable income exceeded its distributions made from such taxable income during the tax year; consequently, the Company has elected to carry forward the excess for distribution to shareholders. The amount carried forward is estimated to be approximately $71.0</w:t>
      </w:r>
      <w:r>
        <w:rPr>
          <w:rFonts w:ascii="Times New Roman" w:hAnsi="Times New Roman"/>
          <w:sz w:val="20"/>
        </w:rPr>
        <w:t xml:space="preserve"> </w:t>
      </w:r>
      <w:r>
        <w:rPr>
          <w:rFonts w:ascii="Times New Roman;serif" w:hAnsi="Times New Roman;serif"/>
          <w:b w:val="false"/>
          <w:sz w:val="20"/>
        </w:rPr>
        <w:t>million, all of which is expected to be ordinary income, although these amounts will not be finalized until the 2022 tax returns are filed in 2023.</w:t>
      </w:r>
    </w:p>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To the extent that the Company determines that its estimated current year annual taxable income will exceed its estimated current year dividends from such taxable income, the Company accrues excise tax on estimated excess taxable income. For the three months ended March 31, 2023 and 2022, a net expense of $0.4</w:t>
      </w:r>
      <w:r>
        <w:rPr>
          <w:rFonts w:ascii="Times New Roman" w:hAnsi="Times New Roman"/>
          <w:sz w:val="20"/>
        </w:rPr>
        <w:t xml:space="preserve"> </w:t>
      </w:r>
      <w:r>
        <w:rPr>
          <w:rFonts w:ascii="Times New Roman;serif" w:hAnsi="Times New Roman;serif"/>
          <w:b w:val="false"/>
          <w:sz w:val="20"/>
        </w:rPr>
        <w:t>million and $0.4</w:t>
      </w:r>
      <w:r>
        <w:rPr>
          <w:rFonts w:ascii="Times New Roman" w:hAnsi="Times New Roman"/>
          <w:sz w:val="20"/>
        </w:rPr>
        <w:t xml:space="preserve"> </w:t>
      </w:r>
      <w:r>
        <w:rPr>
          <w:rFonts w:ascii="Times New Roman;serif" w:hAnsi="Times New Roman;serif"/>
          <w:b w:val="false"/>
          <w:sz w:val="20"/>
        </w:rPr>
        <w:t>million, respectively, was recorded for U.S. federal excise tax.</w:t>
      </w:r>
    </w:p>
    <w:p>
      <w:pPr>
        <w:pStyle w:val="TextBody"/>
        <w:spacing w:before="360" w:after="0"/>
        <w:jc w:val="left"/>
        <w:rPr>
          <w:rFonts w:ascii="Times New Roman" w:hAnsi="Times New Roman"/>
          <w:sz w:val="20"/>
        </w:rPr>
      </w:pPr>
      <w:r>
        <w:rPr>
          <w:rFonts w:ascii="Times New Roman;serif" w:hAnsi="Times New Roman;serif"/>
          <w:b/>
          <w:sz w:val="20"/>
        </w:rPr>
        <w:t>13. Financial Highlights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per share data and ratios have been derived from information provided in the consolidated financial statements. The following are the financial highlights for one share of common stock outstanding during the three months ended March 31, 2023 and 2022.</w:t>
      </w:r>
    </w:p>
    <w:tbl>
      <w:tblPr>
        <w:tblW w:w="7315" w:type="dxa"/>
        <w:jc w:val="left"/>
        <w:tblInd w:w="0" w:type="dxa"/>
        <w:tblCellMar>
          <w:top w:w="28" w:type="dxa"/>
          <w:left w:w="28" w:type="dxa"/>
          <w:bottom w:w="28" w:type="dxa"/>
          <w:right w:w="28" w:type="dxa"/>
        </w:tblCellMar>
      </w:tblPr>
      <w:tblGrid>
        <w:gridCol w:w="3151"/>
        <w:gridCol w:w="146"/>
        <w:gridCol w:w="271"/>
        <w:gridCol w:w="1334"/>
        <w:gridCol w:w="271"/>
        <w:gridCol w:w="146"/>
        <w:gridCol w:w="271"/>
        <w:gridCol w:w="1334"/>
        <w:gridCol w:w="391"/>
      </w:tblGrid>
      <w:tr>
        <w:trPr/>
        <w:tc>
          <w:tcPr>
            <w:tcW w:w="3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33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334"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0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2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0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391" w:type="dxa"/>
            <w:tcBorders/>
            <w:shd w:fill="auto" w:val="clear"/>
            <w:vAlign w:val="center"/>
          </w:tcPr>
          <w:p>
            <w:pPr>
              <w:pStyle w:val="TableContents"/>
              <w:spacing w:before="0" w:after="0"/>
              <w:ind w:left="0" w:right="0" w:hanging="0"/>
              <w:jc w:val="center"/>
              <w:rPr/>
            </w:pPr>
            <w:r>
              <w:rPr/>
              <w:t> </w:t>
            </w:r>
          </w:p>
        </w:tc>
      </w:tr>
      <w:tr>
        <w:trPr/>
        <w:tc>
          <w:tcPr>
            <w:tcW w:w="3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15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20"/>
              </w:rPr>
              <w:t xml:space="preserve">Per Share Data </w:t>
            </w:r>
            <w:r>
              <w:rPr>
                <w:rFonts w:ascii="Times New Roman;serif" w:hAnsi="Times New Roman;serif"/>
                <w:b/>
                <w:sz w:val="13"/>
              </w:rPr>
              <w:t>(8)</w:t>
            </w:r>
          </w:p>
        </w:tc>
        <w:tc>
          <w:tcPr>
            <w:tcW w:w="146" w:type="dxa"/>
            <w:tcBorders/>
            <w:shd w:fill="auto" w:val="clear"/>
            <w:vAlign w:val="center"/>
          </w:tcPr>
          <w:p>
            <w:pPr>
              <w:pStyle w:val="TableContents"/>
              <w:spacing w:before="0" w:after="0"/>
              <w:ind w:left="0" w:right="0" w:hanging="0"/>
              <w:jc w:val="left"/>
              <w:rPr/>
            </w:pPr>
            <w:r>
              <w:rPr/>
              <w:t> </w:t>
            </w:r>
          </w:p>
        </w:tc>
        <w:tc>
          <w:tcPr>
            <w:tcW w:w="1605"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05" w:type="dxa"/>
            <w:gridSpan w:val="2"/>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asset value, beginning of period</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16.48</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16.84</w:t>
            </w:r>
          </w:p>
        </w:tc>
        <w:tc>
          <w:tcPr>
            <w:tcW w:w="391" w:type="dxa"/>
            <w:tcBorders/>
            <w:shd w:fill="auto" w:val="cle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05"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0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15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Net investment income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3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0.53</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3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0.47</w:t>
            </w:r>
          </w:p>
        </w:tc>
        <w:tc>
          <w:tcPr>
            <w:tcW w:w="391" w:type="dxa"/>
            <w:tcBorders/>
            <w:shd w:fill="auto" w:val="cle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Net realized and unrealized </w:t>
              <w:br/>
              <w:t xml:space="preserve">   gain (loss)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0.12</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1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from operations</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3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0.65</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3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0.54</w:t>
            </w:r>
          </w:p>
        </w:tc>
        <w:tc>
          <w:tcPr>
            <w:tcW w:w="391" w:type="dxa"/>
            <w:tcBorders/>
            <w:shd w:fill="auto" w:val="cle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Issuance of common stock, net of</w:t>
              <w:br/>
              <w:t xml:space="preserve">   offering costs </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334" w:type="dxa"/>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3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0.02</w:t>
            </w:r>
          </w:p>
        </w:tc>
        <w:tc>
          <w:tcPr>
            <w:tcW w:w="391" w:type="dxa"/>
            <w:tcBorders/>
            <w:shd w:fill="auto" w:val="cle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Dividends declared from net</w:t>
              <w:br/>
              <w:t xml:space="preserve">   investment income </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(0.55</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increase (decrease) in net assets</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0.10</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Asset Value, End of Period</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16.59</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Per share market value at end of</w:t>
              <w:br/>
              <w:t>   period</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18.30</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23.29</w:t>
            </w:r>
          </w:p>
        </w:tc>
        <w:tc>
          <w:tcPr>
            <w:tcW w:w="391" w:type="dxa"/>
            <w:tcBorders/>
            <w:shd w:fill="auto" w:val="cle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Total return based on market value</w:t>
              <w:br/>
              <w:t xml:space="preserve">   with reinvestment of dividends </w:t>
            </w:r>
            <w:r>
              <w:rPr>
                <w:rFonts w:ascii="Times New Roman;serif" w:hAnsi="Times New Roman;serif"/>
                <w:b w:val="false"/>
                <w:sz w:val="13"/>
              </w:rPr>
              <w:t>(3)</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3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3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5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Total return based on market value </w:t>
            </w:r>
            <w:r>
              <w:rPr>
                <w:rFonts w:ascii="Times New Roman;serif" w:hAnsi="Times New Roman;serif"/>
                <w:b w:val="false"/>
                <w:sz w:val="13"/>
              </w:rPr>
              <w:t>(4)</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3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3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5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Total return based on net asset</w:t>
              <w:br/>
              <w:t xml:space="preserve">   value </w:t>
            </w:r>
            <w:r>
              <w:rPr>
                <w:rFonts w:ascii="Times New Roman;serif" w:hAnsi="Times New Roman;serif"/>
                <w:b w:val="false"/>
                <w:sz w:val="13"/>
              </w:rPr>
              <w:t>(5)</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3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3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3.33</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Shares Outstanding, End of Period</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3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81,751,865</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3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76,070,680</w:t>
            </w:r>
          </w:p>
        </w:tc>
        <w:tc>
          <w:tcPr>
            <w:tcW w:w="391" w:type="dxa"/>
            <w:tcBorders/>
            <w:shd w:fill="auto" w:val="clear"/>
            <w:vAlign w:val="center"/>
          </w:tcPr>
          <w:p>
            <w:pPr>
              <w:pStyle w:val="TableContents"/>
              <w:spacing w:before="0" w:after="0"/>
              <w:ind w:left="0" w:right="0" w:hanging="0"/>
              <w:jc w:val="left"/>
              <w:rPr/>
            </w:pPr>
            <w:r>
              <w:rPr/>
              <w:t> </w:t>
            </w:r>
          </w:p>
        </w:tc>
      </w:tr>
      <w:tr>
        <w:trPr/>
        <w:tc>
          <w:tcPr>
            <w:tcW w:w="315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20"/>
              </w:rPr>
              <w:t xml:space="preserve">Ratios / Supplemental Data </w:t>
            </w:r>
            <w:r>
              <w:rPr>
                <w:rFonts w:ascii="Times New Roman;serif" w:hAnsi="Times New Roman;serif"/>
                <w:b/>
                <w:sz w:val="13"/>
              </w:rPr>
              <w:t>(6)</w:t>
            </w:r>
          </w:p>
        </w:tc>
        <w:tc>
          <w:tcPr>
            <w:tcW w:w="146" w:type="dxa"/>
            <w:tcBorders/>
            <w:shd w:fill="auto" w:val="clear"/>
            <w:vAlign w:val="center"/>
          </w:tcPr>
          <w:p>
            <w:pPr>
              <w:pStyle w:val="TableContents"/>
              <w:spacing w:before="0" w:after="0"/>
              <w:ind w:left="0" w:right="0" w:hanging="0"/>
              <w:jc w:val="left"/>
              <w:rPr/>
            </w:pPr>
            <w:r>
              <w:rPr/>
              <w:t> </w:t>
            </w:r>
          </w:p>
        </w:tc>
        <w:tc>
          <w:tcPr>
            <w:tcW w:w="1605"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05"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15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Ratio of net expenses to average</w:t>
              <w:br/>
              <w:t xml:space="preserve">   net assets </w:t>
            </w:r>
            <w:r>
              <w:rPr>
                <w:rFonts w:ascii="Times New Roman;serif" w:hAnsi="Times New Roman;serif"/>
                <w:b w:val="false"/>
                <w:sz w:val="13"/>
              </w:rPr>
              <w:t>(7)</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3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15.89</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3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9.91</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Ratio of net investment income </w:t>
              <w:br/>
              <w:t>     to average net assets</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3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12.73</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3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11.16</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Portfolio turnover</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3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3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13.55</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1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assets, end of period</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1,356,005</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1,283,985</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The per share data was derived by using the weighted average shares outstanding during the period. </w:t>
      </w:r>
    </w:p>
    <w:p>
      <w:pPr>
        <w:pStyle w:val="TextBody"/>
        <w:spacing w:before="0" w:after="0"/>
        <w:jc w:val="left"/>
        <w:rPr>
          <w:rFonts w:ascii="Times New Roman" w:hAnsi="Times New Roman"/>
          <w:b w:val="false"/>
          <w:sz w:val="20"/>
        </w:rPr>
      </w:pPr>
      <w:r>
        <w:rPr>
          <w:rFonts w:ascii="Times New Roman" w:hAnsi="Times New Roman"/>
          <w:b w:val="false"/>
          <w:sz w:val="20"/>
        </w:rPr>
        <w:t>(2)</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The per share data was derived by using the actual shares outstanding at the date of the relevant transactions. </w:t>
      </w:r>
    </w:p>
    <w:p>
      <w:pPr>
        <w:pStyle w:val="TextBody"/>
        <w:spacing w:before="0" w:after="0"/>
        <w:jc w:val="left"/>
        <w:rPr>
          <w:rFonts w:ascii="Times New Roman" w:hAnsi="Times New Roman"/>
          <w:b w:val="false"/>
          <w:sz w:val="20"/>
        </w:rPr>
      </w:pPr>
      <w:r>
        <w:rPr>
          <w:rFonts w:ascii="Times New Roman" w:hAnsi="Times New Roman"/>
          <w:b w:val="false"/>
          <w:sz w:val="20"/>
        </w:rPr>
        <w:t>(3)</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Total return based on market value with dividends reinvested is calculated as the change in market value per share during the period plus declared dividends per share, assuming reinvestment of dividends, divided by the beginning market value per share. </w:t>
      </w:r>
    </w:p>
    <w:p>
      <w:pPr>
        <w:pStyle w:val="TextBody"/>
        <w:spacing w:before="0" w:after="0"/>
        <w:jc w:val="left"/>
        <w:rPr>
          <w:rFonts w:ascii="Times New Roman" w:hAnsi="Times New Roman"/>
          <w:b w:val="false"/>
          <w:sz w:val="20"/>
        </w:rPr>
      </w:pPr>
      <w:r>
        <w:rPr>
          <w:rFonts w:ascii="Times New Roman" w:hAnsi="Times New Roman"/>
          <w:b w:val="false"/>
          <w:sz w:val="20"/>
        </w:rPr>
        <w:t>(4)</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Total return based on market value is calculated as the change in market value per share during the period plus declared dividends per share, divided by the beginning market value per share.</w:t>
      </w:r>
    </w:p>
    <w:p>
      <w:pPr>
        <w:pStyle w:val="TextBody"/>
        <w:spacing w:before="0" w:after="0"/>
        <w:jc w:val="left"/>
        <w:rPr>
          <w:rFonts w:ascii="Times New Roman" w:hAnsi="Times New Roman"/>
          <w:b w:val="false"/>
          <w:sz w:val="20"/>
        </w:rPr>
      </w:pPr>
      <w:r>
        <w:rPr>
          <w:rFonts w:ascii="Times New Roman" w:hAnsi="Times New Roman"/>
          <w:b w:val="false"/>
          <w:sz w:val="20"/>
        </w:rPr>
        <w:t>(5)</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Total return based on net asset value is calculated as the change in net asset value per share during the period plus declared dividends per share, divided by the beginning net asset value per share. </w:t>
      </w:r>
    </w:p>
    <w:p>
      <w:pPr>
        <w:pStyle w:val="TextBody"/>
        <w:spacing w:before="0" w:after="0"/>
        <w:jc w:val="left"/>
        <w:rPr>
          <w:rFonts w:ascii="Times New Roman" w:hAnsi="Times New Roman"/>
          <w:b w:val="false"/>
          <w:sz w:val="20"/>
        </w:rPr>
      </w:pPr>
      <w:r>
        <w:rPr>
          <w:rFonts w:ascii="Times New Roman" w:hAnsi="Times New Roman"/>
          <w:b w:val="false"/>
          <w:sz w:val="20"/>
        </w:rPr>
        <w:t>(6)</w:t>
      </w:r>
    </w:p>
    <w:p>
      <w:pPr>
        <w:pStyle w:val="TextBody"/>
        <w:jc w:val="left"/>
        <w:rPr>
          <w:rFonts w:ascii="Times New Roman;serif" w:hAnsi="Times New Roman;serif"/>
          <w:b w:val="false"/>
          <w:sz w:val="20"/>
        </w:rPr>
      </w:pPr>
      <w:r>
        <w:rPr>
          <w:rFonts w:ascii="Times New Roman;serif" w:hAnsi="Times New Roman;serif"/>
          <w:b w:val="false"/>
          <w:sz w:val="20"/>
        </w:rPr>
        <w:t>The ratios reflect an annualized amount.</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43</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(7)</w:t>
      </w:r>
    </w:p>
    <w:p>
      <w:pPr>
        <w:pStyle w:val="TextBody"/>
        <w:spacing w:before="0" w:after="0"/>
        <w:jc w:val="left"/>
        <w:rPr>
          <w:rFonts w:ascii="Times New Roman;serif" w:hAnsi="Times New Roman;serif"/>
          <w:sz w:val="24"/>
        </w:rPr>
      </w:pPr>
      <w:r>
        <w:rPr>
          <w:rFonts w:ascii="Times New Roman;serif" w:hAnsi="Times New Roman;serif"/>
          <w:b w:val="false"/>
          <w:sz w:val="20"/>
        </w:rPr>
        <w:t>The ratio of net expenses to average net assets in the table above reflects the Adviser’s waivers of its right to receive a portion of the Management Fee pursuant to the Leverage Waiver for the three months ended March 31, 2023. Excluding the effects of the waivers, the ratio of net expenses to average net assets would have been 16.0%</w:t>
      </w:r>
      <w:r>
        <w:rPr>
          <w:rFonts w:ascii="Times New Roman;serif" w:hAnsi="Times New Roman;serif"/>
          <w:sz w:val="24"/>
        </w:rPr>
        <w:t xml:space="preserve"> </w:t>
      </w:r>
      <w:r>
        <w:rPr>
          <w:rFonts w:ascii="Times New Roman;serif" w:hAnsi="Times New Roman;serif"/>
          <w:b w:val="false"/>
          <w:sz w:val="20"/>
        </w:rPr>
        <w:t xml:space="preserve">for the three months ended March 31, 2023. The Adviser did not waive any Management Fees or Incentive Fees for the three months ended March 31, 2022. </w:t>
      </w:r>
    </w:p>
    <w:p>
      <w:pPr>
        <w:pStyle w:val="TextBody"/>
        <w:spacing w:before="0" w:after="0"/>
        <w:jc w:val="left"/>
        <w:rPr>
          <w:rFonts w:ascii="Times New Roman" w:hAnsi="Times New Roman"/>
          <w:b w:val="false"/>
          <w:sz w:val="20"/>
        </w:rPr>
      </w:pPr>
      <w:r>
        <w:rPr>
          <w:rFonts w:ascii="Times New Roman" w:hAnsi="Times New Roman"/>
          <w:b w:val="false"/>
          <w:sz w:val="20"/>
        </w:rPr>
        <w:t>(8)</w:t>
      </w:r>
    </w:p>
    <w:p>
      <w:pPr>
        <w:pStyle w:val="TextBody"/>
        <w:jc w:val="left"/>
        <w:rPr>
          <w:rFonts w:ascii="Times New Roman;serif" w:hAnsi="Times New Roman;serif"/>
          <w:b w:val="false"/>
          <w:sz w:val="20"/>
        </w:rPr>
      </w:pPr>
      <w:r>
        <w:rPr>
          <w:rFonts w:ascii="Times New Roman;serif" w:hAnsi="Times New Roman;serif"/>
          <w:b w:val="false"/>
          <w:sz w:val="20"/>
        </w:rPr>
        <w:t>Table may not sum due to rounding.</w:t>
      </w:r>
    </w:p>
    <w:p>
      <w:pPr>
        <w:pStyle w:val="TextBody"/>
        <w:spacing w:before="0" w:after="0"/>
        <w:jc w:val="left"/>
        <w:rPr/>
      </w:pPr>
      <w:r>
        <w:rPr/>
        <w:t> </w:t>
      </w:r>
    </w:p>
    <w:p>
      <w:pPr>
        <w:pStyle w:val="TextBody"/>
        <w:spacing w:before="160" w:after="0"/>
        <w:jc w:val="left"/>
        <w:rPr>
          <w:rFonts w:ascii="Times New Roman;serif" w:hAnsi="Times New Roman;serif"/>
          <w:b/>
          <w:sz w:val="20"/>
        </w:rPr>
      </w:pPr>
      <w:r>
        <w:rPr>
          <w:rFonts w:ascii="Times New Roman;serif" w:hAnsi="Times New Roman;serif"/>
          <w:b/>
          <w:sz w:val="20"/>
        </w:rPr>
        <w:t>14. Subsequent Events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10-Q or would be required to be recognized in the consolidated financial statements as of and for the three months ended March 31, 2023.</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44</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10" w:name="item_2_managements_discussion_analysis_f"/>
      <w:bookmarkEnd w:id="10"/>
      <w:r>
        <w:rPr>
          <w:rFonts w:ascii="Times New Roman;serif" w:hAnsi="Times New Roman;serif"/>
          <w:b/>
          <w:sz w:val="20"/>
        </w:rPr>
        <w:t>ITEM 2. MANAGEMENT’S DISCUSSION AND ANALYSIS OF</w:t>
      </w:r>
      <w:r>
        <w:rPr>
          <w:rFonts w:ascii="Times New Roman" w:hAnsi="Times New Roman"/>
          <w:sz w:val="20"/>
        </w:rPr>
        <w:t xml:space="preserve"> </w:t>
      </w:r>
      <w:r>
        <w:rPr>
          <w:rFonts w:ascii="Times New Roman;serif" w:hAnsi="Times New Roman;serif"/>
          <w:b/>
          <w:sz w:val="20"/>
        </w:rPr>
        <w:t>FINANCIAL CONDITION AND RESULTS OF OPERATIONS</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The information contained in this section should be read in conjunction with the consolidated financial statements and notes thereto appearing elsewhere in this report. This discussion also should be read in conjunction with the “Cautionary Statement Regarding Forward-Looking Statements” set forth on page 3 of this Quarterly Report on Form 10-Q.</w:t>
      </w:r>
    </w:p>
    <w:p>
      <w:pPr>
        <w:pStyle w:val="TextBody"/>
        <w:spacing w:before="120" w:after="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Sixth Street Specialty Lending, Inc. is a Delaware corporation formed on July 21, 2010. The Adviser is our external manager. We have four wholly owned subsidiaries, TC Lending, LLC, a Delaware limited liability company, which holds a California finance lender and broker license, Sixth Street SL SPV, LLC, a Delaware limited liability company, in which we hold assets that were previously used to support our asset-backed credit facility, Sixth Street SL Holding, LLC, a Delaware limited liability company, in which we hold certain investments, and Sixth Street Specialty Lending Sub, LLC, a Cayman Islands limited liability company, in which we plan to hold certain investments.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have elected to be regulated as a BDC under the 1940 Act and as a RIC under the Code. We made our BDC election on April 15, 2011. As a result, we are required to comply with various statutory and regulatory requirements, such as:</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requirement to invest at least 70% of our assets in “qualifying assets”;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source of income limitations;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asset diversification requirements;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the requirement to distribute (or be treated as distributing) in each taxable year at least 90% of our investment company taxable income and tax-exempt interest for that taxable year. </w:t>
      </w:r>
    </w:p>
    <w:p>
      <w:pPr>
        <w:pStyle w:val="TextBody"/>
        <w:spacing w:before="240" w:after="0"/>
        <w:jc w:val="left"/>
        <w:rPr>
          <w:rFonts w:ascii="Times New Roman" w:hAnsi="Times New Roman"/>
          <w:sz w:val="20"/>
        </w:rPr>
      </w:pPr>
      <w:r>
        <w:rPr>
          <w:rFonts w:ascii="Times New Roman;serif" w:hAnsi="Times New Roman;serif"/>
          <w:b w:val="false"/>
          <w:sz w:val="20"/>
        </w:rPr>
        <w:t>Our shares are listed on the NYSE under the symbol “TSLX.”</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Our Investment Framework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a specialty finance company focused on lending to middle-market companies. Since we began our investment activities in July 2011, through March 31, 2023, we have originated more than $26.0 billion aggregate principal amount of investments and retained approximately $9.4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By “middle-market companies,” we mean companies that have annual EBITDA, which we believe is a useful proxy for cash flow, of $10 million to $250 million, although we may invest in larger or smaller companies on occasion. As of March 31, 2023, our core portfolio companies, which exclude certain investments that fall outside of our typical borrower profile and represent 91.4% of our total investments based on fair value, had weighted average annual revenue of $165.5 million and weighted average annual EBITDA of $53.8 million.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companies in which we invest use our capital to support organic growth, acquisitions, market or product expansion and recapitalizations (including restructurings). As of March 31, 2023, the largest single investment based on fair value represented 2.7% of our total investment portfolio.</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of March 31, 2023, the average investment size in each of our portfolio companies was approximately $23.0 million based on fair value. Portfolio companies includes investments in structured credit investments, which include each series of collateralized loan obligation as a portfolio company investment. When excluding investments in structured credit investments the average investment in our remaining portfolio companies was approximately $34.5 million as of March 31, 2023.</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45</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Through our Adviser, we consider potential investments utilizing a four-tiered investment framework and against our existing portfolio as a whole: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Business and sector selection.</w:t>
      </w:r>
      <w:r>
        <w:rPr>
          <w:rFonts w:ascii="Times New Roman" w:hAnsi="Times New Roman"/>
          <w:sz w:val="20"/>
        </w:rPr>
        <w:t xml:space="preserve"> </w:t>
      </w:r>
      <w:r>
        <w:rPr>
          <w:rFonts w:ascii="Times New Roman;serif" w:hAnsi="Times New Roman;serif"/>
          <w:b w:val="false"/>
          <w:sz w:val="20"/>
        </w:rPr>
        <w:t>We focus on companies with enterprise value between $50 million and $1 billion. When reviewing 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 of March 31, 2023, the largest industry represented 15.0% of our total investment portfolio based on fair value.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Investment Structuring.</w:t>
      </w:r>
      <w:r>
        <w:rPr>
          <w:rFonts w:ascii="Times New Roman" w:hAnsi="Times New Roman"/>
          <w:sz w:val="20"/>
        </w:rPr>
        <w:t xml:space="preserve"> </w:t>
      </w:r>
      <w:r>
        <w:rPr>
          <w:rFonts w:ascii="Times New Roman;serif" w:hAnsi="Times New Roman;serif"/>
          <w:b w:val="false"/>
          <w:sz w:val="20"/>
        </w:rPr>
        <w:t>We focus on investing at the top of the capital structure and protecting that position. As of March 31, 2023, approximately 92.4% of our portfolio was invested in secured debt, including 90.8%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March 31, 2023, the weighted average term on new investment commitments in new portfolio companies was 5.3 years.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Deal Dynamics.</w:t>
      </w:r>
      <w:r>
        <w:rPr>
          <w:rFonts w:ascii="Times New Roman" w:hAnsi="Times New Roman"/>
          <w:sz w:val="20"/>
        </w:rPr>
        <w:t xml:space="preserve"> </w:t>
      </w:r>
      <w:r>
        <w:rPr>
          <w:rFonts w:ascii="Times New Roman;serif" w:hAnsi="Times New Roman;serif"/>
          <w:b w:val="false"/>
          <w:sz w:val="20"/>
        </w:rPr>
        <w:t>We focus on, among other deal dynamics, direct origination of investments, where we identify and lead the investment transaction. A substantial majority of our portfolio investments are sourced through our direct or proprietary relationships.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 xml:space="preserve">Risk Mitigation. </w:t>
      </w:r>
      <w:r>
        <w:rPr>
          <w:rFonts w:ascii="Times New Roman;serif" w:hAnsi="Times New Roman;serif"/>
          <w:b w:val="false"/>
          <w:sz w:val="20"/>
        </w:rPr>
        <w:t>We seek to mitigate non-credit-related risk on our returns in several ways, including call protection provisions to protect future interest income. As of March 31, 2023, we had call protection on 80.8% of our debt investments based on fair value, with weighted average call prices of 107.0% for the first year, 103.6% for the second year and 101.3% for the third year, in each case from the date of the initial investment. As of March 31, 2023, 99.2%</w:t>
      </w:r>
      <w:r>
        <w:rPr>
          <w:rFonts w:ascii="Times New Roman" w:hAnsi="Times New Roman"/>
          <w:sz w:val="20"/>
        </w:rPr>
        <w:t xml:space="preserve"> </w:t>
      </w:r>
      <w:r>
        <w:rPr>
          <w:rFonts w:ascii="Times New Roman;serif" w:hAnsi="Times New Roman;serif"/>
          <w:b w:val="false"/>
          <w:sz w:val="20"/>
        </w:rPr>
        <w:t>of our debt investments based on fair value bore interest at floating rates, with 100.0% of these subject to interest rate floors, which we believe helps act as a portfolio-wide hedge against inflation.</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Relationship with our Adviser and Sixth Street</w:t>
      </w:r>
    </w:p>
    <w:p>
      <w:pPr>
        <w:pStyle w:val="TextBody"/>
        <w:spacing w:before="120" w:after="0"/>
        <w:jc w:val="left"/>
        <w:rPr>
          <w:rFonts w:ascii="Times New Roman" w:hAnsi="Times New Roman"/>
          <w:sz w:val="20"/>
        </w:rPr>
      </w:pPr>
      <w:r>
        <w:rPr>
          <w:rFonts w:ascii="Times New Roman;serif" w:hAnsi="Times New Roman;serif"/>
          <w:b w:val="false"/>
          <w:sz w:val="20"/>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direct lending,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Sixth Street is a global investment business with over $65 billion of assets under management as of March 31, 2023. Sixth Street’s core platforms include Sixth Street Specialty Lending, Sixth Street Lending Partners, which is aimed at U.S. upper middle-market loan originations,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500 investment and operating professionals. As of March 31, 2023, forty-six (46) of these personnel are dedicated to direct lending, including thirty-six (36) investment professionals.</w:t>
      </w:r>
    </w:p>
    <w:p>
      <w:pPr>
        <w:pStyle w:val="TextBody"/>
        <w:spacing w:before="240" w:after="0"/>
        <w:jc w:val="left"/>
        <w:rPr>
          <w:rFonts w:ascii="Times New Roman" w:hAnsi="Times New Roman"/>
          <w:sz w:val="20"/>
        </w:rPr>
      </w:pPr>
      <w:r>
        <w:rPr>
          <w:rFonts w:ascii="Times New Roman;serif" w:hAnsi="Times New Roman;serif"/>
          <w:b w:val="false"/>
          <w:sz w:val="20"/>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46</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On December 16, 2014, we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Subsequent further applications were also made, most recently as June 29, 2022. On August 3, 2022, the SEC granted the new order in response to our application.</w:t>
      </w:r>
    </w:p>
    <w:p>
      <w:pPr>
        <w:pStyle w:val="TextBody"/>
        <w:spacing w:before="240" w:after="0"/>
        <w:jc w:val="left"/>
        <w:rPr>
          <w:rFonts w:ascii="Times New Roman" w:hAnsi="Times New Roman"/>
          <w:sz w:val="20"/>
        </w:rPr>
      </w:pPr>
      <w:r>
        <w:rPr>
          <w:rFonts w:ascii="Times New Roman;serif" w:hAnsi="Times New Roman;serif"/>
          <w:b w:val="false"/>
          <w:sz w:val="20"/>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Key Components of Our Results of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Investments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focus primarily on the direct origination of loans to middle-market companies domiciled in the United States.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addition, as part of our risk strategy on investments, we may reduce certain levels of investments through partial sales or syndication to additional investors.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Revenues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March 31, 2023, 99.2% of these investments based on fair value bore interest at a floating rate, with 100.0% of these subject to interest rate floors. Interest on debt investments is generally payable quarterly or semiannually. Some of our investments provide for deferred interest payments or PIK interest. For the three months ended March 31, 2023, 3.1% of our total investment income was comprised of PIK interest.</w:t>
      </w:r>
    </w:p>
    <w:p>
      <w:pPr>
        <w:pStyle w:val="TextBody"/>
        <w:spacing w:before="240" w:after="0"/>
        <w:jc w:val="left"/>
        <w:rPr>
          <w:rFonts w:ascii="Times New Roman" w:hAnsi="Times New Roman"/>
          <w:sz w:val="20"/>
        </w:rPr>
      </w:pPr>
      <w:r>
        <w:rPr>
          <w:rFonts w:ascii="Times New Roman;serif" w:hAnsi="Times New Roman;serif"/>
          <w:b w:val="false"/>
          <w:sz w:val="20"/>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2024 Notes and 2026 Notes, after taking into account the effect of the interest rate swaps we have entered into in connection with these securities, all bear interest at floating rates. Macro trends in base interest rates like LIBOR or other reference rates may affect our net investment income over the long term. However, because we generally originate loans to a limited number of portfolio companies each quarter, and those investments also vary in size, our results in any given period—including the interest rate on investments that were sold or repaid in a period compared to the interest rate of new</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47</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investments made during that period—often are idiosyncratic, and reflect the characteristics of the particular portfolio companies that we invested in or exited during the period and not necessarily any trends in our business.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pStyle w:val="TextBody"/>
        <w:spacing w:before="240" w:after="0"/>
        <w:jc w:val="left"/>
        <w:rPr>
          <w:rFonts w:ascii="Times New Roman" w:hAnsi="Times New Roman"/>
          <w:sz w:val="20"/>
        </w:rPr>
      </w:pPr>
      <w:r>
        <w:rPr>
          <w:rFonts w:ascii="Times New Roman;serif" w:hAnsi="Times New Roman;serif"/>
          <w:b w:val="false"/>
          <w:sz w:val="20"/>
        </w:rPr>
        <w:t>Dividend income on common equity investments is recorded on the record date for private portfolio companies or on the ex-dividend date for publicly traded portfolio companies.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Expenses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calculating individual asset values and our net asset value (including the cost and expenses of any independent valuation firms);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costs of any public offerings of our common stock and other securities, including registration and listing fees;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Management Fee and any Incentive Fee;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certain costs and expenses relating to distributions paid on our shares;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administration fees payable under our Administration Agreement;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debt service and other costs of borrowings or other financing arrangements;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Adviser’s allocable share of costs incurred in providing significant managerial assistance to those portfolio companies that request it;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amounts payable to third parties relating to, or associated with, making or holding investments;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transfer agent and custodial fees;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costs of hedging;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commissions and other compensation payable to brokers or dealers;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taxes;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48</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Independent Director fees and expenses;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costs of any reports, proxy statements or other notices to our stockholders (including printing and mailing costs), the costs of any stockholders’ meetings and the compensation of investor relations personnel responsible for the preparation of the foregoing and related matters;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our fidelity bond;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directors and officers/errors and omissions liability insurance, and any other insurance premiums;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indemnification payments;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direct costs and expenses of administration, including audit, accounting, consulting and legal costs;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all other expenses reasonably incurred by us in connection with making investments and administering our business. </w:t>
      </w:r>
    </w:p>
    <w:p>
      <w:pPr>
        <w:pStyle w:val="TextBody"/>
        <w:spacing w:before="240" w:after="0"/>
        <w:jc w:val="left"/>
        <w:rPr>
          <w:rFonts w:ascii="Times New Roman" w:hAnsi="Times New Roman"/>
          <w:sz w:val="20"/>
        </w:rPr>
      </w:pPr>
      <w:r>
        <w:rPr>
          <w:rFonts w:ascii="Times New Roman;serif" w:hAnsi="Times New Roman;serif"/>
          <w:b w:val="false"/>
          <w:sz w:val="20"/>
        </w:rPr>
        <w:t>We expect that during periods of asset growth, our general and administrative expenses will be relatively stable or will decline as a percentage of total assets, and will increase as a percentage of total assets during periods of asset declines.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Leverage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Market Trends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Subsequent to the global financial crisis, the implementation of regulatory changes such as Basel III requirements, Leverage Lending Guidance, and the Volcker Rule, tightened risk appetites and reduced the capacity of traditional lenders to serve middle-market companies. We believe that these dynamics create a significant opportunity for us to directly originate investments. We also believe that the large amount of uninvested capital held by private equity firms will continue to drive deal activity, which may in turn create additional demand for debt capital.</w:t>
      </w:r>
    </w:p>
    <w:p>
      <w:pPr>
        <w:pStyle w:val="TextBody"/>
        <w:spacing w:before="240" w:after="0"/>
        <w:jc w:val="left"/>
        <w:rPr>
          <w:rFonts w:ascii="Times New Roman" w:hAnsi="Times New Roman"/>
          <w:sz w:val="20"/>
        </w:rPr>
      </w:pPr>
      <w:r>
        <w:rPr>
          <w:rFonts w:ascii="Times New Roman;serif" w:hAnsi="Times New Roman;serif"/>
          <w:b w:val="false"/>
          <w:sz w:val="20"/>
        </w:rPr>
        <w:t>This market dynamic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has continued to expand.</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pStyle w:val="TextBody"/>
        <w:spacing w:before="0" w:after="0"/>
        <w:jc w:val="left"/>
        <w:rPr/>
      </w:pPr>
      <w:r>
        <w:rPr/>
        <w:t> </w:t>
      </w:r>
    </w:p>
    <w:p>
      <w:pPr>
        <w:pStyle w:val="TextBody"/>
        <w:spacing w:before="160" w:after="0"/>
        <w:jc w:val="left"/>
        <w:rPr>
          <w:rFonts w:ascii="Times New Roman" w:hAnsi="Times New Roman"/>
          <w:sz w:val="20"/>
        </w:rPr>
      </w:pPr>
      <w:r>
        <w:rPr>
          <w:rFonts w:ascii="Times New Roman;serif" w:hAnsi="Times New Roman;serif"/>
          <w:b/>
          <w:sz w:val="20"/>
        </w:rPr>
        <w:t>Portfolio and Investment Activity</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of March 31, 2023, our portfolio based on fair value consisted of 90.8% first-lien debt investments, 1.6% second-lien investments, 0.4% mezzanine debt investments, 5.4% equity and other investments and 1.8% structured credit investments. As of December 31, 2022, our portfolio based on fair value consisted of 90.3% first-lien debt investments, 1.5% second-lien debt investments, 0.4% mezzanine investments, 6.0% equity and other investments and 1.8% structured credit investments.</w:t>
      </w:r>
    </w:p>
    <w:p>
      <w:pPr>
        <w:pStyle w:val="TextBody"/>
        <w:spacing w:before="240" w:after="0"/>
        <w:jc w:val="left"/>
        <w:rPr>
          <w:rFonts w:ascii="Times New Roman" w:hAnsi="Times New Roman"/>
          <w:sz w:val="20"/>
        </w:rPr>
      </w:pPr>
      <w:r>
        <w:rPr>
          <w:rFonts w:ascii="Times New Roman;serif" w:hAnsi="Times New Roman;serif"/>
          <w:b w:val="false"/>
          <w:sz w:val="20"/>
        </w:rPr>
        <w:t>As of March 31, 2023 and December 31, 2022, our weighted average total yield of debt and income producing securities at fair value (which includes interest income and amortization of fees and discounts) was 13.9% and 13.5%, respectively, and our weighted</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49</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average total yield of debt and income-producing securities at amortized cost (which includes interest income and amortization of fees and discounts) was 13.9% and 13.4%, respectively.</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of March 31, 2023 and December 31, 2022, we had investments in 127 portfolio companies (including 44 structured credit investments, which include each series of collateralized loan obligation as a separate portfolio company investment) and 121 portfolio companies (including 43 structured credit investments, which include each series of collateralized loan obligation as a separate portfolio company investment), respectively, with an aggregate fair value of $2,918.6 million and $2,787.9 million, respectively.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For the three months ended March 31, 2023, the principal amount of new investments funded was $138.9 million in seven new portfolio companies and five existing portfolio companies. For this period, we had $50.8 million aggregate principal amount in exits and repayments.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For the three months ended March 31, 2022, the principal amount of new investments funded was $52.8 million in two new portfolio companies and eight existing portfolio companies. For this period, we had $144.4 million aggregate principal amount in exits and repayments.</w:t>
      </w:r>
    </w:p>
    <w:p>
      <w:pPr>
        <w:pStyle w:val="TextBody"/>
        <w:spacing w:before="240" w:after="0"/>
        <w:jc w:val="left"/>
        <w:rPr>
          <w:rFonts w:ascii="Times New Roman" w:hAnsi="Times New Roman"/>
          <w:sz w:val="20"/>
        </w:rPr>
      </w:pPr>
      <w:r>
        <w:rPr>
          <w:rFonts w:ascii="Times New Roman;serif" w:hAnsi="Times New Roman;serif"/>
          <w:b w:val="false"/>
          <w:sz w:val="20"/>
        </w:rPr>
        <w:t>Our investment activity for the three months ended March 31, 2023 and 2022 is presented below (information presented herein is at par value unless otherwise indicated).</w:t>
      </w:r>
      <w:r>
        <w:rPr>
          <w:rFonts w:ascii="Times New Roman" w:hAnsi="Times New Roman"/>
          <w:sz w:val="20"/>
        </w:rPr>
        <w:t xml:space="preserve"> </w:t>
      </w:r>
    </w:p>
    <w:p>
      <w:pPr>
        <w:pStyle w:val="TextBody"/>
        <w:spacing w:before="0" w:after="0"/>
        <w:jc w:val="left"/>
        <w:rPr/>
      </w:pPr>
      <w:r>
        <w:rPr/>
        <w:t> </w:t>
      </w:r>
    </w:p>
    <w:tbl>
      <w:tblPr>
        <w:tblW w:w="8250" w:type="dxa"/>
        <w:jc w:val="left"/>
        <w:tblInd w:w="0" w:type="dxa"/>
        <w:tblCellMar>
          <w:top w:w="28" w:type="dxa"/>
          <w:left w:w="28" w:type="dxa"/>
          <w:bottom w:w="28" w:type="dxa"/>
          <w:right w:w="28" w:type="dxa"/>
        </w:tblCellMar>
      </w:tblPr>
      <w:tblGrid>
        <w:gridCol w:w="4576"/>
        <w:gridCol w:w="146"/>
        <w:gridCol w:w="285"/>
        <w:gridCol w:w="975"/>
        <w:gridCol w:w="271"/>
        <w:gridCol w:w="146"/>
        <w:gridCol w:w="340"/>
        <w:gridCol w:w="920"/>
        <w:gridCol w:w="591"/>
      </w:tblGrid>
      <w:tr>
        <w:trPr/>
        <w:tc>
          <w:tcPr>
            <w:tcW w:w="45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97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45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3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7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New investment commitments:</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457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 xml:space="preserve">Gross originations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1,079.4</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304.5</w:t>
            </w:r>
          </w:p>
        </w:tc>
        <w:tc>
          <w:tcPr>
            <w:tcW w:w="591" w:type="dxa"/>
            <w:tcBorders/>
            <w:shd w:fill="auto" w:val="clear"/>
            <w:vAlign w:val="center"/>
          </w:tcPr>
          <w:p>
            <w:pPr>
              <w:pStyle w:val="TableContents"/>
              <w:spacing w:before="0" w:after="0"/>
              <w:ind w:left="0" w:right="0" w:firstLine="200"/>
              <w:jc w:val="left"/>
              <w:rPr/>
            </w:pPr>
            <w:r>
              <w:rPr/>
              <w:t> </w:t>
            </w:r>
          </w:p>
        </w:tc>
      </w:tr>
      <w:tr>
        <w:trPr/>
        <w:tc>
          <w:tcPr>
            <w:tcW w:w="4576"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 xml:space="preserve">Less: Syndications/sell downs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903.3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225.2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457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new investment commitments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176.1</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79.3</w:t>
            </w:r>
          </w:p>
        </w:tc>
        <w:tc>
          <w:tcPr>
            <w:tcW w:w="591" w:type="dxa"/>
            <w:tcBorders/>
            <w:shd w:fill="auto" w:val="clear"/>
            <w:vAlign w:val="center"/>
          </w:tcPr>
          <w:p>
            <w:pPr>
              <w:pStyle w:val="TableContents"/>
              <w:spacing w:before="0" w:after="0"/>
              <w:ind w:left="0" w:right="0" w:hanging="0"/>
              <w:jc w:val="left"/>
              <w:rPr/>
            </w:pPr>
            <w:r>
              <w:rPr/>
              <w:t> </w:t>
            </w:r>
          </w:p>
        </w:tc>
      </w:tr>
      <w:tr>
        <w:trPr/>
        <w:tc>
          <w:tcPr>
            <w:tcW w:w="45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Principal amount of investments funded:</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45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First-lien</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130.2</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48.5</w:t>
            </w:r>
          </w:p>
        </w:tc>
        <w:tc>
          <w:tcPr>
            <w:tcW w:w="591" w:type="dxa"/>
            <w:tcBorders/>
            <w:shd w:fill="auto" w:val="clear"/>
            <w:vAlign w:val="center"/>
          </w:tcPr>
          <w:p>
            <w:pPr>
              <w:pStyle w:val="TableContents"/>
              <w:spacing w:before="0" w:after="0"/>
              <w:ind w:left="0" w:right="0" w:firstLine="200"/>
              <w:jc w:val="left"/>
              <w:rPr/>
            </w:pPr>
            <w:r>
              <w:rPr/>
              <w:t> </w:t>
            </w:r>
          </w:p>
        </w:tc>
      </w:tr>
      <w:tr>
        <w:trPr/>
        <w:tc>
          <w:tcPr>
            <w:tcW w:w="45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Second-lien</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9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200"/>
              <w:jc w:val="left"/>
              <w:rPr/>
            </w:pPr>
            <w:r>
              <w:rPr/>
              <w:t> </w:t>
            </w:r>
          </w:p>
        </w:tc>
      </w:tr>
      <w:tr>
        <w:trPr/>
        <w:tc>
          <w:tcPr>
            <w:tcW w:w="45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Mezzanine</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9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200"/>
              <w:jc w:val="left"/>
              <w:rPr/>
            </w:pPr>
            <w:r>
              <w:rPr/>
              <w:t> </w:t>
            </w:r>
          </w:p>
        </w:tc>
      </w:tr>
      <w:tr>
        <w:trPr/>
        <w:tc>
          <w:tcPr>
            <w:tcW w:w="45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Equity and other</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9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591" w:type="dxa"/>
            <w:tcBorders/>
            <w:shd w:fill="auto" w:val="clear"/>
            <w:vAlign w:val="center"/>
          </w:tcPr>
          <w:p>
            <w:pPr>
              <w:pStyle w:val="TableContents"/>
              <w:spacing w:before="0" w:after="0"/>
              <w:ind w:left="0" w:right="0" w:firstLine="200"/>
              <w:jc w:val="left"/>
              <w:rPr/>
            </w:pPr>
            <w:r>
              <w:rPr/>
              <w:t> </w:t>
            </w:r>
          </w:p>
        </w:tc>
      </w:tr>
      <w:tr>
        <w:trPr/>
        <w:tc>
          <w:tcPr>
            <w:tcW w:w="45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Structured Products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457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138.9</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52.8</w:t>
            </w:r>
          </w:p>
        </w:tc>
        <w:tc>
          <w:tcPr>
            <w:tcW w:w="591" w:type="dxa"/>
            <w:tcBorders/>
            <w:shd w:fill="auto" w:val="clear"/>
            <w:vAlign w:val="center"/>
          </w:tcPr>
          <w:p>
            <w:pPr>
              <w:pStyle w:val="TableContents"/>
              <w:spacing w:before="0" w:after="0"/>
              <w:ind w:left="0" w:right="0" w:hanging="0"/>
              <w:jc w:val="left"/>
              <w:rPr/>
            </w:pPr>
            <w:r>
              <w:rPr/>
              <w:t> </w:t>
            </w:r>
          </w:p>
        </w:tc>
      </w:tr>
      <w:tr>
        <w:trPr/>
        <w:tc>
          <w:tcPr>
            <w:tcW w:w="45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Principal amount of investments sold or repaid:</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45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First-lien</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50.3</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140.5</w:t>
            </w:r>
          </w:p>
        </w:tc>
        <w:tc>
          <w:tcPr>
            <w:tcW w:w="591" w:type="dxa"/>
            <w:tcBorders/>
            <w:shd w:fill="auto" w:val="clear"/>
            <w:vAlign w:val="center"/>
          </w:tcPr>
          <w:p>
            <w:pPr>
              <w:pStyle w:val="TableContents"/>
              <w:spacing w:before="0" w:after="0"/>
              <w:ind w:left="0" w:right="0" w:firstLine="200"/>
              <w:jc w:val="left"/>
              <w:rPr/>
            </w:pPr>
            <w:r>
              <w:rPr/>
              <w:t> </w:t>
            </w:r>
          </w:p>
        </w:tc>
      </w:tr>
      <w:tr>
        <w:trPr/>
        <w:tc>
          <w:tcPr>
            <w:tcW w:w="45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Second-lien</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975" w:type="dxa"/>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200"/>
              <w:jc w:val="left"/>
              <w:rPr/>
            </w:pPr>
            <w:r>
              <w:rPr/>
              <w:t> </w:t>
            </w:r>
          </w:p>
        </w:tc>
      </w:tr>
      <w:tr>
        <w:trPr/>
        <w:tc>
          <w:tcPr>
            <w:tcW w:w="45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Mezzanine</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975" w:type="dxa"/>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firstLine="200"/>
              <w:jc w:val="left"/>
              <w:rPr/>
            </w:pPr>
            <w:r>
              <w:rPr/>
              <w:t> </w:t>
            </w:r>
          </w:p>
        </w:tc>
      </w:tr>
      <w:tr>
        <w:trPr/>
        <w:tc>
          <w:tcPr>
            <w:tcW w:w="45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Equity and other</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9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w:t>
            </w:r>
          </w:p>
        </w:tc>
        <w:tc>
          <w:tcPr>
            <w:tcW w:w="591" w:type="dxa"/>
            <w:tcBorders/>
            <w:shd w:fill="auto" w:val="clear"/>
            <w:vAlign w:val="center"/>
          </w:tcPr>
          <w:p>
            <w:pPr>
              <w:pStyle w:val="TableContents"/>
              <w:spacing w:before="0" w:after="0"/>
              <w:ind w:left="0" w:right="0" w:firstLine="200"/>
              <w:jc w:val="left"/>
              <w:rPr/>
            </w:pPr>
            <w:r>
              <w:rPr/>
              <w:t> </w:t>
            </w:r>
          </w:p>
        </w:tc>
      </w:tr>
      <w:tr>
        <w:trPr/>
        <w:tc>
          <w:tcPr>
            <w:tcW w:w="45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Structured Products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457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50.8</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144.4</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5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Number of new investment commitments in</w:t>
              <w:br/>
              <w:t>   new portfolio companies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9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591" w:type="dxa"/>
            <w:tcBorders/>
            <w:shd w:fill="auto" w:val="clear"/>
            <w:vAlign w:val="center"/>
          </w:tcPr>
          <w:p>
            <w:pPr>
              <w:pStyle w:val="TableContents"/>
              <w:spacing w:before="0" w:after="0"/>
              <w:ind w:left="0" w:right="0" w:hanging="0"/>
              <w:jc w:val="left"/>
              <w:rPr/>
            </w:pPr>
            <w:r>
              <w:rPr/>
              <w:t> </w:t>
            </w:r>
          </w:p>
        </w:tc>
      </w:tr>
      <w:tr>
        <w:trPr/>
        <w:tc>
          <w:tcPr>
            <w:tcW w:w="45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Average new investment commitment amount in</w:t>
              <w:br/>
              <w:t>   new portfolio companies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w:t>
            </w:r>
          </w:p>
        </w:tc>
        <w:tc>
          <w:tcPr>
            <w:tcW w:w="591" w:type="dxa"/>
            <w:tcBorders/>
            <w:shd w:fill="auto" w:val="clear"/>
            <w:vAlign w:val="center"/>
          </w:tcPr>
          <w:p>
            <w:pPr>
              <w:pStyle w:val="TableContents"/>
              <w:spacing w:before="0" w:after="0"/>
              <w:ind w:left="0" w:right="0" w:hanging="0"/>
              <w:jc w:val="left"/>
              <w:rPr/>
            </w:pPr>
            <w:r>
              <w:rPr/>
              <w:t> </w:t>
            </w:r>
          </w:p>
        </w:tc>
      </w:tr>
      <w:tr>
        <w:trPr/>
        <w:tc>
          <w:tcPr>
            <w:tcW w:w="45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Weighted average term for new investment</w:t>
              <w:br/>
              <w:t>   commitments in new portfolio companies</w:t>
              <w:br/>
              <w:t>   (in years)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9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c>
          <w:tcPr>
            <w:tcW w:w="591" w:type="dxa"/>
            <w:tcBorders/>
            <w:shd w:fill="auto" w:val="clear"/>
            <w:vAlign w:val="center"/>
          </w:tcPr>
          <w:p>
            <w:pPr>
              <w:pStyle w:val="TableContents"/>
              <w:spacing w:before="0" w:after="0"/>
              <w:ind w:left="0" w:right="0" w:hanging="0"/>
              <w:jc w:val="left"/>
              <w:rPr/>
            </w:pPr>
            <w:r>
              <w:rPr/>
              <w:t> </w:t>
            </w:r>
          </w:p>
        </w:tc>
      </w:tr>
      <w:tr>
        <w:trPr/>
        <w:tc>
          <w:tcPr>
            <w:tcW w:w="45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 xml:space="preserve">Percentage of new debt investment commitments </w:t>
              <w:br/>
              <w:t>   at floating rates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9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99.6</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 xml:space="preserve">Percentage of new debt investment commitments </w:t>
              <w:br/>
              <w:t>   at fixed rates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9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45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Weighted average interest rate of new</w:t>
              <w:br/>
              <w:t>   investment commitments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9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 xml:space="preserve">Weighted average spread over reference rate of new </w:t>
              <w:br/>
              <w:t>   floating rate investment commitments</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9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Weighted average interest rate on investments</w:t>
              <w:br/>
              <w:t>   fully sold or paid down</w:t>
            </w:r>
          </w:p>
        </w:tc>
        <w:tc>
          <w:tcPr>
            <w:tcW w:w="146" w:type="dxa"/>
            <w:tcBorders/>
            <w:shd w:fill="auto" w:val="clear"/>
            <w:vAlign w:val="center"/>
          </w:tcPr>
          <w:p>
            <w:pPr>
              <w:pStyle w:val="TableContents"/>
              <w:spacing w:before="0" w:after="0"/>
              <w:ind w:left="0" w:right="0" w:hanging="0"/>
              <w:jc w:val="left"/>
              <w:rPr/>
            </w:pPr>
            <w:r>
              <w:rPr/>
              <w:t> </w:t>
            </w:r>
          </w:p>
        </w:tc>
        <w:tc>
          <w:tcPr>
            <w:tcW w:w="285" w:type="dxa"/>
            <w:tcBorders/>
            <w:shd w:fill="auto" w:val="clear"/>
            <w:vAlign w:val="center"/>
          </w:tcPr>
          <w:p>
            <w:pPr>
              <w:pStyle w:val="TableContents"/>
              <w:spacing w:before="0" w:after="0"/>
              <w:ind w:left="0" w:right="0" w:hanging="0"/>
              <w:jc w:val="left"/>
              <w:rPr/>
            </w:pPr>
            <w:r>
              <w:rPr/>
              <w:t> </w:t>
            </w:r>
          </w:p>
        </w:tc>
        <w:tc>
          <w:tcPr>
            <w:tcW w:w="9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92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50</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Includes affiliates of Sixth Street</w:t>
      </w:r>
    </w:p>
    <w:p>
      <w:pPr>
        <w:pStyle w:val="TextBody"/>
        <w:spacing w:before="240" w:after="0"/>
        <w:jc w:val="left"/>
        <w:rPr>
          <w:rFonts w:ascii="Times New Roman" w:hAnsi="Times New Roman"/>
          <w:sz w:val="20"/>
        </w:rPr>
      </w:pPr>
      <w:r>
        <w:rPr>
          <w:rFonts w:ascii="Times New Roman;serif" w:hAnsi="Times New Roman;serif"/>
          <w:b w:val="false"/>
          <w:sz w:val="20"/>
        </w:rPr>
        <w:t>As of March 31, 2023 and December 31, 2022, our investments consisted of the following:</w:t>
      </w:r>
      <w:r>
        <w:rPr>
          <w:rFonts w:ascii="Times New Roman" w:hAnsi="Times New Roman"/>
          <w:sz w:val="20"/>
        </w:rPr>
        <w:t xml:space="preserve"> </w:t>
      </w:r>
    </w:p>
    <w:p>
      <w:pPr>
        <w:pStyle w:val="TextBody"/>
        <w:spacing w:before="0" w:after="0"/>
        <w:jc w:val="left"/>
        <w:rPr/>
      </w:pPr>
      <w:r>
        <w:rPr/>
        <w:t> </w:t>
      </w:r>
    </w:p>
    <w:tbl>
      <w:tblPr>
        <w:tblW w:w="8588" w:type="dxa"/>
        <w:jc w:val="left"/>
        <w:tblInd w:w="0" w:type="dxa"/>
        <w:tblCellMar>
          <w:top w:w="28" w:type="dxa"/>
          <w:left w:w="28" w:type="dxa"/>
          <w:bottom w:w="28" w:type="dxa"/>
          <w:right w:w="28" w:type="dxa"/>
        </w:tblCellMar>
      </w:tblPr>
      <w:tblGrid>
        <w:gridCol w:w="2521"/>
        <w:gridCol w:w="146"/>
        <w:gridCol w:w="211"/>
        <w:gridCol w:w="721"/>
        <w:gridCol w:w="246"/>
        <w:gridCol w:w="146"/>
        <w:gridCol w:w="282"/>
        <w:gridCol w:w="963"/>
        <w:gridCol w:w="246"/>
        <w:gridCol w:w="146"/>
        <w:gridCol w:w="211"/>
        <w:gridCol w:w="721"/>
        <w:gridCol w:w="246"/>
        <w:gridCol w:w="146"/>
        <w:gridCol w:w="282"/>
        <w:gridCol w:w="963"/>
        <w:gridCol w:w="391"/>
      </w:tblGrid>
      <w:tr>
        <w:trPr/>
        <w:tc>
          <w:tcPr>
            <w:tcW w:w="25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5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56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6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shd w:fill="auto" w:val="clear"/>
            <w:vAlign w:val="center"/>
          </w:tcPr>
          <w:p>
            <w:pPr>
              <w:pStyle w:val="TableContents"/>
              <w:spacing w:before="0" w:after="0"/>
              <w:ind w:left="0" w:right="0" w:hanging="0"/>
              <w:jc w:val="right"/>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First-lien debt investments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2,651.5</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28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2,646.5</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2,517.9</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28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2,529.3</w:t>
            </w:r>
          </w:p>
        </w:tc>
        <w:tc>
          <w:tcPr>
            <w:tcW w:w="39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Second-lien debt investments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44.8</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282" w:type="dxa"/>
            <w:tcBorders/>
            <w:shd w:fill="auto" w:val="clear"/>
            <w:vAlign w:val="center"/>
          </w:tcPr>
          <w:p>
            <w:pPr>
              <w:pStyle w:val="TableContents"/>
              <w:spacing w:before="0" w:after="0"/>
              <w:ind w:left="0" w:right="0" w:hanging="0"/>
              <w:jc w:val="left"/>
              <w:rPr/>
            </w:pPr>
            <w:r>
              <w:rPr/>
              <w:t> </w:t>
            </w:r>
          </w:p>
        </w:tc>
        <w:tc>
          <w:tcPr>
            <w:tcW w:w="9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47.6</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40.8</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282" w:type="dxa"/>
            <w:tcBorders/>
            <w:shd w:fill="auto" w:val="clear"/>
            <w:vAlign w:val="center"/>
          </w:tcPr>
          <w:p>
            <w:pPr>
              <w:pStyle w:val="TableContents"/>
              <w:spacing w:before="0" w:after="0"/>
              <w:ind w:left="0" w:right="0" w:hanging="0"/>
              <w:jc w:val="left"/>
              <w:rPr/>
            </w:pPr>
            <w:r>
              <w:rPr/>
              <w:t> </w:t>
            </w:r>
          </w:p>
        </w:tc>
        <w:tc>
          <w:tcPr>
            <w:tcW w:w="9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42.7</w:t>
            </w:r>
          </w:p>
        </w:tc>
        <w:tc>
          <w:tcPr>
            <w:tcW w:w="39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Mezzanine debt investments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282" w:type="dxa"/>
            <w:tcBorders/>
            <w:shd w:fill="auto" w:val="clear"/>
            <w:vAlign w:val="center"/>
          </w:tcPr>
          <w:p>
            <w:pPr>
              <w:pStyle w:val="TableContents"/>
              <w:spacing w:before="0" w:after="0"/>
              <w:ind w:left="0" w:right="0" w:hanging="0"/>
              <w:jc w:val="left"/>
              <w:rPr/>
            </w:pPr>
            <w:r>
              <w:rPr/>
              <w:t> </w:t>
            </w:r>
          </w:p>
        </w:tc>
        <w:tc>
          <w:tcPr>
            <w:tcW w:w="9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10.1</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282" w:type="dxa"/>
            <w:tcBorders/>
            <w:shd w:fill="auto" w:val="clear"/>
            <w:vAlign w:val="center"/>
          </w:tcPr>
          <w:p>
            <w:pPr>
              <w:pStyle w:val="TableContents"/>
              <w:spacing w:before="0" w:after="0"/>
              <w:ind w:left="0" w:right="0" w:hanging="0"/>
              <w:jc w:val="left"/>
              <w:rPr/>
            </w:pPr>
            <w:r>
              <w:rPr/>
              <w:t> </w:t>
            </w:r>
          </w:p>
        </w:tc>
        <w:tc>
          <w:tcPr>
            <w:tcW w:w="9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39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Equity and other investments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157.5</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282" w:type="dxa"/>
            <w:tcBorders/>
            <w:shd w:fill="auto" w:val="clear"/>
            <w:vAlign w:val="center"/>
          </w:tcPr>
          <w:p>
            <w:pPr>
              <w:pStyle w:val="TableContents"/>
              <w:spacing w:before="0" w:after="0"/>
              <w:ind w:left="0" w:right="0" w:hanging="0"/>
              <w:jc w:val="left"/>
              <w:rPr/>
            </w:pPr>
            <w:r>
              <w:rPr/>
              <w:t> </w:t>
            </w:r>
          </w:p>
        </w:tc>
        <w:tc>
          <w:tcPr>
            <w:tcW w:w="9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142.7</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167.7</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282" w:type="dxa"/>
            <w:tcBorders/>
            <w:shd w:fill="auto" w:val="clear"/>
            <w:vAlign w:val="center"/>
          </w:tcPr>
          <w:p>
            <w:pPr>
              <w:pStyle w:val="TableContents"/>
              <w:spacing w:before="0" w:after="0"/>
              <w:ind w:left="0" w:right="0" w:hanging="0"/>
              <w:jc w:val="left"/>
              <w:rPr/>
            </w:pPr>
            <w:r>
              <w:rPr/>
              <w:t> </w:t>
            </w:r>
          </w:p>
        </w:tc>
        <w:tc>
          <w:tcPr>
            <w:tcW w:w="9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142.1</w:t>
            </w:r>
          </w:p>
        </w:tc>
        <w:tc>
          <w:tcPr>
            <w:tcW w:w="391" w:type="dxa"/>
            <w:tcBorders/>
            <w:shd w:fill="auto" w:val="clear"/>
            <w:vAlign w:val="center"/>
          </w:tcPr>
          <w:p>
            <w:pPr>
              <w:pStyle w:val="TableContents"/>
              <w:spacing w:before="0" w:after="0"/>
              <w:ind w:left="0" w:right="0" w:hanging="0"/>
              <w:jc w:val="left"/>
              <w:rPr/>
            </w:pPr>
            <w:r>
              <w:rPr/>
              <w:t> </w:t>
            </w:r>
          </w:p>
        </w:tc>
      </w:tr>
      <w:tr>
        <w:trPr/>
        <w:tc>
          <w:tcPr>
            <w:tcW w:w="25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Structured credit investments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53.7</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2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54.7</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51.4</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2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521"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Total</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2,918.6</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2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2,899.8</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2,787.9</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2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2,774.7</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The following tables show the fair value and amortized cost of our performing and non-accrual investments as of March 31, 2023and December 31, 2022:</w:t>
      </w:r>
      <w:r>
        <w:rPr>
          <w:rFonts w:ascii="Times New Roman" w:hAnsi="Times New Roman"/>
          <w:sz w:val="20"/>
        </w:rPr>
        <w:t xml:space="preserve"> </w:t>
      </w:r>
    </w:p>
    <w:p>
      <w:pPr>
        <w:pStyle w:val="TextBody"/>
        <w:spacing w:before="0" w:after="0"/>
        <w:jc w:val="left"/>
        <w:rPr/>
      </w:pPr>
      <w:r>
        <w:rPr/>
        <w:t> </w:t>
      </w:r>
    </w:p>
    <w:tbl>
      <w:tblPr>
        <w:tblW w:w="6855" w:type="dxa"/>
        <w:jc w:val="left"/>
        <w:tblInd w:w="0" w:type="dxa"/>
        <w:tblCellMar>
          <w:top w:w="28" w:type="dxa"/>
          <w:left w:w="28" w:type="dxa"/>
          <w:bottom w:w="28" w:type="dxa"/>
          <w:right w:w="28" w:type="dxa"/>
        </w:tblCellMar>
      </w:tblPr>
      <w:tblGrid>
        <w:gridCol w:w="1321"/>
        <w:gridCol w:w="146"/>
        <w:gridCol w:w="211"/>
        <w:gridCol w:w="721"/>
        <w:gridCol w:w="246"/>
        <w:gridCol w:w="146"/>
        <w:gridCol w:w="186"/>
        <w:gridCol w:w="730"/>
        <w:gridCol w:w="371"/>
        <w:gridCol w:w="146"/>
        <w:gridCol w:w="211"/>
        <w:gridCol w:w="721"/>
        <w:gridCol w:w="246"/>
        <w:gridCol w:w="146"/>
        <w:gridCol w:w="186"/>
        <w:gridCol w:w="730"/>
        <w:gridCol w:w="391"/>
      </w:tblGrid>
      <w:tr>
        <w:trPr/>
        <w:tc>
          <w:tcPr>
            <w:tcW w:w="13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3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4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3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4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2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shd w:fill="auto" w:val="clear"/>
            <w:vAlign w:val="center"/>
          </w:tcPr>
          <w:p>
            <w:pPr>
              <w:pStyle w:val="TableContents"/>
              <w:spacing w:before="0" w:after="0"/>
              <w:ind w:left="0" w:right="0" w:hanging="0"/>
              <w:jc w:val="right"/>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Percentage</w:t>
            </w:r>
          </w:p>
        </w:tc>
        <w:tc>
          <w:tcPr>
            <w:tcW w:w="3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Percentage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Performing</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2,898.8</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99.3</w:t>
            </w:r>
          </w:p>
        </w:tc>
        <w:tc>
          <w:tcPr>
            <w:tcW w:w="37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2,787.7</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2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Non-accrual</w:t>
            </w:r>
            <w:r>
              <w:rPr>
                <w:rFonts w:ascii="Times New Roman" w:hAnsi="Times New Roman"/>
                <w:sz w:val="20"/>
              </w:rPr>
              <w:t>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3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1321"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Total</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2,918.6</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1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2,787.9</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1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tbl>
      <w:tblPr>
        <w:tblW w:w="7481" w:type="dxa"/>
        <w:jc w:val="left"/>
        <w:tblInd w:w="0" w:type="dxa"/>
        <w:tblCellMar>
          <w:top w:w="28" w:type="dxa"/>
          <w:left w:w="28" w:type="dxa"/>
          <w:bottom w:w="28" w:type="dxa"/>
          <w:right w:w="28" w:type="dxa"/>
        </w:tblCellMar>
      </w:tblPr>
      <w:tblGrid>
        <w:gridCol w:w="1321"/>
        <w:gridCol w:w="146"/>
        <w:gridCol w:w="282"/>
        <w:gridCol w:w="963"/>
        <w:gridCol w:w="246"/>
        <w:gridCol w:w="146"/>
        <w:gridCol w:w="186"/>
        <w:gridCol w:w="730"/>
        <w:gridCol w:w="371"/>
        <w:gridCol w:w="146"/>
        <w:gridCol w:w="282"/>
        <w:gridCol w:w="963"/>
        <w:gridCol w:w="246"/>
        <w:gridCol w:w="146"/>
        <w:gridCol w:w="186"/>
        <w:gridCol w:w="730"/>
        <w:gridCol w:w="391"/>
      </w:tblGrid>
      <w:tr>
        <w:trPr/>
        <w:tc>
          <w:tcPr>
            <w:tcW w:w="13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3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55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3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5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2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shd w:fill="auto" w:val="clear"/>
            <w:vAlign w:val="center"/>
          </w:tcPr>
          <w:p>
            <w:pPr>
              <w:pStyle w:val="TableContents"/>
              <w:spacing w:before="0" w:after="0"/>
              <w:ind w:left="0" w:right="0" w:hanging="0"/>
              <w:jc w:val="right"/>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Percentage</w:t>
            </w:r>
          </w:p>
        </w:tc>
        <w:tc>
          <w:tcPr>
            <w:tcW w:w="3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 Cost</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Percentage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Performing</w:t>
            </w:r>
          </w:p>
        </w:tc>
        <w:tc>
          <w:tcPr>
            <w:tcW w:w="146" w:type="dxa"/>
            <w:tcBorders/>
            <w:shd w:fill="auto" w:val="clear"/>
            <w:vAlign w:val="center"/>
          </w:tcPr>
          <w:p>
            <w:pPr>
              <w:pStyle w:val="TableContents"/>
              <w:spacing w:before="0" w:after="0"/>
              <w:ind w:left="0" w:right="0" w:hanging="0"/>
              <w:jc w:val="right"/>
              <w:rPr/>
            </w:pPr>
            <w:r>
              <w:rPr/>
              <w:t> </w:t>
            </w:r>
          </w:p>
        </w:tc>
        <w:tc>
          <w:tcPr>
            <w:tcW w:w="28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2,871.6</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99.0</w:t>
            </w:r>
          </w:p>
        </w:tc>
        <w:tc>
          <w:tcPr>
            <w:tcW w:w="37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8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2,772.8</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73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99.9</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32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Non-accrual</w:t>
            </w:r>
            <w:r>
              <w:rPr>
                <w:rFonts w:ascii="Times New Roman" w:hAnsi="Times New Roman"/>
                <w:sz w:val="20"/>
              </w:rPr>
              <w:t>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right"/>
              <w:rPr/>
            </w:pPr>
            <w:r>
              <w:rPr/>
              <w:t> </w:t>
            </w:r>
          </w:p>
        </w:tc>
        <w:tc>
          <w:tcPr>
            <w:tcW w:w="2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28.2</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3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2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righ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1321"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Total</w:t>
            </w:r>
          </w:p>
        </w:tc>
        <w:tc>
          <w:tcPr>
            <w:tcW w:w="146" w:type="dxa"/>
            <w:tcBorders/>
            <w:shd w:fill="auto" w:val="clear"/>
            <w:vAlign w:val="center"/>
          </w:tcPr>
          <w:p>
            <w:pPr>
              <w:pStyle w:val="TableContents"/>
              <w:spacing w:before="0" w:after="0"/>
              <w:ind w:left="0" w:right="0" w:hanging="0"/>
              <w:jc w:val="right"/>
              <w:rPr/>
            </w:pPr>
            <w:r>
              <w:rPr/>
              <w:t> </w:t>
            </w:r>
          </w:p>
        </w:tc>
        <w:tc>
          <w:tcPr>
            <w:tcW w:w="2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2,899.8</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1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6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2,774.7</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1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jc w:val="left"/>
        <w:rPr/>
      </w:pPr>
      <w:r>
        <w:rPr>
          <w:rFonts w:ascii="Times New Roman;serif" w:hAnsi="Times New Roman;serif"/>
          <w:b w:val="false"/>
          <w:sz w:val="20"/>
        </w:rPr>
        <w:t xml:space="preserve">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w:t>
      </w:r>
      <w:r>
        <w:rPr/>
        <w:t>“–</w:t>
      </w:r>
      <w:r>
        <w:rPr>
          <w:rFonts w:ascii="Times New Roman;serif" w:hAnsi="Times New Roman;serif"/>
          <w:b w:val="false"/>
          <w:i/>
          <w:sz w:val="20"/>
        </w:rPr>
        <w:t>Critical Accounting Policies – Interest and Dividend Income Recognition.”</w:t>
      </w:r>
    </w:p>
    <w:p>
      <w:pPr>
        <w:pStyle w:val="TextBody"/>
        <w:spacing w:before="0" w:after="0"/>
        <w:jc w:val="left"/>
        <w:rPr>
          <w:rFonts w:ascii="Times New Roman" w:hAnsi="Times New Roman"/>
          <w:sz w:val="20"/>
        </w:rPr>
      </w:pPr>
      <w:r>
        <w:rPr>
          <w:rFonts w:ascii="Times New Roman;serif" w:hAnsi="Times New Roman;serif"/>
          <w:b w:val="false"/>
          <w:sz w:val="20"/>
        </w:rPr>
        <w:t>The weighted average yields and interest rates of our performing debt investments at fair value as of March 31, 2023 and December 31, 2022 were as follows:</w:t>
      </w:r>
      <w:r>
        <w:rPr>
          <w:rFonts w:ascii="Times New Roman" w:hAnsi="Times New Roman"/>
          <w:sz w:val="20"/>
        </w:rPr>
        <w:t xml:space="preserve"> </w:t>
      </w:r>
    </w:p>
    <w:p>
      <w:pPr>
        <w:pStyle w:val="TextBody"/>
        <w:spacing w:before="0" w:after="0"/>
        <w:jc w:val="left"/>
        <w:rPr/>
      </w:pPr>
      <w:r>
        <w:rPr/>
        <w:t> </w:t>
      </w:r>
    </w:p>
    <w:tbl>
      <w:tblPr>
        <w:tblW w:w="8585" w:type="dxa"/>
        <w:jc w:val="left"/>
        <w:tblInd w:w="0" w:type="dxa"/>
        <w:tblCellMar>
          <w:top w:w="28" w:type="dxa"/>
          <w:left w:w="28" w:type="dxa"/>
          <w:bottom w:w="28" w:type="dxa"/>
          <w:right w:w="28" w:type="dxa"/>
        </w:tblCellMar>
      </w:tblPr>
      <w:tblGrid>
        <w:gridCol w:w="4846"/>
        <w:gridCol w:w="146"/>
        <w:gridCol w:w="300"/>
        <w:gridCol w:w="960"/>
        <w:gridCol w:w="371"/>
        <w:gridCol w:w="146"/>
        <w:gridCol w:w="357"/>
        <w:gridCol w:w="1143"/>
        <w:gridCol w:w="316"/>
      </w:tblGrid>
      <w:tr>
        <w:trPr/>
        <w:tc>
          <w:tcPr>
            <w:tcW w:w="48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8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3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84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Weighted average total yield of debt and income</w:t>
              <w:br/>
              <w:t xml:space="preserve">   producing securities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righ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w:t>
            </w:r>
          </w:p>
        </w:tc>
        <w:tc>
          <w:tcPr>
            <w:tcW w:w="37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righ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interest rate of debt and income</w:t>
              <w:br/>
              <w:t>   producing securities</w:t>
            </w:r>
          </w:p>
        </w:tc>
        <w:tc>
          <w:tcPr>
            <w:tcW w:w="146" w:type="dxa"/>
            <w:tcBorders/>
            <w:shd w:fill="auto" w:val="clear"/>
            <w:vAlign w:val="center"/>
          </w:tcPr>
          <w:p>
            <w:pPr>
              <w:pStyle w:val="TableContents"/>
              <w:spacing w:before="0" w:after="0"/>
              <w:ind w:left="0" w:right="0" w:hanging="0"/>
              <w:jc w:val="righ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37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righ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spread over reference rate of all floating</w:t>
              <w:br/>
              <w:t>   rate investments</w:t>
            </w:r>
          </w:p>
        </w:tc>
        <w:tc>
          <w:tcPr>
            <w:tcW w:w="146" w:type="dxa"/>
            <w:tcBorders/>
            <w:shd w:fill="auto" w:val="clear"/>
            <w:vAlign w:val="center"/>
          </w:tcPr>
          <w:p>
            <w:pPr>
              <w:pStyle w:val="TableContents"/>
              <w:spacing w:before="0" w:after="0"/>
              <w:ind w:left="0" w:right="0" w:hanging="0"/>
              <w:jc w:val="right"/>
              <w:rPr/>
            </w:pPr>
            <w:r>
              <w:rPr/>
              <w:t> </w:t>
            </w:r>
          </w:p>
        </w:tc>
        <w:tc>
          <w:tcPr>
            <w:tcW w:w="300"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w:t>
            </w:r>
          </w:p>
        </w:tc>
        <w:tc>
          <w:tcPr>
            <w:tcW w:w="37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right"/>
              <w:rPr/>
            </w:pPr>
            <w:r>
              <w:rPr/>
              <w:t> </w:t>
            </w:r>
          </w:p>
        </w:tc>
        <w:tc>
          <w:tcPr>
            <w:tcW w:w="357" w:type="dxa"/>
            <w:tcBorders/>
            <w:shd w:fill="auto" w:val="clear"/>
            <w:vAlign w:val="center"/>
          </w:tcPr>
          <w:p>
            <w:pPr>
              <w:pStyle w:val="TableContents"/>
              <w:spacing w:before="0" w:after="0"/>
              <w:ind w:left="0" w:right="0" w:hanging="0"/>
              <w:jc w:val="left"/>
              <w:rPr/>
            </w:pPr>
            <w:r>
              <w:rPr/>
              <w:t> </w:t>
            </w:r>
          </w:p>
        </w:tc>
        <w:tc>
          <w:tcPr>
            <w:tcW w:w="11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40" w:after="0"/>
        <w:jc w:val="left"/>
        <w:rPr>
          <w:rFonts w:ascii="Times New Roman" w:hAnsi="Times New Roman"/>
          <w:b w:val="false"/>
          <w:sz w:val="20"/>
        </w:rPr>
      </w:pPr>
      <w:r>
        <w:rPr>
          <w:rFonts w:ascii="Times New Roman" w:hAnsi="Times New Roman"/>
          <w:b w:val="false"/>
          <w:sz w:val="20"/>
        </w:rPr>
        <w:t>(1)</w:t>
      </w:r>
    </w:p>
    <w:p>
      <w:pPr>
        <w:pStyle w:val="TextBody"/>
        <w:spacing w:before="40" w:after="283"/>
        <w:jc w:val="left"/>
        <w:rPr>
          <w:rFonts w:ascii="Times New Roman;serif" w:hAnsi="Times New Roman;serif"/>
          <w:b w:val="false"/>
          <w:sz w:val="20"/>
        </w:rPr>
      </w:pPr>
      <w:r>
        <w:rPr>
          <w:rFonts w:ascii="Times New Roman;serif" w:hAnsi="Times New Roman;serif"/>
          <w:b w:val="false"/>
          <w:sz w:val="20"/>
        </w:rPr>
        <w:t xml:space="preserve">Weighted average total portfolio yield at fair value was 13.1% at March 31, 2023 and 12.8% at December 31, 2022. </w:t>
      </w:r>
    </w:p>
    <w:p>
      <w:pPr>
        <w:pStyle w:val="TextBody"/>
        <w:spacing w:before="240" w:after="0"/>
        <w:jc w:val="left"/>
        <w:rPr>
          <w:rFonts w:ascii="Times New Roman" w:hAnsi="Times New Roman"/>
          <w:sz w:val="20"/>
        </w:rPr>
      </w:pPr>
      <w:r>
        <w:rPr>
          <w:rFonts w:ascii="Times New Roman;serif" w:hAnsi="Times New Roman;serif"/>
          <w:b w:val="false"/>
          <w:sz w:val="20"/>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of our investments, which may include the following: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assessment of success of the portfolio company in adhering to its business plan and compliance with covenants;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periodic and regular contact with portfolio company management and, if appropriate, the financial or strategic sponsor, to discuss financial position, requirements and accomplishments;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51</w:t>
      </w:r>
    </w:p>
    <w:p>
      <w:pPr>
        <w:pStyle w:val="HorizontalLine"/>
        <w:rPr/>
      </w:pPr>
      <w:r>
        <w:rPr/>
      </w:r>
    </w:p>
    <w:p>
      <w:pPr>
        <w:pStyle w:val="TextBody"/>
        <w:spacing w:before="0" w:after="0"/>
        <w:jc w:val="left"/>
        <w:rPr/>
      </w:pPr>
      <w:r>
        <w:rPr/>
        <w: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comparisons to other companies in the industry;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attendance at, and participation in, board meetings;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review of monthly and quarterly financial statements and financial projections for portfolio companies. </w:t>
      </w:r>
    </w:p>
    <w:p>
      <w:pPr>
        <w:pStyle w:val="TextBody"/>
        <w:spacing w:before="240" w:after="0"/>
        <w:jc w:val="left"/>
        <w:rPr>
          <w:rFonts w:ascii="Times New Roman" w:hAnsi="Times New Roman"/>
          <w:sz w:val="20"/>
        </w:rPr>
      </w:pPr>
      <w:r>
        <w:rPr>
          <w:rFonts w:ascii="Times New Roman;serif" w:hAnsi="Times New Roman;serif"/>
          <w:b w:val="false"/>
          <w:sz w:val="20"/>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 </w:t>
      </w:r>
    </w:p>
    <w:p>
      <w:pPr>
        <w:pStyle w:val="TextBody"/>
        <w:spacing w:before="240" w:after="0"/>
        <w:jc w:val="left"/>
        <w:rPr>
          <w:rFonts w:ascii="Times New Roman" w:hAnsi="Times New Roman"/>
          <w:sz w:val="20"/>
        </w:rPr>
      </w:pPr>
      <w:r>
        <w:rPr>
          <w:rFonts w:ascii="Times New Roman;serif" w:hAnsi="Times New Roman;serif"/>
          <w:b w:val="false"/>
          <w:sz w:val="20"/>
        </w:rPr>
        <w:t>The following table shows the distribution of our investments on the 1 to 5 investment performance rating scale at fair value as of March 31, 2023 and December 31, 2022. Investment performance ratings are accurate only as of those dates and may change due to subsequent developments relating to a portfolio company’s business or financial condition, market conditions or developments, and other factors.</w:t>
      </w:r>
      <w:r>
        <w:rPr>
          <w:rFonts w:ascii="Times New Roman" w:hAnsi="Times New Roman"/>
          <w:sz w:val="20"/>
        </w:rPr>
        <w:t xml:space="preserve"> </w:t>
      </w:r>
    </w:p>
    <w:p>
      <w:pPr>
        <w:pStyle w:val="TextBody"/>
        <w:spacing w:before="0" w:after="0"/>
        <w:jc w:val="left"/>
        <w:rPr/>
      </w:pPr>
      <w:r>
        <w:rPr/>
        <w:t> </w:t>
      </w:r>
    </w:p>
    <w:tbl>
      <w:tblPr>
        <w:tblW w:w="7685" w:type="dxa"/>
        <w:jc w:val="left"/>
        <w:tblInd w:w="0" w:type="dxa"/>
        <w:tblCellMar>
          <w:top w:w="28" w:type="dxa"/>
          <w:left w:w="28" w:type="dxa"/>
          <w:bottom w:w="28" w:type="dxa"/>
          <w:right w:w="28" w:type="dxa"/>
        </w:tblCellMar>
      </w:tblPr>
      <w:tblGrid>
        <w:gridCol w:w="460"/>
        <w:gridCol w:w="606"/>
        <w:gridCol w:w="146"/>
        <w:gridCol w:w="146"/>
        <w:gridCol w:w="261"/>
        <w:gridCol w:w="894"/>
        <w:gridCol w:w="246"/>
        <w:gridCol w:w="146"/>
        <w:gridCol w:w="243"/>
        <w:gridCol w:w="957"/>
        <w:gridCol w:w="371"/>
        <w:gridCol w:w="146"/>
        <w:gridCol w:w="261"/>
        <w:gridCol w:w="894"/>
        <w:gridCol w:w="246"/>
        <w:gridCol w:w="146"/>
        <w:gridCol w:w="243"/>
        <w:gridCol w:w="957"/>
        <w:gridCol w:w="316"/>
      </w:tblGrid>
      <w:tr>
        <w:trPr/>
        <w:tc>
          <w:tcPr>
            <w:tcW w:w="460"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06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4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3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4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6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Investment</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Investments at</w:t>
            </w:r>
          </w:p>
        </w:tc>
        <w:tc>
          <w:tcPr>
            <w:tcW w:w="2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0" w:type="dxa"/>
            <w:gridSpan w:val="2"/>
            <w:tcBorders/>
            <w:shd w:fill="auto" w:val="clear"/>
            <w:vAlign w:val="center"/>
          </w:tcPr>
          <w:p>
            <w:pPr>
              <w:pStyle w:val="TableContents"/>
              <w:spacing w:before="0" w:after="0"/>
              <w:ind w:left="0" w:right="0" w:hanging="0"/>
              <w:jc w:val="left"/>
              <w:rPr/>
            </w:pPr>
            <w:r>
              <w:rPr/>
              <w:t> </w:t>
            </w:r>
          </w:p>
        </w:tc>
        <w:tc>
          <w:tcPr>
            <w:tcW w:w="3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Investments at</w:t>
            </w:r>
          </w:p>
        </w:tc>
        <w:tc>
          <w:tcPr>
            <w:tcW w:w="2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0" w:type="dxa"/>
            <w:gridSpan w:val="2"/>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106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Performance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Percentage of</w:t>
            </w:r>
          </w:p>
        </w:tc>
        <w:tc>
          <w:tcPr>
            <w:tcW w:w="3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Percentage of</w:t>
            </w:r>
          </w:p>
        </w:tc>
        <w:tc>
          <w:tcPr>
            <w:tcW w:w="316" w:type="dxa"/>
            <w:tcBorders/>
            <w:shd w:fill="auto" w:val="clear"/>
            <w:vAlign w:val="center"/>
          </w:tcPr>
          <w:p>
            <w:pPr>
              <w:pStyle w:val="TableContents"/>
              <w:spacing w:before="0" w:after="0"/>
              <w:ind w:left="0" w:right="0" w:hanging="0"/>
              <w:jc w:val="center"/>
              <w:rPr/>
            </w:pPr>
            <w:r>
              <w:rPr/>
              <w:t> </w:t>
            </w:r>
          </w:p>
        </w:tc>
      </w:tr>
      <w:tr>
        <w:trPr/>
        <w:tc>
          <w:tcPr>
            <w:tcW w:w="106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Rating</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in millions)</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 Portfolio</w:t>
            </w:r>
          </w:p>
        </w:tc>
        <w:tc>
          <w:tcPr>
            <w:tcW w:w="3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in millions)</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 Portfolio</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60" w:type="dxa"/>
            <w:tcBorders/>
            <w:shd w:fill="auto" w:val="clear"/>
            <w:vAlign w:val="center"/>
          </w:tcPr>
          <w:p>
            <w:pPr>
              <w:pStyle w:val="TableContents"/>
              <w:spacing w:before="0" w:after="0"/>
              <w:ind w:left="0" w:right="0" w:hanging="0"/>
              <w:jc w:val="lef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2,507.9</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85.9</w:t>
            </w:r>
          </w:p>
        </w:tc>
        <w:tc>
          <w:tcPr>
            <w:tcW w:w="37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2,472.8</w:t>
            </w:r>
          </w:p>
        </w:tc>
        <w:tc>
          <w:tcPr>
            <w:tcW w:w="246"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88.7</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60" w:type="dxa"/>
            <w:tcBorders/>
            <w:shd w:fill="auto" w:val="clear"/>
            <w:vAlign w:val="center"/>
          </w:tcPr>
          <w:p>
            <w:pPr>
              <w:pStyle w:val="TableContents"/>
              <w:spacing w:before="0" w:after="0"/>
              <w:ind w:left="0" w:right="0" w:hanging="0"/>
              <w:jc w:val="lef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8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390.9</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w:t>
            </w:r>
          </w:p>
        </w:tc>
        <w:tc>
          <w:tcPr>
            <w:tcW w:w="3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8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293.6</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w:t>
            </w:r>
          </w:p>
        </w:tc>
        <w:tc>
          <w:tcPr>
            <w:tcW w:w="316" w:type="dxa"/>
            <w:tcBorders/>
            <w:shd w:fill="auto" w:val="clear"/>
            <w:vAlign w:val="center"/>
          </w:tcPr>
          <w:p>
            <w:pPr>
              <w:pStyle w:val="TableContents"/>
              <w:spacing w:before="0" w:after="0"/>
              <w:ind w:left="0" w:right="0" w:hanging="0"/>
              <w:jc w:val="left"/>
              <w:rPr/>
            </w:pPr>
            <w:r>
              <w:rPr/>
              <w:t> </w:t>
            </w:r>
          </w:p>
        </w:tc>
      </w:tr>
      <w:tr>
        <w:trPr/>
        <w:tc>
          <w:tcPr>
            <w:tcW w:w="460" w:type="dxa"/>
            <w:tcBorders/>
            <w:shd w:fill="auto" w:val="clear"/>
            <w:vAlign w:val="center"/>
          </w:tcPr>
          <w:p>
            <w:pPr>
              <w:pStyle w:val="TableContents"/>
              <w:spacing w:before="0" w:after="0"/>
              <w:ind w:left="0" w:right="0" w:hanging="0"/>
              <w:jc w:val="lef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894"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right"/>
              <w:rPr/>
            </w:pPr>
            <w:r>
              <w:rPr/>
              <w:t>—</w:t>
            </w:r>
          </w:p>
        </w:tc>
        <w:tc>
          <w:tcPr>
            <w:tcW w:w="3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89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316" w:type="dxa"/>
            <w:tcBorders/>
            <w:shd w:fill="auto" w:val="clear"/>
            <w:vAlign w:val="center"/>
          </w:tcPr>
          <w:p>
            <w:pPr>
              <w:pStyle w:val="TableContents"/>
              <w:spacing w:before="0" w:after="0"/>
              <w:ind w:left="0" w:right="0" w:hanging="0"/>
              <w:jc w:val="left"/>
              <w:rPr/>
            </w:pPr>
            <w:r>
              <w:rPr/>
              <w:t> </w:t>
            </w:r>
          </w:p>
        </w:tc>
      </w:tr>
      <w:tr>
        <w:trPr/>
        <w:tc>
          <w:tcPr>
            <w:tcW w:w="460" w:type="dxa"/>
            <w:tcBorders/>
            <w:shd w:fill="auto" w:val="clear"/>
            <w:vAlign w:val="center"/>
          </w:tcPr>
          <w:p>
            <w:pPr>
              <w:pStyle w:val="TableContents"/>
              <w:spacing w:before="0" w:after="0"/>
              <w:ind w:left="0" w:right="0" w:hanging="0"/>
              <w:jc w:val="lef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894"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right"/>
              <w:rPr/>
            </w:pPr>
            <w:r>
              <w:rPr/>
              <w:t>—</w:t>
            </w:r>
          </w:p>
        </w:tc>
        <w:tc>
          <w:tcPr>
            <w:tcW w:w="3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shd w:fill="auto" w:val="clear"/>
            <w:vAlign w:val="center"/>
          </w:tcPr>
          <w:p>
            <w:pPr>
              <w:pStyle w:val="TableContents"/>
              <w:spacing w:before="0" w:after="0"/>
              <w:ind w:left="0" w:right="0" w:hanging="0"/>
              <w:jc w:val="left"/>
              <w:rPr/>
            </w:pPr>
            <w:r>
              <w:rPr/>
              <w:t> </w:t>
            </w:r>
          </w:p>
        </w:tc>
        <w:tc>
          <w:tcPr>
            <w:tcW w:w="894" w:type="dxa"/>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957" w:type="dxa"/>
            <w:tcBorders/>
            <w:shd w:fill="auto" w:val="clear"/>
            <w:vAlign w:val="center"/>
          </w:tcPr>
          <w:p>
            <w:pPr>
              <w:pStyle w:val="TableContents"/>
              <w:spacing w:before="0" w:after="0"/>
              <w:ind w:left="0" w:right="0" w:hanging="0"/>
              <w:jc w:val="right"/>
              <w:rPr/>
            </w:pPr>
            <w:r>
              <w:rPr/>
              <w:t>—</w:t>
            </w:r>
          </w:p>
        </w:tc>
        <w:tc>
          <w:tcPr>
            <w:tcW w:w="316" w:type="dxa"/>
            <w:tcBorders/>
            <w:shd w:fill="auto" w:val="clear"/>
            <w:vAlign w:val="center"/>
          </w:tcPr>
          <w:p>
            <w:pPr>
              <w:pStyle w:val="TableContents"/>
              <w:spacing w:before="0" w:after="0"/>
              <w:ind w:left="0" w:right="0" w:hanging="0"/>
              <w:jc w:val="left"/>
              <w:rPr/>
            </w:pPr>
            <w:r>
              <w:rPr/>
              <w:t> </w:t>
            </w:r>
          </w:p>
        </w:tc>
      </w:tr>
      <w:tr>
        <w:trPr/>
        <w:tc>
          <w:tcPr>
            <w:tcW w:w="460" w:type="dxa"/>
            <w:tcBorders/>
            <w:shd w:fill="auto" w:val="clear"/>
            <w:vAlign w:val="center"/>
          </w:tcPr>
          <w:p>
            <w:pPr>
              <w:pStyle w:val="TableContents"/>
              <w:spacing w:before="0" w:after="0"/>
              <w:ind w:left="0" w:right="0" w:hanging="0"/>
              <w:jc w:val="left"/>
              <w:rPr/>
            </w:pPr>
            <w:r>
              <w:rPr/>
              <w:t> </w:t>
            </w:r>
          </w:p>
        </w:tc>
        <w:tc>
          <w:tcPr>
            <w:tcW w:w="6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3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066" w:type="dxa"/>
            <w:gridSpan w:val="2"/>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2,918.6</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10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2,787.9</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2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52</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160" w:after="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Operating results for the three months ended March 31, 2023 and 2022 were as follows:</w:t>
      </w:r>
      <w:r>
        <w:rPr>
          <w:rFonts w:ascii="Times New Roman" w:hAnsi="Times New Roman"/>
          <w:sz w:val="20"/>
        </w:rPr>
        <w:t xml:space="preserve"> </w:t>
      </w:r>
    </w:p>
    <w:p>
      <w:pPr>
        <w:pStyle w:val="TextBody"/>
        <w:spacing w:before="0" w:after="0"/>
        <w:jc w:val="left"/>
        <w:rPr/>
      </w:pPr>
      <w:r>
        <w:rPr/>
        <w:t> </w:t>
      </w:r>
    </w:p>
    <w:tbl>
      <w:tblPr>
        <w:tblW w:w="8165" w:type="dxa"/>
        <w:jc w:val="left"/>
        <w:tblInd w:w="0" w:type="dxa"/>
        <w:tblCellMar>
          <w:top w:w="28" w:type="dxa"/>
          <w:left w:w="28" w:type="dxa"/>
          <w:bottom w:w="28" w:type="dxa"/>
          <w:right w:w="28" w:type="dxa"/>
        </w:tblCellMar>
      </w:tblPr>
      <w:tblGrid>
        <w:gridCol w:w="4596"/>
        <w:gridCol w:w="146"/>
        <w:gridCol w:w="393"/>
        <w:gridCol w:w="867"/>
        <w:gridCol w:w="346"/>
        <w:gridCol w:w="146"/>
        <w:gridCol w:w="393"/>
        <w:gridCol w:w="867"/>
        <w:gridCol w:w="411"/>
      </w:tblGrid>
      <w:tr>
        <w:trPr/>
        <w:tc>
          <w:tcPr>
            <w:tcW w:w="45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45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investment income</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96.5</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67.4</w:t>
            </w:r>
          </w:p>
        </w:tc>
        <w:tc>
          <w:tcPr>
            <w:tcW w:w="411" w:type="dxa"/>
            <w:tcBorders/>
            <w:shd w:fill="auto" w:val="clear"/>
            <w:vAlign w:val="center"/>
          </w:tcPr>
          <w:p>
            <w:pPr>
              <w:pStyle w:val="TableContents"/>
              <w:spacing w:before="0" w:after="0"/>
              <w:ind w:left="0" w:right="0" w:hanging="0"/>
              <w:jc w:val="left"/>
              <w:rPr/>
            </w:pPr>
            <w:r>
              <w:rPr/>
              <w:t> </w:t>
            </w:r>
          </w:p>
        </w:tc>
      </w:tr>
      <w:tr>
        <w:trPr/>
        <w:tc>
          <w:tcPr>
            <w:tcW w:w="45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Net expenses</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53.2</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31.4</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59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Net investment income before income taxes</w:t>
            </w:r>
          </w:p>
        </w:tc>
        <w:tc>
          <w:tcPr>
            <w:tcW w:w="146" w:type="dxa"/>
            <w:tcBorders/>
            <w:shd w:fill="auto" w:val="clear"/>
            <w:vAlign w:val="center"/>
          </w:tcPr>
          <w:p>
            <w:pPr>
              <w:pStyle w:val="TableContents"/>
              <w:spacing w:before="0" w:after="0"/>
              <w:ind w:left="20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43.3</w:t>
            </w:r>
          </w:p>
        </w:tc>
        <w:tc>
          <w:tcPr>
            <w:tcW w:w="346" w:type="dxa"/>
            <w:tcBorders/>
            <w:shd w:fill="auto" w:val="cle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36.0</w:t>
            </w:r>
          </w:p>
        </w:tc>
        <w:tc>
          <w:tcPr>
            <w:tcW w:w="411" w:type="dxa"/>
            <w:tcBorders/>
            <w:shd w:fill="auto" w:val="clear"/>
            <w:vAlign w:val="center"/>
          </w:tcPr>
          <w:p>
            <w:pPr>
              <w:pStyle w:val="TableContents"/>
              <w:spacing w:before="0" w:after="0"/>
              <w:ind w:left="0" w:right="0" w:firstLine="200"/>
              <w:jc w:val="left"/>
              <w:rPr/>
            </w:pPr>
            <w:r>
              <w:rPr/>
              <w:t> </w:t>
            </w:r>
          </w:p>
        </w:tc>
      </w:tr>
      <w:tr>
        <w:trPr/>
        <w:tc>
          <w:tcPr>
            <w:tcW w:w="459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Less: Income taxes, including excise taxes</w:t>
            </w:r>
          </w:p>
        </w:tc>
        <w:tc>
          <w:tcPr>
            <w:tcW w:w="146" w:type="dxa"/>
            <w:tcBorders/>
            <w:shd w:fill="auto" w:val="clear"/>
            <w:vAlign w:val="center"/>
          </w:tcPr>
          <w:p>
            <w:pPr>
              <w:pStyle w:val="TableContents"/>
              <w:spacing w:before="0" w:after="0"/>
              <w:ind w:left="200" w:right="0" w:hanging="0"/>
              <w:jc w:val="left"/>
              <w:rPr/>
            </w:pPr>
            <w:r>
              <w:rPr/>
              <w:t> </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596"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Net investment income</w:t>
            </w:r>
          </w:p>
        </w:tc>
        <w:tc>
          <w:tcPr>
            <w:tcW w:w="146" w:type="dxa"/>
            <w:tcBorders/>
            <w:shd w:fill="auto" w:val="clear"/>
            <w:vAlign w:val="center"/>
          </w:tcPr>
          <w:p>
            <w:pPr>
              <w:pStyle w:val="TableContents"/>
              <w:spacing w:before="0" w:after="0"/>
              <w:ind w:left="20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42.9</w:t>
            </w:r>
          </w:p>
        </w:tc>
        <w:tc>
          <w:tcPr>
            <w:tcW w:w="346" w:type="dxa"/>
            <w:tcBorders/>
            <w:shd w:fill="auto" w:val="cle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35.7</w:t>
            </w:r>
          </w:p>
        </w:tc>
        <w:tc>
          <w:tcPr>
            <w:tcW w:w="411" w:type="dxa"/>
            <w:tcBorders/>
            <w:shd w:fill="auto" w:val="clear"/>
            <w:vAlign w:val="center"/>
          </w:tcPr>
          <w:p>
            <w:pPr>
              <w:pStyle w:val="TableContents"/>
              <w:spacing w:before="0" w:after="0"/>
              <w:ind w:left="0" w:right="0" w:hanging="0"/>
              <w:jc w:val="left"/>
              <w:rPr/>
            </w:pPr>
            <w:r>
              <w:rPr/>
              <w:t> </w:t>
            </w:r>
          </w:p>
        </w:tc>
      </w:tr>
      <w:tr>
        <w:trPr/>
        <w:tc>
          <w:tcPr>
            <w:tcW w:w="459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Net realized gains (losses)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w:t>
            </w:r>
          </w:p>
        </w:tc>
        <w:tc>
          <w:tcPr>
            <w:tcW w:w="411" w:type="dxa"/>
            <w:tcBorders/>
            <w:shd w:fill="auto" w:val="clear"/>
            <w:vAlign w:val="center"/>
          </w:tcPr>
          <w:p>
            <w:pPr>
              <w:pStyle w:val="TableContents"/>
              <w:spacing w:before="0" w:after="0"/>
              <w:ind w:left="0" w:right="0" w:hanging="0"/>
              <w:jc w:val="left"/>
              <w:rPr/>
            </w:pPr>
            <w:r>
              <w:rPr/>
              <w:t> </w:t>
            </w:r>
          </w:p>
        </w:tc>
      </w:tr>
      <w:tr>
        <w:trPr/>
        <w:tc>
          <w:tcPr>
            <w:tcW w:w="459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Net change in unrealized gains (losses)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596" w:type="dxa"/>
            <w:tcBorders/>
            <w:shd w:fill="auto" w:val="clear"/>
            <w:vAlign w:val="center"/>
          </w:tcPr>
          <w:p>
            <w:pPr>
              <w:pStyle w:val="TableContents"/>
              <w:spacing w:before="0" w:after="0"/>
              <w:ind w:left="0" w:right="0" w:firstLine="200"/>
              <w:jc w:val="left"/>
              <w:rPr>
                <w:rFonts w:ascii="Times New Roman;serif" w:hAnsi="Times New Roman;serif"/>
                <w:b/>
                <w:sz w:val="20"/>
              </w:rPr>
            </w:pPr>
            <w:r>
              <w:rPr>
                <w:rFonts w:ascii="Times New Roman;serif" w:hAnsi="Times New Roman;serif"/>
                <w:b/>
                <w:sz w:val="20"/>
              </w:rPr>
              <w:t>Net increase in net assets resulting from operations</w:t>
            </w:r>
          </w:p>
        </w:tc>
        <w:tc>
          <w:tcPr>
            <w:tcW w:w="146" w:type="dxa"/>
            <w:tcBorders/>
            <w:shd w:fill="auto" w:val="clear"/>
            <w:vAlign w:val="center"/>
          </w:tcPr>
          <w:p>
            <w:pPr>
              <w:pStyle w:val="TableContents"/>
              <w:spacing w:before="0" w:after="0"/>
              <w:ind w:left="200" w:right="0" w:hanging="0"/>
              <w:jc w:val="left"/>
              <w:rPr/>
            </w:pPr>
            <w:r>
              <w:rPr/>
              <w:t> </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52.9</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40.9</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40" w:after="0"/>
        <w:jc w:val="left"/>
        <w:rPr>
          <w:rFonts w:ascii="Times New Roman" w:hAnsi="Times New Roman"/>
          <w:b w:val="false"/>
          <w:sz w:val="20"/>
        </w:rPr>
      </w:pPr>
      <w:r>
        <w:rPr>
          <w:rFonts w:ascii="Times New Roman" w:hAnsi="Times New Roman"/>
          <w:b w:val="false"/>
          <w:sz w:val="20"/>
        </w:rPr>
        <w:t>(1)</w:t>
      </w:r>
    </w:p>
    <w:p>
      <w:pPr>
        <w:pStyle w:val="TextBody"/>
        <w:spacing w:before="40" w:after="283"/>
        <w:jc w:val="left"/>
        <w:rPr>
          <w:rFonts w:ascii="Times New Roman;serif" w:hAnsi="Times New Roman;serif"/>
          <w:b w:val="false"/>
          <w:sz w:val="20"/>
        </w:rPr>
      </w:pPr>
      <w:r>
        <w:rPr>
          <w:rFonts w:ascii="Times New Roman;serif" w:hAnsi="Times New Roman;serif"/>
          <w:b w:val="false"/>
          <w:sz w:val="20"/>
        </w:rPr>
        <w:t xml:space="preserve">Includes foreign exchange hedging activity. </w:t>
      </w:r>
    </w:p>
    <w:p>
      <w:pPr>
        <w:pStyle w:val="TextBody"/>
        <w:spacing w:before="0" w:after="0"/>
        <w:jc w:val="left"/>
        <w:rPr/>
      </w:pPr>
      <w:r>
        <w:rPr/>
        <w:t> </w:t>
      </w:r>
    </w:p>
    <w:p>
      <w:pPr>
        <w:pStyle w:val="TextBody"/>
        <w:spacing w:before="160" w:after="0"/>
        <w:jc w:val="left"/>
        <w:rPr>
          <w:rFonts w:ascii="Times New Roman" w:hAnsi="Times New Roman"/>
          <w:sz w:val="20"/>
        </w:rPr>
      </w:pPr>
      <w:r>
        <w:rPr>
          <w:rFonts w:ascii="Times New Roman;serif" w:hAnsi="Times New Roman;serif"/>
          <w:b/>
          <w:i/>
          <w:sz w:val="20"/>
        </w:rPr>
        <w:t>Investment Income</w:t>
      </w:r>
      <w:r>
        <w:rPr>
          <w:rFonts w:ascii="Times New Roman" w:hAnsi="Times New Roman"/>
          <w:sz w:val="20"/>
        </w:rPr>
        <w:t xml:space="preserve"> </w:t>
      </w:r>
    </w:p>
    <w:tbl>
      <w:tblPr>
        <w:tblW w:w="5955" w:type="dxa"/>
        <w:jc w:val="left"/>
        <w:tblInd w:w="0" w:type="dxa"/>
        <w:tblCellMar>
          <w:top w:w="28" w:type="dxa"/>
          <w:left w:w="28" w:type="dxa"/>
          <w:bottom w:w="28" w:type="dxa"/>
          <w:right w:w="28" w:type="dxa"/>
        </w:tblCellMar>
      </w:tblPr>
      <w:tblGrid>
        <w:gridCol w:w="2406"/>
        <w:gridCol w:w="146"/>
        <w:gridCol w:w="393"/>
        <w:gridCol w:w="867"/>
        <w:gridCol w:w="346"/>
        <w:gridCol w:w="146"/>
        <w:gridCol w:w="393"/>
        <w:gridCol w:w="867"/>
        <w:gridCol w:w="391"/>
      </w:tblGrid>
      <w:tr>
        <w:trPr/>
        <w:tc>
          <w:tcPr>
            <w:tcW w:w="2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1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0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from investments</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93.1</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65.4</w:t>
            </w:r>
          </w:p>
        </w:tc>
        <w:tc>
          <w:tcPr>
            <w:tcW w:w="391" w:type="dxa"/>
            <w:tcBorders/>
            <w:shd w:fill="auto" w:val="clear"/>
            <w:vAlign w:val="center"/>
          </w:tcPr>
          <w:p>
            <w:pPr>
              <w:pStyle w:val="TableContents"/>
              <w:spacing w:before="0" w:after="0"/>
              <w:ind w:left="0" w:right="0" w:hanging="0"/>
              <w:jc w:val="left"/>
              <w:rPr/>
            </w:pPr>
            <w:r>
              <w:rPr/>
              <w:t> </w:t>
            </w:r>
          </w:p>
        </w:tc>
      </w:tr>
      <w:tr>
        <w:trPr/>
        <w:tc>
          <w:tcPr>
            <w:tcW w:w="2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 income</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w:t>
            </w:r>
          </w:p>
        </w:tc>
        <w:tc>
          <w:tcPr>
            <w:tcW w:w="3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391" w:type="dxa"/>
            <w:tcBorders/>
            <w:shd w:fill="auto" w:val="clear"/>
            <w:vAlign w:val="center"/>
          </w:tcPr>
          <w:p>
            <w:pPr>
              <w:pStyle w:val="TableContents"/>
              <w:spacing w:before="0" w:after="0"/>
              <w:ind w:left="0" w:right="0" w:hanging="0"/>
              <w:jc w:val="left"/>
              <w:rPr/>
            </w:pPr>
            <w:r>
              <w:rPr/>
              <w:t> </w:t>
            </w:r>
          </w:p>
        </w:tc>
      </w:tr>
      <w:tr>
        <w:trPr/>
        <w:tc>
          <w:tcPr>
            <w:tcW w:w="2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406" w:type="dxa"/>
            <w:tcBorders/>
            <w:shd w:fill="auto" w:val="clear"/>
            <w:vAlign w:val="center"/>
          </w:tcPr>
          <w:p>
            <w:pPr>
              <w:pStyle w:val="TableContents"/>
              <w:spacing w:before="0" w:after="0"/>
              <w:ind w:left="0" w:right="0" w:firstLine="200"/>
              <w:jc w:val="left"/>
              <w:rPr>
                <w:rFonts w:ascii="Times New Roman;serif" w:hAnsi="Times New Roman;serif"/>
                <w:b/>
                <w:sz w:val="20"/>
              </w:rPr>
            </w:pPr>
            <w:r>
              <w:rPr>
                <w:rFonts w:ascii="Times New Roman;serif" w:hAnsi="Times New Roman;serif"/>
                <w:b/>
                <w:sz w:val="20"/>
              </w:rPr>
              <w:t>Total investment income</w:t>
            </w:r>
          </w:p>
        </w:tc>
        <w:tc>
          <w:tcPr>
            <w:tcW w:w="146" w:type="dxa"/>
            <w:tcBorders/>
            <w:shd w:fill="auto" w:val="clear"/>
            <w:vAlign w:val="center"/>
          </w:tcPr>
          <w:p>
            <w:pPr>
              <w:pStyle w:val="TableContents"/>
              <w:spacing w:before="0" w:after="0"/>
              <w:ind w:left="200" w:right="0" w:hanging="0"/>
              <w:jc w:val="left"/>
              <w:rPr/>
            </w:pPr>
            <w:r>
              <w:rPr/>
              <w:t> </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96.5</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c>
          <w:tcPr>
            <w:tcW w:w="146" w:type="dxa"/>
            <w:tcBorders/>
            <w:shd w:fill="auto" w:val="clear"/>
            <w:vAlign w:val="center"/>
          </w:tcPr>
          <w:p>
            <w:pPr>
              <w:pStyle w:val="TableContents"/>
              <w:spacing w:before="0" w:after="0"/>
              <w:ind w:left="200" w:right="0" w:hanging="0"/>
              <w:jc w:val="left"/>
              <w:rPr/>
            </w:pPr>
            <w:r>
              <w:rPr/>
              <w:t> </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67.4</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Interest from investments, which includes amortization of upfront fees and prepayment fees, increased from $65.4 million for the three months ended March 31, 2022 to $93.1 million for the three months ended March 31, 2023. The increase in interest from investments was primarily the result of an increase in interest earned due to an increase in reference rates for the period ended March 31, 2023 compared to the same period in 2022. Accelerated amortization of upfront fees, which were primarily from unscheduled paydowns, decreased from $1.8 million for the three months ended March 31, 2022 to $0.5 million for the three months ended March 31, 2023. Prepayment fees decreased from $5.1 million for the three months ended March 31, 2022 to $1.1 million for the three months ended March 31, 2023. Accelerated amortization of upfront fees and prepayment fees primarily resulted from full paydowns on four portfolio investments, partial paydowns on four portfolio investments, a partial realization on one portfolio investment, and earning prepayment fees on seven portfolio investments during the three months ended March 31, 2022 and from a full paydown on one portfolio investment, partial paydowns on two portfolio investments and earning prepayment fees on two portfolio investments during the three months ended March 31, 2023. Dividend income increased from $0.2 million for the three months ended March 31, 2022 to $0.6 million for the three months ended March 31, 2023 due to increased investment in dividend yielding securities in 2023. Other income increased from $1.8 million for the three months ended March 31, 2022 to $2.8 million for the three months ended March 31, 2023, primarily due to increased amendment fees during the three months ended March 31, 2023 compared to the same period in 2022.</w:t>
      </w:r>
    </w:p>
    <w:p>
      <w:pPr>
        <w:pStyle w:val="TextBody"/>
        <w:spacing w:before="360" w:after="0"/>
        <w:jc w:val="left"/>
        <w:rPr>
          <w:rFonts w:ascii="Times New Roman" w:hAnsi="Times New Roman"/>
          <w:sz w:val="20"/>
        </w:rPr>
      </w:pPr>
      <w:r>
        <w:rPr>
          <w:rFonts w:ascii="Times New Roman;serif" w:hAnsi="Times New Roman;serif"/>
          <w:b/>
          <w:i/>
          <w:sz w:val="20"/>
        </w:rPr>
        <w:t>Expenses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Operating expenses for the three months ended March 31, 2023 and 2022 were as follows:</w:t>
      </w:r>
      <w:r>
        <w:rPr>
          <w:rFonts w:ascii="Times New Roman" w:hAnsi="Times New Roman"/>
          <w:sz w:val="20"/>
        </w:rPr>
        <w:t xml:space="preserve"> </w:t>
      </w:r>
    </w:p>
    <w:tbl>
      <w:tblPr>
        <w:tblW w:w="7905" w:type="dxa"/>
        <w:jc w:val="left"/>
        <w:tblInd w:w="0" w:type="dxa"/>
        <w:tblCellMar>
          <w:top w:w="28" w:type="dxa"/>
          <w:left w:w="28" w:type="dxa"/>
          <w:bottom w:w="28" w:type="dxa"/>
          <w:right w:w="28" w:type="dxa"/>
        </w:tblCellMar>
      </w:tblPr>
      <w:tblGrid>
        <w:gridCol w:w="4756"/>
        <w:gridCol w:w="146"/>
        <w:gridCol w:w="393"/>
        <w:gridCol w:w="867"/>
        <w:gridCol w:w="146"/>
        <w:gridCol w:w="146"/>
        <w:gridCol w:w="393"/>
        <w:gridCol w:w="867"/>
        <w:gridCol w:w="191"/>
      </w:tblGrid>
      <w:tr>
        <w:trPr/>
        <w:tc>
          <w:tcPr>
            <w:tcW w:w="47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7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1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w:t>
            </w:r>
          </w:p>
        </w:tc>
        <w:tc>
          <w:tcPr>
            <w:tcW w:w="191" w:type="dxa"/>
            <w:tcBorders/>
            <w:shd w:fill="auto" w:val="clear"/>
            <w:vAlign w:val="center"/>
          </w:tcPr>
          <w:p>
            <w:pPr>
              <w:pStyle w:val="TableContents"/>
              <w:spacing w:before="0" w:after="0"/>
              <w:ind w:left="0" w:right="0" w:hanging="0"/>
              <w:jc w:val="left"/>
              <w:rPr/>
            </w:pPr>
            <w:r>
              <w:rPr/>
              <w:t> </w:t>
            </w:r>
          </w:p>
        </w:tc>
      </w:tr>
      <w:tr>
        <w:trPr/>
        <w:tc>
          <w:tcPr>
            <w:tcW w:w="4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Management fees (net of waivers)</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w:t>
            </w:r>
          </w:p>
        </w:tc>
        <w:tc>
          <w:tcPr>
            <w:tcW w:w="191" w:type="dxa"/>
            <w:tcBorders/>
            <w:shd w:fill="auto" w:val="clear"/>
            <w:vAlign w:val="center"/>
          </w:tcPr>
          <w:p>
            <w:pPr>
              <w:pStyle w:val="TableContents"/>
              <w:spacing w:before="0" w:after="0"/>
              <w:ind w:left="0" w:right="0" w:hanging="0"/>
              <w:jc w:val="left"/>
              <w:rPr/>
            </w:pPr>
            <w:r>
              <w:rPr/>
              <w:t> </w:t>
            </w:r>
          </w:p>
        </w:tc>
      </w:tr>
      <w:tr>
        <w:trPr/>
        <w:tc>
          <w:tcPr>
            <w:tcW w:w="4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 xml:space="preserve">Incentive fees related to pre-incentive fee net investment </w:t>
              <w:br/>
              <w:t>   income (net of waivers)</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w:t>
            </w:r>
          </w:p>
        </w:tc>
        <w:tc>
          <w:tcPr>
            <w:tcW w:w="191" w:type="dxa"/>
            <w:tcBorders/>
            <w:shd w:fill="auto" w:val="clear"/>
            <w:vAlign w:val="center"/>
          </w:tcPr>
          <w:p>
            <w:pPr>
              <w:pStyle w:val="TableContents"/>
              <w:spacing w:before="0" w:after="0"/>
              <w:ind w:left="0" w:right="0" w:hanging="0"/>
              <w:jc w:val="left"/>
              <w:rPr/>
            </w:pPr>
            <w:r>
              <w:rPr/>
              <w:t> </w:t>
            </w:r>
          </w:p>
        </w:tc>
      </w:tr>
      <w:tr>
        <w:trPr/>
        <w:tc>
          <w:tcPr>
            <w:tcW w:w="4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Incentive fees related to realized/unrealized capital gains</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91" w:type="dxa"/>
            <w:tcBorders/>
            <w:shd w:fill="auto" w:val="clear"/>
            <w:vAlign w:val="center"/>
          </w:tcPr>
          <w:p>
            <w:pPr>
              <w:pStyle w:val="TableContents"/>
              <w:spacing w:before="0" w:after="0"/>
              <w:ind w:left="0" w:right="0" w:hanging="0"/>
              <w:jc w:val="left"/>
              <w:rPr/>
            </w:pPr>
            <w:r>
              <w:rPr/>
              <w:t> </w:t>
            </w:r>
          </w:p>
        </w:tc>
      </w:tr>
      <w:tr>
        <w:trPr/>
        <w:tc>
          <w:tcPr>
            <w:tcW w:w="4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Professional fees</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91" w:type="dxa"/>
            <w:tcBorders/>
            <w:shd w:fill="auto" w:val="clear"/>
            <w:vAlign w:val="center"/>
          </w:tcPr>
          <w:p>
            <w:pPr>
              <w:pStyle w:val="TableContents"/>
              <w:spacing w:before="0" w:after="0"/>
              <w:ind w:left="0" w:right="0" w:hanging="0"/>
              <w:jc w:val="left"/>
              <w:rPr/>
            </w:pPr>
            <w:r>
              <w:rPr/>
              <w:t> </w:t>
            </w:r>
          </w:p>
        </w:tc>
      </w:tr>
      <w:tr>
        <w:trPr/>
        <w:tc>
          <w:tcPr>
            <w:tcW w:w="4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Directors fees</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shd w:fill="auto" w:val="clear"/>
            <w:vAlign w:val="center"/>
          </w:tcPr>
          <w:p>
            <w:pPr>
              <w:pStyle w:val="TableContents"/>
              <w:spacing w:before="0" w:after="0"/>
              <w:ind w:left="0" w:right="0" w:hanging="0"/>
              <w:jc w:val="left"/>
              <w:rPr/>
            </w:pPr>
            <w:r>
              <w:rPr/>
              <w:t> </w:t>
            </w:r>
          </w:p>
        </w:tc>
        <w:tc>
          <w:tcPr>
            <w:tcW w:w="86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191" w:type="dxa"/>
            <w:tcBorders/>
            <w:shd w:fill="auto" w:val="clear"/>
            <w:vAlign w:val="center"/>
          </w:tcPr>
          <w:p>
            <w:pPr>
              <w:pStyle w:val="TableContents"/>
              <w:spacing w:before="0" w:after="0"/>
              <w:ind w:left="0" w:right="0" w:hanging="0"/>
              <w:jc w:val="left"/>
              <w:rPr/>
            </w:pPr>
            <w:r>
              <w:rPr/>
              <w:t> </w:t>
            </w:r>
          </w:p>
        </w:tc>
      </w:tr>
      <w:tr>
        <w:trPr/>
        <w:tc>
          <w:tcPr>
            <w:tcW w:w="47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56" w:type="dxa"/>
            <w:tcBorders/>
            <w:shd w:fill="auto" w:val="clear"/>
            <w:vAlign w:val="center"/>
          </w:tcPr>
          <w:p>
            <w:pPr>
              <w:pStyle w:val="TableContents"/>
              <w:spacing w:before="0" w:after="0"/>
              <w:ind w:left="0" w:right="0" w:firstLine="200"/>
              <w:jc w:val="left"/>
              <w:rPr>
                <w:rFonts w:ascii="Times New Roman;serif" w:hAnsi="Times New Roman;serif"/>
                <w:b/>
                <w:sz w:val="20"/>
              </w:rPr>
            </w:pPr>
            <w:r>
              <w:rPr>
                <w:rFonts w:ascii="Times New Roman;serif" w:hAnsi="Times New Roman;serif"/>
                <w:b/>
                <w:sz w:val="20"/>
              </w:rPr>
              <w:t>Net Expenses</w:t>
            </w:r>
          </w:p>
        </w:tc>
        <w:tc>
          <w:tcPr>
            <w:tcW w:w="146" w:type="dxa"/>
            <w:tcBorders/>
            <w:shd w:fill="auto" w:val="clear"/>
            <w:vAlign w:val="center"/>
          </w:tcPr>
          <w:p>
            <w:pPr>
              <w:pStyle w:val="TableContents"/>
              <w:spacing w:before="0" w:after="0"/>
              <w:ind w:left="200" w:right="0" w:hanging="0"/>
              <w:jc w:val="left"/>
              <w:rPr/>
            </w:pPr>
            <w:r>
              <w:rPr/>
              <w:t> </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53</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160" w:after="0"/>
        <w:jc w:val="left"/>
        <w:rPr>
          <w:rFonts w:ascii="Times New Roman" w:hAnsi="Times New Roman"/>
          <w:sz w:val="20"/>
        </w:rPr>
      </w:pPr>
      <w:r>
        <w:rPr>
          <w:rFonts w:ascii="Times New Roman;serif" w:hAnsi="Times New Roman;serif"/>
          <w:b w:val="false"/>
          <w:i/>
          <w:sz w:val="20"/>
        </w:rPr>
        <w:t>Interest</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Interest expense, including other debt financing expenses, increased from $9.6 million for the three months ended March 31, 2022 to $28.5 million for the three months ended March 31, 2023. This increase was primarily due to an increase in the average interest rate on our debt outstanding and an increase in the average debt outstanding from $1,211.0 million for the three months ended March 31, 2022 to $1,569.4 million for the three months ended March 31, 2023. The average interest rate on our debt outstanding increased from 2.3% for the three months ended March 31, 2022 to 6.7% for the three months ended March 31, 2023.</w:t>
      </w:r>
    </w:p>
    <w:p>
      <w:pPr>
        <w:pStyle w:val="TextBody"/>
        <w:spacing w:before="360" w:after="0"/>
        <w:jc w:val="left"/>
        <w:rPr>
          <w:rFonts w:ascii="Times New Roman" w:hAnsi="Times New Roman"/>
          <w:sz w:val="20"/>
        </w:rPr>
      </w:pPr>
      <w:r>
        <w:rPr>
          <w:rFonts w:ascii="Times New Roman;serif" w:hAnsi="Times New Roman;serif"/>
          <w:b w:val="false"/>
          <w:i/>
          <w:sz w:val="20"/>
        </w:rPr>
        <w:t>Management Fees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Management Fees (gross of waivers) increased from $9.3 million for the three months ended March 31, 2022 to $10.7 million for the three months ended March 31, 2023 due to an increase in average assets for the three months ended March 31, 2023 compared to the same period in 2022. Management Fees (net of waivers) increased from $9.3 million for the three months ended March 31, 2022 to $10.5 million for the three months ended March 31, 2023. The Adviser waived Management Fees of $0.3 million for the three months ended March 31, 2023 pursuant to the Leverage Waiver. The Adviser did not waive Management Fees for the three months ended March 31, 2022.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Any waived Management Fees are not subject to recoupment by the Adviser.</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Incentive Fees</w:t>
      </w:r>
    </w:p>
    <w:p>
      <w:pPr>
        <w:pStyle w:val="TextBody"/>
        <w:spacing w:before="120" w:after="0"/>
        <w:jc w:val="left"/>
        <w:rPr>
          <w:rFonts w:ascii="Times New Roman" w:hAnsi="Times New Roman"/>
          <w:sz w:val="20"/>
        </w:rPr>
      </w:pPr>
      <w:r>
        <w:rPr>
          <w:rFonts w:ascii="Times New Roman;serif" w:hAnsi="Times New Roman;serif"/>
          <w:b w:val="false"/>
          <w:sz w:val="20"/>
        </w:rPr>
        <w:t>Incentive Fees related to pre-Incentive Fee net investment income increased from $7.9 million for the three months ended March 31, 2022 to $9.5 million for the three months ended March 31, 2023. This increase resulted from an increase in reference rates for the three months ended March 31, 2023. The Adviser did not waive any Incentive Fees related to pre-Incentive Fee net investment income for the three months ended March 31, 2023 or 2022. For the three months ended March 31, 2023 and 2022, $1.8 million and $1.4 million, respectively, of Incentive Fees were accrued related to Capital Gains Fees. As of March 31, 2023, these accrued Incentive Fees are not contractually payable to the Adviser.</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val="false"/>
          <w:i/>
          <w:sz w:val="20"/>
        </w:rPr>
        <w:t>Professional Fees and Other General and Administrative Expenses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Professional fees increased from $1.5 million for the three months ended March 31, 2022 to $1.7 million for the three months ended March 31, 2023. Other general and administrative expenses decreased from $1.5 million for the three months ended March 31, 2022 to $1.0 million for the three months ended March 31, 2023.</w:t>
      </w:r>
    </w:p>
    <w:p>
      <w:pPr>
        <w:pStyle w:val="TextBody"/>
        <w:spacing w:before="360" w:after="0"/>
        <w:jc w:val="left"/>
        <w:rPr>
          <w:rFonts w:ascii="Times New Roman" w:hAnsi="Times New Roman"/>
          <w:sz w:val="20"/>
        </w:rPr>
      </w:pPr>
      <w:r>
        <w:rPr>
          <w:rFonts w:ascii="Times New Roman;serif" w:hAnsi="Times New Roman;serif"/>
          <w:b/>
          <w:i/>
          <w:sz w:val="20"/>
        </w:rPr>
        <w:t>Income Taxes, Including Excise Taxes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For the three months ended March 31, 2023 and 2022, we recorded a net expense of $0.4 million and $0.4 million, respectively, for U.S. federal excise tax and other taxes.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54</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i/>
          <w:sz w:val="20"/>
        </w:rPr>
      </w:pPr>
      <w:r>
        <w:rPr>
          <w:rFonts w:ascii="Times New Roman;serif" w:hAnsi="Times New Roman;serif"/>
          <w:b/>
          <w:i/>
          <w:sz w:val="20"/>
        </w:rPr>
        <w:t>Net Realized and Unrealized Gains and Losses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summarizes our net realized and unrealized gains (losses) for the three months ended March 31, 2023 and 2022:</w:t>
      </w:r>
    </w:p>
    <w:p>
      <w:pPr>
        <w:pStyle w:val="TextBody"/>
        <w:spacing w:before="0" w:after="0"/>
        <w:jc w:val="left"/>
        <w:rPr/>
      </w:pPr>
      <w:r>
        <w:rPr/>
        <w:t> </w:t>
      </w:r>
    </w:p>
    <w:tbl>
      <w:tblPr>
        <w:tblW w:w="8065" w:type="dxa"/>
        <w:jc w:val="left"/>
        <w:tblInd w:w="0" w:type="dxa"/>
        <w:tblCellMar>
          <w:top w:w="28" w:type="dxa"/>
          <w:left w:w="28" w:type="dxa"/>
          <w:bottom w:w="28" w:type="dxa"/>
          <w:right w:w="28" w:type="dxa"/>
        </w:tblCellMar>
      </w:tblPr>
      <w:tblGrid>
        <w:gridCol w:w="4876"/>
        <w:gridCol w:w="146"/>
        <w:gridCol w:w="361"/>
        <w:gridCol w:w="899"/>
        <w:gridCol w:w="166"/>
        <w:gridCol w:w="146"/>
        <w:gridCol w:w="361"/>
        <w:gridCol w:w="899"/>
        <w:gridCol w:w="211"/>
      </w:tblGrid>
      <w:tr>
        <w:trPr/>
        <w:tc>
          <w:tcPr>
            <w:tcW w:w="48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8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3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87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8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realized gains (losses) on investments</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w:t>
            </w:r>
          </w:p>
        </w:tc>
        <w:tc>
          <w:tcPr>
            <w:tcW w:w="211" w:type="dxa"/>
            <w:tcBorders/>
            <w:shd w:fill="auto" w:val="clear"/>
            <w:vAlign w:val="center"/>
          </w:tcPr>
          <w:p>
            <w:pPr>
              <w:pStyle w:val="TableContents"/>
              <w:spacing w:before="0" w:after="0"/>
              <w:ind w:left="0" w:right="0" w:hanging="0"/>
              <w:jc w:val="left"/>
              <w:rPr/>
            </w:pPr>
            <w:r>
              <w:rPr/>
              <w:t> </w:t>
            </w:r>
          </w:p>
        </w:tc>
      </w:tr>
      <w:tr>
        <w:trPr/>
        <w:tc>
          <w:tcPr>
            <w:tcW w:w="48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realized gains (losses) on foreign currency transactions</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8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8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realized gains (losses) on foreign currency investments</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8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211" w:type="dxa"/>
            <w:tcBorders/>
            <w:shd w:fill="auto" w:val="clear"/>
            <w:vAlign w:val="center"/>
          </w:tcPr>
          <w:p>
            <w:pPr>
              <w:pStyle w:val="TableContents"/>
              <w:spacing w:before="0" w:after="0"/>
              <w:ind w:left="0" w:right="0" w:hanging="0"/>
              <w:jc w:val="left"/>
              <w:rPr/>
            </w:pPr>
            <w:r>
              <w:rPr/>
              <w:t> </w:t>
            </w:r>
          </w:p>
        </w:tc>
      </w:tr>
      <w:tr>
        <w:trPr/>
        <w:tc>
          <w:tcPr>
            <w:tcW w:w="48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realized gains (losses) on foreign currency borrowings</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Realized Gains (Losses)</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8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48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unrealized gains on investments</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29.7</w:t>
            </w:r>
          </w:p>
        </w:tc>
        <w:tc>
          <w:tcPr>
            <w:tcW w:w="211" w:type="dxa"/>
            <w:tcBorders/>
            <w:shd w:fill="auto" w:val="clear"/>
            <w:vAlign w:val="center"/>
          </w:tcPr>
          <w:p>
            <w:pPr>
              <w:pStyle w:val="TableContents"/>
              <w:spacing w:before="0" w:after="0"/>
              <w:ind w:left="0" w:right="0" w:hanging="0"/>
              <w:jc w:val="left"/>
              <w:rPr/>
            </w:pPr>
            <w:r>
              <w:rPr/>
              <w:t> </w:t>
            </w:r>
          </w:p>
        </w:tc>
      </w:tr>
      <w:tr>
        <w:trPr/>
        <w:tc>
          <w:tcPr>
            <w:tcW w:w="48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unrealized (losses) on investments</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Change in Unrealized Gains (Losses) on</w:t>
              <w:br/>
              <w:t>   Investments</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right"/>
              <w:rPr/>
            </w:pPr>
            <w:r>
              <w:rPr/>
              <w:t> </w:t>
            </w:r>
          </w:p>
        </w:tc>
      </w:tr>
      <w:tr>
        <w:trPr/>
        <w:tc>
          <w:tcPr>
            <w:tcW w:w="48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Unrealized gains (losses) on foreign currency borrowings</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8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8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Unrealized gains (losses) on foreign currency cash</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8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 </w:t>
            </w:r>
          </w:p>
        </w:tc>
        <w:tc>
          <w:tcPr>
            <w:tcW w:w="8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Unrealized gains (losses) on interest rate swaps</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Change in Unrealized Gains (Losses) on Foreign</w:t>
              <w:br/>
              <w:t>   Currency Transactions and Interest Rate Swaps</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487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Net Change in Unrealized Gains (Losses)</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40" w:after="0"/>
        <w:jc w:val="left"/>
        <w:rPr>
          <w:rFonts w:ascii="Times New Roman" w:hAnsi="Times New Roman"/>
          <w:sz w:val="20"/>
        </w:rPr>
      </w:pPr>
      <w:r>
        <w:rPr>
          <w:rFonts w:ascii="Times New Roman;serif" w:hAnsi="Times New Roman;serif"/>
          <w:b w:val="false"/>
          <w:sz w:val="20"/>
        </w:rPr>
        <w:t>For the three months ended March 31, 2023 and 2022 we had net realized gains on investments of $4.8 million and net realized gains on investments of $13.7 million, respectively. For the three months ended March 31, 2023 and 2022, we had net realized gains of $0.2 million and net realized losses of less than $(0.1) million, respectively, on foreign currency transactions, primarily as a result of translating foreign currency related to our non-USD denominated investments. For the three months ended March 31, 2022, we had net realized gains on foreign currency investments of $0.1 million. For the three months ended March 31, 2023 and 2022, we had net realized gains on foreign currency borrowings of $0.2 million and net realized losses of $(0.1) million, respectively.</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For the three months ended March 31, 2023, we had $24.0 million in unrealized gains on 99 portfolio company investments, which was offset by $18.4 million in unrealized losses on 29 portfolio company investments. Unrealized gains for the three months ended March 31, 2023 resulted from an increase in fair value, primarily due to positive valuation adjustments, unwind of prior period unrealized losses, and changes in credit spreads. Unrealized losses for the three months ended March 31, 2023 resulted from the reversal of prior period unrealized gains due to realizations, negative credit-related adjustments and changes in credit spreads.</w:t>
      </w:r>
    </w:p>
    <w:p>
      <w:pPr>
        <w:pStyle w:val="TextBody"/>
        <w:spacing w:before="240" w:after="0"/>
        <w:jc w:val="left"/>
        <w:rPr>
          <w:rFonts w:ascii="Times New Roman" w:hAnsi="Times New Roman"/>
          <w:sz w:val="20"/>
        </w:rPr>
      </w:pPr>
      <w:r>
        <w:rPr>
          <w:rFonts w:ascii="Times New Roman;serif" w:hAnsi="Times New Roman;serif"/>
          <w:b w:val="false"/>
          <w:sz w:val="20"/>
        </w:rPr>
        <w:t>For the three months ended March 31, 2022, we had $29.7 million in unrealized gains on 31 portfolio company investments, which was offset by $33.5 million in unrealized losses on 40 portfolio company investments. Unrealized gains resulted from an increase in fair value, primarily due to positive portfolio company specific developments. Unrealized losses primarily resulted from widening credit spreads, the reversal of prior period unrealized gains due to realizations and negative portfolio company specific developments.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For the three months ended March 31, 2023, we had unrealized losses on foreign currency borrowings of $(0.7) million, and for the three months ended March 31, 2022, we had unrealized losses of $(1.8) million on foreign currency borrowings, as a result of fluctuations in the AUD, CAD, EUR and GBP exchange rates. For the three months ended March 31, 2023, we had unrealized losses on foreign currency cash of $(0.3) million. For the three months ended March 31, 2023 and 2022, we had net unrealized gains on interest rate swaps of $0.2 million and net unrealized losses of $(2.9) million, respectively, due to fluctuations in interest rates and the periodic settlement of interest rate swaps.</w:t>
      </w:r>
    </w:p>
    <w:p>
      <w:pPr>
        <w:pStyle w:val="TextBody"/>
        <w:spacing w:before="360" w:after="0"/>
        <w:jc w:val="left"/>
        <w:rPr>
          <w:rFonts w:ascii="Times New Roman" w:hAnsi="Times New Roman"/>
          <w:sz w:val="20"/>
        </w:rPr>
      </w:pPr>
      <w:r>
        <w:rPr>
          <w:rFonts w:ascii="Times New Roman;serif" w:hAnsi="Times New Roman;serif"/>
          <w:b/>
          <w:i/>
          <w:sz w:val="20"/>
        </w:rPr>
        <w:t>Realized Gross Internal Rate of Return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Since we began investing in 2011 through March 31, 2023, weighted by capital invested, our exited investments have generated an average realized gross internal rate of return to us of 17.7% (based on total capital invested of $6.7 billion and total proceeds from these exited investments of $8.4 billion). Ninety percent of these exited investments resulted in a realized gross internal rate of return to us of 10% or greater.</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55</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Average gross IRR is the average of the gross IRR for each of our exited investments (each calculated as described above), weighted by the total capital invested for each of those investments.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Average gross IRR on our exited investments reflects only invested and realized cash amounts as described above, and does not reflect any unrealized gains or losses in our portfolio.</w:t>
      </w:r>
    </w:p>
    <w:p>
      <w:pPr>
        <w:pStyle w:val="TextBody"/>
        <w:spacing w:before="240" w:after="0"/>
        <w:jc w:val="left"/>
        <w:rPr>
          <w:rFonts w:ascii="Times New Roman" w:hAnsi="Times New Roman"/>
          <w:sz w:val="20"/>
        </w:rPr>
      </w:pPr>
      <w:r>
        <w:rPr>
          <w:rFonts w:ascii="Times New Roman;serif" w:hAnsi="Times New Roman;serif"/>
          <w:b w:val="false"/>
          <w:sz w:val="20"/>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Realized returns, with respect to an investment, represents the total cash received with respect to each investment, including all amortization payments, interest, dividends, prepayment fees, upfront fees,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Interest Rate and Foreign Currency Hedging</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 Our current approach to hedging the foreign currency exposure in our non-U.S. dollar denominated investments is primarily to borrow the par amount in local currency under our Revolving Credit Facility to fund these investments. For the three months ended March 31, 2023 and 2022, we had $(0.7) million of unrealized losses and $(1.8) million of unrealized losses, respectively, on the translation of our non-U.S. dollar denominated debt into U.S. dollars; such amounts approximate the corresponding unrealized gains and losses on the translation of our non-U.S. dollar denominated investments into U.S. dollars for the three months ended March 31, 2023 and 2022. See Note 2 for additional disclosure regarding our accounting for foreign currency. See Note 7 for additional disclosure regarding the amounts of outstanding debt denominated in each foreign currency at March 31, 2023. See our consolidated schedule of investments for additional disclosure regarding the foreign currency amounts (in both par and fair value) of our non-U.S. dollar denominated investments.</w:t>
      </w:r>
    </w:p>
    <w:p>
      <w:pPr>
        <w:pStyle w:val="TextBody"/>
        <w:spacing w:before="360" w:after="0"/>
        <w:jc w:val="left"/>
        <w:rPr>
          <w:rFonts w:ascii="Times New Roman" w:hAnsi="Times New Roman"/>
          <w:sz w:val="20"/>
        </w:rPr>
      </w:pPr>
      <w:r>
        <w:rPr>
          <w:rFonts w:ascii="Times New Roman;serif" w:hAnsi="Times New Roman;serif"/>
          <w:b/>
          <w:sz w:val="20"/>
        </w:rPr>
        <w:t>Financial Condition, Liquidity and Capital Resources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Our liquidity and capital resources are derived primarily from proceeds from equity issuances, advances from our credit facilities, and cash flows from operations. The primary uses of our cash and cash equivalents are:</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investments in portfolio companies and other investments and to comply with certain portfolio diversification requirements;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cost of operations (including paying our Adviser);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debt service, repayment, and other financing costs;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cash dividends to the holders of our shares. </w:t>
      </w:r>
    </w:p>
    <w:p>
      <w:pPr>
        <w:pStyle w:val="TextBody"/>
        <w:spacing w:before="240" w:after="0"/>
        <w:jc w:val="left"/>
        <w:rPr>
          <w:rFonts w:ascii="Times New Roman" w:hAnsi="Times New Roman"/>
          <w:sz w:val="20"/>
        </w:rPr>
      </w:pPr>
      <w:r>
        <w:rPr>
          <w:rFonts w:ascii="Times New Roman;serif" w:hAnsi="Times New Roman;serif"/>
          <w:b w:val="false"/>
          <w:sz w:val="20"/>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56</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150%. For more information, see “Key Components of Our Results of Operations — Leverage” above. As of March 31, 2023 and December 31, 2022, our asset coverage ratio was 183.3% and 188.6%,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pStyle w:val="TextBody"/>
        <w:spacing w:before="240" w:after="0"/>
        <w:jc w:val="left"/>
        <w:rPr>
          <w:rFonts w:ascii="Times New Roman" w:hAnsi="Times New Roman"/>
          <w:sz w:val="20"/>
        </w:rPr>
      </w:pPr>
      <w:r>
        <w:rPr>
          <w:rFonts w:ascii="Times New Roman;serif" w:hAnsi="Times New Roman;serif"/>
          <w:b w:val="false"/>
          <w:sz w:val="20"/>
        </w:rPr>
        <w:t>Cash and cash equivalents as of March 31, 2023, taken together with cash available under our credit facilities, is expected to be sufficient for our investing activities and to conduct our operations in the near term. As of March 31, 2023, we had approximately $0.5 billion of availability on our Revolving Credit Facility, subject to asset coverage limitations.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of March 31, 2023, we had $25.7 million in cash and cash equivalents, including $16.2 million of restricted cash, an increase of $0.7 million from December 31, 2022. During the three months ended March 31, 2023, cash used in operating activities was $(73.5) million, primarily attributable to funding portfolio investments of $176.4 million, which was offset by repayments and proceeds from investments of $62.9 million and an increase in net assets resulting from operations of $53.0 million. Cash provided by financing activities was $73.6 million during the period due to borrowings of $457.6 million, which was offset by paydowns on our Revolving Credit Facility of $345.5 million and dividends paid of $38.5 million.</w:t>
      </w:r>
    </w:p>
    <w:p>
      <w:pPr>
        <w:pStyle w:val="TextBody"/>
        <w:spacing w:before="360" w:after="0"/>
        <w:jc w:val="left"/>
        <w:rPr>
          <w:rFonts w:ascii="Times New Roman" w:hAnsi="Times New Roman"/>
          <w:sz w:val="20"/>
        </w:rPr>
      </w:pPr>
      <w:r>
        <w:rPr>
          <w:rFonts w:ascii="Times New Roman;serif" w:hAnsi="Times New Roman;serif"/>
          <w:b/>
          <w:i/>
          <w:sz w:val="20"/>
        </w:rPr>
        <w:t>Equity</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February 23, 2021, we issued a total of 4,000,000 shares of common stock at $21.30 per share. Net of underwriting fees and offering costs, we received total cash proceeds of $84.9 million. Subsequent to the offering we issued an additional 49,689 shares in March 2021 pursuant to the overallotment option granted to underwriters and received, net of underwriting fees, total cash proceeds of $1.0 million.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December 2021, we issued a total of 2,324,820 shares of common stock, or $42.3 million, as settlement for the conversion of $42.8 million principal amount of the 2022 Convertible Notes.</w:t>
      </w:r>
    </w:p>
    <w:p>
      <w:pPr>
        <w:pStyle w:val="TextBody"/>
        <w:spacing w:before="240" w:after="0"/>
        <w:jc w:val="left"/>
        <w:rPr>
          <w:rFonts w:ascii="Times New Roman" w:hAnsi="Times New Roman"/>
          <w:sz w:val="20"/>
        </w:rPr>
      </w:pPr>
      <w:r>
        <w:rPr>
          <w:rFonts w:ascii="Times New Roman;serif" w:hAnsi="Times New Roman;serif"/>
          <w:b w:val="false"/>
          <w:sz w:val="20"/>
        </w:rPr>
        <w:t>In August 2022, we issued a total of 4,360,125 share of common stock, or $78.1 million, as settlement for the conversion of $79.2 million principal amount of the 2022 Convertible Notes.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During the three months ended March 31, 2023 and 2022, we also issued 362,578 and 299,138 shares of our common stock, respectively, to investors who have not opted out of our dividend reinvestment plan for proceeds of $6.2 million and $6.8 million, respectively.</w:t>
      </w:r>
    </w:p>
    <w:p>
      <w:pPr>
        <w:pStyle w:val="TextBody"/>
        <w:spacing w:before="240" w:after="0"/>
        <w:jc w:val="left"/>
        <w:rPr>
          <w:rFonts w:ascii="Times New Roman" w:hAnsi="Times New Roman"/>
          <w:sz w:val="20"/>
        </w:rPr>
      </w:pPr>
      <w:r>
        <w:rPr>
          <w:rFonts w:ascii="Times New Roman;serif" w:hAnsi="Times New Roman;serif"/>
          <w:b w:val="false"/>
          <w:sz w:val="20"/>
        </w:rPr>
        <w:t>On August 4, 2015, our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May 8, 2023. The amount and timing of stock repurchases under the program may vary depending on market conditions, and no assurance can be given that any particular amount of common stock will be repurchased.</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No shares were repurchased for the three months ended March 31, 2023 and 2022.</w:t>
      </w:r>
    </w:p>
    <w:p>
      <w:pPr>
        <w:pStyle w:val="TextBody"/>
        <w:spacing w:before="360" w:after="0"/>
        <w:jc w:val="left"/>
        <w:rPr>
          <w:rFonts w:ascii="Times New Roman" w:hAnsi="Times New Roman"/>
          <w:sz w:val="20"/>
        </w:rPr>
      </w:pPr>
      <w:r>
        <w:rPr>
          <w:rFonts w:ascii="Times New Roman;serif" w:hAnsi="Times New Roman;serif"/>
          <w:b/>
          <w:i/>
          <w:sz w:val="20"/>
        </w:rPr>
        <w:t>Debt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i/>
          <w:sz w:val="20"/>
        </w:rPr>
        <w:t>Revolving Credit Facility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On August 23, 2012, we entered into a senior secured revolving credit agreement with Truist Bank (as a successor by merger to SunTrust Bank), as administrative agent, and J.P. Morgan Chase Bank, N.A., as syndication agent, and certain other lenders (as amended and restated, the “Revolving Credit Facility”).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 of March 31, 2022, aggregate commitments under the facility were $1.510 billion. Pursuant to an amendment to the Revolving Credit Facility dated as of April 25, 2022 (the “Twelfth Amendment”), the aggregate commitments under the facility were increased to $1.585 billion. The facility includes an uncommitted accordion feature that allows us, under certain circumstances, to increase the size of the facility to up to $2.0 billion.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Pursuant to the Twelfth Amendment, with respect to $1.510 billion in commitments, the revolving period, during which period we, subject to certain conditions, may make borrowings under the facility, was extended to April 24, 2026 and the stated maturity date was extended to April 23, 2027. For the remaining $75.0 million of commitments, (A) with respect to $25.0 million of commitments, the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57</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revolving period ends January 31, 2024 and the stated maturity is January 31, 2025 and (B) with respect to $50.0 million of commitments, the revolving period ends on February 4, 2025 and the stated maturity is February 4, 2026.</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Pursuant to an amendment to the Revolving Credit Facility dated as of May 19, 2022 (the “Thirteenth Amendment”), certain non-substantive administrative and operational elements were updated.</w:t>
      </w:r>
    </w:p>
    <w:p>
      <w:pPr>
        <w:pStyle w:val="TextBody"/>
        <w:spacing w:before="240" w:after="0"/>
        <w:jc w:val="left"/>
        <w:rPr>
          <w:rFonts w:ascii="Times New Roman" w:hAnsi="Times New Roman"/>
          <w:sz w:val="20"/>
        </w:rPr>
      </w:pPr>
      <w:r>
        <w:rPr>
          <w:rFonts w:ascii="Times New Roman;serif" w:hAnsi="Times New Roman;serif"/>
          <w:b w:val="false"/>
          <w:sz w:val="20"/>
        </w:rPr>
        <w:t>We may borrow amounts in U.S. dollars or certain other permitted currencies. As of March 31, 2023, we had outstanding debt denominated in Australian Dollars (AUD) of 67.6 million, British pounds (GBP) of 14.0 million, Canadian Dollars (CAD) of 99.1 million, and Euro (EUR) of 27.1 million on our Revolving Credit Facility, included in the outstanding principal amount in the table above.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Revolving Credit Facility also provides for the issuance of letters of credit up to an aggregate amount of $75.0 million. As of March 31, 2023 and December 31, 2022 the Company had $0.2 million and less than $0.1 million letters of credit issued through the Revolving Credit Facility. The amount available for borrowing under the Revolving Credit Facility is reduced by any letters of credit issued through the Revolving Credit Facility.</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We may elect either the applicable reference rate or base rate at the time of drawdown, and loans may be converted from one rate to another at any time, subject to certain conditions. We also pay a fee of 0.375% on undrawn amounts and, in respect of each undrawn letter of credit, a fee and interest rate equal to the then applicable margin while the letter of credit is outstanding.</w:t>
      </w:r>
    </w:p>
    <w:p>
      <w:pPr>
        <w:pStyle w:val="TextBody"/>
        <w:spacing w:before="240" w:after="0"/>
        <w:jc w:val="left"/>
        <w:rPr>
          <w:rFonts w:ascii="Times New Roman" w:hAnsi="Times New Roman"/>
          <w:sz w:val="20"/>
        </w:rPr>
      </w:pPr>
      <w:r>
        <w:rPr>
          <w:rFonts w:ascii="Times New Roman;serif" w:hAnsi="Times New Roman;serif"/>
          <w:b w:val="false"/>
          <w:sz w:val="20"/>
        </w:rPr>
        <w:t>The Revolving Credit Facility is guaranteed by Sixth Street SL SPV, LLC, TC Lending, LLC and Sixth Street SL Holding,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Revolving Credit Facility includes customary events of default, as well as customary covenants, including restrictions on certain distributions and financial covenants. In accordance with the terms of the Thirteenth Amendment, the financial covenants require: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an asset coverage ratio of no less than 1.5 to 1 on the last day of any fiscal quarter;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stockholders’ equity of at least $500 million plus 25% of the net proceeds of the sale of equity interests after January 31, 2020;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w:t>
      </w:r>
    </w:p>
    <w:p>
      <w:pPr>
        <w:pStyle w:val="TextBody"/>
        <w:spacing w:before="240" w:after="0"/>
        <w:jc w:val="left"/>
        <w:rPr>
          <w:rFonts w:ascii="Times New Roman" w:hAnsi="Times New Roman"/>
          <w:sz w:val="20"/>
        </w:rPr>
      </w:pPr>
      <w:r>
        <w:rPr>
          <w:rFonts w:ascii="Times New Roman;serif" w:hAnsi="Times New Roman;serif"/>
          <w:b w:val="false"/>
          <w:sz w:val="20"/>
        </w:rPr>
        <w:t>The Revolving Credit Facility also contains certain additional concentration limits in connection with the calculation of the borrowing base, based on the Obligor Asset Coverage Ratio.</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Net proceeds received from the Company’s common stock issuance in February 2021 and net proceeds received from the issuance of the 2026 Notes were used to pay down borrowings on the Revolving Credit Facility.</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2022 Convertible Notes</w:t>
      </w:r>
    </w:p>
    <w:p>
      <w:pPr>
        <w:pStyle w:val="TextBody"/>
        <w:spacing w:before="120" w:after="0"/>
        <w:jc w:val="left"/>
        <w:rPr>
          <w:rFonts w:ascii="Times New Roman" w:hAnsi="Times New Roman"/>
          <w:sz w:val="20"/>
        </w:rPr>
      </w:pPr>
      <w:r>
        <w:rPr>
          <w:rFonts w:ascii="Times New Roman;serif" w:hAnsi="Times New Roman;serif"/>
          <w:b w:val="false"/>
          <w:sz w:val="20"/>
        </w:rPr>
        <w:t>In February 2017, we issued in a private offering $115.0</w:t>
      </w:r>
      <w:r>
        <w:rPr>
          <w:rFonts w:ascii="Times New Roman" w:hAnsi="Times New Roman"/>
          <w:sz w:val="20"/>
        </w:rPr>
        <w:t xml:space="preserve"> </w:t>
      </w:r>
      <w:r>
        <w:rPr>
          <w:rFonts w:ascii="Times New Roman;serif" w:hAnsi="Times New Roman;serif"/>
          <w:b w:val="false"/>
          <w:sz w:val="20"/>
        </w:rPr>
        <w:t>million aggregate principal amount convertible notes due August 2022 (the “2022 Convertible Notes</w:t>
      </w:r>
      <w:r>
        <w:rPr>
          <w:rFonts w:ascii="Times New Roman" w:hAnsi="Times New Roman"/>
          <w:sz w:val="20"/>
        </w:rPr>
        <w:t>”</w:t>
      </w:r>
      <w:r>
        <w:rPr>
          <w:rFonts w:ascii="Times New Roman;serif" w:hAnsi="Times New Roman;serif"/>
          <w:b w:val="false"/>
          <w:sz w:val="20"/>
        </w:rPr>
        <w:t>). The 2022 Convertible Notes were issued in a private placement only to qualified institutional buyers pursuant to Rule 144A under the Securities Act. The 2022 Convertible Notes were unsecured, and bore interest at a rate of 4.50% per year, payable semiannually.</w:t>
      </w:r>
      <w:r>
        <w:rPr>
          <w:rFonts w:ascii="Times New Roman" w:hAnsi="Times New Roman"/>
          <w:sz w:val="20"/>
        </w:rPr>
        <w:t xml:space="preserve"> </w:t>
      </w:r>
      <w:r>
        <w:rPr>
          <w:rFonts w:ascii="Times New Roman;serif" w:hAnsi="Times New Roman;serif"/>
          <w:b w:val="false"/>
          <w:sz w:val="20"/>
        </w:rPr>
        <w:t>In June 2018, we issued an additional $57.5</w:t>
      </w:r>
      <w:r>
        <w:rPr>
          <w:rFonts w:ascii="Times New Roman" w:hAnsi="Times New Roman"/>
          <w:sz w:val="20"/>
        </w:rPr>
        <w:t xml:space="preserve"> </w:t>
      </w:r>
      <w:r>
        <w:rPr>
          <w:rFonts w:ascii="Times New Roman;serif" w:hAnsi="Times New Roman;serif"/>
          <w:b w:val="false"/>
          <w:sz w:val="20"/>
        </w:rPr>
        <w:t>million aggregate principal amount of 2022 Convertible Notes. The additional 2022 Convertible Notes were issued with identical terms, and were fungible with and were part of a single series with the previously outstanding $115.0</w:t>
      </w:r>
      <w:r>
        <w:rPr>
          <w:rFonts w:ascii="Times New Roman" w:hAnsi="Times New Roman"/>
          <w:sz w:val="20"/>
        </w:rPr>
        <w:t xml:space="preserve"> </w:t>
      </w:r>
      <w:r>
        <w:rPr>
          <w:rFonts w:ascii="Times New Roman;serif" w:hAnsi="Times New Roman;serif"/>
          <w:b w:val="false"/>
          <w:sz w:val="20"/>
        </w:rPr>
        <w:t>million aggregate principal amount of our 2022 Convertible Notes issued in February 2017. In connection with the offering of 2022 Convertible Notes in February 2017 and the reopening in June 2018, we entered into interest rate swaps to align the interest rates of our liabilities with our investment portfolio, which consists of predominately floating rate loans.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58</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The notional amount of the interest rate swaps matched the amount of principal outstanding, and matured on August 1, 2022, matching the maturity date of the 2022 Convertible Notes.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On August 1, 2022, the 2022 Convertible Notes matured in accordance with the governing indenture. Holders of $79.2 million aggregate principal amount of notes provided valid notice of conversion and were subject to the combination settlement method previously elected by us, with a specified cash amount (as defined in the indenture governing the 2022 Convertible Notes) of $20.00 per $1,000 principal amount of the 2022 Convertible Notes and any additional amounts in stock based on the applicable conversion rate as described in the indenture. In accordance with the settlement method, we issued a total of 4,360,125 shares of common stock, or $77.6 million at the adjusted conversion price per share of $17.92. The remaining balance of the notes that were not converted into newly issued shares of common stock were settled with existing cash resources, including through utilization of our Revolving Credit Facility. The interest rate swaps associated with the principal amount of the notes outstanding were terminated on the date of maturity of the 2022 Convertible Notes.</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2023 Notes</w:t>
      </w:r>
    </w:p>
    <w:p>
      <w:pPr>
        <w:pStyle w:val="TextBody"/>
        <w:spacing w:before="120" w:after="0"/>
        <w:jc w:val="left"/>
        <w:rPr>
          <w:rFonts w:ascii="Times New Roman" w:hAnsi="Times New Roman"/>
          <w:sz w:val="20"/>
        </w:rPr>
      </w:pPr>
      <w:r>
        <w:rPr>
          <w:rFonts w:ascii="Times New Roman;serif" w:hAnsi="Times New Roman;serif"/>
          <w:b w:val="false"/>
          <w:sz w:val="20"/>
        </w:rPr>
        <w:t>In January 2018, we issued $150.0</w:t>
      </w:r>
      <w:r>
        <w:rPr>
          <w:rFonts w:ascii="Times New Roman" w:hAnsi="Times New Roman"/>
          <w:sz w:val="20"/>
        </w:rPr>
        <w:t xml:space="preserve"> </w:t>
      </w:r>
      <w:r>
        <w:rPr>
          <w:rFonts w:ascii="Times New Roman;serif" w:hAnsi="Times New Roman;serif"/>
          <w:b w:val="false"/>
          <w:sz w:val="20"/>
        </w:rPr>
        <w:t>million aggregate principal amount of unsecured notes that matured on January 22, 2023 (the “2023 Notes</w:t>
      </w:r>
      <w:r>
        <w:rPr>
          <w:rFonts w:ascii="Times New Roman" w:hAnsi="Times New Roman"/>
          <w:sz w:val="20"/>
        </w:rPr>
        <w:t>”</w:t>
      </w:r>
      <w:r>
        <w:rPr>
          <w:rFonts w:ascii="Times New Roman;serif" w:hAnsi="Times New Roman;serif"/>
          <w:b w:val="false"/>
          <w:sz w:val="20"/>
        </w:rPr>
        <w:t>). The principal amount of the 2023 Notes was payable at maturity. The 2023 Notes bore interest at a rate of 4.50% per year, payable semi-annually commencing on July 22, 2018, and were redeemable in whole or in part at our option at any time at par plus a “make whole” premium.</w:t>
      </w:r>
      <w:r>
        <w:rPr>
          <w:rFonts w:ascii="Times New Roman" w:hAnsi="Times New Roman"/>
          <w:sz w:val="20"/>
        </w:rPr>
        <w:t xml:space="preserve"> </w:t>
      </w:r>
      <w:r>
        <w:rPr>
          <w:rFonts w:ascii="Times New Roman;serif" w:hAnsi="Times New Roman;serif"/>
          <w:b w:val="false"/>
          <w:sz w:val="20"/>
        </w:rPr>
        <w:t>Total proceeds from the issuance of the 2023 Notes, net of underwriting discounts and offering costs, were $146.9 million. We used the net proceeds of the 2023 Notes to repay outstanding indebtedness under the Revolving Credit Facility. The 2023 Notes matured on January 22, 2023 and were fully repaid in cash. The swap transaction associated with the issuance of the 2023 Notes also matured on January 22, 2023.</w:t>
      </w:r>
    </w:p>
    <w:p>
      <w:pPr>
        <w:pStyle w:val="TextBody"/>
        <w:spacing w:before="360" w:after="0"/>
        <w:jc w:val="left"/>
        <w:rPr>
          <w:rFonts w:ascii="Times New Roman" w:hAnsi="Times New Roman"/>
          <w:sz w:val="20"/>
        </w:rPr>
      </w:pPr>
      <w:r>
        <w:rPr>
          <w:rFonts w:ascii="Times New Roman;serif" w:hAnsi="Times New Roman;serif"/>
          <w:b w:val="false"/>
          <w:i/>
          <w:sz w:val="20"/>
        </w:rPr>
        <w:t>2024 Notes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November 2019, we issued $300.0</w:t>
      </w:r>
      <w:r>
        <w:rPr>
          <w:rFonts w:ascii="Times New Roman" w:hAnsi="Times New Roman"/>
          <w:sz w:val="20"/>
        </w:rPr>
        <w:t xml:space="preserve"> </w:t>
      </w:r>
      <w:r>
        <w:rPr>
          <w:rFonts w:ascii="Times New Roman;serif" w:hAnsi="Times New Roman;serif"/>
          <w:b w:val="false"/>
          <w:sz w:val="20"/>
        </w:rPr>
        <w:t>million aggregate principal amount of unsecured notes that mature on November 1, 2024 (the “2024 Notes</w:t>
      </w:r>
      <w:r>
        <w:rPr>
          <w:rFonts w:ascii="Times New Roman" w:hAnsi="Times New Roman"/>
          <w:sz w:val="20"/>
        </w:rPr>
        <w:t>”</w:t>
      </w:r>
      <w:r>
        <w:rPr>
          <w:rFonts w:ascii="Times New Roman;serif" w:hAnsi="Times New Roman;serif"/>
          <w:b w:val="false"/>
          <w:sz w:val="20"/>
        </w:rPr>
        <w:t>). The principal amount of the 2024 Notes is payable at maturity. The 2024 Notes bear interest at a rate of 3.875% per year, payable semi-annually commencing on May 1, 2020, and may be redeemed in whole or in part at our option at any time at par plus a “make whole” premium.</w:t>
      </w:r>
      <w:r>
        <w:rPr>
          <w:rFonts w:ascii="Times New Roman" w:hAnsi="Times New Roman"/>
          <w:sz w:val="20"/>
        </w:rPr>
        <w:t xml:space="preserve"> </w:t>
      </w:r>
      <w:r>
        <w:rPr>
          <w:rFonts w:ascii="Times New Roman;serif" w:hAnsi="Times New Roman;serif"/>
          <w:b w:val="false"/>
          <w:sz w:val="20"/>
        </w:rPr>
        <w:t>Total proceeds from the issuance of the 2024 Notes, net of underwriting discounts, offering costs and original issue discount were $292.9 million. We used the net proceeds of the 2024 Notes to repay outstanding indebtedness under the Revolving Credit Facility.</w:t>
      </w:r>
    </w:p>
    <w:p>
      <w:pPr>
        <w:pStyle w:val="TextBody"/>
        <w:spacing w:before="240" w:after="0"/>
        <w:jc w:val="left"/>
        <w:rPr>
          <w:rFonts w:ascii="Times New Roman" w:hAnsi="Times New Roman"/>
          <w:sz w:val="20"/>
        </w:rPr>
      </w:pPr>
      <w:r>
        <w:rPr>
          <w:rFonts w:ascii="Times New Roman;serif" w:hAnsi="Times New Roman;serif"/>
          <w:b w:val="false"/>
          <w:sz w:val="20"/>
        </w:rPr>
        <w:t>On February 5, 2020, we issued an additional $50.0</w:t>
      </w:r>
      <w:r>
        <w:rPr>
          <w:rFonts w:ascii="Times New Roman" w:hAnsi="Times New Roman"/>
          <w:sz w:val="20"/>
        </w:rPr>
        <w:t xml:space="preserve"> </w:t>
      </w:r>
      <w:r>
        <w:rPr>
          <w:rFonts w:ascii="Times New Roman;serif" w:hAnsi="Times New Roman;serif"/>
          <w:b w:val="false"/>
          <w:sz w:val="20"/>
        </w:rPr>
        <w:t>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We used the net proceeds of the 2024 Notes to repay outstanding indebtedness under the Revolving Credit Facility.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connection with the 2024 Notes offering and reopening of the 2024 Notes, we entered into interest rate swaps to align the interest rates of our liabilities with our investment portfolio, which consists of predominately floating rate loans. The notional amount of the two interest rates swaps is $300.0 million and $50.0 million, respectively, each of which matures on November 1, 2024, matching the maturity date of the 2024 Notes. As a result of the swaps, our effective interest rate on the 2024 Notes is three-month LIBOR plus 2.28% (on a weighted average basis).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During the year ended December 31, 2020, we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 In connection with the repurchase of the 2024 Notes, we entered into a floating-to-fixed interest rate swap with a notional amount equal to the amount of 2024 Notes repurchased, which had the effect of reducing the notional exposure of the fixed-to-floating interest rate swaps, which were entered into in connection with the issuance of the 2024 Notes, to match the remaining principal amount of the 2024 Notes outstanding. As a result of the swap, our effective interest rate on the outstanding 2024 Notes is three-month LIBOR plus 2.28% (on a weighted average basis).</w:t>
      </w:r>
    </w:p>
    <w:p>
      <w:pPr>
        <w:pStyle w:val="TextBody"/>
        <w:spacing w:before="360" w:after="0"/>
        <w:jc w:val="left"/>
        <w:rPr>
          <w:rFonts w:ascii="Times New Roman" w:hAnsi="Times New Roman"/>
          <w:sz w:val="20"/>
        </w:rPr>
      </w:pPr>
      <w:r>
        <w:rPr>
          <w:rFonts w:ascii="Times New Roman;serif" w:hAnsi="Times New Roman;serif"/>
          <w:b w:val="false"/>
          <w:i/>
          <w:sz w:val="20"/>
        </w:rPr>
        <w:t>2026 Notes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On February 3, 2021, we issued $300.0</w:t>
      </w:r>
      <w:r>
        <w:rPr>
          <w:rFonts w:ascii="Times New Roman" w:hAnsi="Times New Roman"/>
          <w:sz w:val="20"/>
        </w:rPr>
        <w:t xml:space="preserve"> </w:t>
      </w:r>
      <w:r>
        <w:rPr>
          <w:rFonts w:ascii="Times New Roman;serif" w:hAnsi="Times New Roman;serif"/>
          <w:b w:val="false"/>
          <w:sz w:val="20"/>
        </w:rPr>
        <w:t>million aggregate principal amount of unsecured notes that mature on August 1, 2026 (the “2026 Notes</w:t>
      </w:r>
      <w:r>
        <w:rPr>
          <w:rFonts w:ascii="Times New Roman" w:hAnsi="Times New Roman"/>
          <w:sz w:val="20"/>
        </w:rPr>
        <w:t>”</w:t>
      </w:r>
      <w:r>
        <w:rPr>
          <w:rFonts w:ascii="Times New Roman;serif" w:hAnsi="Times New Roman;serif"/>
          <w:b w:val="false"/>
          <w:sz w:val="20"/>
        </w:rPr>
        <w:t>). The principal amount of the 2026 Notes is payable at maturity. The 2026 Notes bear interest at a rate of 2.50% per year, payable semi-annually commencing on August 1, 2021, and may be redeemed in whole or in part at our option at any time at par plus a “make whole” premium.</w:t>
      </w:r>
      <w:r>
        <w:rPr>
          <w:rFonts w:ascii="Times New Roman" w:hAnsi="Times New Roman"/>
          <w:sz w:val="20"/>
        </w:rPr>
        <w:t xml:space="preserve"> </w:t>
      </w:r>
      <w:r>
        <w:rPr>
          <w:rFonts w:ascii="Times New Roman;serif" w:hAnsi="Times New Roman;serif"/>
          <w:b w:val="false"/>
          <w:sz w:val="20"/>
        </w:rPr>
        <w:t>Total proceeds from the issuance of the 2026 Notes, net of underwriting discounts, offering costs and</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59</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original issue discount, were $293.7 million. We used the net proceeds of the 2026 Notes to repay outstanding indebtedness under the Revolving Credit Facility.</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connection with the issuance of the 2026 Notes, we entered into an interest rate swap to align the interest rates of our liabilities with our investment portfolio, which consists of predominately floating rate loans. The notional amount of the interest rate swap is $300.0 million, which matures on August 1, 2026, matching the maturity date of the 2026 Notes. As a result of the swap, our effective interest rate on the 2026 Notes is three-month LIBOR plus 1.91%.</w:t>
      </w:r>
    </w:p>
    <w:p>
      <w:pPr>
        <w:pStyle w:val="TextBody"/>
        <w:spacing w:before="240" w:after="0"/>
        <w:jc w:val="left"/>
        <w:rPr>
          <w:rFonts w:ascii="Times New Roman" w:hAnsi="Times New Roman"/>
          <w:sz w:val="20"/>
        </w:rPr>
      </w:pPr>
      <w:r>
        <w:rPr>
          <w:rFonts w:ascii="Times New Roman;serif" w:hAnsi="Times New Roman;serif"/>
          <w:b w:val="false"/>
          <w:sz w:val="20"/>
        </w:rPr>
        <w:t>Debt obligations consisted of the following as of March 31, 2023 and December 31, 2022:</w:t>
      </w:r>
      <w:r>
        <w:rPr>
          <w:rFonts w:ascii="Times New Roman" w:hAnsi="Times New Roman"/>
          <w:sz w:val="20"/>
        </w:rPr>
        <w:t xml:space="preserve"> </w:t>
      </w:r>
    </w:p>
    <w:p>
      <w:pPr>
        <w:pStyle w:val="TextBody"/>
        <w:spacing w:before="0" w:after="0"/>
        <w:jc w:val="left"/>
        <w:rPr/>
      </w:pPr>
      <w:r>
        <w:rPr/>
        <w:t> </w:t>
      </w:r>
    </w:p>
    <w:tbl>
      <w:tblPr>
        <w:tblW w:w="8107" w:type="dxa"/>
        <w:jc w:val="left"/>
        <w:tblInd w:w="0" w:type="dxa"/>
        <w:tblCellMar>
          <w:top w:w="28" w:type="dxa"/>
          <w:left w:w="28" w:type="dxa"/>
          <w:bottom w:w="28" w:type="dxa"/>
          <w:right w:w="28" w:type="dxa"/>
        </w:tblCellMar>
      </w:tblPr>
      <w:tblGrid>
        <w:gridCol w:w="2221"/>
        <w:gridCol w:w="146"/>
        <w:gridCol w:w="356"/>
        <w:gridCol w:w="1219"/>
        <w:gridCol w:w="146"/>
        <w:gridCol w:w="146"/>
        <w:gridCol w:w="227"/>
        <w:gridCol w:w="779"/>
        <w:gridCol w:w="146"/>
        <w:gridCol w:w="146"/>
        <w:gridCol w:w="258"/>
        <w:gridCol w:w="702"/>
        <w:gridCol w:w="146"/>
        <w:gridCol w:w="146"/>
        <w:gridCol w:w="211"/>
        <w:gridCol w:w="721"/>
        <w:gridCol w:w="391"/>
      </w:tblGrid>
      <w:tr>
        <w:trPr/>
        <w:tc>
          <w:tcPr>
            <w:tcW w:w="22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2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349"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57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Aggregate Principal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Outstanding</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6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Carrying</w:t>
            </w:r>
          </w:p>
        </w:tc>
        <w:tc>
          <w:tcPr>
            <w:tcW w:w="391" w:type="dxa"/>
            <w:tcBorders/>
            <w:shd w:fill="auto" w:val="clear"/>
            <w:vAlign w:val="center"/>
          </w:tcPr>
          <w:p>
            <w:pPr>
              <w:pStyle w:val="TableContents"/>
              <w:spacing w:before="0" w:after="0"/>
              <w:ind w:left="0" w:right="0" w:hanging="0"/>
              <w:jc w:val="center"/>
              <w:rPr/>
            </w:pPr>
            <w:r>
              <w:rPr/>
              <w:t> </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shd w:fill="auto" w:val="clear"/>
            <w:vAlign w:val="center"/>
          </w:tcPr>
          <w:p>
            <w:pPr>
              <w:pStyle w:val="TableContents"/>
              <w:spacing w:before="0" w:after="0"/>
              <w:ind w:left="0" w:right="0" w:hanging="0"/>
              <w:jc w:val="right"/>
              <w:rPr/>
            </w:pPr>
            <w:r>
              <w:rPr/>
              <w:t> </w:t>
            </w:r>
          </w:p>
        </w:tc>
        <w:tc>
          <w:tcPr>
            <w:tcW w:w="15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 Committed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Principal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 xml:space="preserve">Available </w:t>
            </w:r>
            <w:r>
              <w:rPr>
                <w:rFonts w:ascii="Times New Roman;serif" w:hAnsi="Times New Roman;serif"/>
                <w:b/>
                <w:sz w:val="11"/>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 xml:space="preserve">Value </w:t>
            </w:r>
            <w:r>
              <w:rPr>
                <w:rFonts w:ascii="Times New Roman;serif" w:hAnsi="Times New Roman;serif"/>
                <w:b/>
                <w:sz w:val="11"/>
              </w:rPr>
              <w:t>(2)(3)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Revolving Credit Facility</w:t>
            </w:r>
          </w:p>
        </w:tc>
        <w:tc>
          <w:tcPr>
            <w:tcW w:w="146" w:type="dxa"/>
            <w:tcBorders/>
            <w:shd w:fill="auto" w:val="clear"/>
            <w:vAlign w:val="center"/>
          </w:tcPr>
          <w:p>
            <w:pPr>
              <w:pStyle w:val="TableContents"/>
              <w:spacing w:before="0" w:after="0"/>
              <w:ind w:left="0" w:right="0" w:hanging="0"/>
              <w:jc w:val="right"/>
              <w:rPr/>
            </w:pPr>
            <w:r>
              <w:rPr/>
              <w:t> </w:t>
            </w:r>
          </w:p>
        </w:tc>
        <w:tc>
          <w:tcPr>
            <w:tcW w:w="3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969.5</w:t>
            </w:r>
          </w:p>
        </w:tc>
        <w:tc>
          <w:tcPr>
            <w:tcW w:w="391" w:type="dxa"/>
            <w:tcBorders/>
            <w:shd w:fill="auto" w:val="clear"/>
            <w:vAlign w:val="center"/>
          </w:tcPr>
          <w:p>
            <w:pPr>
              <w:pStyle w:val="TableContents"/>
              <w:spacing w:before="0" w:after="0"/>
              <w:ind w:left="0" w:right="0" w:hanging="0"/>
              <w:jc w:val="left"/>
              <w:rPr/>
            </w:pPr>
            <w:r>
              <w:rPr/>
              <w:t> </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 Notes</w:t>
            </w:r>
          </w:p>
        </w:tc>
        <w:tc>
          <w:tcPr>
            <w:tcW w:w="146" w:type="dxa"/>
            <w:tcBorders/>
            <w:shd w:fill="auto" w:val="clear"/>
            <w:vAlign w:val="center"/>
          </w:tcPr>
          <w:p>
            <w:pPr>
              <w:pStyle w:val="TableContents"/>
              <w:spacing w:before="0" w:after="0"/>
              <w:ind w:left="0" w:right="0" w:hanging="0"/>
              <w:jc w:val="right"/>
              <w:rPr/>
            </w:pPr>
            <w:r>
              <w:rPr/>
              <w:t> </w:t>
            </w:r>
          </w:p>
        </w:tc>
        <w:tc>
          <w:tcPr>
            <w:tcW w:w="356" w:type="dxa"/>
            <w:tcBorders/>
            <w:shd w:fill="auto" w:val="clear"/>
            <w:vAlign w:val="center"/>
          </w:tcPr>
          <w:p>
            <w:pPr>
              <w:pStyle w:val="TableContents"/>
              <w:spacing w:before="0" w:after="0"/>
              <w:ind w:left="0" w:right="0" w:hanging="0"/>
              <w:jc w:val="left"/>
              <w:rPr/>
            </w:pPr>
            <w:r>
              <w:rPr/>
              <w:t> </w:t>
            </w:r>
          </w:p>
        </w:tc>
        <w:tc>
          <w:tcPr>
            <w:tcW w:w="12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60"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329.0</w:t>
            </w:r>
          </w:p>
        </w:tc>
        <w:tc>
          <w:tcPr>
            <w:tcW w:w="391" w:type="dxa"/>
            <w:tcBorders/>
            <w:shd w:fill="auto" w:val="clear"/>
            <w:vAlign w:val="center"/>
          </w:tcPr>
          <w:p>
            <w:pPr>
              <w:pStyle w:val="TableContents"/>
              <w:spacing w:before="0" w:after="0"/>
              <w:ind w:left="0" w:right="0" w:hanging="0"/>
              <w:jc w:val="left"/>
              <w:rPr/>
            </w:pPr>
            <w:r>
              <w:rPr/>
              <w:t> </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 Notes</w:t>
            </w:r>
          </w:p>
        </w:tc>
        <w:tc>
          <w:tcPr>
            <w:tcW w:w="146" w:type="dxa"/>
            <w:tcBorders/>
            <w:shd w:fill="auto" w:val="clear"/>
            <w:vAlign w:val="center"/>
          </w:tcPr>
          <w:p>
            <w:pPr>
              <w:pStyle w:val="TableContents"/>
              <w:spacing w:before="0" w:after="0"/>
              <w:ind w:left="0" w:right="0" w:hanging="0"/>
              <w:jc w:val="right"/>
              <w:rPr/>
            </w:pPr>
            <w:r>
              <w:rPr/>
              <w:t> </w:t>
            </w:r>
          </w:p>
        </w:tc>
        <w:tc>
          <w:tcPr>
            <w:tcW w:w="3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221"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Total Debt</w:t>
            </w:r>
          </w:p>
        </w:tc>
        <w:tc>
          <w:tcPr>
            <w:tcW w:w="146" w:type="dxa"/>
            <w:tcBorders/>
            <w:shd w:fill="auto" w:val="clear"/>
            <w:vAlign w:val="center"/>
          </w:tcPr>
          <w:p>
            <w:pPr>
              <w:pStyle w:val="TableContents"/>
              <w:spacing w:before="0" w:after="0"/>
              <w:ind w:left="0" w:right="0" w:hanging="0"/>
              <w:jc w:val="right"/>
              <w:rPr/>
            </w:pPr>
            <w:r>
              <w:rPr/>
              <w:t> </w:t>
            </w:r>
          </w:p>
        </w:tc>
        <w:tc>
          <w:tcPr>
            <w:tcW w:w="3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2,232.5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1,629.4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603.1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1,563.1</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The amount available may be subject to limitations related to the borrowing base under the Revolving Credit Facility and asset coverage requirements. </w:t>
      </w:r>
    </w:p>
    <w:p>
      <w:pPr>
        <w:pStyle w:val="TextBody"/>
        <w:spacing w:before="0" w:after="0"/>
        <w:jc w:val="left"/>
        <w:rPr>
          <w:rFonts w:ascii="Times New Roman" w:hAnsi="Times New Roman"/>
          <w:b w:val="false"/>
          <w:sz w:val="20"/>
        </w:rPr>
      </w:pPr>
      <w:r>
        <w:rPr>
          <w:rFonts w:ascii="Times New Roman" w:hAnsi="Times New Roman"/>
          <w:b w:val="false"/>
          <w:sz w:val="20"/>
        </w:rPr>
        <w:t>(2)</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carrying values of the Revolving Credit Facility, 2024 Notes and 2026 Notes are presented net of the combination of deferred financing costs and original issue discounts totaling $12.4 million, $2.2 million and $3.9 million, respectively.</w:t>
      </w:r>
    </w:p>
    <w:p>
      <w:pPr>
        <w:pStyle w:val="TextBody"/>
        <w:spacing w:before="0" w:after="0"/>
        <w:jc w:val="left"/>
        <w:rPr>
          <w:rFonts w:ascii="Times New Roman" w:hAnsi="Times New Roman"/>
          <w:b w:val="false"/>
          <w:sz w:val="20"/>
        </w:rPr>
      </w:pPr>
      <w:r>
        <w:rPr>
          <w:rFonts w:ascii="Times New Roman" w:hAnsi="Times New Roman"/>
          <w:b w:val="false"/>
          <w:sz w:val="20"/>
        </w:rPr>
        <w:t>(3)</w:t>
      </w:r>
    </w:p>
    <w:p>
      <w:pPr>
        <w:pStyle w:val="TextBody"/>
        <w:jc w:val="left"/>
        <w:rPr>
          <w:rFonts w:ascii="Times New Roman;serif" w:hAnsi="Times New Roman;serif"/>
          <w:b w:val="false"/>
          <w:sz w:val="20"/>
        </w:rPr>
      </w:pPr>
      <w:r>
        <w:rPr>
          <w:rFonts w:ascii="Times New Roman;serif" w:hAnsi="Times New Roman;serif"/>
          <w:b w:val="false"/>
          <w:sz w:val="20"/>
        </w:rPr>
        <w:t>The carrying values of the 2024 Notes and 2026 Notes are presented inclusive of an incremental $(16.3) million and $(31.5) million, respectively, which represents an adjustment in the carrying values of the 2024 Notes and 2026 Notes, each resulting from a hedge accounting relationship.</w:t>
      </w:r>
    </w:p>
    <w:p>
      <w:pPr>
        <w:pStyle w:val="TextBody"/>
        <w:spacing w:before="0" w:after="0"/>
        <w:jc w:val="left"/>
        <w:rPr/>
      </w:pPr>
      <w:r>
        <w:rPr/>
        <w:t> </w:t>
      </w:r>
    </w:p>
    <w:tbl>
      <w:tblPr>
        <w:tblW w:w="8107" w:type="dxa"/>
        <w:jc w:val="left"/>
        <w:tblInd w:w="0" w:type="dxa"/>
        <w:tblCellMar>
          <w:top w:w="28" w:type="dxa"/>
          <w:left w:w="28" w:type="dxa"/>
          <w:bottom w:w="28" w:type="dxa"/>
          <w:right w:w="28" w:type="dxa"/>
        </w:tblCellMar>
      </w:tblPr>
      <w:tblGrid>
        <w:gridCol w:w="2221"/>
        <w:gridCol w:w="146"/>
        <w:gridCol w:w="356"/>
        <w:gridCol w:w="1219"/>
        <w:gridCol w:w="146"/>
        <w:gridCol w:w="146"/>
        <w:gridCol w:w="227"/>
        <w:gridCol w:w="779"/>
        <w:gridCol w:w="146"/>
        <w:gridCol w:w="146"/>
        <w:gridCol w:w="258"/>
        <w:gridCol w:w="702"/>
        <w:gridCol w:w="146"/>
        <w:gridCol w:w="146"/>
        <w:gridCol w:w="211"/>
        <w:gridCol w:w="721"/>
        <w:gridCol w:w="391"/>
      </w:tblGrid>
      <w:tr>
        <w:trPr/>
        <w:tc>
          <w:tcPr>
            <w:tcW w:w="22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2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349"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57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Aggregate Principal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Outstanding</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6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Carrying</w:t>
            </w:r>
          </w:p>
        </w:tc>
        <w:tc>
          <w:tcPr>
            <w:tcW w:w="391" w:type="dxa"/>
            <w:tcBorders/>
            <w:shd w:fill="auto" w:val="clear"/>
            <w:vAlign w:val="center"/>
          </w:tcPr>
          <w:p>
            <w:pPr>
              <w:pStyle w:val="TableContents"/>
              <w:spacing w:before="0" w:after="0"/>
              <w:ind w:left="0" w:right="0" w:hanging="0"/>
              <w:jc w:val="center"/>
              <w:rPr/>
            </w:pPr>
            <w:r>
              <w:rPr/>
              <w:t> </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shd w:fill="auto" w:val="clear"/>
            <w:vAlign w:val="center"/>
          </w:tcPr>
          <w:p>
            <w:pPr>
              <w:pStyle w:val="TableContents"/>
              <w:spacing w:before="0" w:after="0"/>
              <w:ind w:left="0" w:right="0" w:hanging="0"/>
              <w:jc w:val="right"/>
              <w:rPr/>
            </w:pPr>
            <w:r>
              <w:rPr/>
              <w:t> </w:t>
            </w:r>
          </w:p>
        </w:tc>
        <w:tc>
          <w:tcPr>
            <w:tcW w:w="15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 Committed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Principal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 xml:space="preserve">Available </w:t>
            </w:r>
            <w:r>
              <w:rPr>
                <w:rFonts w:ascii="Times New Roman;serif" w:hAnsi="Times New Roman;serif"/>
                <w:b/>
                <w:sz w:val="11"/>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 xml:space="preserve">Value </w:t>
            </w:r>
            <w:r>
              <w:rPr>
                <w:rFonts w:ascii="Times New Roman;serif" w:hAnsi="Times New Roman;serif"/>
                <w:b/>
                <w:sz w:val="11"/>
              </w:rPr>
              <w:t>(2)(3)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Revolving Credit Facility</w:t>
            </w:r>
          </w:p>
        </w:tc>
        <w:tc>
          <w:tcPr>
            <w:tcW w:w="146" w:type="dxa"/>
            <w:tcBorders/>
            <w:shd w:fill="auto" w:val="clear"/>
            <w:vAlign w:val="center"/>
          </w:tcPr>
          <w:p>
            <w:pPr>
              <w:pStyle w:val="TableContents"/>
              <w:spacing w:before="0" w:after="0"/>
              <w:ind w:left="0" w:right="0" w:hanging="0"/>
              <w:jc w:val="right"/>
              <w:rPr/>
            </w:pPr>
            <w:r>
              <w:rPr/>
              <w:t> </w:t>
            </w:r>
          </w:p>
        </w:tc>
        <w:tc>
          <w:tcPr>
            <w:tcW w:w="3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706.2</w:t>
            </w:r>
          </w:p>
        </w:tc>
        <w:tc>
          <w:tcPr>
            <w:tcW w:w="391" w:type="dxa"/>
            <w:tcBorders/>
            <w:shd w:fill="auto" w:val="clear"/>
            <w:vAlign w:val="center"/>
          </w:tcPr>
          <w:p>
            <w:pPr>
              <w:pStyle w:val="TableContents"/>
              <w:spacing w:before="0" w:after="0"/>
              <w:ind w:left="0" w:right="0" w:hanging="0"/>
              <w:jc w:val="left"/>
              <w:rPr/>
            </w:pPr>
            <w:r>
              <w:rPr/>
              <w:t> </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2023 Notes</w:t>
            </w:r>
          </w:p>
        </w:tc>
        <w:tc>
          <w:tcPr>
            <w:tcW w:w="146" w:type="dxa"/>
            <w:tcBorders/>
            <w:shd w:fill="auto" w:val="clear"/>
            <w:vAlign w:val="center"/>
          </w:tcPr>
          <w:p>
            <w:pPr>
              <w:pStyle w:val="TableContents"/>
              <w:spacing w:before="0" w:after="0"/>
              <w:ind w:left="0" w:right="0" w:hanging="0"/>
              <w:jc w:val="right"/>
              <w:rPr/>
            </w:pPr>
            <w:r>
              <w:rPr/>
              <w:t> </w:t>
            </w:r>
          </w:p>
        </w:tc>
        <w:tc>
          <w:tcPr>
            <w:tcW w:w="356" w:type="dxa"/>
            <w:tcBorders/>
            <w:shd w:fill="auto" w:val="clear"/>
            <w:vAlign w:val="center"/>
          </w:tcPr>
          <w:p>
            <w:pPr>
              <w:pStyle w:val="TableContents"/>
              <w:spacing w:before="0" w:after="0"/>
              <w:ind w:left="0" w:right="0" w:hanging="0"/>
              <w:jc w:val="left"/>
              <w:rPr/>
            </w:pPr>
            <w:r>
              <w:rPr/>
              <w:t> </w:t>
            </w:r>
          </w:p>
        </w:tc>
        <w:tc>
          <w:tcPr>
            <w:tcW w:w="12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60"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149.9</w:t>
            </w:r>
          </w:p>
        </w:tc>
        <w:tc>
          <w:tcPr>
            <w:tcW w:w="391" w:type="dxa"/>
            <w:tcBorders/>
            <w:shd w:fill="auto" w:val="clear"/>
            <w:vAlign w:val="center"/>
          </w:tcPr>
          <w:p>
            <w:pPr>
              <w:pStyle w:val="TableContents"/>
              <w:spacing w:before="0" w:after="0"/>
              <w:ind w:left="0" w:right="0" w:hanging="0"/>
              <w:jc w:val="left"/>
              <w:rPr/>
            </w:pPr>
            <w:r>
              <w:rPr/>
              <w:t> </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 Notes</w:t>
            </w:r>
          </w:p>
        </w:tc>
        <w:tc>
          <w:tcPr>
            <w:tcW w:w="146" w:type="dxa"/>
            <w:tcBorders/>
            <w:shd w:fill="auto" w:val="clear"/>
            <w:vAlign w:val="center"/>
          </w:tcPr>
          <w:p>
            <w:pPr>
              <w:pStyle w:val="TableContents"/>
              <w:spacing w:before="0" w:after="0"/>
              <w:ind w:left="0" w:right="0" w:hanging="0"/>
              <w:jc w:val="right"/>
              <w:rPr/>
            </w:pPr>
            <w:r>
              <w:rPr/>
              <w:t> </w:t>
            </w:r>
          </w:p>
        </w:tc>
        <w:tc>
          <w:tcPr>
            <w:tcW w:w="356" w:type="dxa"/>
            <w:tcBorders/>
            <w:shd w:fill="auto" w:val="clear"/>
            <w:vAlign w:val="center"/>
          </w:tcPr>
          <w:p>
            <w:pPr>
              <w:pStyle w:val="TableContents"/>
              <w:spacing w:before="0" w:after="0"/>
              <w:ind w:left="0" w:right="0" w:hanging="0"/>
              <w:jc w:val="left"/>
              <w:rPr/>
            </w:pPr>
            <w:r>
              <w:rPr/>
              <w:t> </w:t>
            </w:r>
          </w:p>
        </w:tc>
        <w:tc>
          <w:tcPr>
            <w:tcW w:w="12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7" w:type="dxa"/>
            <w:tcBorders/>
            <w:shd w:fill="auto" w:val="clear"/>
            <w:vAlign w:val="center"/>
          </w:tcPr>
          <w:p>
            <w:pPr>
              <w:pStyle w:val="TableContents"/>
              <w:spacing w:before="0" w:after="0"/>
              <w:ind w:left="0" w:right="0" w:hanging="0"/>
              <w:jc w:val="left"/>
              <w:rPr/>
            </w:pPr>
            <w:r>
              <w:rPr/>
              <w:t> </w:t>
            </w:r>
          </w:p>
        </w:tc>
        <w:tc>
          <w:tcPr>
            <w:tcW w:w="77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60" w:type="dxa"/>
            <w:gridSpan w:val="2"/>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325.5</w:t>
            </w:r>
          </w:p>
        </w:tc>
        <w:tc>
          <w:tcPr>
            <w:tcW w:w="391" w:type="dxa"/>
            <w:tcBorders/>
            <w:shd w:fill="auto" w:val="clear"/>
            <w:vAlign w:val="center"/>
          </w:tcPr>
          <w:p>
            <w:pPr>
              <w:pStyle w:val="TableContents"/>
              <w:spacing w:before="0" w:after="0"/>
              <w:ind w:left="0" w:right="0" w:hanging="0"/>
              <w:jc w:val="left"/>
              <w:rPr/>
            </w:pPr>
            <w:r>
              <w:rPr/>
              <w:t> </w:t>
            </w:r>
          </w:p>
        </w:tc>
      </w:tr>
      <w:tr>
        <w:trPr/>
        <w:tc>
          <w:tcPr>
            <w:tcW w:w="22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 Notes</w:t>
            </w:r>
          </w:p>
        </w:tc>
        <w:tc>
          <w:tcPr>
            <w:tcW w:w="146" w:type="dxa"/>
            <w:tcBorders/>
            <w:shd w:fill="auto" w:val="clear"/>
            <w:vAlign w:val="center"/>
          </w:tcPr>
          <w:p>
            <w:pPr>
              <w:pStyle w:val="TableContents"/>
              <w:spacing w:before="0" w:after="0"/>
              <w:ind w:left="0" w:right="0" w:hanging="0"/>
              <w:jc w:val="right"/>
              <w:rPr/>
            </w:pPr>
            <w:r>
              <w:rPr/>
              <w:t> </w:t>
            </w:r>
          </w:p>
        </w:tc>
        <w:tc>
          <w:tcPr>
            <w:tcW w:w="3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221"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Total Debt</w:t>
            </w:r>
          </w:p>
        </w:tc>
        <w:tc>
          <w:tcPr>
            <w:tcW w:w="146" w:type="dxa"/>
            <w:tcBorders/>
            <w:shd w:fill="auto" w:val="clear"/>
            <w:vAlign w:val="center"/>
          </w:tcPr>
          <w:p>
            <w:pPr>
              <w:pStyle w:val="TableContents"/>
              <w:spacing w:before="0" w:after="0"/>
              <w:ind w:left="0" w:right="0" w:hanging="0"/>
              <w:jc w:val="right"/>
              <w:rPr/>
            </w:pPr>
            <w:r>
              <w:rPr/>
              <w:t> </w:t>
            </w:r>
          </w:p>
        </w:tc>
        <w:tc>
          <w:tcPr>
            <w:tcW w:w="3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2,382.5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2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1,516.8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5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865.7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1,441.8</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amount available may be subject to limitations related to the borrowing base under the Revolving Credit Facility and asset coverage requirements.</w:t>
      </w:r>
    </w:p>
    <w:p>
      <w:pPr>
        <w:pStyle w:val="TextBody"/>
        <w:spacing w:before="0" w:after="0"/>
        <w:jc w:val="left"/>
        <w:rPr>
          <w:rFonts w:ascii="Times New Roman" w:hAnsi="Times New Roman"/>
          <w:b w:val="false"/>
          <w:sz w:val="20"/>
        </w:rPr>
      </w:pPr>
      <w:r>
        <w:rPr>
          <w:rFonts w:ascii="Times New Roman" w:hAnsi="Times New Roman"/>
          <w:b w:val="false"/>
          <w:sz w:val="20"/>
        </w:rPr>
        <w:t>(2)</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carrying values of the Revolving Credit Facility, 2023 Notes, 2024 Notes and 2026 Notes are presented net of the combination of deferred financing costs and original issue discounts totaling $13.2 million, less than $0.1 million, $2.6 million and $4.1 million, respectively.</w:t>
      </w:r>
    </w:p>
    <w:p>
      <w:pPr>
        <w:pStyle w:val="TextBody"/>
        <w:spacing w:before="0" w:after="0"/>
        <w:jc w:val="left"/>
        <w:rPr>
          <w:rFonts w:ascii="Times New Roman" w:hAnsi="Times New Roman"/>
          <w:b w:val="false"/>
          <w:sz w:val="20"/>
        </w:rPr>
      </w:pPr>
      <w:r>
        <w:rPr>
          <w:rFonts w:ascii="Times New Roman" w:hAnsi="Times New Roman"/>
          <w:b w:val="false"/>
          <w:sz w:val="20"/>
        </w:rPr>
        <w:t>(3)</w:t>
      </w:r>
    </w:p>
    <w:p>
      <w:pPr>
        <w:pStyle w:val="TextBody"/>
        <w:jc w:val="left"/>
        <w:rPr>
          <w:rFonts w:ascii="Times New Roman;serif" w:hAnsi="Times New Roman;serif"/>
          <w:b w:val="false"/>
          <w:sz w:val="20"/>
        </w:rPr>
      </w:pPr>
      <w:r>
        <w:rPr>
          <w:rFonts w:ascii="Times New Roman;serif" w:hAnsi="Times New Roman;serif"/>
          <w:b w:val="false"/>
          <w:sz w:val="20"/>
        </w:rPr>
        <w:t>The carrying values of the 2024 Notes and 2026 Notes are presented inclusive of an incremental $(19.4) million and $(35.7) million, which represents an adjustment in the carrying values of the 2024 Notes and 2026 Notes, each resulting from a hedge accounting relationship.</w:t>
      </w:r>
    </w:p>
    <w:p>
      <w:pPr>
        <w:pStyle w:val="TextBody"/>
        <w:spacing w:before="240" w:after="0"/>
        <w:jc w:val="left"/>
        <w:rPr>
          <w:rFonts w:ascii="Times New Roman" w:hAnsi="Times New Roman"/>
          <w:sz w:val="20"/>
        </w:rPr>
      </w:pPr>
      <w:r>
        <w:rPr>
          <w:rFonts w:ascii="Times New Roman;serif" w:hAnsi="Times New Roman;serif"/>
          <w:b w:val="false"/>
          <w:sz w:val="20"/>
        </w:rPr>
        <w:t>As of March 31, 2023 and December 31, 2022, we were in compliance with the terms of our debt arrangements. We intend to continue to utilize our credit facilities to fund investments and for other general corporate purposes.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Off-Balance Sheet Arrangements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Portfolio Company Commitments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60</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the associated loan agreement. As of March 31, 2023 and December 31, 2022, we had the following commitments to fund investments in current portfolio companies:</w:t>
      </w:r>
      <w:r>
        <w:rPr>
          <w:rFonts w:ascii="Times New Roman" w:hAnsi="Times New Roman"/>
          <w:sz w:val="20"/>
        </w:rPr>
        <w:t xml:space="preserve"> </w:t>
      </w:r>
    </w:p>
    <w:p>
      <w:pPr>
        <w:pStyle w:val="TextBody"/>
        <w:spacing w:before="0" w:after="0"/>
        <w:jc w:val="left"/>
        <w:rPr/>
      </w:pPr>
      <w:r>
        <w:rPr/>
        <w:t> </w:t>
      </w:r>
    </w:p>
    <w:tbl>
      <w:tblPr>
        <w:tblW w:w="8400" w:type="dxa"/>
        <w:jc w:val="left"/>
        <w:tblInd w:w="0" w:type="dxa"/>
        <w:tblCellMar>
          <w:top w:w="28" w:type="dxa"/>
          <w:left w:w="28" w:type="dxa"/>
          <w:bottom w:w="28" w:type="dxa"/>
          <w:right w:w="28" w:type="dxa"/>
        </w:tblCellMar>
      </w:tblPr>
      <w:tblGrid>
        <w:gridCol w:w="4711"/>
        <w:gridCol w:w="146"/>
        <w:gridCol w:w="349"/>
        <w:gridCol w:w="911"/>
        <w:gridCol w:w="246"/>
        <w:gridCol w:w="146"/>
        <w:gridCol w:w="414"/>
        <w:gridCol w:w="1086"/>
        <w:gridCol w:w="391"/>
      </w:tblGrid>
      <w:tr>
        <w:trPr/>
        <w:tc>
          <w:tcPr>
            <w:tcW w:w="47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Alpha Midco, Inc. - Delayed Draw</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0.8</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0.9</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American Achievement, Corp. - Revolver</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ASG II, LLC - Delayed Draw</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6.0</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7.0</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Avalara, Inc. - Revolver</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Axonify, Inc. - Delayed Draw</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6.1</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Banyan Software Holdings, LLC - Delayed Draw</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20.0</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righ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Bayshore Intermediate #2, L.P. - Revolver</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BCTO Ace Purchaser, Inc. - Delayed Draw</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5.4</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6.6</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Bear OpCo, LLC - Delayed Draw</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BlueSnap, Inc. - Delayed Draw &amp; Revolver</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BTRS Holdings, Inc. - Delayed Draw &amp; Revolver</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7.5</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8.6</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Carlstar Group, LLC - Revolver</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8.5</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8.5</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Cordance Operations, LLC - Delayed Draw &amp; Revolver</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7.3</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12.0</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Coupa Holdings, LLC - Delayed Draw &amp; Revolver</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6.8</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8.5</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CrunchTime Information Systems, Inc. - Delayed Draw</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7.1</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7.1</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Disco Parent, Inc. - Revolver</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0.5</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7.1</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Dye &amp; Durham Corp. - Delayed Draw &amp; Revolver</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6.3</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EDB Parent, LLC - Delayed Draw</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16.4</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18.0</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Edge Bidco B.V. - Delayed Draw &amp; Revolver</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righ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Erling Lux Bidco SARL - Delayed Draw &amp; Revolver</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5.7</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5.6</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Elysian Finco Ltd. - Delayed Draw &amp; Revolver</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6.3</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6.8</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Employment Hero Holdings Pty Ltd. - Delayed Draw &amp; Revolver</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8.7</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8.8</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EMS Linq, Inc. - Revolver</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6.1</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8.8</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ExtraHop Networks, Inc. - Delayed Draw</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15.8</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17.1</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ForeScout Technologies, Inc. - Delayed Draw &amp; Revolver</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G Treasury SS, LLC - Delayed Draw</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Hornetsecurity Holding GmbH - Delayed Draw &amp; Revolver</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Ibis Intermediate Co. - Delayed Draw</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6.3</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6.3</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IRGSE Holding Corp. - Revolver</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Kyriba Corp. - Delayed Draw &amp; Revolver</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righ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Laramie Energy, LLC - Delayed Draw</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7.7</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righ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LeanTaaS Holdings, Inc. - Delayed Draw</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42.5</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47.2</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Lithium Technologies, LLC - Revolver</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Lucidworks, Inc. - Delayed Draw</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0.8</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0.8</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Murchison Oil and Gas, LLC - Delayed Draw</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9.8</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Netwrix Corp. - Delayed Draw &amp; Revolver</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13.1</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13.9</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Neuintel, LLC - Delayed Draw</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shd w:fill="auto" w:val="clear"/>
            <w:vAlign w:val="center"/>
          </w:tcPr>
          <w:p>
            <w:pPr>
              <w:pStyle w:val="TableContents"/>
              <w:spacing w:before="0" w:after="0"/>
              <w:ind w:left="0" w:right="0" w:hanging="0"/>
              <w:jc w:val="right"/>
              <w:rPr/>
            </w:pPr>
            <w:r>
              <w:rPr/>
              <w:t>—</w:t>
            </w:r>
          </w:p>
        </w:tc>
        <w:tc>
          <w:tcPr>
            <w:tcW w:w="2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OutSystems Luxco SARL - Delayed Draw</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PageUp People, Ltd. - Delayed Draw &amp; Revolver</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5.7</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5.8</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Passport Labs, Inc. - Delayed Draw &amp; Revolver</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Ping Identity Holding Corp. - Revolver</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PrimePay Intermediate, LLC - Delayed Draw</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0.8</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PrimeRevenue, Inc. - Delayed Draw &amp; Revolver</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6.5</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6.3</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Project44, Inc. - Delayed Draw</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19.9</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19.9</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ReliaQuest Holdings, LLC - Delayed Draw</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21.6</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22.7</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Tango Management Consulting, LLC - Delayed Draw &amp; Revolver</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24.3</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26.6</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TRP Assets, LLC - Delayed Draw &amp; Membership Interest</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shd w:fill="auto" w:val="clear"/>
            <w:vAlign w:val="center"/>
          </w:tcPr>
          <w:p>
            <w:pPr>
              <w:pStyle w:val="TableContents"/>
              <w:spacing w:before="0" w:after="0"/>
              <w:ind w:left="0" w:right="0" w:hanging="0"/>
              <w:jc w:val="left"/>
              <w:rPr/>
            </w:pPr>
            <w:r>
              <w:rPr/>
              <w:t> </w:t>
            </w:r>
          </w:p>
        </w:tc>
        <w:tc>
          <w:tcPr>
            <w:tcW w:w="9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7.8</w:t>
            </w:r>
          </w:p>
        </w:tc>
        <w:tc>
          <w:tcPr>
            <w:tcW w:w="2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08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7.8</w:t>
            </w:r>
          </w:p>
        </w:tc>
        <w:tc>
          <w:tcPr>
            <w:tcW w:w="391" w:type="dxa"/>
            <w:tcBorders/>
            <w:shd w:fill="auto" w:val="clear"/>
            <w:vAlign w:val="center"/>
          </w:tcPr>
          <w:p>
            <w:pPr>
              <w:pStyle w:val="TableContents"/>
              <w:spacing w:before="0" w:after="0"/>
              <w:ind w:left="0" w:right="0" w:hanging="0"/>
              <w:jc w:val="left"/>
              <w:rPr/>
            </w:pPr>
            <w:r>
              <w:rPr/>
              <w:t> </w:t>
            </w:r>
          </w:p>
        </w:tc>
      </w:tr>
      <w:tr>
        <w:trPr/>
        <w:tc>
          <w:tcPr>
            <w:tcW w:w="47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WideOrbit, Inc. - Revolver</w:t>
            </w:r>
          </w:p>
        </w:tc>
        <w:tc>
          <w:tcPr>
            <w:tcW w:w="146" w:type="dxa"/>
            <w:tcBorders/>
            <w:shd w:fill="auto" w:val="clear"/>
            <w:vAlign w:val="center"/>
          </w:tcPr>
          <w:p>
            <w:pPr>
              <w:pStyle w:val="TableContents"/>
              <w:spacing w:before="0" w:after="0"/>
              <w:ind w:left="0" w:right="0" w:hanging="0"/>
              <w:jc w:val="righ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711" w:type="dxa"/>
            <w:tcBorders/>
            <w:shd w:fill="auto" w:val="clear"/>
            <w:vAlign w:val="center"/>
          </w:tcPr>
          <w:p>
            <w:pPr>
              <w:pStyle w:val="TableContents"/>
              <w:spacing w:before="0" w:after="0"/>
              <w:ind w:left="200" w:right="0" w:hanging="0"/>
              <w:jc w:val="left"/>
              <w:rPr>
                <w:rFonts w:ascii="Times New Roman" w:hAnsi="Times New Roman"/>
                <w:sz w:val="16"/>
              </w:rPr>
            </w:pPr>
            <w:r>
              <w:rPr>
                <w:rFonts w:ascii="Times New Roman;serif" w:hAnsi="Times New Roman;serif"/>
                <w:b/>
                <w:sz w:val="16"/>
              </w:rPr>
              <w:t>Total Portfolio Company Commitments</w:t>
            </w:r>
            <w:r>
              <w:rPr>
                <w:rFonts w:ascii="Times New Roman" w:hAnsi="Times New Roman"/>
                <w:sz w:val="16"/>
              </w:rPr>
              <w:t xml:space="preserve"> </w:t>
            </w:r>
            <w:r>
              <w:rPr>
                <w:rFonts w:ascii="Times New Roman;serif" w:hAnsi="Times New Roman;serif"/>
                <w:b/>
                <w:sz w:val="11"/>
              </w:rPr>
              <w:t>(1)(2)</w:t>
            </w:r>
          </w:p>
        </w:tc>
        <w:tc>
          <w:tcPr>
            <w:tcW w:w="146" w:type="dxa"/>
            <w:tcBorders/>
            <w:shd w:fill="auto" w:val="clear"/>
            <w:vAlign w:val="center"/>
          </w:tcPr>
          <w:p>
            <w:pPr>
              <w:pStyle w:val="TableContents"/>
              <w:spacing w:before="0" w:after="0"/>
              <w:ind w:left="0" w:right="0" w:hanging="0"/>
              <w:jc w:val="right"/>
              <w:rPr/>
            </w:pPr>
            <w:r>
              <w:rPr/>
              <w:t> </w:t>
            </w:r>
          </w:p>
        </w:tc>
        <w:tc>
          <w:tcPr>
            <w:tcW w:w="3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330.4</w:t>
            </w:r>
          </w:p>
        </w:tc>
        <w:tc>
          <w:tcPr>
            <w:tcW w:w="2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4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338.0</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 w:hAnsi="Times New Roman"/>
          <w:b w:val="false"/>
          <w:sz w:val="20"/>
        </w:rPr>
      </w:pPr>
      <w:r>
        <w:rPr>
          <w:rFonts w:ascii="Times New Roman" w:hAnsi="Times New Roman"/>
          <w:b w:val="false"/>
          <w:sz w:val="20"/>
        </w:rPr>
        <w:t>(1)</w:t>
      </w:r>
    </w:p>
    <w:p>
      <w:pPr>
        <w:pStyle w:val="TextBody"/>
        <w:spacing w:before="40" w:after="0"/>
        <w:jc w:val="left"/>
        <w:rPr>
          <w:rFonts w:ascii="Times New Roman;serif" w:hAnsi="Times New Roman;serif"/>
          <w:b w:val="false"/>
          <w:sz w:val="20"/>
        </w:rPr>
      </w:pPr>
      <w:r>
        <w:rPr>
          <w:rFonts w:ascii="Times New Roman;serif" w:hAnsi="Times New Roman;serif"/>
          <w:b w:val="false"/>
          <w:sz w:val="20"/>
        </w:rPr>
        <w:t xml:space="preserve">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 </w:t>
      </w:r>
    </w:p>
    <w:p>
      <w:pPr>
        <w:pStyle w:val="TextBody"/>
        <w:spacing w:before="40" w:after="0"/>
        <w:jc w:val="left"/>
        <w:rPr>
          <w:rFonts w:ascii="Times New Roman" w:hAnsi="Times New Roman"/>
          <w:b w:val="false"/>
          <w:sz w:val="20"/>
        </w:rPr>
      </w:pPr>
      <w:r>
        <w:rPr>
          <w:rFonts w:ascii="Times New Roman" w:hAnsi="Times New Roman"/>
          <w:b w:val="false"/>
          <w:sz w:val="20"/>
        </w:rPr>
        <w:t>(2)</w:t>
      </w:r>
    </w:p>
    <w:p>
      <w:pPr>
        <w:pStyle w:val="TextBody"/>
        <w:spacing w:before="40" w:after="283"/>
        <w:jc w:val="left"/>
        <w:rPr>
          <w:rFonts w:ascii="Times New Roman;serif" w:hAnsi="Times New Roman;serif"/>
          <w:b w:val="false"/>
          <w:sz w:val="20"/>
        </w:rPr>
      </w:pPr>
      <w:r>
        <w:rPr>
          <w:rFonts w:ascii="Times New Roman;serif" w:hAnsi="Times New Roman;serif"/>
          <w:b w:val="false"/>
          <w:sz w:val="20"/>
        </w:rPr>
        <w:t>Our estimate of the fair value of the current investments in these portfolio companies includes an analysis of the fair value of any unfunded commitments.</w:t>
      </w:r>
    </w:p>
    <w:p>
      <w:pPr>
        <w:pStyle w:val="TextBody"/>
        <w:spacing w:before="360" w:after="0"/>
        <w:jc w:val="left"/>
        <w:rPr>
          <w:rFonts w:ascii="Times New Roman" w:hAnsi="Times New Roman"/>
          <w:sz w:val="20"/>
        </w:rPr>
      </w:pPr>
      <w:r>
        <w:rPr>
          <w:rFonts w:ascii="Times New Roman;serif" w:hAnsi="Times New Roman;serif"/>
          <w:b/>
          <w:i/>
          <w:sz w:val="20"/>
        </w:rPr>
        <w:t>Other Commitments and Contingencies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of March 31, 2023 and December 31, 2022, we did not have any unfunded commitments to fund new investments to new borrowers that were not current portfolio companies as of such date.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61</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From time to time, we may become a party to certain legal proceedings incidental to the normal course of our business. As of March 31, 2023, management is not aware of any material pending or threatened litigation that would require accounting recognition or financial statement disclosure.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have certain contracts under which we have material future commitments. Under the Investment Advisory Agreement, our Adviser provides us with investment advisory and management services. For these services, we pay the Management Fee and the Incentive Fee.</w:t>
      </w:r>
    </w:p>
    <w:p>
      <w:pPr>
        <w:pStyle w:val="TextBody"/>
        <w:spacing w:before="240" w:after="0"/>
        <w:jc w:val="left"/>
        <w:rPr>
          <w:rFonts w:ascii="Times New Roman" w:hAnsi="Times New Roman"/>
          <w:sz w:val="20"/>
        </w:rPr>
      </w:pPr>
      <w:r>
        <w:rPr>
          <w:rFonts w:ascii="Times New Roman;serif" w:hAnsi="Times New Roman;serif"/>
          <w:b w:val="false"/>
          <w:sz w:val="20"/>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sz w:val="20"/>
        </w:rPr>
        <w:t>Contractual Obligations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 summary of our contractual payment obligations as of March 31, 2023 is as follows:</w:t>
      </w:r>
      <w:r>
        <w:rPr>
          <w:rFonts w:ascii="Times New Roman" w:hAnsi="Times New Roman"/>
          <w:sz w:val="20"/>
        </w:rPr>
        <w:t xml:space="preserve"> </w:t>
      </w:r>
    </w:p>
    <w:p>
      <w:pPr>
        <w:pStyle w:val="TextBody"/>
        <w:spacing w:before="0" w:after="0"/>
        <w:jc w:val="left"/>
        <w:rPr/>
      </w:pPr>
      <w:r>
        <w:rPr/>
        <w:t> </w:t>
      </w:r>
    </w:p>
    <w:tbl>
      <w:tblPr>
        <w:tblW w:w="8882" w:type="dxa"/>
        <w:jc w:val="left"/>
        <w:tblInd w:w="0" w:type="dxa"/>
        <w:tblCellMar>
          <w:top w:w="28" w:type="dxa"/>
          <w:left w:w="28" w:type="dxa"/>
          <w:bottom w:w="28" w:type="dxa"/>
          <w:right w:w="28" w:type="dxa"/>
        </w:tblCellMar>
      </w:tblPr>
      <w:tblGrid>
        <w:gridCol w:w="2686"/>
        <w:gridCol w:w="146"/>
        <w:gridCol w:w="211"/>
        <w:gridCol w:w="721"/>
        <w:gridCol w:w="146"/>
        <w:gridCol w:w="146"/>
        <w:gridCol w:w="295"/>
        <w:gridCol w:w="485"/>
        <w:gridCol w:w="146"/>
        <w:gridCol w:w="146"/>
        <w:gridCol w:w="211"/>
        <w:gridCol w:w="571"/>
        <w:gridCol w:w="146"/>
        <w:gridCol w:w="146"/>
        <w:gridCol w:w="211"/>
        <w:gridCol w:w="721"/>
        <w:gridCol w:w="146"/>
        <w:gridCol w:w="146"/>
        <w:gridCol w:w="403"/>
        <w:gridCol w:w="662"/>
        <w:gridCol w:w="391"/>
      </w:tblGrid>
      <w:tr>
        <w:trPr/>
        <w:tc>
          <w:tcPr>
            <w:tcW w:w="26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6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5659"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Payments Due by Period</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3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Less than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5"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shd w:fill="auto" w:val="clear"/>
            <w:vAlign w:val="center"/>
          </w:tcPr>
          <w:p>
            <w:pPr>
              <w:pStyle w:val="TableContents"/>
              <w:spacing w:before="0" w:after="0"/>
              <w:ind w:left="0" w:right="0" w:hanging="0"/>
              <w:jc w:val="right"/>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1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1-3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3-5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After 5 years</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Revolving Credit Facility</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981.9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2"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2024 Notes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48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2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03" w:type="dxa"/>
            <w:tcBorders/>
            <w:shd w:fill="auto" w:val="clear"/>
            <w:vAlign w:val="center"/>
          </w:tcPr>
          <w:p>
            <w:pPr>
              <w:pStyle w:val="TableContents"/>
              <w:spacing w:before="0" w:after="0"/>
              <w:ind w:left="0" w:right="0" w:hanging="0"/>
              <w:jc w:val="left"/>
              <w:rPr/>
            </w:pPr>
            <w:r>
              <w:rPr/>
              <w:t> </w:t>
            </w:r>
          </w:p>
        </w:tc>
        <w:tc>
          <w:tcPr>
            <w:tcW w:w="662"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2026 Notes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686" w:type="dxa"/>
            <w:tcBorders/>
            <w:shd w:fill="auto" w:val="clear"/>
            <w:vAlign w:val="center"/>
          </w:tcPr>
          <w:p>
            <w:pPr>
              <w:pStyle w:val="TableContents"/>
              <w:spacing w:before="0" w:after="0"/>
              <w:ind w:left="200" w:right="0" w:hanging="0"/>
              <w:jc w:val="left"/>
              <w:rPr>
                <w:rFonts w:ascii="Times New Roman;serif" w:hAnsi="Times New Roman;serif"/>
                <w:b/>
                <w:sz w:val="20"/>
              </w:rPr>
            </w:pPr>
            <w:r>
              <w:rPr>
                <w:rFonts w:ascii="Times New Roman;serif" w:hAnsi="Times New Roman;serif"/>
                <w:b/>
                <w:sz w:val="20"/>
              </w:rPr>
              <w:t>Total Contractual Obligations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1,629.4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347.5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1,281.9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In addition to the contractual payment obligations in the tables above, we also have commitments to fund investments and to pledge assets as collateral under the terms of our derivatives agreements.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Distributions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investment company taxable income (which is generally our ordinary income plus the excess of realized net short-term capital gains over realized net long-term capital losses), determined without regard to the deduction for dividends paid, for such taxable year;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net tax-exempt interest income (which is the excess of our gross tax exempt interest income over certain disallowed deductions) for such taxable year. </w:t>
      </w:r>
    </w:p>
    <w:p>
      <w:pPr>
        <w:pStyle w:val="TextBody"/>
        <w:spacing w:before="240" w:after="0"/>
        <w:jc w:val="left"/>
        <w:rPr>
          <w:rFonts w:ascii="Times New Roman" w:hAnsi="Times New Roman"/>
          <w:sz w:val="20"/>
        </w:rPr>
      </w:pPr>
      <w:r>
        <w:rPr>
          <w:rFonts w:ascii="Times New Roman;serif" w:hAnsi="Times New Roman;serif"/>
          <w:b w:val="false"/>
          <w:sz w:val="20"/>
        </w:rPr>
        <w:t>As a RIC, we (but not our stockholders) generally will not be subject to U.S. federal income tax on investment company taxable income and net capital gains that we distribute to our stockholders.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98% of our net ordinary income excluding certain ordinary gains or losses for that calendar year;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98.2% of our capital gain net income, adjusted for certain ordinary gains and losses, recognized for the twelve-month period ending on October 31 of that calendar year;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100% of any income or gains recognized, but not distributed, in preceding years.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62</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Related-Party Transactions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have entered into a number of business relationships with affiliated or related parties, including the following: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Investment Advisory Agreement;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Administration Agreement;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an ongoing agreement with an affiliate of TPG Global, LLC governing, inter alia, the parties’ respective ownership of and rights to use the “Sixth Street” and “TPG” trademarks and certain variations thereof. </w:t>
      </w:r>
    </w:p>
    <w:p>
      <w:pPr>
        <w:pStyle w:val="TextBody"/>
        <w:spacing w:before="360" w:after="0"/>
        <w:jc w:val="left"/>
        <w:rPr>
          <w:rFonts w:ascii="Times New Roman" w:hAnsi="Times New Roman"/>
          <w:sz w:val="20"/>
        </w:rPr>
      </w:pPr>
      <w:r>
        <w:rPr>
          <w:rFonts w:ascii="Times New Roman;serif" w:hAnsi="Times New Roman;serif"/>
          <w:b/>
          <w:sz w:val="20"/>
        </w:rPr>
        <w:t>Critical Accounting Policies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our Annual Report on Form 10-K for the year ended December 31, 2022, filed with the SEC on February 16, 2023, and elsewhere in our filings with the SEC.</w:t>
      </w:r>
      <w:r>
        <w:rPr>
          <w:rFonts w:ascii="Times New Roman" w:hAnsi="Times New Roman"/>
          <w:sz w:val="20"/>
        </w:rPr>
        <w:t xml:space="preserve"> </w:t>
      </w:r>
    </w:p>
    <w:p>
      <w:pPr>
        <w:pStyle w:val="TextBody"/>
        <w:spacing w:before="360" w:after="0"/>
        <w:jc w:val="left"/>
        <w:rPr>
          <w:rFonts w:ascii="Times New Roman" w:hAnsi="Times New Roman"/>
          <w:sz w:val="20"/>
        </w:rPr>
      </w:pPr>
      <w:bookmarkStart w:id="11" w:name="item_3_quantitative_qualitative_disclosu"/>
      <w:bookmarkEnd w:id="11"/>
      <w:r>
        <w:rPr>
          <w:rFonts w:ascii="Times New Roman;serif" w:hAnsi="Times New Roman;serif"/>
          <w:b/>
          <w:sz w:val="20"/>
        </w:rPr>
        <w:t>ITEM 3. QUANTITATIVE AND QUALITATIVE DISCLOSURES ABOUT MARKET RISK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are subject to financial market risks, including valuation risk, interest rate risk and currency risk.</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Valuation Risk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Interest Rate Risk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63</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 of March 31, 2023, 99.2% of our debt investments based on fair value in our portfolio bore interest at floating rates, with 100.0% of these subject to interest rate floors. Our credit facilities also bear interest at floating rates, and in connection with our 2024 Notes and 2026 Notes, which bear interest at fixed rates, we entered into fixed-to-floating interest rate swaps in order to align the interest rates of our liabilities with our investment portfolio.</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Assuming that our consolidated balance sheet as of March 31, 2023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pStyle w:val="TextBody"/>
        <w:spacing w:before="0" w:after="0"/>
        <w:jc w:val="left"/>
        <w:rPr/>
      </w:pPr>
      <w:r>
        <w:rPr/>
        <w:t> </w:t>
      </w:r>
    </w:p>
    <w:tbl>
      <w:tblPr>
        <w:tblW w:w="6892" w:type="dxa"/>
        <w:jc w:val="left"/>
        <w:tblInd w:w="0" w:type="dxa"/>
        <w:tblCellMar>
          <w:top w:w="28" w:type="dxa"/>
          <w:left w:w="28" w:type="dxa"/>
          <w:bottom w:w="28" w:type="dxa"/>
          <w:right w:w="28" w:type="dxa"/>
        </w:tblCellMar>
      </w:tblPr>
      <w:tblGrid>
        <w:gridCol w:w="1861"/>
        <w:gridCol w:w="146"/>
        <w:gridCol w:w="352"/>
        <w:gridCol w:w="878"/>
        <w:gridCol w:w="166"/>
        <w:gridCol w:w="146"/>
        <w:gridCol w:w="401"/>
        <w:gridCol w:w="889"/>
        <w:gridCol w:w="166"/>
        <w:gridCol w:w="146"/>
        <w:gridCol w:w="477"/>
        <w:gridCol w:w="1053"/>
        <w:gridCol w:w="211"/>
      </w:tblGrid>
      <w:tr>
        <w:trPr/>
        <w:tc>
          <w:tcPr>
            <w:tcW w:w="18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 in millions)</w:t>
            </w:r>
          </w:p>
        </w:tc>
        <w:tc>
          <w:tcPr>
            <w:tcW w:w="146" w:type="dxa"/>
            <w:tcBorders/>
            <w:shd w:fill="auto" w:val="clear"/>
            <w:vAlign w:val="center"/>
          </w:tcPr>
          <w:p>
            <w:pPr>
              <w:pStyle w:val="TableContents"/>
              <w:spacing w:before="0" w:after="0"/>
              <w:ind w:left="0" w:right="0" w:hanging="0"/>
              <w:jc w:val="right"/>
              <w:rPr/>
            </w:pPr>
            <w:r>
              <w:rPr/>
              <w:t> </w:t>
            </w:r>
          </w:p>
        </w:tc>
        <w:tc>
          <w:tcPr>
            <w:tcW w:w="123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30"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r>
        <w:trPr/>
        <w:tc>
          <w:tcPr>
            <w:tcW w:w="18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Basis Point 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2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Interest Income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Interest Expense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 Interest Income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Up 300 basis points</w:t>
            </w:r>
          </w:p>
        </w:tc>
        <w:tc>
          <w:tcPr>
            <w:tcW w:w="146" w:type="dxa"/>
            <w:tcBorders/>
            <w:shd w:fill="auto" w:val="clear"/>
            <w:vAlign w:val="center"/>
          </w:tcPr>
          <w:p>
            <w:pPr>
              <w:pStyle w:val="TableContents"/>
              <w:spacing w:before="0" w:after="0"/>
              <w:ind w:left="0" w:right="0" w:hanging="0"/>
              <w:jc w:val="right"/>
              <w:rPr/>
            </w:pPr>
            <w:r>
              <w:rPr/>
              <w:t> </w:t>
            </w:r>
          </w:p>
        </w:tc>
        <w:tc>
          <w:tcPr>
            <w:tcW w:w="3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34.2</w:t>
            </w:r>
          </w:p>
        </w:tc>
        <w:tc>
          <w:tcPr>
            <w:tcW w:w="211" w:type="dxa"/>
            <w:tcBorders/>
            <w:shd w:fill="auto" w:val="clear"/>
            <w:vAlign w:val="center"/>
          </w:tcPr>
          <w:p>
            <w:pPr>
              <w:pStyle w:val="TableContents"/>
              <w:spacing w:before="0" w:after="0"/>
              <w:ind w:left="0" w:right="0" w:hanging="0"/>
              <w:jc w:val="left"/>
              <w:rPr/>
            </w:pPr>
            <w:r>
              <w:rPr/>
              <w:t> </w:t>
            </w:r>
          </w:p>
        </w:tc>
      </w:tr>
      <w:tr>
        <w:trPr/>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Up 200 basis points</w:t>
            </w:r>
          </w:p>
        </w:tc>
        <w:tc>
          <w:tcPr>
            <w:tcW w:w="146" w:type="dxa"/>
            <w:tcBorders/>
            <w:shd w:fill="auto" w:val="clear"/>
            <w:vAlign w:val="center"/>
          </w:tcPr>
          <w:p>
            <w:pPr>
              <w:pStyle w:val="TableContents"/>
              <w:spacing w:before="0" w:after="0"/>
              <w:ind w:left="0" w:right="0" w:hanging="0"/>
              <w:jc w:val="right"/>
              <w:rPr/>
            </w:pPr>
            <w:r>
              <w:rPr/>
              <w:t> </w:t>
            </w:r>
          </w:p>
        </w:tc>
        <w:tc>
          <w:tcPr>
            <w:tcW w:w="3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23.4</w:t>
            </w:r>
          </w:p>
        </w:tc>
        <w:tc>
          <w:tcPr>
            <w:tcW w:w="211" w:type="dxa"/>
            <w:tcBorders/>
            <w:shd w:fill="auto" w:val="clear"/>
            <w:vAlign w:val="center"/>
          </w:tcPr>
          <w:p>
            <w:pPr>
              <w:pStyle w:val="TableContents"/>
              <w:spacing w:before="0" w:after="0"/>
              <w:ind w:left="0" w:right="0" w:hanging="0"/>
              <w:jc w:val="left"/>
              <w:rPr/>
            </w:pPr>
            <w:r>
              <w:rPr/>
              <w:t> </w:t>
            </w:r>
          </w:p>
        </w:tc>
      </w:tr>
      <w:tr>
        <w:trPr/>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Up 100 basis points</w:t>
            </w:r>
          </w:p>
        </w:tc>
        <w:tc>
          <w:tcPr>
            <w:tcW w:w="146" w:type="dxa"/>
            <w:tcBorders/>
            <w:shd w:fill="auto" w:val="clear"/>
            <w:vAlign w:val="center"/>
          </w:tcPr>
          <w:p>
            <w:pPr>
              <w:pStyle w:val="TableContents"/>
              <w:spacing w:before="0" w:after="0"/>
              <w:ind w:left="0" w:right="0" w:hanging="0"/>
              <w:jc w:val="right"/>
              <w:rPr/>
            </w:pPr>
            <w:r>
              <w:rPr/>
              <w:t> </w:t>
            </w:r>
          </w:p>
        </w:tc>
        <w:tc>
          <w:tcPr>
            <w:tcW w:w="3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w:t>
            </w:r>
          </w:p>
        </w:tc>
        <w:tc>
          <w:tcPr>
            <w:tcW w:w="211" w:type="dxa"/>
            <w:tcBorders/>
            <w:shd w:fill="auto" w:val="clear"/>
            <w:vAlign w:val="center"/>
          </w:tcPr>
          <w:p>
            <w:pPr>
              <w:pStyle w:val="TableContents"/>
              <w:spacing w:before="0" w:after="0"/>
              <w:ind w:left="0" w:right="0" w:hanging="0"/>
              <w:jc w:val="left"/>
              <w:rPr/>
            </w:pPr>
            <w:r>
              <w:rPr/>
              <w:t> </w:t>
            </w:r>
          </w:p>
        </w:tc>
      </w:tr>
      <w:tr>
        <w:trPr/>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Down 25 basis points</w:t>
            </w:r>
          </w:p>
        </w:tc>
        <w:tc>
          <w:tcPr>
            <w:tcW w:w="146" w:type="dxa"/>
            <w:tcBorders/>
            <w:shd w:fill="auto" w:val="clear"/>
            <w:vAlign w:val="center"/>
          </w:tcPr>
          <w:p>
            <w:pPr>
              <w:pStyle w:val="TableContents"/>
              <w:spacing w:before="0" w:after="0"/>
              <w:ind w:left="0" w:right="0" w:hanging="0"/>
              <w:jc w:val="right"/>
              <w:rPr/>
            </w:pPr>
            <w:r>
              <w:rPr/>
              <w:t> </w:t>
            </w:r>
          </w:p>
        </w:tc>
        <w:tc>
          <w:tcPr>
            <w:tcW w:w="3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Down 50 basis points</w:t>
            </w:r>
          </w:p>
        </w:tc>
        <w:tc>
          <w:tcPr>
            <w:tcW w:w="146" w:type="dxa"/>
            <w:tcBorders/>
            <w:shd w:fill="auto" w:val="clear"/>
            <w:vAlign w:val="center"/>
          </w:tcPr>
          <w:p>
            <w:pPr>
              <w:pStyle w:val="TableContents"/>
              <w:spacing w:before="0" w:after="0"/>
              <w:ind w:left="0" w:right="0" w:hanging="0"/>
              <w:jc w:val="right"/>
              <w:rPr/>
            </w:pPr>
            <w:r>
              <w:rPr/>
              <w:t> </w:t>
            </w:r>
          </w:p>
        </w:tc>
        <w:tc>
          <w:tcPr>
            <w:tcW w:w="35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0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47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40" w:after="0"/>
        <w:jc w:val="left"/>
        <w:rPr>
          <w:rFonts w:ascii="Times New Roman" w:hAnsi="Times New Roman"/>
          <w:sz w:val="20"/>
        </w:rPr>
      </w:pPr>
      <w:r>
        <w:rPr>
          <w:rFonts w:ascii="Times New Roman;serif" w:hAnsi="Times New Roman;serif"/>
          <w:b w:val="false"/>
          <w:sz w:val="20"/>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r>
        <w:rPr>
          <w:rFonts w:ascii="Times New Roman" w:hAnsi="Times New Roman"/>
          <w:sz w:val="20"/>
        </w:rPr>
        <w:t xml:space="preserve"> </w:t>
      </w:r>
    </w:p>
    <w:p>
      <w:pPr>
        <w:pStyle w:val="TextBody"/>
        <w:spacing w:before="360" w:after="0"/>
        <w:jc w:val="left"/>
        <w:rPr>
          <w:rFonts w:ascii="Times New Roman;serif" w:hAnsi="Times New Roman;serif"/>
          <w:b/>
          <w:i/>
          <w:sz w:val="20"/>
        </w:rPr>
      </w:pPr>
      <w:r>
        <w:rPr>
          <w:rFonts w:ascii="Times New Roman;serif" w:hAnsi="Times New Roman;serif"/>
          <w:b/>
          <w:i/>
          <w:sz w:val="20"/>
        </w:rPr>
        <w:t>Currency Risk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pStyle w:val="TextBody"/>
        <w:spacing w:before="240" w:after="0"/>
        <w:jc w:val="left"/>
        <w:rPr>
          <w:rFonts w:ascii="Times New Roman" w:hAnsi="Times New Roman"/>
          <w:sz w:val="20"/>
        </w:rPr>
      </w:pPr>
      <w:bookmarkStart w:id="12" w:name="item_4_controls_procedures"/>
      <w:bookmarkEnd w:id="12"/>
      <w:r>
        <w:rPr>
          <w:rFonts w:ascii="Times New Roman;serif" w:hAnsi="Times New Roman;serif"/>
          <w:b/>
          <w:sz w:val="20"/>
        </w:rPr>
        <w:t>ITEM 4. CONTROLS</w:t>
      </w:r>
      <w:r>
        <w:rPr>
          <w:rFonts w:ascii="Times New Roman" w:hAnsi="Times New Roman"/>
          <w:sz w:val="20"/>
        </w:rPr>
        <w:t xml:space="preserve"> </w:t>
      </w:r>
      <w:r>
        <w:rPr>
          <w:rFonts w:ascii="Times New Roman;serif" w:hAnsi="Times New Roman;serif"/>
          <w:b/>
          <w:sz w:val="20"/>
        </w:rPr>
        <w:t>AND PROCEDURES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i/>
          <w:sz w:val="20"/>
        </w:rPr>
        <w:t>Evaluation of Disclosure Controls and Procedures.</w:t>
      </w:r>
      <w:r>
        <w:rPr>
          <w:rFonts w:ascii="Times New Roman" w:hAnsi="Times New Roman"/>
          <w:sz w:val="20"/>
        </w:rPr>
        <w:t xml:space="preserve"> </w:t>
      </w:r>
      <w:r>
        <w:rPr>
          <w:rFonts w:ascii="Times New Roman;serif" w:hAnsi="Times New Roman;serif"/>
          <w:b w:val="false"/>
          <w:sz w:val="20"/>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Changes in Internal Control over Financial Reporting.</w:t>
      </w:r>
      <w:r>
        <w:rPr>
          <w:rFonts w:ascii="Times New Roman" w:hAnsi="Times New Roman"/>
          <w:sz w:val="20"/>
        </w:rPr>
        <w:t xml:space="preserve"> </w:t>
      </w:r>
      <w:r>
        <w:rPr>
          <w:rFonts w:ascii="Times New Roman;serif" w:hAnsi="Times New Roman;serif"/>
          <w:b w:val="false"/>
          <w:sz w:val="20"/>
        </w:rPr>
        <w:t>There have been no changes in our internal control over financial reporting that occurred during our most recently completed fiscal quarter that have materially affected, or are reasonably likely to materially affect, our internal control over financial reporting.</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64</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bookmarkStart w:id="13" w:name="part_ii_or_information"/>
      <w:bookmarkEnd w:id="13"/>
      <w:r>
        <w:rPr>
          <w:rFonts w:ascii="Times New Roman;serif" w:hAnsi="Times New Roman;serif"/>
          <w:b/>
          <w:sz w:val="20"/>
        </w:rPr>
        <w:t>PART II – OTHER INFORMATION</w:t>
      </w:r>
      <w:r>
        <w:rPr>
          <w:rFonts w:ascii="Times New Roman" w:hAnsi="Times New Roman"/>
          <w:sz w:val="20"/>
        </w:rPr>
        <w:t xml:space="preserve"> </w:t>
      </w:r>
    </w:p>
    <w:p>
      <w:pPr>
        <w:pStyle w:val="TextBody"/>
        <w:spacing w:before="120" w:after="0"/>
        <w:jc w:val="left"/>
        <w:rPr>
          <w:rFonts w:ascii="Times New Roman" w:hAnsi="Times New Roman"/>
          <w:sz w:val="20"/>
        </w:rPr>
      </w:pPr>
      <w:bookmarkStart w:id="14" w:name="item_1_legal_proceedings"/>
      <w:bookmarkEnd w:id="14"/>
      <w:r>
        <w:rPr>
          <w:rFonts w:ascii="Times New Roman;serif" w:hAnsi="Times New Roman;serif"/>
          <w:b/>
          <w:sz w:val="20"/>
        </w:rPr>
        <w:t>ITEM 1. Legal</w:t>
      </w:r>
      <w:r>
        <w:rPr>
          <w:rFonts w:ascii="Times New Roman" w:hAnsi="Times New Roman"/>
          <w:sz w:val="20"/>
        </w:rPr>
        <w:t xml:space="preserve"> </w:t>
      </w:r>
      <w:r>
        <w:rPr>
          <w:rFonts w:ascii="Times New Roman;serif" w:hAnsi="Times New Roman;serif"/>
          <w:b/>
          <w:sz w:val="20"/>
        </w:rPr>
        <w:t>Proceedings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r>
        <w:rPr>
          <w:rFonts w:ascii="Times New Roman" w:hAnsi="Times New Roman"/>
          <w:sz w:val="20"/>
        </w:rPr>
        <w:t xml:space="preserve"> </w:t>
      </w:r>
    </w:p>
    <w:p>
      <w:pPr>
        <w:pStyle w:val="TextBody"/>
        <w:spacing w:before="360" w:after="0"/>
        <w:jc w:val="left"/>
        <w:rPr>
          <w:rFonts w:ascii="Times New Roman" w:hAnsi="Times New Roman"/>
          <w:sz w:val="20"/>
        </w:rPr>
      </w:pPr>
      <w:bookmarkStart w:id="15" w:name="item_1a_risk_factors"/>
      <w:bookmarkEnd w:id="15"/>
      <w:r>
        <w:rPr>
          <w:rFonts w:ascii="Times New Roman;serif" w:hAnsi="Times New Roman;serif"/>
          <w:b/>
          <w:sz w:val="20"/>
        </w:rPr>
        <w:t>Item 1A. Risk Factors.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addition to the other information set forth in this report, you should carefully consider the risk factors discussed in Part I, “Item 1A. Risk Factors” in our Annual Report on Form 10-K for the fiscal year ended December 31, 2022 and the risk factors set forth below,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r>
        <w:rPr>
          <w:rFonts w:ascii="Times New Roman" w:hAnsi="Times New Roman"/>
          <w:sz w:val="20"/>
        </w:rPr>
        <w:t xml:space="preserve"> </w:t>
      </w:r>
    </w:p>
    <w:p>
      <w:pPr>
        <w:pStyle w:val="TextBody"/>
        <w:spacing w:before="240" w:after="0"/>
        <w:jc w:val="left"/>
        <w:rPr>
          <w:rFonts w:ascii="Times New Roman;serif" w:hAnsi="Times New Roman;serif"/>
          <w:b w:val="false"/>
          <w:i/>
          <w:sz w:val="20"/>
        </w:rPr>
      </w:pPr>
      <w:r>
        <w:rPr>
          <w:rFonts w:ascii="Times New Roman;serif" w:hAnsi="Times New Roman;serif"/>
          <w:b w:val="false"/>
          <w:i/>
          <w:sz w:val="20"/>
        </w:rPr>
        <w:t>Pursuant to Section 61(a)(2)(C)(ii) of the 1940 Act, the principal risk factors associated with our senior securities are set forth below. However, since we already use leverage in optimizing our investment portfolio, the principal risk factors associated with our senior securities do not represent material changes to the risk factors previously disclosed in our Annual Report on Form 10-K for the fiscal year ended December 31, 2022.</w:t>
      </w:r>
    </w:p>
    <w:p>
      <w:pPr>
        <w:pStyle w:val="TextBody"/>
        <w:spacing w:before="360" w:after="0"/>
        <w:jc w:val="left"/>
        <w:rPr>
          <w:rFonts w:ascii="Times New Roman" w:hAnsi="Times New Roman"/>
          <w:sz w:val="20"/>
        </w:rPr>
      </w:pPr>
      <w:r>
        <w:rPr>
          <w:rFonts w:ascii="Times New Roman;serif" w:hAnsi="Times New Roman;serif"/>
          <w:b/>
          <w:i/>
          <w:sz w:val="20"/>
        </w:rPr>
        <w:t>Legislation allows us to incur additional leverage.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SBCAA, which became law in March 2018, BDCs have the ability to elect to become subject to a lower asset coverage requirement of 150%, subject to the receipt of the requisite board or stockholder approvals under the SBCAA and satisfaction of certain other conditions.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pStyle w:val="TextBody"/>
        <w:spacing w:before="240" w:after="0"/>
        <w:jc w:val="left"/>
        <w:rPr>
          <w:rFonts w:ascii="Times New Roman" w:hAnsi="Times New Roman"/>
          <w:sz w:val="20"/>
        </w:rPr>
      </w:pPr>
      <w:r>
        <w:rPr>
          <w:rFonts w:ascii="Times New Roman;serif" w:hAnsi="Times New Roman;serif"/>
          <w:b w:val="false"/>
          <w:sz w:val="20"/>
        </w:rPr>
        <w:t>As a result, you may face increased investment risk. We may not be able to implement our strategy to utilize additional leverage successfully. Any impact on returns or equity or our business associated with additional leverage may not outweigh the additional risk. See “</w:t>
      </w:r>
      <w:r>
        <w:rPr>
          <w:rFonts w:ascii="Times New Roman" w:hAnsi="Times New Roman"/>
          <w:sz w:val="20"/>
        </w:rPr>
        <w:t>—</w:t>
      </w:r>
      <w:r>
        <w:rPr>
          <w:rFonts w:ascii="Times New Roman;serif" w:hAnsi="Times New Roman;serif"/>
          <w:b w:val="false"/>
          <w:i/>
          <w:sz w:val="20"/>
        </w:rPr>
        <w:t>We borrow money, which magnifies the potential for gain or loss and increases the risk of investing in us.</w:t>
      </w:r>
      <w:r>
        <w:rPr>
          <w:rFonts w:ascii="Times New Roman" w:hAnsi="Times New Roman"/>
          <w:sz w:val="20"/>
        </w:rPr>
        <w:t>”</w:t>
      </w:r>
    </w:p>
    <w:p>
      <w:pPr>
        <w:pStyle w:val="TextBody"/>
        <w:spacing w:before="360" w:after="0"/>
        <w:jc w:val="left"/>
        <w:rPr>
          <w:rFonts w:ascii="Times New Roman" w:hAnsi="Times New Roman"/>
          <w:sz w:val="20"/>
        </w:rPr>
      </w:pPr>
      <w:r>
        <w:rPr>
          <w:rFonts w:ascii="Times New Roman;serif" w:hAnsi="Times New Roman;serif"/>
          <w:b/>
          <w:i/>
          <w:sz w:val="20"/>
        </w:rPr>
        <w:t>Regulations governing our operation as a BDC affect our ability to, and the way in which we, raise additional capital.</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1940 Act imposes numerous constraints on the operations of BDCs. See “ITEM 1. BUSINESS—Regulation as a Business Development Company” in our Annual Report on Form 10-K for the year ended December 31, 2022, filed with the SEC on February 16, 2023,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150%.</w:t>
      </w:r>
    </w:p>
    <w:p>
      <w:pPr>
        <w:pStyle w:val="TextBody"/>
        <w:spacing w:before="240" w:after="0"/>
        <w:jc w:val="left"/>
        <w:rPr>
          <w:rFonts w:ascii="Times New Roman" w:hAnsi="Times New Roman"/>
          <w:sz w:val="20"/>
        </w:rPr>
      </w:pPr>
      <w:r>
        <w:rPr>
          <w:rFonts w:ascii="Times New Roman;serif" w:hAnsi="Times New Roman;serif"/>
          <w:b w:val="false"/>
          <w:sz w:val="20"/>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65</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26, 2022, we are currently permitted to sell or otherwise issue shares of our common stock at a price below our then-current net asset value per share, subject to the approval of our Board and certain other conditions. Such stockholder approval expires on May 26, 2023. We may in the future seek such approval again;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pStyle w:val="TextBody"/>
        <w:spacing w:before="240" w:after="0"/>
        <w:jc w:val="left"/>
        <w:rPr>
          <w:rFonts w:ascii="Times New Roman" w:hAnsi="Times New Roman"/>
          <w:sz w:val="20"/>
        </w:rPr>
      </w:pPr>
      <w:r>
        <w:rPr>
          <w:rFonts w:ascii="Times New Roman;serif" w:hAnsi="Times New Roman;serif"/>
          <w:b w:val="false"/>
          <w:sz w:val="20"/>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w:t>
      </w:r>
      <w:r>
        <w:rPr>
          <w:rFonts w:ascii="Times New Roman" w:hAnsi="Times New Roman"/>
          <w:sz w:val="20"/>
        </w:rPr>
        <w:t xml:space="preserve"> </w:t>
      </w:r>
    </w:p>
    <w:p>
      <w:pPr>
        <w:pStyle w:val="TextBody"/>
        <w:spacing w:before="360" w:after="0"/>
        <w:jc w:val="left"/>
        <w:rPr>
          <w:rFonts w:ascii="Times New Roman" w:hAnsi="Times New Roman"/>
          <w:sz w:val="20"/>
        </w:rPr>
      </w:pPr>
      <w:r>
        <w:rPr>
          <w:rFonts w:ascii="Times New Roman;serif" w:hAnsi="Times New Roman;serif"/>
          <w:b/>
          <w:i/>
          <w:sz w:val="20"/>
        </w:rPr>
        <w:t>We borrow money, which magnifies the potential for gain or loss and increases the risk of investing in us.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The amount of leverage that we employ will depend on our Adviser’s and our Board’s assessment of market and other factors at the time of any proposed borrowing. We cannot assure you that we will be able to obtain credit at all or on terms acceptable to us.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66</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Our credit facilities and indentures governing our indebtedness also impose financial and operating covenants that restrict our business activities, remedies on default and similar matters. As of March 31, 2023, we are in compliance with the covenants of our credit facilities and indentures.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and indentures.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 of March 31, 2023, we had $1,629.4 million of outstanding indebtedness, which had an annualized interest cost of 5.2% under the terms of our debt, excluding fees (such as fees on undrawn amounts and amortization of upfront fees) and giving effect to the swap-adjusted interest rates on our 2024 Notes and 2026 Notes. As of March 31, 2023, as adjusted to give effect to the interest rate swaps, the interest rate on the 2024 Notes was three-month LIBOR plus 2.28% (on a weighted-average basis), and the interest rate on the 2026 Notes was three-month LIBOR plus 1.91%.</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For us to cover these annualized interest payments on indebtedness, we must achieve annual returns on our investments of at least 0.9%.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r>
        <w:rPr>
          <w:rFonts w:ascii="Times New Roman" w:hAnsi="Times New Roman"/>
          <w:sz w:val="20"/>
        </w:rPr>
        <w:t xml:space="preserve"> </w:t>
      </w:r>
    </w:p>
    <w:p>
      <w:pPr>
        <w:pStyle w:val="TextBody"/>
        <w:spacing w:before="240" w:after="0"/>
        <w:jc w:val="center"/>
        <w:rPr>
          <w:rFonts w:ascii="Times New Roman;serif" w:hAnsi="Times New Roman;serif"/>
          <w:b/>
          <w:sz w:val="20"/>
        </w:rPr>
      </w:pPr>
      <w:r>
        <w:rPr>
          <w:rFonts w:ascii="Times New Roman;serif" w:hAnsi="Times New Roman;serif"/>
          <w:b/>
          <w:sz w:val="20"/>
        </w:rPr>
        <w:t>Effects of Leverage Based on Actual Amount of Borrowings Incurred by us as of March 31, 2023</w:t>
      </w:r>
    </w:p>
    <w:p>
      <w:pPr>
        <w:pStyle w:val="TextBody"/>
        <w:spacing w:before="0" w:after="0"/>
        <w:jc w:val="left"/>
        <w:rPr/>
      </w:pPr>
      <w:r>
        <w:rPr/>
        <w:t> </w:t>
      </w:r>
    </w:p>
    <w:tbl>
      <w:tblPr>
        <w:tblW w:w="8876" w:type="dxa"/>
        <w:jc w:val="left"/>
        <w:tblInd w:w="0" w:type="dxa"/>
        <w:tblCellMar>
          <w:top w:w="28" w:type="dxa"/>
          <w:left w:w="28" w:type="dxa"/>
          <w:bottom w:w="28" w:type="dxa"/>
          <w:right w:w="28" w:type="dxa"/>
        </w:tblCellMar>
      </w:tblPr>
      <w:tblGrid>
        <w:gridCol w:w="3226"/>
        <w:gridCol w:w="109"/>
        <w:gridCol w:w="136"/>
        <w:gridCol w:w="659"/>
        <w:gridCol w:w="316"/>
        <w:gridCol w:w="109"/>
        <w:gridCol w:w="121"/>
        <w:gridCol w:w="584"/>
        <w:gridCol w:w="316"/>
        <w:gridCol w:w="109"/>
        <w:gridCol w:w="132"/>
        <w:gridCol w:w="513"/>
        <w:gridCol w:w="316"/>
        <w:gridCol w:w="109"/>
        <w:gridCol w:w="149"/>
        <w:gridCol w:w="496"/>
        <w:gridCol w:w="316"/>
        <w:gridCol w:w="109"/>
        <w:gridCol w:w="139"/>
        <w:gridCol w:w="596"/>
        <w:gridCol w:w="316"/>
      </w:tblGrid>
      <w:tr>
        <w:trPr/>
        <w:tc>
          <w:tcPr>
            <w:tcW w:w="3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22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5225" w:type="dxa"/>
            <w:gridSpan w:val="18"/>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Assumed Return on Our Portfolio</w:t>
            </w:r>
          </w:p>
          <w:p>
            <w:pPr>
              <w:pStyle w:val="TableContents"/>
              <w:spacing w:before="0" w:after="0"/>
              <w:ind w:left="0" w:right="0" w:hanging="0"/>
              <w:jc w:val="center"/>
              <w:rPr>
                <w:rFonts w:ascii="Times New Roman" w:hAnsi="Times New Roman"/>
                <w:sz w:val="16"/>
              </w:rPr>
            </w:pPr>
            <w:r>
              <w:rPr>
                <w:rFonts w:ascii="Times New Roman;serif" w:hAnsi="Times New Roman;serif"/>
                <w:b/>
                <w:sz w:val="16"/>
              </w:rPr>
              <w:t xml:space="preserve">(net of expenses) </w:t>
            </w:r>
            <w:r>
              <w:rPr>
                <w:rFonts w:ascii="Times New Roman;serif" w:hAnsi="Times New Roman;serif"/>
                <w:b/>
                <w:sz w:val="11"/>
              </w:rPr>
              <w:t>(1)</w:t>
            </w:r>
          </w:p>
        </w:tc>
        <w:tc>
          <w:tcPr>
            <w:tcW w:w="316" w:type="dxa"/>
            <w:tcBorders>
              <w:bottom w:val="single" w:sz="8"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r>
      <w:tr>
        <w:trPr/>
        <w:tc>
          <w:tcPr>
            <w:tcW w:w="322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795" w:type="dxa"/>
            <w:gridSpan w:val="2"/>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r>
              <w:rPr>
                <w:rFonts w:ascii="Times New Roman;serif" w:hAnsi="Times New Roman;serif"/>
                <w:b/>
                <w:sz w:val="16"/>
              </w:rPr>
              <w:t>-10%</w:t>
            </w:r>
            <w:r>
              <w:rPr>
                <w:rFonts w:ascii="Times New Roman" w:hAnsi="Times New Roman"/>
                <w:sz w:val="16"/>
              </w:rPr>
              <w:t xml:space="preserve"> </w:t>
            </w:r>
          </w:p>
        </w:tc>
        <w:tc>
          <w:tcPr>
            <w:tcW w:w="316" w:type="dxa"/>
            <w:tcBorders>
              <w:bottom w:val="single" w:sz="8"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705" w:type="dxa"/>
            <w:gridSpan w:val="2"/>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r>
              <w:rPr>
                <w:rFonts w:ascii="Times New Roman;serif" w:hAnsi="Times New Roman;serif"/>
                <w:b/>
                <w:sz w:val="16"/>
              </w:rPr>
              <w:t>-5%</w:t>
            </w:r>
            <w:r>
              <w:rPr>
                <w:rFonts w:ascii="Times New Roman" w:hAnsi="Times New Roman"/>
                <w:sz w:val="16"/>
              </w:rPr>
              <w:t xml:space="preserve"> </w:t>
            </w:r>
          </w:p>
        </w:tc>
        <w:tc>
          <w:tcPr>
            <w:tcW w:w="316" w:type="dxa"/>
            <w:tcBorders>
              <w:bottom w:val="single" w:sz="8"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645" w:type="dxa"/>
            <w:gridSpan w:val="2"/>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r>
              <w:rPr>
                <w:rFonts w:ascii="Times New Roman;serif" w:hAnsi="Times New Roman;serif"/>
                <w:b/>
                <w:sz w:val="16"/>
              </w:rPr>
              <w:t>0%</w:t>
            </w:r>
            <w:r>
              <w:rPr>
                <w:rFonts w:ascii="Times New Roman" w:hAnsi="Times New Roman"/>
                <w:sz w:val="16"/>
              </w:rPr>
              <w:t xml:space="preserve"> </w:t>
            </w:r>
          </w:p>
        </w:tc>
        <w:tc>
          <w:tcPr>
            <w:tcW w:w="316" w:type="dxa"/>
            <w:tcBorders>
              <w:bottom w:val="single" w:sz="8"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645" w:type="dxa"/>
            <w:gridSpan w:val="2"/>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r>
              <w:rPr>
                <w:rFonts w:ascii="Times New Roman;serif" w:hAnsi="Times New Roman;serif"/>
                <w:b/>
                <w:sz w:val="16"/>
              </w:rPr>
              <w:t>5%</w:t>
            </w:r>
            <w:r>
              <w:rPr>
                <w:rFonts w:ascii="Times New Roman" w:hAnsi="Times New Roman"/>
                <w:sz w:val="16"/>
              </w:rPr>
              <w:t xml:space="preserve"> </w:t>
            </w:r>
          </w:p>
        </w:tc>
        <w:tc>
          <w:tcPr>
            <w:tcW w:w="316" w:type="dxa"/>
            <w:tcBorders>
              <w:bottom w:val="single" w:sz="8"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735" w:type="dxa"/>
            <w:gridSpan w:val="2"/>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r>
              <w:rPr>
                <w:rFonts w:ascii="Times New Roman;serif" w:hAnsi="Times New Roman;serif"/>
                <w:b/>
                <w:sz w:val="16"/>
              </w:rPr>
              <w:t>10%</w:t>
            </w:r>
            <w:r>
              <w:rPr>
                <w:rFonts w:ascii="Times New Roman" w:hAnsi="Times New Roman"/>
                <w:sz w:val="16"/>
              </w:rPr>
              <w:t xml:space="preserve"> </w:t>
            </w:r>
          </w:p>
        </w:tc>
        <w:tc>
          <w:tcPr>
            <w:tcW w:w="316" w:type="dxa"/>
            <w:tcBorders>
              <w:bottom w:val="single" w:sz="8"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r>
      <w:tr>
        <w:trPr/>
        <w:tc>
          <w:tcPr>
            <w:tcW w:w="322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Corresponding return to stockholder </w:t>
            </w:r>
            <w:r>
              <w:rPr>
                <w:rFonts w:ascii="Times New Roman;serif" w:hAnsi="Times New Roman;serif"/>
                <w:b w:val="false"/>
                <w:sz w:val="9"/>
              </w:rPr>
              <w:t>(2)</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36" w:type="dxa"/>
            <w:tcBorders/>
            <w:shd w:fill="auto" w:val="clear"/>
            <w:vAlign w:val="center"/>
          </w:tcPr>
          <w:p>
            <w:pPr>
              <w:pStyle w:val="TableContents"/>
              <w:spacing w:before="0" w:after="283"/>
              <w:ind w:left="0" w:right="0" w:hanging="0"/>
              <w:rPr>
                <w:sz w:val="4"/>
                <w:szCs w:val="4"/>
              </w:rPr>
            </w:pPr>
            <w:r>
              <w:rPr>
                <w:sz w:val="4"/>
                <w:szCs w:val="4"/>
              </w:rPr>
            </w:r>
          </w:p>
        </w:tc>
        <w:tc>
          <w:tcPr>
            <w:tcW w:w="65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-24.0</w:t>
            </w:r>
          </w:p>
        </w:tc>
        <w:tc>
          <w:tcPr>
            <w:tcW w:w="31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w:t>
            </w:r>
            <w:r>
              <w:rPr>
                <w:rFonts w:ascii="Times New Roman" w:hAnsi="Times New Roman"/>
                <w:sz w:val="20"/>
              </w:rPr>
              <w:t xml:space="preserve">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21" w:type="dxa"/>
            <w:tcBorders/>
            <w:shd w:fill="auto" w:val="clear"/>
            <w:vAlign w:val="center"/>
          </w:tcPr>
          <w:p>
            <w:pPr>
              <w:pStyle w:val="TableContents"/>
              <w:spacing w:before="0" w:after="283"/>
              <w:ind w:left="0" w:right="0" w:hanging="0"/>
              <w:rPr>
                <w:sz w:val="4"/>
                <w:szCs w:val="4"/>
              </w:rPr>
            </w:pPr>
            <w:r>
              <w:rPr>
                <w:sz w:val="4"/>
                <w:szCs w:val="4"/>
              </w:rPr>
            </w:r>
          </w:p>
        </w:tc>
        <w:tc>
          <w:tcPr>
            <w:tcW w:w="5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w:t>
            </w:r>
          </w:p>
        </w:tc>
        <w:tc>
          <w:tcPr>
            <w:tcW w:w="31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w:t>
            </w:r>
            <w:r>
              <w:rPr>
                <w:rFonts w:ascii="Times New Roman" w:hAnsi="Times New Roman"/>
                <w:sz w:val="20"/>
              </w:rPr>
              <w:t xml:space="preserve">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32" w:type="dxa"/>
            <w:tcBorders/>
            <w:shd w:fill="auto" w:val="clear"/>
            <w:vAlign w:val="center"/>
          </w:tcPr>
          <w:p>
            <w:pPr>
              <w:pStyle w:val="TableContents"/>
              <w:spacing w:before="0" w:after="283"/>
              <w:ind w:left="0" w:right="0" w:hanging="0"/>
              <w:rPr>
                <w:sz w:val="4"/>
                <w:szCs w:val="4"/>
              </w:rPr>
            </w:pPr>
            <w:r>
              <w:rPr>
                <w:sz w:val="4"/>
                <w:szCs w:val="4"/>
              </w:rPr>
            </w:r>
          </w:p>
        </w:tc>
        <w:tc>
          <w:tcPr>
            <w:tcW w:w="5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w:t>
            </w:r>
          </w:p>
        </w:tc>
        <w:tc>
          <w:tcPr>
            <w:tcW w:w="31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w:t>
            </w:r>
            <w:r>
              <w:rPr>
                <w:rFonts w:ascii="Times New Roman" w:hAnsi="Times New Roman"/>
                <w:sz w:val="20"/>
              </w:rPr>
              <w:t xml:space="preserve">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49" w:type="dxa"/>
            <w:tcBorders/>
            <w:shd w:fill="auto" w:val="clear"/>
            <w:vAlign w:val="center"/>
          </w:tcPr>
          <w:p>
            <w:pPr>
              <w:pStyle w:val="TableContents"/>
              <w:spacing w:before="0" w:after="283"/>
              <w:ind w:left="0" w:right="0" w:hanging="0"/>
              <w:rPr>
                <w:sz w:val="4"/>
                <w:szCs w:val="4"/>
              </w:rPr>
            </w:pPr>
            <w:r>
              <w:rPr>
                <w:sz w:val="4"/>
                <w:szCs w:val="4"/>
              </w:rPr>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w:t>
            </w:r>
          </w:p>
        </w:tc>
        <w:tc>
          <w:tcPr>
            <w:tcW w:w="31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w:t>
            </w:r>
            <w:r>
              <w:rPr>
                <w:rFonts w:ascii="Times New Roman" w:hAnsi="Times New Roman"/>
                <w:sz w:val="20"/>
              </w:rPr>
              <w:t xml:space="preserve"> </w:t>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39" w:type="dxa"/>
            <w:tcBorders/>
            <w:shd w:fill="auto" w:val="clear"/>
            <w:vAlign w:val="center"/>
          </w:tcPr>
          <w:p>
            <w:pPr>
              <w:pStyle w:val="TableContents"/>
              <w:spacing w:before="0" w:after="283"/>
              <w:ind w:left="0" w:right="0" w:hanging="0"/>
              <w:rPr>
                <w:sz w:val="4"/>
                <w:szCs w:val="4"/>
              </w:rPr>
            </w:pPr>
            <w:r>
              <w:rPr>
                <w:sz w:val="4"/>
                <w:szCs w:val="4"/>
              </w:rPr>
            </w:r>
          </w:p>
        </w:tc>
        <w:tc>
          <w:tcPr>
            <w:tcW w:w="59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assumed portfolio return is required by SEC regulations and is not a prediction of, and does not represent, our projected or actual performance. Actual returns may be greater or less than those appearing in the table. Pursuant to SEC regulations, this table is calculated as of March 31, 2023. As a result, it has not been updated to take into account any changes in assets or leverage since March 31, 2023.</w:t>
      </w:r>
    </w:p>
    <w:p>
      <w:pPr>
        <w:pStyle w:val="TextBody"/>
        <w:spacing w:before="0" w:after="0"/>
        <w:jc w:val="left"/>
        <w:rPr>
          <w:rFonts w:ascii="Times New Roman" w:hAnsi="Times New Roman"/>
          <w:b w:val="false"/>
          <w:sz w:val="20"/>
        </w:rPr>
      </w:pPr>
      <w:r>
        <w:rPr>
          <w:rFonts w:ascii="Times New Roman" w:hAnsi="Times New Roman"/>
          <w:b w:val="false"/>
          <w:sz w:val="20"/>
        </w:rPr>
        <w:t>(2)</w:t>
      </w:r>
    </w:p>
    <w:p>
      <w:pPr>
        <w:pStyle w:val="TextBody"/>
        <w:jc w:val="left"/>
        <w:rPr>
          <w:rFonts w:ascii="Times New Roman;serif" w:hAnsi="Times New Roman;serif"/>
          <w:sz w:val="20"/>
        </w:rPr>
      </w:pPr>
      <w:r>
        <w:rPr>
          <w:rFonts w:ascii="Times New Roman;serif" w:hAnsi="Times New Roman;serif"/>
          <w:b w:val="false"/>
          <w:sz w:val="20"/>
        </w:rPr>
        <w:t>In order to compute the “Corresponding return to stockholder,” the “Assumed Return on Our Portfolio” is multiplied by the total value of our assets at March 31, 2023 to obtain an assumed return to us. From this amount, the interest expense (calculated by multiplying the weighted average stated interest rate of 6.7% by the approximately $1,629.4 million of principal debt outstanding) is subtracted to determine the return available to stockholders. The return available to stockholders is then divided by the total value of our net assets at March 31, 2023</w:t>
      </w:r>
      <w:r>
        <w:rPr>
          <w:rFonts w:ascii="Times New Roman;serif" w:hAnsi="Times New Roman;serif"/>
          <w:sz w:val="20"/>
        </w:rPr>
        <w:t xml:space="preserve"> </w:t>
      </w:r>
      <w:r>
        <w:rPr>
          <w:rFonts w:ascii="Times New Roman;serif" w:hAnsi="Times New Roman;serif"/>
          <w:b w:val="false"/>
          <w:sz w:val="20"/>
        </w:rPr>
        <w:t>to determine the “Corresponding return to stockholder.”</w:t>
      </w:r>
    </w:p>
    <w:p>
      <w:pPr>
        <w:pStyle w:val="TextBody"/>
        <w:spacing w:before="360" w:after="0"/>
        <w:jc w:val="left"/>
        <w:rPr>
          <w:rFonts w:ascii="Times New Roman" w:hAnsi="Times New Roman"/>
          <w:sz w:val="20"/>
        </w:rPr>
      </w:pPr>
      <w:r>
        <w:rPr>
          <w:rFonts w:ascii="Times New Roman;serif" w:hAnsi="Times New Roman;serif"/>
          <w:b/>
          <w:i/>
          <w:sz w:val="20"/>
        </w:rPr>
        <w:t>Our indebtedness could adversely affect our business, financial conditions or results of operations.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pStyle w:val="TextBody"/>
        <w:spacing w:before="360" w:after="0"/>
        <w:jc w:val="left"/>
        <w:rPr>
          <w:rFonts w:ascii="Times New Roman" w:hAnsi="Times New Roman"/>
          <w:sz w:val="20"/>
        </w:rPr>
      </w:pPr>
      <w:r>
        <w:rPr>
          <w:rFonts w:ascii="Times New Roman;serif" w:hAnsi="Times New Roman;serif"/>
          <w:b/>
          <w:i/>
          <w:sz w:val="20"/>
        </w:rPr>
        <w:t>Even in the event the value of your investment declines, the Management Fee and, in certain circumstances, the Incentive Fee will still be payable to the Adviser.</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67</w:t>
      </w:r>
    </w:p>
    <w:p>
      <w:pPr>
        <w:pStyle w:val="HorizontalLine"/>
        <w:rPr/>
      </w:pPr>
      <w:r>
        <w:rPr/>
      </w:r>
    </w:p>
    <w:p>
      <w:pPr>
        <w:pStyle w:val="TextBody"/>
        <w:spacing w:before="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additional investments. In addition, the Management Fee is payable regardless of whether the value of our gross assets or your investment have decreased. The use of increased leverage may increase the likelihood of default, which would disfavor holders of our common stock. Given the subjective nature of the investment decisions that our Adviser will make on our behalf, we may not be able to monitor this potential conflict of interest.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Incentive Fee is calculated as a percentage of pre-Incentive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 capital losses on the remaining investments in our portfolio during subsequent years. Incentive Fees earned in prior years cannot be clawed back even if we later incur losses.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pStyle w:val="TextBody"/>
        <w:spacing w:before="360" w:after="0"/>
        <w:jc w:val="left"/>
        <w:rPr>
          <w:rFonts w:ascii="Times New Roman;serif" w:hAnsi="Times New Roman;serif"/>
          <w:b/>
          <w:sz w:val="20"/>
        </w:rPr>
      </w:pPr>
      <w:bookmarkStart w:id="16" w:name="item_2_unregistered_sales_of_equity"/>
      <w:bookmarkEnd w:id="16"/>
      <w:r>
        <w:rPr>
          <w:rFonts w:ascii="Times New Roman;serif" w:hAnsi="Times New Roman;serif"/>
          <w:b/>
          <w:sz w:val="20"/>
        </w:rPr>
        <w:t>Item 2. Unregistered Sales of Equity Securities and Use of Proceeds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360" w:after="0"/>
        <w:jc w:val="left"/>
        <w:rPr>
          <w:rFonts w:ascii="Times New Roman" w:hAnsi="Times New Roman"/>
          <w:sz w:val="20"/>
        </w:rPr>
      </w:pPr>
      <w:bookmarkStart w:id="17" w:name="item_3_defaults_upon_senior_securities"/>
      <w:bookmarkEnd w:id="17"/>
      <w:r>
        <w:rPr>
          <w:rFonts w:ascii="Times New Roman;serif" w:hAnsi="Times New Roman;serif"/>
          <w:b/>
          <w:sz w:val="20"/>
        </w:rPr>
        <w:t>Item 3. Defaults Upon</w:t>
      </w:r>
      <w:r>
        <w:rPr>
          <w:rFonts w:ascii="Times New Roman" w:hAnsi="Times New Roman"/>
          <w:sz w:val="20"/>
        </w:rPr>
        <w:t xml:space="preserve"> </w:t>
      </w:r>
      <w:r>
        <w:rPr>
          <w:rFonts w:ascii="Times New Roman;serif" w:hAnsi="Times New Roman;serif"/>
          <w:b/>
          <w:sz w:val="20"/>
        </w:rPr>
        <w:t>Senior Securities.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spacing w:before="360" w:after="0"/>
        <w:jc w:val="left"/>
        <w:rPr>
          <w:rFonts w:ascii="Times New Roman" w:hAnsi="Times New Roman"/>
          <w:sz w:val="20"/>
        </w:rPr>
      </w:pPr>
      <w:bookmarkStart w:id="18" w:name="item_4_mine_safety_disclosures"/>
      <w:bookmarkEnd w:id="18"/>
      <w:r>
        <w:rPr>
          <w:rFonts w:ascii="Times New Roman;serif" w:hAnsi="Times New Roman;serif"/>
          <w:b/>
          <w:sz w:val="20"/>
        </w:rPr>
        <w:t>Item 4. Mine Safety Disclosures.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spacing w:before="360" w:after="0"/>
        <w:jc w:val="left"/>
        <w:rPr>
          <w:rFonts w:ascii="Times New Roman" w:hAnsi="Times New Roman"/>
          <w:sz w:val="20"/>
        </w:rPr>
      </w:pPr>
      <w:bookmarkStart w:id="19" w:name="item_5_or_information"/>
      <w:bookmarkEnd w:id="19"/>
      <w:r>
        <w:rPr>
          <w:rFonts w:ascii="Times New Roman;serif" w:hAnsi="Times New Roman;serif"/>
          <w:b/>
          <w:sz w:val="20"/>
        </w:rPr>
        <w:t>Item 5. Other Information.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68</w:t>
      </w:r>
    </w:p>
    <w:p>
      <w:pPr>
        <w:pStyle w:val="HorizontalLine"/>
        <w:rPr/>
      </w:pPr>
      <w:r>
        <w:rPr/>
      </w:r>
    </w:p>
    <w:p>
      <w:pPr>
        <w:pStyle w:val="TextBody"/>
        <w:spacing w:before="0" w:after="0"/>
        <w:jc w:val="left"/>
        <w:rPr/>
      </w:pPr>
      <w:r>
        <w:rPr/>
        <w:t> </w:t>
      </w:r>
    </w:p>
    <w:p>
      <w:pPr>
        <w:pStyle w:val="TextBody"/>
        <w:spacing w:before="360" w:after="0"/>
        <w:jc w:val="left"/>
        <w:rPr>
          <w:rFonts w:ascii="Times New Roman" w:hAnsi="Times New Roman"/>
          <w:sz w:val="20"/>
        </w:rPr>
      </w:pPr>
      <w:bookmarkStart w:id="20" w:name="item_6_exhibits"/>
      <w:bookmarkEnd w:id="20"/>
      <w:r>
        <w:rPr>
          <w:rFonts w:ascii="Times New Roman;serif" w:hAnsi="Times New Roman;serif"/>
          <w:b/>
          <w:sz w:val="20"/>
        </w:rPr>
        <w:t>Item 6. Exhibits.</w:t>
      </w:r>
      <w:r>
        <w:rPr>
          <w:rFonts w:ascii="Times New Roman" w:hAnsi="Times New Roman"/>
          <w:sz w:val="20"/>
        </w:rPr>
        <w:t xml:space="preserve"> </w:t>
      </w:r>
    </w:p>
    <w:p>
      <w:pPr>
        <w:pStyle w:val="TextBody"/>
        <w:spacing w:before="120" w:after="0"/>
        <w:jc w:val="left"/>
        <w:rPr>
          <w:rFonts w:ascii="Times New Roman" w:hAnsi="Times New Roman"/>
          <w:b/>
          <w:sz w:val="20"/>
        </w:rPr>
      </w:pPr>
      <w:r>
        <w:rPr>
          <w:rFonts w:ascii="Times New Roman" w:hAnsi="Times New Roman"/>
          <w:b/>
          <w:sz w:val="20"/>
        </w:rPr>
        <w:t>(a)</w:t>
      </w:r>
    </w:p>
    <w:p>
      <w:pPr>
        <w:pStyle w:val="TextBody"/>
        <w:spacing w:before="120" w:after="283"/>
        <w:jc w:val="left"/>
        <w:rPr>
          <w:rFonts w:ascii="Times New Roman;serif" w:hAnsi="Times New Roman;serif"/>
          <w:b/>
          <w:sz w:val="20"/>
        </w:rPr>
      </w:pPr>
      <w:r>
        <w:rPr>
          <w:rFonts w:ascii="Times New Roman;serif" w:hAnsi="Times New Roman;serif"/>
          <w:b/>
          <w:sz w:val="20"/>
        </w:rPr>
        <w:t xml:space="preserve">Exhibits. </w:t>
      </w:r>
    </w:p>
    <w:tbl>
      <w:tblPr>
        <w:tblW w:w="10205" w:type="dxa"/>
        <w:jc w:val="left"/>
        <w:tblInd w:w="0" w:type="dxa"/>
        <w:tblCellMar>
          <w:top w:w="28" w:type="dxa"/>
          <w:left w:w="28" w:type="dxa"/>
          <w:bottom w:w="28" w:type="dxa"/>
          <w:right w:w="28" w:type="dxa"/>
        </w:tblCellMar>
      </w:tblPr>
      <w:tblGrid>
        <w:gridCol w:w="737"/>
        <w:gridCol w:w="146"/>
        <w:gridCol w:w="9322"/>
      </w:tblGrid>
      <w:tr>
        <w:trPr/>
        <w:tc>
          <w:tcPr>
            <w:tcW w:w="73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22" w:type="dxa"/>
            <w:tcBorders/>
            <w:shd w:fill="auto" w:val="clear"/>
            <w:vAlign w:val="center"/>
          </w:tcPr>
          <w:p>
            <w:pPr>
              <w:pStyle w:val="TableContents"/>
              <w:spacing w:before="0" w:after="283"/>
              <w:rPr>
                <w:sz w:val="4"/>
                <w:szCs w:val="4"/>
              </w:rPr>
            </w:pPr>
            <w:r>
              <w:rPr>
                <w:sz w:val="4"/>
                <w:szCs w:val="4"/>
              </w:rPr>
            </w:r>
          </w:p>
        </w:tc>
      </w:tr>
      <w:tr>
        <w:trPr/>
        <w:tc>
          <w:tcPr>
            <w:tcW w:w="7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shd w:fill="auto" w:val="clear"/>
            <w:vAlign w:val="center"/>
          </w:tcPr>
          <w:p>
            <w:pPr>
              <w:pStyle w:val="TableContents"/>
              <w:spacing w:before="0" w:after="0"/>
              <w:ind w:left="0" w:right="0" w:hanging="0"/>
              <w:jc w:val="left"/>
              <w:rPr/>
            </w:pPr>
            <w:r>
              <w:rPr/>
              <w:t> </w:t>
            </w:r>
          </w:p>
        </w:tc>
        <w:tc>
          <w:tcPr>
            <w:tcW w:w="9322" w:type="dxa"/>
            <w:tcBorders/>
            <w:shd w:fill="auto" w:val="clear"/>
            <w:vAlign w:val="center"/>
          </w:tcPr>
          <w:p>
            <w:pPr>
              <w:pStyle w:val="TableContents"/>
              <w:spacing w:before="0" w:after="0"/>
              <w:ind w:left="0" w:right="0" w:hanging="0"/>
              <w:jc w:val="left"/>
              <w:rPr/>
            </w:pPr>
            <w:hyperlink w:anchor="tslx-ex31_1.htm">
              <w:r>
                <w:rPr>
                  <w:rStyle w:val="InternetLink"/>
                  <w:rFonts w:ascii="Times New Roman;serif" w:hAnsi="Times New Roman;serif"/>
                  <w:b w:val="false"/>
                  <w:sz w:val="20"/>
                  <w:u w:val="single"/>
                </w:rPr>
                <w:t>Certification of Chief Executive Officer Pursuant to 18 U.S.C. Section 1350, as Adopted Pursuant to Section 302 of the Sarbanes-Oxley Act of 2002</w:t>
              </w:r>
            </w:hyperlink>
          </w:p>
          <w:p>
            <w:pPr>
              <w:pStyle w:val="TableContents"/>
              <w:spacing w:before="0" w:after="0"/>
              <w:ind w:left="0" w:right="0" w:hanging="0"/>
              <w:jc w:val="left"/>
              <w:rPr/>
            </w:pPr>
            <w:r>
              <w:rPr/>
              <w:t> </w:t>
            </w:r>
          </w:p>
        </w:tc>
      </w:tr>
      <w:tr>
        <w:trPr/>
        <w:tc>
          <w:tcPr>
            <w:tcW w:w="7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shd w:fill="auto" w:val="clear"/>
            <w:vAlign w:val="center"/>
          </w:tcPr>
          <w:p>
            <w:pPr>
              <w:pStyle w:val="TableContents"/>
              <w:spacing w:before="0" w:after="0"/>
              <w:ind w:left="0" w:right="0" w:hanging="0"/>
              <w:jc w:val="left"/>
              <w:rPr/>
            </w:pPr>
            <w:r>
              <w:rPr/>
              <w:t> </w:t>
            </w:r>
          </w:p>
        </w:tc>
        <w:tc>
          <w:tcPr>
            <w:tcW w:w="9322" w:type="dxa"/>
            <w:tcBorders/>
            <w:shd w:fill="auto" w:val="clear"/>
            <w:vAlign w:val="center"/>
          </w:tcPr>
          <w:p>
            <w:pPr>
              <w:pStyle w:val="TableContents"/>
              <w:spacing w:before="0" w:after="0"/>
              <w:ind w:left="0" w:right="0" w:hanging="0"/>
              <w:jc w:val="left"/>
              <w:rPr/>
            </w:pPr>
            <w:hyperlink w:anchor="tslx-ex31_2.htm">
              <w:r>
                <w:rPr>
                  <w:rStyle w:val="InternetLink"/>
                  <w:rFonts w:ascii="Times New Roman;serif" w:hAnsi="Times New Roman;serif"/>
                  <w:b w:val="false"/>
                  <w:sz w:val="20"/>
                  <w:u w:val="single"/>
                </w:rPr>
                <w:t>Certification of Chief Financial Officer Pursuant to 18 U.S.C. Section 1350, as Adopted Pursuant to Section 302 of the Sarbanes-Oxley Act of 2002</w:t>
              </w:r>
            </w:hyperlink>
          </w:p>
          <w:p>
            <w:pPr>
              <w:pStyle w:val="TableContents"/>
              <w:spacing w:before="0" w:after="0"/>
              <w:ind w:left="0" w:right="0" w:hanging="0"/>
              <w:jc w:val="left"/>
              <w:rPr/>
            </w:pPr>
            <w:r>
              <w:rPr/>
              <w:t> </w:t>
            </w:r>
          </w:p>
        </w:tc>
      </w:tr>
      <w:tr>
        <w:trPr/>
        <w:tc>
          <w:tcPr>
            <w:tcW w:w="7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w:t>
            </w:r>
          </w:p>
        </w:tc>
        <w:tc>
          <w:tcPr>
            <w:tcW w:w="146" w:type="dxa"/>
            <w:tcBorders/>
            <w:shd w:fill="auto" w:val="clear"/>
            <w:vAlign w:val="center"/>
          </w:tcPr>
          <w:p>
            <w:pPr>
              <w:pStyle w:val="TableContents"/>
              <w:spacing w:before="0" w:after="0"/>
              <w:ind w:left="0" w:right="0" w:hanging="0"/>
              <w:jc w:val="left"/>
              <w:rPr/>
            </w:pPr>
            <w:r>
              <w:rPr/>
              <w:t> </w:t>
            </w:r>
          </w:p>
        </w:tc>
        <w:tc>
          <w:tcPr>
            <w:tcW w:w="9322" w:type="dxa"/>
            <w:tcBorders/>
            <w:shd w:fill="auto" w:val="clear"/>
            <w:vAlign w:val="center"/>
          </w:tcPr>
          <w:p>
            <w:pPr>
              <w:pStyle w:val="TableContents"/>
              <w:spacing w:before="0" w:after="0"/>
              <w:ind w:left="0" w:right="0" w:hanging="0"/>
              <w:jc w:val="left"/>
              <w:rPr/>
            </w:pPr>
            <w:hyperlink w:anchor="tslx-ex32.htm">
              <w:r>
                <w:rPr>
                  <w:rStyle w:val="InternetLink"/>
                  <w:rFonts w:ascii="Times New Roman;serif" w:hAnsi="Times New Roman;serif"/>
                  <w:b w:val="false"/>
                  <w:sz w:val="20"/>
                  <w:u w:val="single"/>
                </w:rPr>
                <w:t>Certification of CEO and CFO Pursuant to 18 U.S.C. Section 1350, as Adopted Pursuant to Section 906 of the Sarbanes-Oxley Act of 2002</w:t>
              </w:r>
            </w:hyperlink>
          </w:p>
          <w:p>
            <w:pPr>
              <w:pStyle w:val="TableContents"/>
              <w:spacing w:before="0" w:after="0"/>
              <w:ind w:left="0" w:right="0" w:hanging="0"/>
              <w:jc w:val="left"/>
              <w:rPr/>
            </w:pPr>
            <w:r>
              <w:rPr/>
              <w:t> </w:t>
            </w:r>
          </w:p>
        </w:tc>
      </w:tr>
      <w:tr>
        <w:trPr/>
        <w:tc>
          <w:tcPr>
            <w:tcW w:w="7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shd w:fill="auto" w:val="clear"/>
            <w:vAlign w:val="center"/>
          </w:tcPr>
          <w:p>
            <w:pPr>
              <w:pStyle w:val="TableContents"/>
              <w:spacing w:before="0" w:after="0"/>
              <w:ind w:left="0" w:right="0" w:hanging="0"/>
              <w:jc w:val="left"/>
              <w:rPr/>
            </w:pPr>
            <w:r>
              <w:rPr/>
              <w:t> </w:t>
            </w:r>
          </w:p>
        </w:tc>
        <w:tc>
          <w:tcPr>
            <w:tcW w:w="93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r>
      <w:tr>
        <w:trPr/>
        <w:tc>
          <w:tcPr>
            <w:tcW w:w="7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shd w:fill="auto" w:val="clear"/>
            <w:vAlign w:val="center"/>
          </w:tcPr>
          <w:p>
            <w:pPr>
              <w:pStyle w:val="TableContents"/>
              <w:spacing w:before="0" w:after="0"/>
              <w:ind w:left="0" w:right="0" w:hanging="0"/>
              <w:jc w:val="left"/>
              <w:rPr/>
            </w:pPr>
            <w:r>
              <w:rPr/>
              <w:t> </w:t>
            </w:r>
          </w:p>
        </w:tc>
        <w:tc>
          <w:tcPr>
            <w:tcW w:w="93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7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shd w:fill="auto" w:val="clear"/>
            <w:vAlign w:val="center"/>
          </w:tcPr>
          <w:p>
            <w:pPr>
              <w:pStyle w:val="TableContents"/>
              <w:spacing w:before="0" w:after="0"/>
              <w:ind w:left="0" w:right="0" w:hanging="0"/>
              <w:jc w:val="left"/>
              <w:rPr/>
            </w:pPr>
            <w:r>
              <w:rPr/>
              <w:t> </w:t>
            </w:r>
          </w:p>
        </w:tc>
        <w:tc>
          <w:tcPr>
            <w:tcW w:w="93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7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shd w:fill="auto" w:val="clear"/>
            <w:vAlign w:val="center"/>
          </w:tcPr>
          <w:p>
            <w:pPr>
              <w:pStyle w:val="TableContents"/>
              <w:spacing w:before="0" w:after="0"/>
              <w:ind w:left="0" w:right="0" w:hanging="0"/>
              <w:jc w:val="left"/>
              <w:rPr/>
            </w:pPr>
            <w:r>
              <w:rPr/>
              <w:t> </w:t>
            </w:r>
          </w:p>
        </w:tc>
        <w:tc>
          <w:tcPr>
            <w:tcW w:w="93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7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shd w:fill="auto" w:val="clear"/>
            <w:vAlign w:val="center"/>
          </w:tcPr>
          <w:p>
            <w:pPr>
              <w:pStyle w:val="TableContents"/>
              <w:spacing w:before="0" w:after="0"/>
              <w:ind w:left="0" w:right="0" w:hanging="0"/>
              <w:jc w:val="left"/>
              <w:rPr/>
            </w:pPr>
            <w:r>
              <w:rPr/>
              <w:t> </w:t>
            </w:r>
          </w:p>
        </w:tc>
        <w:tc>
          <w:tcPr>
            <w:tcW w:w="93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7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shd w:fill="auto" w:val="clear"/>
            <w:vAlign w:val="center"/>
          </w:tcPr>
          <w:p>
            <w:pPr>
              <w:pStyle w:val="TableContents"/>
              <w:spacing w:before="0" w:after="0"/>
              <w:ind w:left="0" w:right="0" w:hanging="0"/>
              <w:jc w:val="left"/>
              <w:rPr/>
            </w:pPr>
            <w:r>
              <w:rPr/>
              <w:t> </w:t>
            </w:r>
          </w:p>
        </w:tc>
        <w:tc>
          <w:tcPr>
            <w:tcW w:w="93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73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vAlign w:val="center"/>
          </w:tcPr>
          <w:p>
            <w:pPr>
              <w:pStyle w:val="TableContents"/>
              <w:spacing w:before="0" w:after="0"/>
              <w:ind w:left="0" w:right="0" w:hanging="0"/>
              <w:jc w:val="left"/>
              <w:rPr/>
            </w:pPr>
            <w:r>
              <w:rPr/>
              <w:t> </w:t>
            </w:r>
          </w:p>
        </w:tc>
        <w:tc>
          <w:tcPr>
            <w:tcW w:w="93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69</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21" w:name="signatures"/>
      <w:bookmarkEnd w:id="21"/>
      <w:r>
        <w:rPr>
          <w:rFonts w:ascii="Times New Roman;serif" w:hAnsi="Times New Roman;serif"/>
          <w:b/>
          <w:caps/>
          <w:sz w:val="20"/>
        </w:rPr>
        <w:t>SIGNATURES</w:t>
      </w:r>
      <w:r>
        <w:rPr>
          <w:rFonts w:ascii="Times New Roman" w:hAnsi="Times New Roman"/>
          <w:caps/>
          <w:sz w:val="20"/>
        </w:rPr>
        <w:t xml:space="preserve"> </w:t>
      </w:r>
    </w:p>
    <w:p>
      <w:pPr>
        <w:pStyle w:val="TextBody"/>
        <w:spacing w:before="200" w:after="0"/>
        <w:jc w:val="left"/>
        <w:rPr>
          <w:rFonts w:ascii="Times New Roman" w:hAnsi="Times New Roman"/>
          <w:sz w:val="20"/>
        </w:rPr>
      </w:pPr>
      <w:r>
        <w:rPr>
          <w:rFonts w:ascii="Times New Roman;serif" w:hAnsi="Times New Roman;serif"/>
          <w:b w:val="false"/>
          <w:sz w:val="20"/>
        </w:rPr>
        <w:t>Pursuant to the requirements of the Securities Exchange Act of 1934, as amended, the registrant has duly caused this report to be signed on its behalf by the undersigned thereunto duly authorized.</w:t>
      </w:r>
      <w:r>
        <w:rPr>
          <w:rFonts w:ascii="Times New Roman" w:hAnsi="Times New Roman"/>
          <w:sz w:val="20"/>
        </w:rPr>
        <w:t xml:space="preserve"> </w:t>
      </w:r>
    </w:p>
    <w:p>
      <w:pPr>
        <w:pStyle w:val="TextBody"/>
        <w:spacing w:before="0" w:after="0"/>
        <w:jc w:val="left"/>
        <w:rPr/>
      </w:pPr>
      <w:r>
        <w:rPr/>
        <w:t> </w:t>
      </w:r>
    </w:p>
    <w:tbl>
      <w:tblPr>
        <w:tblW w:w="5682" w:type="dxa"/>
        <w:jc w:val="left"/>
        <w:tblInd w:w="0" w:type="dxa"/>
        <w:tblCellMar>
          <w:top w:w="28" w:type="dxa"/>
          <w:left w:w="28" w:type="dxa"/>
          <w:bottom w:w="28" w:type="dxa"/>
          <w:right w:w="28" w:type="dxa"/>
        </w:tblCellMar>
      </w:tblPr>
      <w:tblGrid>
        <w:gridCol w:w="1636"/>
        <w:gridCol w:w="146"/>
        <w:gridCol w:w="603"/>
        <w:gridCol w:w="217"/>
        <w:gridCol w:w="3080"/>
      </w:tblGrid>
      <w:tr>
        <w:trPr/>
        <w:tc>
          <w:tcPr>
            <w:tcW w:w="1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3080"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900" w:type="dxa"/>
            <w:gridSpan w:val="3"/>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SIXTH STREET SPECIALTY LENDING, INC.</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0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30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8, 2023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0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17" w:type="dxa"/>
            <w:tcBorders/>
            <w:shd w:fill="auto" w:val="clear"/>
            <w:vAlign w:val="center"/>
          </w:tcPr>
          <w:p>
            <w:pPr>
              <w:pStyle w:val="TableContents"/>
              <w:spacing w:before="0" w:after="0"/>
              <w:ind w:left="0" w:right="0" w:hanging="0"/>
              <w:jc w:val="left"/>
              <w:rPr/>
            </w:pPr>
            <w:r>
              <w:rPr/>
              <w:t> </w:t>
            </w:r>
          </w:p>
        </w:tc>
        <w:tc>
          <w:tcPr>
            <w:tcW w:w="30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Joshua Easterly</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0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30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Joshua Easterly</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0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30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0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308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8, 2023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0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17" w:type="dxa"/>
            <w:tcBorders/>
            <w:shd w:fill="auto" w:val="clear"/>
            <w:vAlign w:val="center"/>
          </w:tcPr>
          <w:p>
            <w:pPr>
              <w:pStyle w:val="TableContents"/>
              <w:spacing w:before="0" w:after="0"/>
              <w:ind w:left="0" w:right="0" w:hanging="0"/>
              <w:jc w:val="left"/>
              <w:rPr/>
            </w:pPr>
            <w:r>
              <w:rPr/>
              <w:t> </w:t>
            </w:r>
          </w:p>
        </w:tc>
        <w:tc>
          <w:tcPr>
            <w:tcW w:w="30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Ian Simmonds</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0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30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Ian Simmonds</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0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30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70</w:t>
      </w:r>
    </w:p>
    <w:p>
      <w:pPr>
        <w:pStyle w:val="HorizontalLine"/>
        <w:rPr/>
      </w:pPr>
      <w:r>
        <w:rPr/>
      </w:r>
      <w:r>
        <w:br w:type="page"/>
      </w:r>
    </w:p>
    <w:p>
      <w:pPr>
        <w:pStyle w:val="TextBody"/>
        <w:spacing w:before="0" w:after="0"/>
        <w:jc w:val="left"/>
        <w:rPr/>
      </w:pPr>
      <w:bookmarkStart w:id="22" w:name="tslx-ex31_1.htm"/>
      <w:bookmarkStart w:id="23" w:name="kstslxex31_1"/>
      <w:bookmarkEnd w:id="22"/>
      <w:bookmarkEnd w:id="23"/>
      <w:r>
        <w:rPr/>
        <w:t> </w:t>
      </w:r>
    </w:p>
    <w:p>
      <w:pPr>
        <w:pStyle w:val="TextBody"/>
        <w:spacing w:before="0" w:after="0"/>
        <w:jc w:val="right"/>
        <w:rPr>
          <w:rFonts w:ascii="Times New Roman" w:hAnsi="Times New Roman"/>
          <w:sz w:val="20"/>
        </w:rPr>
      </w:pPr>
      <w:r>
        <w:rPr>
          <w:rFonts w:ascii="Times New Roman;serif" w:hAnsi="Times New Roman;serif"/>
          <w:b/>
          <w:sz w:val="20"/>
        </w:rPr>
        <w:t>Exhibit 31.1</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u w:val="single"/>
        </w:rPr>
        <w:t>CEO CERTIFICATION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 Joshua Easterly, certify that: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(1) I have reviewed this quarterly report on Form 10-Q of Sixth Street Specialty Lending, Inc.;</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r>
        <w:rPr>
          <w:rFonts w:ascii="Times New Roman" w:hAnsi="Times New Roman"/>
          <w:sz w:val="20"/>
        </w:rPr>
        <w:t xml:space="preserve"> </w:t>
      </w:r>
    </w:p>
    <w:tbl>
      <w:tblPr>
        <w:tblW w:w="4405" w:type="dxa"/>
        <w:jc w:val="left"/>
        <w:tblInd w:w="0" w:type="dxa"/>
        <w:tblCellMar>
          <w:top w:w="28" w:type="dxa"/>
          <w:left w:w="28" w:type="dxa"/>
          <w:bottom w:w="28" w:type="dxa"/>
          <w:right w:w="28" w:type="dxa"/>
        </w:tblCellMar>
      </w:tblPr>
      <w:tblGrid>
        <w:gridCol w:w="1636"/>
        <w:gridCol w:w="146"/>
        <w:gridCol w:w="406"/>
        <w:gridCol w:w="146"/>
        <w:gridCol w:w="2071"/>
      </w:tblGrid>
      <w:tr>
        <w:trPr/>
        <w:tc>
          <w:tcPr>
            <w:tcW w:w="1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7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8, 2023</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shd w:fill="auto" w:val="clear"/>
            <w:vAlign w:val="center"/>
          </w:tcPr>
          <w:p>
            <w:pPr>
              <w:pStyle w:val="TableContents"/>
              <w:spacing w:before="0" w:after="0"/>
              <w:ind w:left="0" w:right="0" w:hanging="0"/>
              <w:jc w:val="left"/>
              <w:rPr/>
            </w:pPr>
            <w:r>
              <w:rPr/>
              <w:t> </w:t>
            </w:r>
          </w:p>
        </w:tc>
        <w:tc>
          <w:tcPr>
            <w:tcW w:w="207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Joshua Easterly</w:t>
            </w:r>
          </w:p>
        </w:tc>
      </w:tr>
      <w:tr>
        <w:trPr/>
        <w:tc>
          <w:tcPr>
            <w:tcW w:w="1636" w:type="dxa"/>
            <w:tcBorders/>
            <w:shd w:fill="auto" w:val="clear"/>
            <w:vAlign w:val="center"/>
          </w:tcPr>
          <w:p>
            <w:pPr>
              <w:pStyle w:val="TableContents"/>
              <w:spacing w:before="40" w:after="0"/>
              <w:ind w:left="0" w:right="0" w:hanging="0"/>
              <w:jc w:val="left"/>
              <w:rPr/>
            </w:pPr>
            <w:r>
              <w:rPr/>
              <w:t> </w:t>
            </w:r>
          </w:p>
        </w:tc>
        <w:tc>
          <w:tcPr>
            <w:tcW w:w="146" w:type="dxa"/>
            <w:tcBorders/>
            <w:shd w:fill="auto" w:val="clear"/>
            <w:vAlign w:val="center"/>
          </w:tcPr>
          <w:p>
            <w:pPr>
              <w:pStyle w:val="TableContents"/>
              <w:spacing w:before="40" w:after="0"/>
              <w:ind w:left="0" w:right="0" w:hanging="0"/>
              <w:jc w:val="left"/>
              <w:rPr/>
            </w:pPr>
            <w:r>
              <w:rPr/>
              <w:t> </w:t>
            </w:r>
          </w:p>
        </w:tc>
        <w:tc>
          <w:tcPr>
            <w:tcW w:w="406" w:type="dxa"/>
            <w:tcBorders/>
            <w:shd w:fill="auto" w:val="clear"/>
            <w:vAlign w:val="center"/>
          </w:tcPr>
          <w:p>
            <w:pPr>
              <w:pStyle w:val="TableContents"/>
              <w:spacing w:before="40" w:after="0"/>
              <w:ind w:left="0" w:right="0" w:hanging="0"/>
              <w:jc w:val="left"/>
              <w:rPr/>
            </w:pPr>
            <w:r>
              <w:rPr/>
              <w:t> </w:t>
            </w:r>
          </w:p>
        </w:tc>
        <w:tc>
          <w:tcPr>
            <w:tcW w:w="146" w:type="dxa"/>
            <w:tcBorders/>
            <w:shd w:fill="auto" w:val="clear"/>
            <w:vAlign w:val="center"/>
          </w:tcPr>
          <w:p>
            <w:pPr>
              <w:pStyle w:val="TableContents"/>
              <w:spacing w:before="40" w:after="0"/>
              <w:ind w:left="0" w:right="0" w:hanging="0"/>
              <w:jc w:val="left"/>
              <w:rPr/>
            </w:pPr>
            <w:r>
              <w:rPr/>
              <w:t> </w:t>
            </w:r>
          </w:p>
        </w:tc>
        <w:tc>
          <w:tcPr>
            <w:tcW w:w="2071" w:type="dxa"/>
            <w:tcBorders/>
            <w:shd w:fill="auto" w:val="clear"/>
            <w:vAlign w:val="center"/>
          </w:tcPr>
          <w:p>
            <w:pPr>
              <w:pStyle w:val="TableContents"/>
              <w:spacing w:before="40" w:after="0"/>
              <w:ind w:left="0" w:right="0" w:hanging="0"/>
              <w:jc w:val="left"/>
              <w:rPr>
                <w:rFonts w:ascii="Times New Roman;serif" w:hAnsi="Times New Roman;serif"/>
                <w:b w:val="false"/>
                <w:sz w:val="20"/>
              </w:rPr>
            </w:pPr>
            <w:r>
              <w:rPr>
                <w:rFonts w:ascii="Times New Roman;serif" w:hAnsi="Times New Roman;serif"/>
                <w:b w:val="false"/>
                <w:sz w:val="20"/>
              </w:rPr>
              <w:t>Joshua Easterly</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4" w:name="tslx-ex31_2.htm"/>
      <w:bookmarkStart w:id="25" w:name="kstslxex31_2"/>
      <w:bookmarkEnd w:id="24"/>
      <w:bookmarkEnd w:id="25"/>
      <w:r>
        <w:rPr/>
        <w:t> </w:t>
      </w:r>
    </w:p>
    <w:p>
      <w:pPr>
        <w:pStyle w:val="TextBody"/>
        <w:spacing w:before="0" w:after="0"/>
        <w:jc w:val="right"/>
        <w:rPr>
          <w:rFonts w:ascii="Times New Roman" w:hAnsi="Times New Roman"/>
          <w:sz w:val="20"/>
        </w:rPr>
      </w:pPr>
      <w:r>
        <w:rPr>
          <w:rFonts w:ascii="Times New Roman;serif" w:hAnsi="Times New Roman;serif"/>
          <w:b/>
          <w:sz w:val="20"/>
        </w:rPr>
        <w:t>Exhibit 31.2</w:t>
      </w:r>
      <w:r>
        <w:rPr>
          <w:rFonts w:ascii="Times New Roman" w:hAnsi="Times New Roman"/>
          <w:sz w:val="20"/>
        </w:rPr>
        <w:t xml:space="preserve"> </w:t>
      </w:r>
    </w:p>
    <w:p>
      <w:pPr>
        <w:pStyle w:val="TextBody"/>
        <w:spacing w:before="240" w:after="0"/>
        <w:jc w:val="center"/>
        <w:rPr>
          <w:rFonts w:ascii="Times New Roman" w:hAnsi="Times New Roman"/>
          <w:sz w:val="20"/>
        </w:rPr>
      </w:pPr>
      <w:r>
        <w:rPr>
          <w:rFonts w:ascii="Times New Roman;serif" w:hAnsi="Times New Roman;serif"/>
          <w:b/>
          <w:sz w:val="20"/>
          <w:u w:val="single"/>
        </w:rPr>
        <w:t>CFO CERTIFICATION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 Ian Simmonds, certify that: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(1) I have reviewed this quarterly report on Form 10-Q of Sixth Street Specialty Lending, Inc.;</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r>
        <w:rPr>
          <w:rFonts w:ascii="Times New Roman" w:hAnsi="Times New Roman"/>
          <w:sz w:val="20"/>
        </w:rPr>
        <w:t xml:space="preserve"> </w:t>
      </w:r>
    </w:p>
    <w:tbl>
      <w:tblPr>
        <w:tblW w:w="4345" w:type="dxa"/>
        <w:jc w:val="left"/>
        <w:tblInd w:w="0" w:type="dxa"/>
        <w:tblCellMar>
          <w:top w:w="28" w:type="dxa"/>
          <w:left w:w="28" w:type="dxa"/>
          <w:bottom w:w="28" w:type="dxa"/>
          <w:right w:w="28" w:type="dxa"/>
        </w:tblCellMar>
      </w:tblPr>
      <w:tblGrid>
        <w:gridCol w:w="1636"/>
        <w:gridCol w:w="146"/>
        <w:gridCol w:w="406"/>
        <w:gridCol w:w="146"/>
        <w:gridCol w:w="2011"/>
      </w:tblGrid>
      <w:tr>
        <w:trPr/>
        <w:tc>
          <w:tcPr>
            <w:tcW w:w="1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11"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8, 2023</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shd w:fill="auto" w:val="clear"/>
            <w:vAlign w:val="center"/>
          </w:tcPr>
          <w:p>
            <w:pPr>
              <w:pStyle w:val="TableContents"/>
              <w:spacing w:before="0" w:after="0"/>
              <w:ind w:left="0" w:right="0" w:hanging="0"/>
              <w:jc w:val="left"/>
              <w:rPr/>
            </w:pPr>
            <w:r>
              <w:rPr/>
              <w:t> </w:t>
            </w:r>
          </w:p>
        </w:tc>
        <w:tc>
          <w:tcPr>
            <w:tcW w:w="201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Ian Simmonds</w:t>
            </w:r>
          </w:p>
        </w:tc>
      </w:tr>
      <w:tr>
        <w:trPr/>
        <w:tc>
          <w:tcPr>
            <w:tcW w:w="1636" w:type="dxa"/>
            <w:tcBorders/>
            <w:shd w:fill="auto" w:val="clear"/>
            <w:vAlign w:val="center"/>
          </w:tcPr>
          <w:p>
            <w:pPr>
              <w:pStyle w:val="TableContents"/>
              <w:spacing w:before="40" w:after="0"/>
              <w:ind w:left="0" w:right="0" w:hanging="0"/>
              <w:jc w:val="left"/>
              <w:rPr/>
            </w:pPr>
            <w:r>
              <w:rPr/>
              <w:t> </w:t>
            </w:r>
          </w:p>
        </w:tc>
        <w:tc>
          <w:tcPr>
            <w:tcW w:w="146" w:type="dxa"/>
            <w:tcBorders/>
            <w:shd w:fill="auto" w:val="clear"/>
            <w:vAlign w:val="center"/>
          </w:tcPr>
          <w:p>
            <w:pPr>
              <w:pStyle w:val="TableContents"/>
              <w:spacing w:before="40" w:after="0"/>
              <w:ind w:left="0" w:right="0" w:hanging="0"/>
              <w:jc w:val="left"/>
              <w:rPr/>
            </w:pPr>
            <w:r>
              <w:rPr/>
              <w:t> </w:t>
            </w:r>
          </w:p>
        </w:tc>
        <w:tc>
          <w:tcPr>
            <w:tcW w:w="406" w:type="dxa"/>
            <w:tcBorders/>
            <w:shd w:fill="auto" w:val="clear"/>
            <w:vAlign w:val="center"/>
          </w:tcPr>
          <w:p>
            <w:pPr>
              <w:pStyle w:val="TableContents"/>
              <w:spacing w:before="40" w:after="0"/>
              <w:ind w:left="0" w:right="0" w:hanging="0"/>
              <w:jc w:val="left"/>
              <w:rPr/>
            </w:pPr>
            <w:r>
              <w:rPr/>
              <w:t> </w:t>
            </w:r>
          </w:p>
        </w:tc>
        <w:tc>
          <w:tcPr>
            <w:tcW w:w="146" w:type="dxa"/>
            <w:tcBorders/>
            <w:shd w:fill="auto" w:val="clear"/>
            <w:vAlign w:val="center"/>
          </w:tcPr>
          <w:p>
            <w:pPr>
              <w:pStyle w:val="TableContents"/>
              <w:spacing w:before="40" w:after="0"/>
              <w:ind w:left="0" w:right="0" w:hanging="0"/>
              <w:jc w:val="left"/>
              <w:rPr/>
            </w:pPr>
            <w:r>
              <w:rPr/>
              <w:t> </w:t>
            </w:r>
          </w:p>
        </w:tc>
        <w:tc>
          <w:tcPr>
            <w:tcW w:w="2011" w:type="dxa"/>
            <w:tcBorders/>
            <w:shd w:fill="auto" w:val="clear"/>
            <w:vAlign w:val="center"/>
          </w:tcPr>
          <w:p>
            <w:pPr>
              <w:pStyle w:val="TableContents"/>
              <w:spacing w:before="40" w:after="0"/>
              <w:ind w:left="0" w:right="0" w:hanging="0"/>
              <w:jc w:val="left"/>
              <w:rPr>
                <w:rFonts w:ascii="Times New Roman;serif" w:hAnsi="Times New Roman;serif"/>
                <w:b w:val="false"/>
                <w:sz w:val="20"/>
              </w:rPr>
            </w:pPr>
            <w:r>
              <w:rPr>
                <w:rFonts w:ascii="Times New Roman;serif" w:hAnsi="Times New Roman;serif"/>
                <w:b w:val="false"/>
                <w:sz w:val="20"/>
              </w:rPr>
              <w:t>Ian Simmonds</w:t>
            </w:r>
          </w:p>
        </w:tc>
      </w:tr>
      <w:tr>
        <w:trPr/>
        <w:tc>
          <w:tcPr>
            <w:tcW w:w="163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 w:hAnsi="Times New Roman"/>
          <w:sz w:val="20"/>
        </w:rPr>
      </w:pPr>
      <w:bookmarkStart w:id="26" w:name="tslx-ex32.htm"/>
      <w:bookmarkStart w:id="27" w:name="kstslxex32"/>
      <w:bookmarkEnd w:id="26"/>
      <w:bookmarkEnd w:id="27"/>
      <w:r>
        <w:rPr>
          <w:rFonts w:ascii="Times New Roman;serif" w:hAnsi="Times New Roman;serif"/>
          <w:b/>
          <w:sz w:val="20"/>
        </w:rPr>
        <w:t>Exhibit 32</w:t>
      </w:r>
      <w:r>
        <w:rPr>
          <w:rFonts w:ascii="Times New Roman" w:hAnsi="Times New Roman"/>
          <w:sz w:val="20"/>
        </w:rPr>
        <w:t xml:space="preserve"> </w:t>
      </w:r>
    </w:p>
    <w:p>
      <w:pPr>
        <w:pStyle w:val="TextBody"/>
        <w:spacing w:before="240" w:after="0"/>
        <w:jc w:val="center"/>
        <w:rPr>
          <w:rFonts w:ascii="Times New Roman;serif" w:hAnsi="Times New Roman;serif"/>
          <w:b/>
          <w:sz w:val="20"/>
        </w:rPr>
      </w:pPr>
      <w:r>
        <w:rPr>
          <w:rFonts w:ascii="Times New Roman;serif" w:hAnsi="Times New Roman;serif"/>
          <w:b/>
          <w:sz w:val="20"/>
        </w:rPr>
        <w:t>Certification of CEO and CFO Pursuant to</w:t>
      </w:r>
    </w:p>
    <w:p>
      <w:pPr>
        <w:pStyle w:val="TextBody"/>
        <w:spacing w:before="0" w:after="0"/>
        <w:jc w:val="center"/>
        <w:rPr>
          <w:rFonts w:ascii="Times New Roman;serif" w:hAnsi="Times New Roman;serif"/>
          <w:b/>
          <w:sz w:val="20"/>
        </w:rPr>
      </w:pPr>
      <w:r>
        <w:rPr>
          <w:rFonts w:ascii="Times New Roman;serif" w:hAnsi="Times New Roman;serif"/>
          <w:b/>
          <w:sz w:val="20"/>
        </w:rPr>
        <w:t>18 U.S.C. Section 1350,</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w:t>
      </w:r>
    </w:p>
    <w:p>
      <w:pPr>
        <w:pStyle w:val="TextBody"/>
        <w:spacing w:before="0" w:after="0"/>
        <w:jc w:val="center"/>
        <w:rPr>
          <w:rFonts w:ascii="Times New Roman;serif" w:hAnsi="Times New Roman;serif"/>
          <w:b/>
          <w:sz w:val="20"/>
        </w:rPr>
      </w:pPr>
      <w:r>
        <w:rPr>
          <w:rFonts w:ascii="Times New Roman;serif" w:hAnsi="Times New Roman;serif"/>
          <w:b/>
          <w:sz w:val="20"/>
        </w:rPr>
        <w:t>Section 906 of the Sarbanes-Oxley Act of 2002</w:t>
      </w:r>
    </w:p>
    <w:p>
      <w:pPr>
        <w:pStyle w:val="TextBody"/>
        <w:spacing w:before="240" w:after="0"/>
        <w:jc w:val="left"/>
        <w:rPr>
          <w:rFonts w:ascii="Times New Roman" w:hAnsi="Times New Roman"/>
          <w:sz w:val="20"/>
        </w:rPr>
      </w:pPr>
      <w:r>
        <w:rPr>
          <w:rFonts w:ascii="Times New Roman;serif" w:hAnsi="Times New Roman;serif"/>
          <w:b w:val="false"/>
          <w:sz w:val="20"/>
        </w:rPr>
        <w:t>In connection with the quarterly report on Form 10-Q of Sixth Street Specialty Lending, Inc. (the “Company”) for the quarterly period ended March 31, 2023,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(1) The Report fully complies with the requirements of Section 13(a) or 15(d) of the Securities Exchange Act of 1934; and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(2) The information contained in the Report fairly presents, in all material respects, the financial condition and results of operations of the Company.</w:t>
      </w:r>
      <w:r>
        <w:rPr>
          <w:rFonts w:ascii="Times New Roman" w:hAnsi="Times New Roman"/>
          <w:sz w:val="20"/>
        </w:rPr>
        <w:t xml:space="preserve"> </w:t>
      </w:r>
    </w:p>
    <w:tbl>
      <w:tblPr>
        <w:tblW w:w="2863" w:type="dxa"/>
        <w:jc w:val="left"/>
        <w:tblInd w:w="0" w:type="dxa"/>
        <w:tblCellMar>
          <w:top w:w="28" w:type="dxa"/>
          <w:left w:w="28" w:type="dxa"/>
          <w:bottom w:w="28" w:type="dxa"/>
          <w:right w:w="28" w:type="dxa"/>
        </w:tblCellMar>
      </w:tblPr>
      <w:tblGrid>
        <w:gridCol w:w="646"/>
        <w:gridCol w:w="146"/>
        <w:gridCol w:w="2071"/>
      </w:tblGrid>
      <w:tr>
        <w:trPr/>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71" w:type="dxa"/>
            <w:tcBorders/>
            <w:shd w:fill="auto" w:val="clear"/>
            <w:vAlign w:val="center"/>
          </w:tcPr>
          <w:p>
            <w:pPr>
              <w:pStyle w:val="TableContents"/>
              <w:spacing w:before="0" w:after="283"/>
              <w:rPr>
                <w:sz w:val="4"/>
                <w:szCs w:val="4"/>
              </w:rPr>
            </w:pPr>
            <w:r>
              <w:rPr>
                <w:sz w:val="4"/>
                <w:szCs w:val="4"/>
              </w:rPr>
            </w:r>
          </w:p>
        </w:tc>
      </w:tr>
      <w:tr>
        <w:trPr/>
        <w:tc>
          <w:tcPr>
            <w:tcW w:w="286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Joshua Easterly</w:t>
            </w:r>
          </w:p>
        </w:tc>
      </w:tr>
      <w:tr>
        <w:trPr/>
        <w:tc>
          <w:tcPr>
            <w:tcW w:w="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146" w:type="dxa"/>
            <w:tcBorders/>
            <w:shd w:fill="auto" w:val="clear"/>
            <w:vAlign w:val="center"/>
          </w:tcPr>
          <w:p>
            <w:pPr>
              <w:pStyle w:val="TableContents"/>
              <w:spacing w:before="0" w:after="0"/>
              <w:ind w:left="0" w:right="0" w:hanging="0"/>
              <w:jc w:val="left"/>
              <w:rPr/>
            </w:pPr>
            <w:r>
              <w:rPr/>
              <w:t> </w:t>
            </w:r>
          </w:p>
        </w:tc>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Joshua Easterly</w:t>
            </w:r>
          </w:p>
        </w:tc>
      </w:tr>
      <w:tr>
        <w:trPr/>
        <w:tc>
          <w:tcPr>
            <w:tcW w:w="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146" w:type="dxa"/>
            <w:tcBorders/>
            <w:shd w:fill="auto" w:val="clear"/>
            <w:vAlign w:val="center"/>
          </w:tcPr>
          <w:p>
            <w:pPr>
              <w:pStyle w:val="TableContents"/>
              <w:spacing w:before="0" w:after="0"/>
              <w:ind w:left="0" w:right="0" w:hanging="0"/>
              <w:jc w:val="left"/>
              <w:rPr/>
            </w:pPr>
            <w:r>
              <w:rPr/>
              <w:t> </w:t>
            </w:r>
          </w:p>
        </w:tc>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r>
        <w:trPr/>
        <w:tc>
          <w:tcPr>
            <w:tcW w:w="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46" w:type="dxa"/>
            <w:tcBorders/>
            <w:shd w:fill="auto" w:val="clear"/>
            <w:vAlign w:val="center"/>
          </w:tcPr>
          <w:p>
            <w:pPr>
              <w:pStyle w:val="TableContents"/>
              <w:spacing w:before="0" w:after="0"/>
              <w:ind w:left="0" w:right="0" w:hanging="0"/>
              <w:jc w:val="left"/>
              <w:rPr/>
            </w:pPr>
            <w:r>
              <w:rPr/>
              <w:t> </w:t>
            </w:r>
          </w:p>
        </w:tc>
        <w:tc>
          <w:tcPr>
            <w:tcW w:w="20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May 8, 2023</w:t>
            </w:r>
          </w:p>
        </w:tc>
      </w:tr>
    </w:tbl>
    <w:tbl>
      <w:tblPr>
        <w:tblW w:w="2803" w:type="dxa"/>
        <w:jc w:val="left"/>
        <w:tblInd w:w="0" w:type="dxa"/>
        <w:tblCellMar>
          <w:top w:w="28" w:type="dxa"/>
          <w:left w:w="28" w:type="dxa"/>
          <w:bottom w:w="28" w:type="dxa"/>
          <w:right w:w="28" w:type="dxa"/>
        </w:tblCellMar>
      </w:tblPr>
      <w:tblGrid>
        <w:gridCol w:w="646"/>
        <w:gridCol w:w="146"/>
        <w:gridCol w:w="2011"/>
      </w:tblGrid>
      <w:tr>
        <w:trPr/>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11" w:type="dxa"/>
            <w:tcBorders/>
            <w:shd w:fill="auto" w:val="clear"/>
            <w:vAlign w:val="center"/>
          </w:tcPr>
          <w:p>
            <w:pPr>
              <w:pStyle w:val="TableContents"/>
              <w:spacing w:before="0" w:after="283"/>
              <w:rPr>
                <w:sz w:val="4"/>
                <w:szCs w:val="4"/>
              </w:rPr>
            </w:pPr>
            <w:r>
              <w:rPr>
                <w:sz w:val="4"/>
                <w:szCs w:val="4"/>
              </w:rPr>
            </w:r>
          </w:p>
        </w:tc>
      </w:tr>
      <w:tr>
        <w:trPr/>
        <w:tc>
          <w:tcPr>
            <w:tcW w:w="2803" w:type="dxa"/>
            <w:gridSpan w:val="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Ian Simmonds</w:t>
            </w:r>
          </w:p>
        </w:tc>
      </w:tr>
      <w:tr>
        <w:trPr/>
        <w:tc>
          <w:tcPr>
            <w:tcW w:w="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Name:</w:t>
            </w:r>
          </w:p>
        </w:tc>
        <w:tc>
          <w:tcPr>
            <w:tcW w:w="146" w:type="dxa"/>
            <w:tcBorders/>
            <w:shd w:fill="auto" w:val="clear"/>
            <w:vAlign w:val="center"/>
          </w:tcPr>
          <w:p>
            <w:pPr>
              <w:pStyle w:val="TableContents"/>
              <w:spacing w:before="0" w:after="0"/>
              <w:ind w:left="0" w:right="0" w:hanging="0"/>
              <w:jc w:val="left"/>
              <w:rPr/>
            </w:pPr>
            <w:r>
              <w:rPr/>
              <w:t> </w:t>
            </w:r>
          </w:p>
        </w:tc>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Ian Simmonds</w:t>
            </w:r>
          </w:p>
        </w:tc>
      </w:tr>
      <w:tr>
        <w:trPr/>
        <w:tc>
          <w:tcPr>
            <w:tcW w:w="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Title:</w:t>
            </w:r>
          </w:p>
        </w:tc>
        <w:tc>
          <w:tcPr>
            <w:tcW w:w="146" w:type="dxa"/>
            <w:tcBorders/>
            <w:shd w:fill="auto" w:val="clear"/>
            <w:vAlign w:val="center"/>
          </w:tcPr>
          <w:p>
            <w:pPr>
              <w:pStyle w:val="TableContents"/>
              <w:spacing w:before="0" w:after="0"/>
              <w:ind w:left="0" w:right="0" w:hanging="0"/>
              <w:jc w:val="left"/>
              <w:rPr/>
            </w:pPr>
            <w:r>
              <w:rPr/>
              <w:t> </w:t>
            </w:r>
          </w:p>
        </w:tc>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6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46" w:type="dxa"/>
            <w:tcBorders/>
            <w:shd w:fill="auto" w:val="clear"/>
            <w:vAlign w:val="center"/>
          </w:tcPr>
          <w:p>
            <w:pPr>
              <w:pStyle w:val="TableContents"/>
              <w:spacing w:before="0" w:after="0"/>
              <w:ind w:left="0" w:right="0" w:hanging="0"/>
              <w:jc w:val="left"/>
              <w:rPr/>
            </w:pPr>
            <w:r>
              <w:rPr/>
              <w:t> </w:t>
            </w:r>
          </w:p>
        </w:tc>
        <w:tc>
          <w:tcPr>
            <w:tcW w:w="20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May 8, 2023</w:t>
            </w:r>
          </w:p>
        </w:tc>
      </w:tr>
    </w:tbl>
    <w:p>
      <w:pPr>
        <w:pStyle w:val="TextBody"/>
        <w:spacing w:before="240" w:after="0"/>
        <w:jc w:val="left"/>
        <w:rPr>
          <w:rFonts w:ascii="Times New Roman" w:hAnsi="Times New Roman"/>
          <w:sz w:val="20"/>
        </w:rPr>
      </w:pPr>
      <w:r>
        <w:rPr>
          <w:rFonts w:ascii="Times New Roman;serif" w:hAnsi="Times New Roman;serif"/>
          <w:b w:val="false"/>
          <w:sz w:val="20"/>
        </w:rPr>
        <w:t>The foregoing certification is being furnished solely pursuant to 18 U.S.C. §1350 and is not being filed as part of the Report or as a separate disclosure document.</w:t>
      </w:r>
      <w:r>
        <w:rPr>
          <w:rFonts w:ascii="Times New Roman" w:hAnsi="Times New Roman"/>
          <w:sz w:val="20"/>
        </w:rPr>
        <w:t xml:space="preserve"> </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19</Pages>
  <Words>44706</Words>
  <CharactersWithSpaces>289372</CharactersWithSpaces>
  <Paragraphs>18120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