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50630.htm"/>
      <w:bookmarkStart w:id="1" w:name="kstslx2025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52" w:type="dxa"/>
        <w:jc w:val="left"/>
        <w:tblInd w:w="0" w:type="dxa"/>
        <w:tblLayout w:type="fixed"/>
        <w:tblCellMar>
          <w:top w:w="28" w:type="dxa"/>
          <w:left w:w="28" w:type="dxa"/>
          <w:bottom w:w="28" w:type="dxa"/>
          <w:right w:w="28" w:type="dxa"/>
        </w:tblCellMar>
      </w:tblPr>
      <w:tblGrid>
        <w:gridCol w:w="3166"/>
        <w:gridCol w:w="1486"/>
      </w:tblGrid>
      <w:tr>
        <w:trPr/>
        <w:tc>
          <w:tcPr>
            <w:tcW w:w="31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666"/>
        <w:gridCol w:w="376"/>
        <w:gridCol w:w="207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shares of the registrant’s common stock, $.01 par value per share, outstanding at July 30, 2025 was 94,240,348.</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88"/>
        <w:gridCol w:w="146"/>
        <w:gridCol w:w="8508"/>
        <w:gridCol w:w="146"/>
        <w:gridCol w:w="617"/>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8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and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as of June 30,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_ne">
              <w:r>
                <w:rPr>
                  <w:rStyle w:val="InternetLink"/>
                  <w:rFonts w:ascii="Times New Roman" w:hAnsi="Times New Roman"/>
                  <w:color w:val="0000FF"/>
                  <w:sz w:val="20"/>
                  <w:u w:val="single"/>
                </w:rPr>
                <w:t>Consolidated Statements of Changes in Net Assets for the three and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_fo">
              <w:r>
                <w:rPr>
                  <w:rStyle w:val="InternetLink"/>
                  <w:rFonts w:ascii="Times New Roman" w:hAnsi="Times New Roman"/>
                  <w:color w:val="0000FF"/>
                  <w:sz w:val="20"/>
                  <w:u w:val="single"/>
                </w:rPr>
                <w:t>Consolidated Statements of Cash Flows for the six months ended June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quant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s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_page">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factors previously identified elsewhere in the reports and other documents Sixth Street Specialty Lending, Inc. (the "Company", "we", "us", or "our") has filed with the Securities and Exchange Commission, or SEC, the following factors, among others, could cause actual results to differ materially from forward-looking statements or historical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which could impair our portfolio companies’ abilities to continue to operate, and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could negatively impact our business, including our ability to access the debt markets on favorable terms, or could negatively impact our portfolio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2024, filed with the SEC on February 13, 2025,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“TSLX” and “TAO” marks are marks of Sixth Street.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 w:name="consolidated_balance_sheets"/>
      <w:bookmarkEnd w:id="3"/>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45"/>
        <w:gridCol w:w="146"/>
        <w:gridCol w:w="196"/>
        <w:gridCol w:w="826"/>
        <w:gridCol w:w="166"/>
        <w:gridCol w:w="146"/>
        <w:gridCol w:w="208"/>
        <w:gridCol w:w="879"/>
        <w:gridCol w:w="593"/>
      </w:tblGrid>
      <w:tr>
        <w:trPr/>
        <w:tc>
          <w:tcPr>
            <w:tcW w:w="7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$3,161,381</w:t>
            </w:r>
            <w:r>
              <w:rPr>
                <w:rFonts w:ascii="Times New Roman" w:hAnsi="Times New Roman"/>
                <w:color w:val="000000"/>
                <w:sz w:val="20"/>
              </w:rPr>
              <w:t> </w:t>
            </w:r>
            <w:r>
              <w:rPr>
                <w:rFonts w:ascii="Times New Roman" w:hAnsi="Times New Roman"/>
                <w:color w:val="000000"/>
                <w:sz w:val="16"/>
              </w:rPr>
              <w:t>and $3,450,644,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3,228,407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3,453,317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Controlled, affiliated investments (amortized cost of $94,279</w:t>
            </w:r>
            <w:r>
              <w:rPr>
                <w:rFonts w:ascii="Times New Roman" w:hAnsi="Times New Roman"/>
                <w:color w:val="000000"/>
                <w:sz w:val="20"/>
              </w:rPr>
              <w:t> </w:t>
            </w:r>
            <w:r>
              <w:rPr>
                <w:rFonts w:ascii="Times New Roman" w:hAnsi="Times New Roman"/>
                <w:color w:val="000000"/>
                <w:sz w:val="16"/>
              </w:rPr>
              <w:t>and $88,509,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$3,255,660</w:t>
            </w:r>
            <w:r>
              <w:rPr>
                <w:rFonts w:ascii="Times New Roman" w:hAnsi="Times New Roman"/>
                <w:color w:val="000000"/>
                <w:sz w:val="20"/>
              </w:rPr>
              <w:t> </w:t>
            </w:r>
            <w:r>
              <w:rPr>
                <w:rFonts w:ascii="Times New Roman" w:hAnsi="Times New Roman"/>
                <w:color w:val="000000"/>
                <w:sz w:val="16"/>
              </w:rPr>
              <w:t>and $3,539,153,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3,518,412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$35,256</w:t>
            </w:r>
            <w:r>
              <w:rPr>
                <w:rFonts w:ascii="Times New Roman" w:hAnsi="Times New Roman"/>
                <w:color w:val="000000"/>
                <w:sz w:val="20"/>
              </w:rPr>
              <w:t> </w:t>
            </w:r>
            <w:r>
              <w:rPr>
                <w:rFonts w:ascii="Times New Roman" w:hAnsi="Times New Roman"/>
                <w:color w:val="000000"/>
                <w:sz w:val="16"/>
              </w:rPr>
              <w:t>and $22,362,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$27,924</w:t>
            </w:r>
            <w:r>
              <w:rPr>
                <w:rFonts w:ascii="Times New Roman" w:hAnsi="Times New Roman"/>
                <w:color w:val="000000"/>
                <w:sz w:val="20"/>
              </w:rPr>
              <w:t> </w:t>
            </w:r>
            <w:r>
              <w:rPr>
                <w:rFonts w:ascii="Times New Roman" w:hAnsi="Times New Roman"/>
                <w:color w:val="000000"/>
                <w:sz w:val="16"/>
              </w:rPr>
              <w:t>and $23,837,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1,901,142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1,798,202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1,974,696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w:t>
              <w:br/>
              <w:t>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94,904,598</w:t>
              <w:br/>
              <w:t>   and 94,325,686</w:t>
            </w:r>
            <w:r>
              <w:rPr>
                <w:rFonts w:ascii="Times New Roman" w:hAnsi="Times New Roman"/>
                <w:color w:val="000000"/>
                <w:sz w:val="20"/>
              </w:rPr>
              <w:t> </w:t>
            </w:r>
            <w:r>
              <w:rPr>
                <w:rFonts w:ascii="Times New Roman" w:hAnsi="Times New Roman"/>
                <w:color w:val="000000"/>
                <w:sz w:val="16"/>
              </w:rPr>
              <w:t>shares issued, respectively; and 94,240,348</w:t>
            </w:r>
            <w:r>
              <w:rPr>
                <w:rFonts w:ascii="Times New Roman" w:hAnsi="Times New Roman"/>
                <w:color w:val="000000"/>
                <w:sz w:val="20"/>
              </w:rPr>
              <w:t> </w:t>
            </w:r>
            <w:r>
              <w:rPr>
                <w:rFonts w:ascii="Times New Roman" w:hAnsi="Times New Roman"/>
                <w:color w:val="000000"/>
                <w:sz w:val="16"/>
              </w:rPr>
              <w:t>and 93,661,436</w:t>
              <w:br/>
              <w:t>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Treasury stock at cost; 664,250</w:t>
            </w:r>
            <w:r>
              <w:rPr>
                <w:rFonts w:ascii="Times New Roman" w:hAnsi="Times New Roman"/>
                <w:color w:val="000000"/>
                <w:sz w:val="20"/>
              </w:rPr>
              <w:t> </w:t>
            </w:r>
            <w:r>
              <w:rPr>
                <w:rFonts w:ascii="Times New Roman" w:hAnsi="Times New Roman"/>
                <w:color w:val="000000"/>
                <w:sz w:val="16"/>
              </w:rPr>
              <w:t>and 664,250</w:t>
            </w:r>
            <w:r>
              <w:rPr>
                <w:rFonts w:ascii="Times New Roman" w:hAnsi="Times New Roman"/>
                <w:color w:val="000000"/>
                <w:sz w:val="20"/>
              </w:rPr>
              <w:t> </w:t>
            </w:r>
            <w:r>
              <w:rPr>
                <w:rFonts w:ascii="Times New Roman" w:hAnsi="Times New Roman"/>
                <w:color w:val="000000"/>
                <w:sz w:val="16"/>
              </w:rPr>
              <w:t>shares held,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3,415,848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3,582,225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statements_of_operations"/>
      <w:bookmarkEnd w:id="4"/>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638"/>
        <w:gridCol w:w="146"/>
        <w:gridCol w:w="196"/>
        <w:gridCol w:w="921"/>
        <w:gridCol w:w="166"/>
        <w:gridCol w:w="146"/>
        <w:gridCol w:w="196"/>
        <w:gridCol w:w="921"/>
        <w:gridCol w:w="166"/>
        <w:gridCol w:w="146"/>
        <w:gridCol w:w="196"/>
        <w:gridCol w:w="921"/>
        <w:gridCol w:w="166"/>
        <w:gridCol w:w="146"/>
        <w:gridCol w:w="196"/>
        <w:gridCol w:w="921"/>
        <w:gridCol w:w="1017"/>
      </w:tblGrid>
      <w:tr>
        <w:trPr/>
        <w:tc>
          <w:tcPr>
            <w:tcW w:w="3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205,114</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17,543</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9,787</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235,040</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4,559</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239,599</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78,266</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25,361</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22,342</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(2,179</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3,866</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130,711</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130,017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109,582</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107,506</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(17,166</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3,085</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(16,462</w:t>
            </w:r>
          </w:p>
        </w:tc>
        <w:tc>
          <w:tcPr>
            <w:tcW w:w="10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(12,587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94,919</w:t>
            </w:r>
          </w:p>
        </w:tc>
        <w:tc>
          <w:tcPr>
            <w:tcW w:w="10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93,971,164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92,734,320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93,821,251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90,883,350</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5" w:name="consolidated_schedule_of_investments"/>
      <w:bookmarkEnd w:id="5"/>
      <w:r>
        <w:rPr>
          <w:rFonts w:ascii="Times New Roman" w:hAnsi="Times New Roman"/>
          <w:b/>
          <w:color w:val="000000"/>
          <w:sz w:val="20"/>
        </w:rPr>
        <w:t>Consolidated Schedule of Investments as of June 30, 2025</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6"/>
        <w:gridCol w:w="146"/>
        <w:gridCol w:w="1452"/>
        <w:gridCol w:w="146"/>
        <w:gridCol w:w="856"/>
        <w:gridCol w:w="146"/>
        <w:gridCol w:w="146"/>
        <w:gridCol w:w="675"/>
        <w:gridCol w:w="226"/>
        <w:gridCol w:w="146"/>
        <w:gridCol w:w="207"/>
        <w:gridCol w:w="639"/>
        <w:gridCol w:w="226"/>
        <w:gridCol w:w="146"/>
        <w:gridCol w:w="146"/>
        <w:gridCol w:w="149"/>
        <w:gridCol w:w="617"/>
        <w:gridCol w:w="146"/>
        <w:gridCol w:w="146"/>
        <w:gridCol w:w="146"/>
        <w:gridCol w:w="157"/>
        <w:gridCol w:w="648"/>
        <w:gridCol w:w="146"/>
        <w:gridCol w:w="146"/>
        <w:gridCol w:w="226"/>
        <w:gridCol w:w="585"/>
        <w:gridCol w:w="274"/>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Alpha Midco,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($69,606</w:t>
            </w:r>
            <w:r>
              <w:rPr>
                <w:rFonts w:ascii="Times New Roman" w:hAnsi="Times New Roman"/>
                <w:color w:val="000000"/>
                <w:sz w:val="20"/>
              </w:rPr>
              <w:t> </w:t>
            </w:r>
            <w:r>
              <w:rPr>
                <w:rFonts w:ascii="Times New Roman" w:hAnsi="Times New Roman"/>
                <w:color w:val="000000"/>
                <w:sz w:val="15"/>
              </w:rPr>
              <w:t>par, due 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($38,634</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17,469</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20,557</w:t>
              <w:br/>
              <w:t> (EUR 17,513)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($2,191</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($51,430</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Dye &amp; Durham Corp.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($950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($2,245</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10,396</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 (incl. 2.50%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14,424</w:t>
              <w:br/>
              <w:t> (GBP 10,526)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($76,690</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ForeScout Technologies,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($5,569</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Galileo Parent,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($63,768</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($6,635</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($1,461</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 (incl. 5.61%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614</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 (incl. 5.61%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w:t>
              <w:br/>
              <w:t> (EUR 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($324</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1,084</w:t>
              <w:br/>
              <w:t> (EUR 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br/>
              <w:t> (EUR 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($6,940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($397</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($6,001</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Erling Lux Bidco SARL</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23,477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28,240</w:t>
              <w:br/>
              <w:t> (EUR 24,057)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9,374</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13,103</w:t>
              <w:br/>
              <w:t> (GBP 9,562)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7,428</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w:t>
              <w:br/>
              <w:t> (NOK 7,575)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280</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w:t>
              <w:br/>
              <w:t> (GBP 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MidCo 2 B.V.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38,720</w:t>
              <w:br/>
              <w:t> (EUR 32,986)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X Holdings Inc.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($9,386</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($988</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Acquisition Corp. </w:t>
            </w:r>
            <w:r>
              <w:rPr>
                <w:rFonts w:ascii="Times New Roman" w:hAnsi="Times New Roman"/>
                <w:color w:val="000000"/>
                <w:sz w:val="1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($40,302</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+ 9.88%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($5,095</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1"/>
        <w:gridCol w:w="146"/>
        <w:gridCol w:w="1871"/>
        <w:gridCol w:w="146"/>
        <w:gridCol w:w="546"/>
        <w:gridCol w:w="146"/>
        <w:gridCol w:w="146"/>
        <w:gridCol w:w="797"/>
        <w:gridCol w:w="226"/>
        <w:gridCol w:w="146"/>
        <w:gridCol w:w="242"/>
        <w:gridCol w:w="749"/>
        <w:gridCol w:w="226"/>
        <w:gridCol w:w="146"/>
        <w:gridCol w:w="146"/>
        <w:gridCol w:w="146"/>
        <w:gridCol w:w="601"/>
        <w:gridCol w:w="146"/>
        <w:gridCol w:w="146"/>
        <w:gridCol w:w="146"/>
        <w:gridCol w:w="158"/>
        <w:gridCol w:w="654"/>
        <w:gridCol w:w="146"/>
        <w:gridCol w:w="146"/>
        <w:gridCol w:w="146"/>
        <w:gridCol w:w="376"/>
        <w:gridCol w:w="274"/>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($15,557</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($819</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109,948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($27,097</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859</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Bluebill Buyer,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($29,384</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BlueSnap,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($49,331</w:t>
            </w:r>
            <w:r>
              <w:rPr>
                <w:rFonts w:ascii="Times New Roman" w:hAnsi="Times New Roman"/>
                <w:color w:val="000000"/>
                <w:sz w:val="20"/>
              </w:rPr>
              <w:t> </w:t>
            </w:r>
            <w:r>
              <w:rPr>
                <w:rFonts w:ascii="Times New Roman" w:hAnsi="Times New Roman"/>
                <w:color w:val="000000"/>
                <w:sz w:val="15"/>
              </w:rPr>
              <w:t>par, due 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Fullsteam Operations, LLC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($39,394</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($3,568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($758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5,930</w:t>
              <w:br/>
              <w:t> (EUR 5,052)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($1,177</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($19,555</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($55,244</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($1,232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($3,332</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($70,048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($7,112</w:t>
            </w:r>
            <w:r>
              <w:rPr>
                <w:rFonts w:ascii="Times New Roman" w:hAnsi="Times New Roman"/>
                <w:color w:val="000000"/>
                <w:sz w:val="20"/>
              </w:rPr>
              <w:t> </w:t>
            </w:r>
            <w:r>
              <w:rPr>
                <w:rFonts w:ascii="Times New Roman" w:hAnsi="Times New Roman"/>
                <w:color w:val="000000"/>
                <w:sz w:val="15"/>
              </w:rPr>
              <w:t>par, due 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Edge Bidco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5,932</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7,085</w:t>
              <w:br/>
              <w:t> (EUR 6,036)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Eventus Buyer,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($25,835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Ingenovis Health Finance,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($32,500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L.P.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($70,103</w:t>
            </w:r>
            <w:r>
              <w:rPr>
                <w:rFonts w:ascii="Times New Roman" w:hAnsi="Times New Roman"/>
                <w:color w:val="000000"/>
                <w:sz w:val="20"/>
              </w:rPr>
              <w:t> </w:t>
            </w:r>
            <w:r>
              <w:rPr>
                <w:rFonts w:ascii="Times New Roman" w:hAnsi="Times New Roman"/>
                <w:color w:val="000000"/>
                <w:sz w:val="15"/>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($18,041</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($638</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($45,054</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($50,624 par, due 3/2029)</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12.55%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($2,537</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($43,742</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4,553</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 (incl. 3.88%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w:t>
              <w:br/>
              <w:t> (EUR 4,621)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6"/>
        <w:gridCol w:w="146"/>
        <w:gridCol w:w="1619"/>
        <w:gridCol w:w="146"/>
        <w:gridCol w:w="522"/>
        <w:gridCol w:w="146"/>
        <w:gridCol w:w="199"/>
        <w:gridCol w:w="932"/>
        <w:gridCol w:w="226"/>
        <w:gridCol w:w="146"/>
        <w:gridCol w:w="226"/>
        <w:gridCol w:w="698"/>
        <w:gridCol w:w="226"/>
        <w:gridCol w:w="146"/>
        <w:gridCol w:w="146"/>
        <w:gridCol w:w="146"/>
        <w:gridCol w:w="601"/>
        <w:gridCol w:w="146"/>
        <w:gridCol w:w="146"/>
        <w:gridCol w:w="146"/>
        <w:gridCol w:w="164"/>
        <w:gridCol w:w="677"/>
        <w:gridCol w:w="146"/>
        <w:gridCol w:w="146"/>
        <w:gridCol w:w="146"/>
        <w:gridCol w:w="376"/>
        <w:gridCol w:w="275"/>
      </w:tblGrid>
      <w:tr>
        <w:trPr/>
        <w:tc>
          <w:tcPr>
            <w:tcW w:w="1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br/>
              <w:t> (EUR 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($45,113</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($44,684</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($21,822</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487</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+ 4.00%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w:t>
              <w:br/>
              <w:t> (GBP 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(AUD 60,000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B</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39,424</w:t>
              <w:br/>
              <w:t> (AUD 60,158)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HireVue,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($53,301</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($3,493</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Madcap Software, Inc.</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($32,013</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($70,099</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Disco Parent,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($5,319</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($36,838</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($41,356</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 (incl. 3.38%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($436</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 Wombat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($42,759</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($74,047</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84,719</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8.84% (incl. 3.50%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8,942</w:t>
              <w:br/>
              <w:t> (SEK 85,221)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125,000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STIBOR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8.74% (incl. 3.50%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13,221</w:t>
              <w:br/>
              <w:t> (SEK 126,000)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2,515</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 (incl. 3.50%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2,966</w:t>
              <w:br/>
              <w:t> (EUR 2,527)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Khoros,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($11,682</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($20,253</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10.56% (incl. 3.38%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4,687</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 (incl. 3.38%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5,543</w:t>
              <w:br/>
              <w:t> (EUR 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($60,263</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($9,740</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 (incl. 3.50%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Merit Software Finance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($43,214</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RainFocus,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($61,099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SMA Technologies Holdings, LLC</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($53,991</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($3,532 par, due 9/2029)</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12.05% (incl. 4.75%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($2,012</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Heritage Environmental Services,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($12,222</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($1,325</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Skylark UK DebtCo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($16,340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9"/>
        <w:gridCol w:w="146"/>
        <w:gridCol w:w="1650"/>
        <w:gridCol w:w="146"/>
        <w:gridCol w:w="536"/>
        <w:gridCol w:w="146"/>
        <w:gridCol w:w="200"/>
        <w:gridCol w:w="860"/>
        <w:gridCol w:w="226"/>
        <w:gridCol w:w="146"/>
        <w:gridCol w:w="241"/>
        <w:gridCol w:w="748"/>
        <w:gridCol w:w="226"/>
        <w:gridCol w:w="146"/>
        <w:gridCol w:w="146"/>
        <w:gridCol w:w="146"/>
        <w:gridCol w:w="601"/>
        <w:gridCol w:w="146"/>
        <w:gridCol w:w="146"/>
        <w:gridCol w:w="146"/>
        <w:gridCol w:w="162"/>
        <w:gridCol w:w="671"/>
        <w:gridCol w:w="146"/>
        <w:gridCol w:w="146"/>
        <w:gridCol w:w="146"/>
        <w:gridCol w:w="301"/>
        <w:gridCol w:w="276"/>
      </w:tblGrid>
      <w:tr>
        <w:trPr/>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4,851</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5,751</w:t>
              <w:br/>
              <w:t> (EUR 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22,186</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30,707</w:t>
              <w:br/>
              <w:t> (GBP 22,408)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643</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874</w:t>
              <w:br/>
              <w:t> (GBP 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15,127</w:t>
              <w:br/>
              <w:t> (EUR 12,887)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4,392</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5,131</w:t>
              <w:br/>
              <w:t> (EUR 4,371)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($10,809</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Northwind Midstream Partners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($25,000</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13,213</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 (incl. 5.75%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15,355</w:t>
              <w:br/>
              <w:t> (EUR 13,081)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($39,328</w:t>
            </w:r>
            <w:r>
              <w:rPr>
                <w:rFonts w:ascii="Times New Roman" w:hAnsi="Times New Roman"/>
                <w:color w:val="000000"/>
                <w:sz w:val="20"/>
              </w:rPr>
              <w:t> </w:t>
            </w:r>
            <w:r>
              <w:rPr>
                <w:rFonts w:ascii="Times New Roman" w:hAnsi="Times New Roman"/>
                <w:color w:val="000000"/>
                <w:sz w:val="15"/>
              </w:rPr>
              <w:t>par, due 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2,965</w:t>
              <w:br/>
              <w:t> (EUR 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Sky Bidco S.p.A.</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7,591</w:t>
              <w:br/>
              <w:t> (EUR 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($27,388</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17,985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20,795</w:t>
              <w:br/>
              <w:t> (EUR 17,715)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13,469</w:t>
              <w:br/>
              <w:t> (GBP 9,829)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691</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10.47%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940</w:t>
              <w:br/>
              <w:t> (GBP 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($13,950</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($26,767</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 (incl. 11.17%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($1,334</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19.42% (incl. 18.92%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($6,023</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($23,849</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($3,590</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($48,125</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($63,002</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($54,482</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($20,388</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($656</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1"/>
        <w:gridCol w:w="146"/>
        <w:gridCol w:w="1539"/>
        <w:gridCol w:w="146"/>
        <w:gridCol w:w="477"/>
        <w:gridCol w:w="146"/>
        <w:gridCol w:w="178"/>
        <w:gridCol w:w="789"/>
        <w:gridCol w:w="226"/>
        <w:gridCol w:w="146"/>
        <w:gridCol w:w="191"/>
        <w:gridCol w:w="592"/>
        <w:gridCol w:w="226"/>
        <w:gridCol w:w="146"/>
        <w:gridCol w:w="146"/>
        <w:gridCol w:w="146"/>
        <w:gridCol w:w="721"/>
        <w:gridCol w:w="146"/>
        <w:gridCol w:w="146"/>
        <w:gridCol w:w="146"/>
        <w:gridCol w:w="150"/>
        <w:gridCol w:w="742"/>
        <w:gridCol w:w="146"/>
        <w:gridCol w:w="146"/>
        <w:gridCol w:w="146"/>
        <w:gridCol w:w="451"/>
        <w:gridCol w:w="274"/>
      </w:tblGrid>
      <w:tr>
        <w:trPr/>
        <w:tc>
          <w:tcPr>
            <w:tcW w:w="1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7,491</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8,846</w:t>
              <w:br/>
              <w:t> (EUR 7,535)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($47,588</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($33,874</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1,083</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1,503</w:t>
              <w:br/>
              <w:t> (GBP 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($1,667</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($54,687</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($25,344 par, due 1/2030)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($19,994</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31,875</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37,152</w:t>
              <w:br/>
              <w:t> (EUR 31,650)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3,098,582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3,126,317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193.3</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Clarience Technologies,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Topco LP</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br/>
              <w:t> (CAD 1,219)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Newark FP Co-Invest, L.P.</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2L Holdings II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(10.17%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AF Eagle Parent, L.P.</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AA Units (19,093 units) </w:t>
            </w: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(10)(11)(12)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(1,210,369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Khoros, LLC </w:t>
            </w: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0"/>
        <w:gridCol w:w="146"/>
        <w:gridCol w:w="2450"/>
        <w:gridCol w:w="146"/>
        <w:gridCol w:w="653"/>
        <w:gridCol w:w="146"/>
        <w:gridCol w:w="146"/>
        <w:gridCol w:w="146"/>
        <w:gridCol w:w="146"/>
        <w:gridCol w:w="146"/>
        <w:gridCol w:w="146"/>
        <w:gridCol w:w="146"/>
        <w:gridCol w:w="181"/>
        <w:gridCol w:w="146"/>
        <w:gridCol w:w="721"/>
        <w:gridCol w:w="146"/>
        <w:gridCol w:w="146"/>
        <w:gridCol w:w="181"/>
        <w:gridCol w:w="154"/>
        <w:gridCol w:w="762"/>
        <w:gridCol w:w="146"/>
        <w:gridCol w:w="146"/>
        <w:gridCol w:w="146"/>
        <w:gridCol w:w="451"/>
        <w:gridCol w:w="302"/>
      </w:tblGrid>
      <w:tr>
        <w:trP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(33,790,171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bswift,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3,573</w:t>
              <w:br/>
              <w:t> (AUD 5,452)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Bigtincan Holdings L.P.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(2,333,333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SMA Technologies Holdings, LLC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6,820</w:t>
              <w:br/>
              <w:t> (GBP 4,977)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3,255,660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3,294,905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203.7</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3"/>
        <w:gridCol w:w="146"/>
        <w:gridCol w:w="811"/>
        <w:gridCol w:w="146"/>
        <w:gridCol w:w="970"/>
        <w:gridCol w:w="146"/>
        <w:gridCol w:w="954"/>
        <w:gridCol w:w="146"/>
        <w:gridCol w:w="196"/>
        <w:gridCol w:w="826"/>
        <w:gridCol w:w="146"/>
        <w:gridCol w:w="146"/>
        <w:gridCol w:w="196"/>
        <w:gridCol w:w="661"/>
        <w:gridCol w:w="166"/>
        <w:gridCol w:w="146"/>
        <w:gridCol w:w="351"/>
        <w:gridCol w:w="622"/>
        <w:gridCol w:w="146"/>
        <w:gridCol w:w="146"/>
        <w:gridCol w:w="257"/>
        <w:gridCol w:w="794"/>
        <w:gridCol w:w="394"/>
      </w:tblGrid>
      <w:tr>
        <w:trPr/>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2"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June 30, 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6,196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29,160</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Certain portfolio company investments are subject to contractual restrictions on sales.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Canadian Overnight Repo Rate Average ("CORRA" or "C")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June 30,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17.5%</w:t>
      </w:r>
      <w:r>
        <w:rPr>
          <w:color w:val="000000"/>
        </w:rPr>
        <w:t xml:space="preserve"> </w:t>
      </w:r>
      <w:r>
        <w:rPr>
          <w:rFonts w:ascii="Times New Roman" w:hAnsi="Times New Roman"/>
          <w:color w:val="000000"/>
          <w:sz w:val="20"/>
        </w:rPr>
        <w:t>of total assets as of June 30,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2025 in which the issuer was an Affiliated Person of and was deemed to Control a portfolio company are as follows:</w:t>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six months ended June 30, 2025</w:t>
      </w:r>
    </w:p>
    <w:p>
      <w:pPr>
        <w:pStyle w:val="TextBody"/>
        <w:bidi w:val="0"/>
        <w:spacing w:before="40" w:after="283"/>
        <w:jc w:val="center"/>
        <w:rPr/>
      </w:pPr>
      <w:r>
        <w:rPr/>
        <w:t> </w:t>
      </w:r>
    </w:p>
    <w:tbl>
      <w:tblPr>
        <w:tblW w:w="10806"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4"/>
        <w:gridCol w:w="582"/>
        <w:gridCol w:w="146"/>
        <w:gridCol w:w="146"/>
        <w:gridCol w:w="341"/>
        <w:gridCol w:w="560"/>
        <w:gridCol w:w="146"/>
        <w:gridCol w:w="146"/>
        <w:gridCol w:w="222"/>
        <w:gridCol w:w="664"/>
        <w:gridCol w:w="166"/>
        <w:gridCol w:w="146"/>
        <w:gridCol w:w="273"/>
        <w:gridCol w:w="448"/>
        <w:gridCol w:w="146"/>
        <w:gridCol w:w="146"/>
        <w:gridCol w:w="301"/>
        <w:gridCol w:w="495"/>
        <w:gridCol w:w="146"/>
        <w:gridCol w:w="146"/>
        <w:gridCol w:w="211"/>
        <w:gridCol w:w="676"/>
        <w:gridCol w:w="146"/>
        <w:gridCol w:w="146"/>
        <w:gridCol w:w="315"/>
        <w:gridCol w:w="316"/>
        <w:gridCol w:w="146"/>
        <w:gridCol w:w="146"/>
        <w:gridCol w:w="211"/>
        <w:gridCol w:w="57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June 30, 2025, the estimated cost basis of investments for U.S. federal tax purposes was $3,255,929</w:t>
      </w:r>
      <w:r>
        <w:rPr>
          <w:color w:val="000000"/>
        </w:rPr>
        <w:t xml:space="preserve"> </w:t>
      </w:r>
      <w:r>
        <w:rPr>
          <w:rFonts w:ascii="Times New Roman" w:hAnsi="Times New Roman"/>
          <w:color w:val="000000"/>
          <w:sz w:val="20"/>
        </w:rPr>
        <w:t>resulting in estimated gross unrealized gains and losses of $230,523</w:t>
      </w:r>
      <w:r>
        <w:rPr>
          <w:color w:val="000000"/>
        </w:rPr>
        <w:t xml:space="preserve"> </w:t>
      </w:r>
      <w:r>
        <w:rPr>
          <w:rFonts w:ascii="Times New Roman" w:hAnsi="Times New Roman"/>
          <w:color w:val="000000"/>
          <w:sz w:val="20"/>
        </w:rPr>
        <w:t>and $220,344,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pPr>
      <w:r>
        <w:rPr>
          <w:rFonts w:ascii="Times New Roman" w:hAnsi="Times New Roman"/>
          <w:color w:val="000000"/>
          <w:sz w:val="20"/>
        </w:rPr>
        <w:t>This investment is valued using observable inputs and is considered a Level 2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This investment is valued using observable inputs and is considered a Level 1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This investment is non-income producing.</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June 30, 2025, the aggregate fair value of these securities is $52,256, or 3.2%</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pPr>
      <w:r>
        <w:rPr>
          <w:rFonts w:ascii="Times New Roman" w:hAnsi="Times New Roman"/>
          <w:color w:val="000000"/>
          <w:sz w:val="20"/>
        </w:rPr>
        <w:t>Ownership of equity investments may occur through a holding company or partnership.</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June 30,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$14.8</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7"/>
        <w:gridCol w:w="146"/>
        <w:gridCol w:w="1419"/>
        <w:gridCol w:w="146"/>
        <w:gridCol w:w="856"/>
        <w:gridCol w:w="146"/>
        <w:gridCol w:w="146"/>
        <w:gridCol w:w="741"/>
        <w:gridCol w:w="146"/>
        <w:gridCol w:w="146"/>
        <w:gridCol w:w="207"/>
        <w:gridCol w:w="640"/>
        <w:gridCol w:w="226"/>
        <w:gridCol w:w="146"/>
        <w:gridCol w:w="146"/>
        <w:gridCol w:w="181"/>
        <w:gridCol w:w="601"/>
        <w:gridCol w:w="146"/>
        <w:gridCol w:w="146"/>
        <w:gridCol w:w="146"/>
        <w:gridCol w:w="192"/>
        <w:gridCol w:w="640"/>
        <w:gridCol w:w="146"/>
        <w:gridCol w:w="146"/>
        <w:gridCol w:w="226"/>
        <w:gridCol w:w="585"/>
        <w:gridCol w:w="276"/>
      </w:tblGrid>
      <w:tr>
        <w:trPr/>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Company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w:t>
              <w:br/>
              <w:t>Cost (2)(7)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Truck-Lite 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($40,134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Alpha Midco,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($69,624</w:t>
            </w:r>
            <w:r>
              <w:rPr>
                <w:rFonts w:ascii="Times New Roman" w:hAnsi="Times New Roman"/>
                <w:color w:val="000000"/>
                <w:sz w:val="20"/>
              </w:rPr>
              <w:t> </w:t>
            </w:r>
            <w:r>
              <w:rPr>
                <w:rFonts w:ascii="Times New Roman" w:hAnsi="Times New Roman"/>
                <w:color w:val="000000"/>
                <w:sz w:val="15"/>
              </w:rPr>
              <w:t>par, due 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($38,830</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17,558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18,181</w:t>
              <w:br/>
              <w:t> (EUR 17,558)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($36,231</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Crewline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Corp.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($955</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($4,069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 (incl. 1.97%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10,275</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9.95%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12,869</w:t>
              <w:br/>
              <w:t> (GBP 10,275)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ExtraHop Networks,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($74,616</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ForeScout Technologies,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($5,597</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Galileo Parent,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($64,093</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($4,615</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($1,421</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 (incl. 5.61%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597</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10.38% (incl. 5.61%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w:t>
              <w:br/>
              <w:t> (EUR 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Mitnick Corporate Purchaser, Inc. </w:t>
            </w:r>
            <w:r>
              <w:rPr>
                <w:rFonts w:ascii="Times New Roman" w:hAnsi="Times New Roman"/>
                <w:color w:val="000000"/>
                <w:sz w:val="1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($326</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w:t>
              <w:br/>
              <w:t> (EUR 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($6,899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($275</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($5,484</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449,009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Erling Lux Bidco SARL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7,239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7,650</w:t>
              <w:br/>
              <w:t> (EUR 7,388)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19,591</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24,904</w:t>
              <w:br/>
              <w:t> (GBP 19,885)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7,428</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N</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664</w:t>
              <w:br/>
              <w:t> (NOK 7,538)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MidCo 2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34,157</w:t>
              <w:br/>
              <w:t> (EUR 32,986)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Babylon Finco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($1,557</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Banyan Software Holdings, LLC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($39,386</w:t>
            </w:r>
            <w:r>
              <w:rPr>
                <w:rFonts w:ascii="Times New Roman" w:hAnsi="Times New Roman"/>
                <w:color w:val="000000"/>
                <w:sz w:val="20"/>
              </w:rPr>
              <w:t> </w:t>
            </w:r>
            <w:r>
              <w:rPr>
                <w:rFonts w:ascii="Times New Roman" w:hAnsi="Times New Roman"/>
                <w:color w:val="000000"/>
                <w:sz w:val="15"/>
              </w:rPr>
              <w:t>par, due 10/2026)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($16,045</w:t>
            </w:r>
            <w:r>
              <w:rPr>
                <w:rFonts w:ascii="Times New Roman" w:hAnsi="Times New Roman"/>
                <w:color w:val="000000"/>
                <w:sz w:val="20"/>
              </w:rPr>
              <w:t> </w:t>
            </w:r>
            <w:r>
              <w:rPr>
                <w:rFonts w:ascii="Times New Roman" w:hAnsi="Times New Roman"/>
                <w:color w:val="000000"/>
                <w:sz w:val="15"/>
              </w:rPr>
              <w:t>par, due 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($26,437</w:t>
            </w:r>
            <w:r>
              <w:rPr>
                <w:rFonts w:ascii="Times New Roman" w:hAnsi="Times New Roman"/>
                <w:color w:val="000000"/>
                <w:sz w:val="20"/>
              </w:rPr>
              <w:t> </w:t>
            </w:r>
            <w:r>
              <w:rPr>
                <w:rFonts w:ascii="Times New Roman" w:hAnsi="Times New Roman"/>
                <w:color w:val="000000"/>
                <w:sz w:val="15"/>
              </w:rPr>
              <w:t>par, due 11/2026)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Astra Acquisition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($40,302</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4"/>
        <w:gridCol w:w="146"/>
        <w:gridCol w:w="1780"/>
        <w:gridCol w:w="146"/>
        <w:gridCol w:w="532"/>
        <w:gridCol w:w="146"/>
        <w:gridCol w:w="146"/>
        <w:gridCol w:w="691"/>
        <w:gridCol w:w="226"/>
        <w:gridCol w:w="146"/>
        <w:gridCol w:w="233"/>
        <w:gridCol w:w="721"/>
        <w:gridCol w:w="226"/>
        <w:gridCol w:w="146"/>
        <w:gridCol w:w="146"/>
        <w:gridCol w:w="146"/>
        <w:gridCol w:w="601"/>
        <w:gridCol w:w="146"/>
        <w:gridCol w:w="146"/>
        <w:gridCol w:w="146"/>
        <w:gridCol w:w="157"/>
        <w:gridCol w:w="649"/>
        <w:gridCol w:w="146"/>
        <w:gridCol w:w="146"/>
        <w:gridCol w:w="146"/>
        <w:gridCol w:w="376"/>
        <w:gridCol w:w="275"/>
      </w:tblGrid>
      <w:tr>
        <w:trPr/>
        <w:tc>
          <w:tcPr>
            <w:tcW w:w="1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Destiny Solutions Parent Holding Company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($58,950</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Severin Acquisition,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($15,046</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($26,962</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9.75% (incl. 3.0%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765</w:t>
              <w:br/>
              <w:t> (EUR 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Bluebill Buyer,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($29,532</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BlueSnap,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($45,106</w:t>
            </w:r>
            <w:r>
              <w:rPr>
                <w:rFonts w:ascii="Times New Roman" w:hAnsi="Times New Roman"/>
                <w:color w:val="000000"/>
                <w:sz w:val="20"/>
              </w:rPr>
              <w:t> </w:t>
            </w:r>
            <w:r>
              <w:rPr>
                <w:rFonts w:ascii="Times New Roman" w:hAnsi="Times New Roman"/>
                <w:color w:val="000000"/>
                <w:sz w:val="15"/>
              </w:rPr>
              <w:t>par, due 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BTRS Holdings,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($48,983</w:t>
            </w:r>
            <w:r>
              <w:rPr>
                <w:rFonts w:ascii="Times New Roman" w:hAnsi="Times New Roman"/>
                <w:color w:val="000000"/>
                <w:sz w:val="20"/>
              </w:rPr>
              <w:t> </w:t>
            </w:r>
            <w:r>
              <w:rPr>
                <w:rFonts w:ascii="Times New Roman" w:hAnsi="Times New Roman"/>
                <w:color w:val="000000"/>
                <w:sz w:val="15"/>
              </w:rPr>
              <w:t>par, due 12/2028)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($1,807</w:t>
            </w:r>
            <w:r>
              <w:rPr>
                <w:rFonts w:ascii="Times New Roman" w:hAnsi="Times New Roman"/>
                <w:color w:val="000000"/>
                <w:sz w:val="20"/>
              </w:rPr>
              <w:t> </w:t>
            </w:r>
            <w:r>
              <w:rPr>
                <w:rFonts w:ascii="Times New Roman" w:hAnsi="Times New Roman"/>
                <w:color w:val="000000"/>
                <w:sz w:val="15"/>
              </w:rPr>
              <w:t>par, due 12/2028)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CLGF Holdco 2, LLC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($3,916</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($3,357</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Fullsteam Operations,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($40,048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GreenShoot BidCo B.V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5,246</w:t>
              <w:br/>
              <w:t> (EUR 5,066)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Ibis Intermediate Co.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($1,185</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Ibis US Blocker Co.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($18,290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12.91%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First-lien loan ($24,995, par, due 4/2026)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($55,528</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($899</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P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($3,072</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($70,154</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($6,596</w:t>
            </w:r>
            <w:r>
              <w:rPr>
                <w:rFonts w:ascii="Times New Roman" w:hAnsi="Times New Roman"/>
                <w:color w:val="000000"/>
                <w:sz w:val="20"/>
              </w:rPr>
              <w:t> </w:t>
            </w:r>
            <w:r>
              <w:rPr>
                <w:rFonts w:ascii="Times New Roman" w:hAnsi="Times New Roman"/>
                <w:color w:val="000000"/>
                <w:sz w:val="15"/>
              </w:rPr>
              <w:t>par, due 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+ 10.70%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Edge Bidco B.V.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5,947</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6,284</w:t>
              <w:br/>
              <w:t> (EUR 6,068)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Eventus Buyer,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($25,900</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L.P.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($70,103</w:t>
            </w:r>
            <w:r>
              <w:rPr>
                <w:rFonts w:ascii="Times New Roman" w:hAnsi="Times New Roman"/>
                <w:color w:val="000000"/>
                <w:sz w:val="20"/>
              </w:rPr>
              <w:t> </w:t>
            </w:r>
            <w:r>
              <w:rPr>
                <w:rFonts w:ascii="Times New Roman" w:hAnsi="Times New Roman"/>
                <w:color w:val="000000"/>
                <w:sz w:val="15"/>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($18,133</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SL Buyer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($33,416</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($45,167</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($49,590 par, due 3/2029)</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12.58%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($2,347</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8"/>
        <w:gridCol w:w="146"/>
        <w:gridCol w:w="1684"/>
        <w:gridCol w:w="146"/>
        <w:gridCol w:w="533"/>
        <w:gridCol w:w="146"/>
        <w:gridCol w:w="146"/>
        <w:gridCol w:w="794"/>
        <w:gridCol w:w="226"/>
        <w:gridCol w:w="146"/>
        <w:gridCol w:w="233"/>
        <w:gridCol w:w="721"/>
        <w:gridCol w:w="226"/>
        <w:gridCol w:w="146"/>
        <w:gridCol w:w="146"/>
        <w:gridCol w:w="146"/>
        <w:gridCol w:w="601"/>
        <w:gridCol w:w="146"/>
        <w:gridCol w:w="146"/>
        <w:gridCol w:w="146"/>
        <w:gridCol w:w="162"/>
        <w:gridCol w:w="673"/>
        <w:gridCol w:w="146"/>
        <w:gridCol w:w="146"/>
        <w:gridCol w:w="146"/>
        <w:gridCol w:w="376"/>
        <w:gridCol w:w="274"/>
      </w:tblGrid>
      <w:tr>
        <w:trPr/>
        <w:tc>
          <w:tcPr>
            <w:tcW w:w="1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($37,972</w:t>
            </w:r>
            <w:r>
              <w:rPr>
                <w:rFonts w:ascii="Times New Roman" w:hAnsi="Times New Roman"/>
                <w:color w:val="000000"/>
                <w:sz w:val="20"/>
              </w:rPr>
              <w:t> </w:t>
            </w:r>
            <w:r>
              <w:rPr>
                <w:rFonts w:ascii="Times New Roman" w:hAnsi="Times New Roman"/>
                <w:color w:val="000000"/>
                <w:sz w:val="15"/>
              </w:rPr>
              <w:t>par, due 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QSR Acquisition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($30,000</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4,494</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 (incl. 3.88%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4,601</w:t>
              <w:br/>
              <w:t> (EUR 4,443)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($44,419</w:t>
            </w:r>
            <w:r>
              <w:rPr>
                <w:rFonts w:ascii="Times New Roman" w:hAnsi="Times New Roman"/>
                <w:color w:val="000000"/>
                <w:sz w:val="20"/>
              </w:rPr>
              <w:t> </w:t>
            </w:r>
            <w:r>
              <w:rPr>
                <w:rFonts w:ascii="Times New Roman" w:hAnsi="Times New Roman"/>
                <w:color w:val="000000"/>
                <w:sz w:val="15"/>
              </w:rPr>
              <w:t>par, due 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($43,910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($21,899</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325</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w:t>
              <w:br/>
              <w:t> (GBP 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(AUD 60,000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B</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37,247</w:t>
              <w:br/>
              <w:t> (AUD 60,158)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HireVue,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($53,572</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($4,378</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Madcap Software,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($32,175</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($70,465</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PrimePay Intermediate,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($34,025</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Disco Parent,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($5,319</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Arrow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($34,944</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($40,663</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 (incl. 3.38%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($42,975</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CrunchTime Information, Systems,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($58,898</w:t>
            </w:r>
            <w:r>
              <w:rPr>
                <w:rFonts w:ascii="Times New Roman" w:hAnsi="Times New Roman"/>
                <w:color w:val="000000"/>
                <w:sz w:val="20"/>
              </w:rPr>
              <w:t> </w:t>
            </w:r>
            <w:r>
              <w:rPr>
                <w:rFonts w:ascii="Times New Roman" w:hAnsi="Times New Roman"/>
                <w:color w:val="000000"/>
                <w:sz w:val="15"/>
              </w:rPr>
              <w:t>par, due 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EDB Parent,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($69,873</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Higher Logic,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($50,054</w:t>
            </w:r>
            <w:r>
              <w:rPr>
                <w:rFonts w:ascii="Times New Roman" w:hAnsi="Times New Roman"/>
                <w:color w:val="000000"/>
                <w:sz w:val="20"/>
              </w:rPr>
              <w:t> </w:t>
            </w:r>
            <w:r>
              <w:rPr>
                <w:rFonts w:ascii="Times New Roman" w:hAnsi="Times New Roman"/>
                <w:color w:val="000000"/>
                <w:sz w:val="15"/>
              </w:rPr>
              <w:t>par, due 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80,225</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STIBOR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 (incl. 3.50%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7,238</w:t>
              <w:br/>
              <w:t> (SEK 79,977)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2,472</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9.87% (incl. 3.50%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2,554</w:t>
              <w:br/>
              <w:t> (EUR 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($19,912</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4,608</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4,688</w:t>
              <w:br/>
              <w:t> (EUR 4,527)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($56,156</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Lithium Technologies, LLC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($61,483</w:t>
            </w:r>
            <w:r>
              <w:rPr>
                <w:rFonts w:ascii="Times New Roman" w:hAnsi="Times New Roman"/>
                <w:color w:val="000000"/>
                <w:sz w:val="20"/>
              </w:rPr>
              <w:t> </w:t>
            </w:r>
            <w:r>
              <w:rPr>
                <w:rFonts w:ascii="Times New Roman" w:hAnsi="Times New Roman"/>
                <w:color w:val="000000"/>
                <w:sz w:val="15"/>
              </w:rPr>
              <w:t>par, due 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+ 11.00%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($9,477</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11.86% (incl. 3.5%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Merit Software Finance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($43,214</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($53,991</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556,444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Aptean,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($8,835</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1"/>
        <w:gridCol w:w="146"/>
        <w:gridCol w:w="1639"/>
        <w:gridCol w:w="146"/>
        <w:gridCol w:w="534"/>
        <w:gridCol w:w="146"/>
        <w:gridCol w:w="173"/>
        <w:gridCol w:w="886"/>
        <w:gridCol w:w="226"/>
        <w:gridCol w:w="146"/>
        <w:gridCol w:w="240"/>
        <w:gridCol w:w="743"/>
        <w:gridCol w:w="226"/>
        <w:gridCol w:w="146"/>
        <w:gridCol w:w="146"/>
        <w:gridCol w:w="146"/>
        <w:gridCol w:w="601"/>
        <w:gridCol w:w="146"/>
        <w:gridCol w:w="146"/>
        <w:gridCol w:w="146"/>
        <w:gridCol w:w="162"/>
        <w:gridCol w:w="669"/>
        <w:gridCol w:w="146"/>
        <w:gridCol w:w="146"/>
        <w:gridCol w:w="146"/>
        <w:gridCol w:w="301"/>
        <w:gridCol w:w="276"/>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First-lien loan ($3,449 par, due 9/2029)</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12.08% (incl. 4.75%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($1,999</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Avalara,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($38,636</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Heritage Environmental Services,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($12,284</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($1,329</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Skylark UK DebtCo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($16,340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4,851</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5,074</w:t>
              <w:br/>
              <w:t> (EUR 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16,640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21,117</w:t>
              <w:br/>
              <w:t> (GBP 16,861)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13,105</w:t>
              <w:br/>
              <w:t> (EUR 12,656)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USR Parent,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($15,000</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 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Mach Natural Resources LP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($4,625</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($39,533</w:t>
            </w:r>
            <w:r>
              <w:rPr>
                <w:rFonts w:ascii="Times New Roman" w:hAnsi="Times New Roman"/>
                <w:color w:val="000000"/>
                <w:sz w:val="20"/>
              </w:rPr>
              <w:t> </w:t>
            </w:r>
            <w:r>
              <w:rPr>
                <w:rFonts w:ascii="Times New Roman" w:hAnsi="Times New Roman"/>
                <w:color w:val="000000"/>
                <w:sz w:val="15"/>
              </w:rPr>
              <w:t>par, due 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2,584</w:t>
              <w:br/>
              <w:t> (EUR 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Sky Bidco S.p.A.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6,415</w:t>
              <w:br/>
              <w:t> (EUR 6,195)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($33,059</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17,985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18,204</w:t>
              <w:br/>
              <w:t> (EUR 17,580)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12,129</w:t>
              <w:br/>
              <w:t> (GBP 9,684)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675</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w:t>
              <w:br/>
              <w:t> (GBP 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($10,000</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($26,864</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11.90% (incl. 11.40%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($1,341</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 (incl. 19.15%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($8,994</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($24,924</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12.26%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($3,988</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9"/>
        <w:gridCol w:w="146"/>
        <w:gridCol w:w="1549"/>
        <w:gridCol w:w="146"/>
        <w:gridCol w:w="476"/>
        <w:gridCol w:w="146"/>
        <w:gridCol w:w="198"/>
        <w:gridCol w:w="844"/>
        <w:gridCol w:w="146"/>
        <w:gridCol w:w="146"/>
        <w:gridCol w:w="191"/>
        <w:gridCol w:w="590"/>
        <w:gridCol w:w="226"/>
        <w:gridCol w:w="146"/>
        <w:gridCol w:w="146"/>
        <w:gridCol w:w="146"/>
        <w:gridCol w:w="721"/>
        <w:gridCol w:w="146"/>
        <w:gridCol w:w="146"/>
        <w:gridCol w:w="146"/>
        <w:gridCol w:w="149"/>
        <w:gridCol w:w="741"/>
        <w:gridCol w:w="146"/>
        <w:gridCol w:w="146"/>
        <w:gridCol w:w="146"/>
        <w:gridCol w:w="451"/>
        <w:gridCol w:w="276"/>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($49,375</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($60,781</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($55,038</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($18,133</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7,378</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 (incl. 3.00%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7,685</w:t>
              <w:br/>
              <w:t> (EUR 7,422)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Tango Management Consulting,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($69,218</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($2,454</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($3,635</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($33,874</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($2,333</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Project44,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($54,824</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31,875</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32,191</w:t>
              <w:br/>
              <w:t> (EUR 31,088)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3,388,244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3,361,439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Clarience Technologies, LLC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Artisan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Dye &amp; Durham, Ltd.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1,552</w:t>
              <w:br/>
              <w:t> (CAD 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Mitnick TA Aggregator,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Newark FP Co-Invest,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ReliaQuest, LLC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(637,713</w:t>
            </w:r>
            <w:r>
              <w:rPr>
                <w:rFonts w:ascii="Times New Roman" w:hAnsi="Times New Roman"/>
                <w:color w:val="000000"/>
                <w:sz w:val="20"/>
              </w:rPr>
              <w:t> </w:t>
            </w:r>
            <w:r>
              <w:rPr>
                <w:rFonts w:ascii="Times New Roman" w:hAnsi="Times New Roman"/>
                <w:color w:val="000000"/>
                <w:sz w:val="15"/>
              </w:rPr>
              <w:t>units)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(10,611</w:t>
            </w:r>
            <w:r>
              <w:rPr>
                <w:rFonts w:ascii="Times New Roman" w:hAnsi="Times New Roman"/>
                <w:color w:val="000000"/>
                <w:sz w:val="20"/>
              </w:rPr>
              <w:t> </w:t>
            </w:r>
            <w:r>
              <w:rPr>
                <w:rFonts w:ascii="Times New Roman" w:hAnsi="Times New Roman"/>
                <w:color w:val="000000"/>
                <w:sz w:val="15"/>
              </w:rPr>
              <w:t>units) (11)(12)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A-3 Units (16,957</w:t>
            </w:r>
            <w:r>
              <w:rPr>
                <w:rFonts w:ascii="Times New Roman" w:hAnsi="Times New Roman"/>
                <w:color w:val="000000"/>
                <w:sz w:val="20"/>
              </w:rPr>
              <w:t> </w:t>
            </w:r>
            <w:r>
              <w:rPr>
                <w:rFonts w:ascii="Times New Roman" w:hAnsi="Times New Roman"/>
                <w:color w:val="000000"/>
                <w:sz w:val="15"/>
              </w:rPr>
              <w:t>units)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Stock (1,667</w:t>
            </w:r>
            <w:r>
              <w:rPr>
                <w:rFonts w:ascii="Times New Roman" w:hAnsi="Times New Roman"/>
                <w:color w:val="000000"/>
                <w:sz w:val="20"/>
              </w:rPr>
              <w:t> </w:t>
            </w:r>
            <w:r>
              <w:rPr>
                <w:rFonts w:ascii="Times New Roman" w:hAnsi="Times New Roman"/>
                <w:color w:val="000000"/>
                <w:sz w:val="15"/>
              </w:rPr>
              <w:t>units)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(90,634</w:t>
            </w:r>
            <w:r>
              <w:rPr>
                <w:rFonts w:ascii="Times New Roman" w:hAnsi="Times New Roman"/>
                <w:color w:val="000000"/>
                <w:sz w:val="20"/>
              </w:rPr>
              <w:t> </w:t>
            </w:r>
            <w:r>
              <w:rPr>
                <w:rFonts w:ascii="Times New Roman" w:hAnsi="Times New Roman"/>
                <w:color w:val="000000"/>
                <w:sz w:val="15"/>
              </w:rPr>
              <w:t>warrants)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Sprinklr, Inc. </w:t>
            </w:r>
            <w:r>
              <w:rPr>
                <w:rFonts w:ascii="Times New Roman" w:hAnsi="Times New Roman"/>
                <w:color w:val="000000"/>
                <w:sz w:val="1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Warrior TopCo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Warrants (280,000</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Astra 2L Holdings II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(10.17%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RMCF IV CIV XXXV,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(11.94%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3"/>
        <w:gridCol w:w="146"/>
        <w:gridCol w:w="2212"/>
        <w:gridCol w:w="146"/>
        <w:gridCol w:w="599"/>
        <w:gridCol w:w="146"/>
        <w:gridCol w:w="146"/>
        <w:gridCol w:w="451"/>
        <w:gridCol w:w="226"/>
        <w:gridCol w:w="146"/>
        <w:gridCol w:w="146"/>
        <w:gridCol w:w="451"/>
        <w:gridCol w:w="226"/>
        <w:gridCol w:w="146"/>
        <w:gridCol w:w="146"/>
        <w:gridCol w:w="146"/>
        <w:gridCol w:w="526"/>
        <w:gridCol w:w="146"/>
        <w:gridCol w:w="146"/>
        <w:gridCol w:w="146"/>
        <w:gridCol w:w="175"/>
        <w:gridCol w:w="631"/>
        <w:gridCol w:w="146"/>
        <w:gridCol w:w="146"/>
        <w:gridCol w:w="146"/>
        <w:gridCol w:w="301"/>
        <w:gridCol w:w="274"/>
      </w:tblGrid>
      <w:tr>
        <w:trPr/>
        <w:tc>
          <w:tcPr>
            <w:tcW w:w="1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7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6"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AF Eagle Parent,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CLGF Holdings, L.P.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(334,682</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Newport Parent Holdings,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TradingScreen, Inc.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(600,000</w:t>
            </w:r>
            <w:r>
              <w:rPr>
                <w:rFonts w:ascii="Times New Roman" w:hAnsi="Times New Roman"/>
                <w:color w:val="000000"/>
                <w:sz w:val="20"/>
              </w:rPr>
              <w:t> </w:t>
            </w:r>
            <w:r>
              <w:rPr>
                <w:rFonts w:ascii="Times New Roman" w:hAnsi="Times New Roman"/>
                <w:color w:val="000000"/>
                <w:sz w:val="15"/>
              </w:rPr>
              <w:t>units)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AA Units (19,093</w:t>
            </w:r>
            <w:r>
              <w:rPr>
                <w:rFonts w:ascii="Times New Roman" w:hAnsi="Times New Roman"/>
                <w:color w:val="000000"/>
                <w:sz w:val="20"/>
              </w:rPr>
              <w:t> </w:t>
            </w:r>
            <w:r>
              <w:rPr>
                <w:rFonts w:ascii="Times New Roman" w:hAnsi="Times New Roman"/>
                <w:color w:val="000000"/>
                <w:sz w:val="15"/>
              </w:rPr>
              <w:t>units)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(1,915,114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(1,240,740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(633,376</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(569,991</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(33,790,171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bswift,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2,819</w:t>
              <w:br/>
              <w:t> (AUD 4,552)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br/>
              <w:t> (GBP 5,063)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6"/>
        <w:gridCol w:w="146"/>
        <w:gridCol w:w="1584"/>
        <w:gridCol w:w="146"/>
        <w:gridCol w:w="532"/>
        <w:gridCol w:w="146"/>
        <w:gridCol w:w="994"/>
        <w:gridCol w:w="146"/>
        <w:gridCol w:w="146"/>
        <w:gridCol w:w="146"/>
        <w:gridCol w:w="451"/>
        <w:gridCol w:w="226"/>
        <w:gridCol w:w="146"/>
        <w:gridCol w:w="181"/>
        <w:gridCol w:w="146"/>
        <w:gridCol w:w="721"/>
        <w:gridCol w:w="146"/>
        <w:gridCol w:w="146"/>
        <w:gridCol w:w="181"/>
        <w:gridCol w:w="146"/>
        <w:gridCol w:w="721"/>
        <w:gridCol w:w="146"/>
        <w:gridCol w:w="146"/>
        <w:gridCol w:w="146"/>
        <w:gridCol w:w="451"/>
        <w:gridCol w:w="303"/>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12,591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3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Dryden Senior Loan Fund, Series 2020-86A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($1,500</w:t>
            </w:r>
            <w:r>
              <w:rPr>
                <w:rFonts w:ascii="Times New Roman" w:hAnsi="Times New Roman"/>
                <w:color w:val="000000"/>
                <w:sz w:val="20"/>
              </w:rPr>
              <w:t> </w:t>
            </w:r>
            <w:r>
              <w:rPr>
                <w:rFonts w:ascii="Times New Roman" w:hAnsi="Times New Roman"/>
                <w:color w:val="000000"/>
                <w:sz w:val="15"/>
              </w:rPr>
              <w:t>par, due 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150,909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156,973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3,539,153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3,518,412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218.9</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811"/>
        <w:gridCol w:w="146"/>
        <w:gridCol w:w="989"/>
        <w:gridCol w:w="146"/>
        <w:gridCol w:w="976"/>
        <w:gridCol w:w="146"/>
        <w:gridCol w:w="196"/>
        <w:gridCol w:w="691"/>
        <w:gridCol w:w="146"/>
        <w:gridCol w:w="146"/>
        <w:gridCol w:w="196"/>
        <w:gridCol w:w="661"/>
        <w:gridCol w:w="166"/>
        <w:gridCol w:w="146"/>
        <w:gridCol w:w="353"/>
        <w:gridCol w:w="625"/>
        <w:gridCol w:w="146"/>
        <w:gridCol w:w="146"/>
        <w:gridCol w:w="273"/>
        <w:gridCol w:w="798"/>
        <w:gridCol w:w="395"/>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03"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rate swap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120"/>
        <w:jc w:val="left"/>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w:t>
      </w:r>
      <w:r>
        <w:rPr>
          <w:color w:val="000000"/>
        </w:rPr>
        <w:t xml:space="preserve"> </w:t>
      </w:r>
      <w:r>
        <w:rPr>
          <w:rFonts w:ascii="Times New Roman" w:hAnsi="Times New Roman"/>
          <w:color w:val="000000"/>
          <w:sz w:val="20"/>
        </w:rPr>
        <w:t>in which the issuer was an Affiliated Person of and was deemed to Control a portfolio company are as follows:</w:t>
      </w:r>
      <w:r>
        <w:rPr>
          <w:color w:val="00000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2024</w:t>
      </w:r>
    </w:p>
    <w:tbl>
      <w:tblPr>
        <w:tblW w:w="10610" w:type="dxa"/>
        <w:jc w:val="left"/>
        <w:tblInd w:w="0" w:type="dxa"/>
        <w:tblLayout w:type="fixed"/>
        <w:tblCellMar>
          <w:top w:w="28" w:type="dxa"/>
          <w:left w:w="28" w:type="dxa"/>
          <w:bottom w:w="28" w:type="dxa"/>
          <w:right w:w="28" w:type="dxa"/>
        </w:tblCellMar>
      </w:tblPr>
      <w:tblGrid>
        <w:gridCol w:w="826"/>
        <w:gridCol w:w="146"/>
        <w:gridCol w:w="203"/>
        <w:gridCol w:w="623"/>
        <w:gridCol w:w="146"/>
        <w:gridCol w:w="146"/>
        <w:gridCol w:w="196"/>
        <w:gridCol w:w="601"/>
        <w:gridCol w:w="146"/>
        <w:gridCol w:w="146"/>
        <w:gridCol w:w="325"/>
        <w:gridCol w:w="576"/>
        <w:gridCol w:w="146"/>
        <w:gridCol w:w="146"/>
        <w:gridCol w:w="226"/>
        <w:gridCol w:w="660"/>
        <w:gridCol w:w="166"/>
        <w:gridCol w:w="146"/>
        <w:gridCol w:w="260"/>
        <w:gridCol w:w="461"/>
        <w:gridCol w:w="146"/>
        <w:gridCol w:w="146"/>
        <w:gridCol w:w="287"/>
        <w:gridCol w:w="509"/>
        <w:gridCol w:w="146"/>
        <w:gridCol w:w="146"/>
        <w:gridCol w:w="203"/>
        <w:gridCol w:w="623"/>
        <w:gridCol w:w="146"/>
        <w:gridCol w:w="146"/>
        <w:gridCol w:w="256"/>
        <w:gridCol w:w="375"/>
        <w:gridCol w:w="146"/>
        <w:gridCol w:w="146"/>
        <w:gridCol w:w="196"/>
        <w:gridCol w:w="511"/>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Gross reductions include decreases in the cost basis of investments resulting from principal collections related to investment repayments or sales, and the amortization of any premiums on debt investments, as applicable. When an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investment is placed on non-accrual status, any cash flows received by the Company are applied to the outstanding principal balance.</w:t>
      </w:r>
      <w:r>
        <w:rPr>
          <w:color w:val="00000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2024, the estimated cost basis of investments for U.S. federal tax purposes was $3,535,963</w:t>
      </w:r>
      <w:r>
        <w:rPr>
          <w:color w:val="000000"/>
        </w:rPr>
        <w:t xml:space="preserve"> </w:t>
      </w:r>
      <w:r>
        <w:rPr>
          <w:rFonts w:ascii="Times New Roman" w:hAnsi="Times New Roman"/>
          <w:color w:val="000000"/>
          <w:sz w:val="20"/>
        </w:rPr>
        <w:t>resulting in estimated gross unrealized gains and losses of $207,435</w:t>
      </w:r>
      <w:r>
        <w:rPr>
          <w:color w:val="000000"/>
        </w:rPr>
        <w:t xml:space="preserve"> </w:t>
      </w:r>
      <w:r>
        <w:rPr>
          <w:rFonts w:ascii="Times New Roman" w:hAnsi="Times New Roman"/>
          <w:color w:val="000000"/>
          <w:sz w:val="20"/>
        </w:rPr>
        <w:t>and $216,975, respectively.</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pPr>
      <w:r>
        <w:rPr>
          <w:rFonts w:ascii="Times New Roman" w:hAnsi="Times New Roman"/>
          <w:color w:val="000000"/>
          <w:sz w:val="20"/>
        </w:rPr>
        <w:t xml:space="preserve">In accordance with Financial Accounting Standards Board Accounting Standards Codification Topic 820, </w:t>
      </w:r>
      <w:r>
        <w:rPr>
          <w:rFonts w:ascii="Times New Roman" w:hAnsi="Times New Roman"/>
          <w:i/>
          <w:color w:val="000000"/>
          <w:sz w:val="20"/>
        </w:rPr>
        <w:t>Fair Value Measurements</w:t>
      </w:r>
      <w:r>
        <w:rPr>
          <w:color w:val="000000"/>
        </w:rPr>
        <w:t xml:space="preserve"> </w:t>
      </w:r>
      <w:r>
        <w:rPr>
          <w:rFonts w:ascii="Times New Roman" w:hAnsi="Times New Roman"/>
          <w:color w:val="000000"/>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December 31, 2024, the aggregate fair value of these securities is $12,926, or 0.8%</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December 31,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w:t>
        <w:br/>
        <w:t>separate Make-Whole Amount (the “Make-Whole”) of $13.7</w:t>
      </w:r>
      <w:r>
        <w:rPr>
          <w:color w:val="000000"/>
        </w:rPr>
        <w:t xml:space="preserve"> </w:t>
      </w:r>
      <w:r>
        <w:rPr>
          <w:rFonts w:ascii="Times New Roman" w:hAnsi="Times New Roman"/>
          <w:color w:val="000000"/>
          <w:sz w:val="20"/>
        </w:rPr>
        <w:t>million. The Make-Whole is a contractual obligation of the</w:t>
        <w:br/>
        <w:t>borrower and accrues interest on the balance outstanding. The Make-Whole is included on the Company’s Consolidated Balance</w:t>
        <w:br/>
        <w:t>Sheet within other assets, net of any valuation allowance. Given uncertainty relating to collectability of the Make-Whole, the</w:t>
        <w:br/>
        <w:t>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6" w:name="consolidated_statements_of_changes_in_ne"/>
      <w:bookmarkEnd w:id="6"/>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303"/>
        <w:gridCol w:w="146"/>
        <w:gridCol w:w="146"/>
        <w:gridCol w:w="916"/>
        <w:gridCol w:w="146"/>
        <w:gridCol w:w="146"/>
        <w:gridCol w:w="236"/>
        <w:gridCol w:w="455"/>
        <w:gridCol w:w="146"/>
        <w:gridCol w:w="146"/>
        <w:gridCol w:w="146"/>
        <w:gridCol w:w="691"/>
        <w:gridCol w:w="146"/>
        <w:gridCol w:w="146"/>
        <w:gridCol w:w="196"/>
        <w:gridCol w:w="661"/>
        <w:gridCol w:w="166"/>
        <w:gridCol w:w="146"/>
        <w:gridCol w:w="198"/>
        <w:gridCol w:w="834"/>
        <w:gridCol w:w="146"/>
        <w:gridCol w:w="146"/>
        <w:gridCol w:w="240"/>
        <w:gridCol w:w="811"/>
        <w:gridCol w:w="166"/>
        <w:gridCol w:w="146"/>
        <w:gridCol w:w="196"/>
        <w:gridCol w:w="826"/>
        <w:gridCol w:w="412"/>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93,964,358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1,525,774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1,601,283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94,240,348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1,531,993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1,617,646</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47" w:type="dxa"/>
        <w:jc w:val="left"/>
        <w:tblInd w:w="0" w:type="dxa"/>
        <w:tblLayout w:type="fixed"/>
        <w:tblCellMar>
          <w:top w:w="28" w:type="dxa"/>
          <w:left w:w="28" w:type="dxa"/>
          <w:bottom w:w="28" w:type="dxa"/>
          <w:right w:w="28" w:type="dxa"/>
        </w:tblCellMar>
      </w:tblPr>
      <w:tblGrid>
        <w:gridCol w:w="1356"/>
        <w:gridCol w:w="146"/>
        <w:gridCol w:w="146"/>
        <w:gridCol w:w="916"/>
        <w:gridCol w:w="146"/>
        <w:gridCol w:w="146"/>
        <w:gridCol w:w="236"/>
        <w:gridCol w:w="455"/>
        <w:gridCol w:w="146"/>
        <w:gridCol w:w="146"/>
        <w:gridCol w:w="146"/>
        <w:gridCol w:w="691"/>
        <w:gridCol w:w="146"/>
        <w:gridCol w:w="146"/>
        <w:gridCol w:w="196"/>
        <w:gridCol w:w="661"/>
        <w:gridCol w:w="166"/>
        <w:gridCol w:w="146"/>
        <w:gridCol w:w="196"/>
        <w:gridCol w:w="826"/>
        <w:gridCol w:w="146"/>
        <w:gridCol w:w="146"/>
        <w:gridCol w:w="232"/>
        <w:gridCol w:w="819"/>
        <w:gridCol w:w="166"/>
        <w:gridCol w:w="146"/>
        <w:gridCol w:w="196"/>
        <w:gridCol w:w="826"/>
        <w:gridCol w:w="411"/>
      </w:tblGrid>
      <w:tr>
        <w:trPr/>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87,829,499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1,496,375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Net Assets Resulting from Capital Share</w:t>
              <w:br/>
              <w: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common stock, net of offering and </w:t>
              <w:br/>
              <w:t>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92,121,556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1,492,511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1,582,006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Increase (decrease) in Net Assets Resulting from Capital Share</w:t>
              <w:br/>
              <w:t>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Issuance of common stock, net of offering and </w:t>
              <w:br/>
              <w:t>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93,017,205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1,510,345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1,599,035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of_cash_flows_fo"/>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9"/>
        <w:gridCol w:w="146"/>
        <w:gridCol w:w="257"/>
        <w:gridCol w:w="985"/>
        <w:gridCol w:w="166"/>
        <w:gridCol w:w="146"/>
        <w:gridCol w:w="257"/>
        <w:gridCol w:w="985"/>
        <w:gridCol w:w="614"/>
      </w:tblGrid>
      <w:tr>
        <w:trPr/>
        <w:tc>
          <w:tcPr>
            <w:tcW w:w="6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increase (decrease)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(458,946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59,433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374,283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59,729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855,943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(905,182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issuance of common stock, net of offering and</w:t>
              <w:br/>
              <w:t>   underwriting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93,307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(85,566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34,649</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68,168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97,483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Specialty Lending,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notes_to_consolidated_financial_statemen"/>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21, 2014, the Company completed its initial public offering (“IPO”) and the Company’s shares began trading on the New York Stock Exchange (“NYSE”) under the symbol “TSLX.” </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2024, which was filed with the Securities and Exchange Commission (“SEC”), on February 13, 2025.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conducts this valuation process on a quarterly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of investments for which no market quotations are readily available. At June 30,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 </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Equity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expenses related to equity offerings as a reduction of capital upon completion of an offering of registered securities. The costs associated with renewals of the Company’s shelf registration statement are expensed as incurred. </w:t>
      </w:r>
    </w:p>
    <w:p>
      <w:pPr>
        <w:pStyle w:val="TextBody"/>
        <w:bidi w:val="0"/>
        <w:spacing w:before="360" w:after="283"/>
        <w:jc w:val="left"/>
        <w:rPr>
          <w:rFonts w:ascii="Times New Roman" w:hAnsi="Times New Roman"/>
          <w:sz w:val="20"/>
        </w:rPr>
      </w:pPr>
      <w:r>
        <w:rPr>
          <w:rFonts w:ascii="Times New Roman" w:hAnsi="Times New Roman"/>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the Company recorded a net expense of $1.3 million and $2.6 million, respectively, for U.S. federal excise tax and other taxes. For the three and six months ended June 30, 2024, the Company recorded a net expense of $1.2 million and $2.1 million, respectively, for U.S. federal excise tax and other taxes.</w:t>
      </w:r>
    </w:p>
    <w:p>
      <w:pPr>
        <w:pStyle w:val="TextBody"/>
        <w:bidi w:val="0"/>
        <w:spacing w:before="360" w:after="283"/>
        <w:jc w:val="left"/>
        <w:rPr>
          <w:rFonts w:ascii="Times New Roman" w:hAnsi="Times New Roman"/>
          <w:sz w:val="20"/>
        </w:rPr>
      </w:pPr>
      <w:r>
        <w:rPr>
          <w:rFonts w:ascii="Times New Roman" w:hAnsi="Times New Roman"/>
          <w:i/>
          <w:color w:val="000000"/>
          <w:sz w:val="20"/>
        </w:rPr>
        <w:t>Dividends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operating decision maker (the “CODM”) is comprised of the senior executive committee that includes the Chief Executive Officer, President, Chief Financial Officer, and the Deputy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the Company incurred expenses of $0.8 million and $1.7 million, respectively, for administrative services payable to the Adviser under the terms of the Administration Agreement, which is included in other general and administrative expenses in the Consolidated Statements of Operations. For the three and six months ended June 30, 2024, the Company incurred expenses of $1.0 million and $1.9 million, respectively, for administrative services payable to the Adviser under the terms of the Administration Agreement.</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Management Fees (gross of waivers) were $12.9 million and $26.0 million, respectively. For the three and six months ended June 30, 2024, Management Fees (gross of waivers) were $12.8 million and $25.4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six months ended June 30, 2025, the Adviser waived Management Fees of $0.3 million and $0.7 million, respectively, pursuant to the Leverage Waiver. For the three and six months ended June 30, 2024, the Adviser waived Management Fees of $0.3 million and $0.7 million, respectively,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component, payable at the end of each fiscal year in arrears, equaled 15% through March 31, 2014 and, beginning April 1, 2014, equals a weighted percentage of cumulative realized capital gains from the Company’s inception to the end of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determining whether pre-Incentive Fee net investment income exceeds the hurdle rate, pre-Incentive Fee net investment income is expressed as a rate of return on the value of the Company’s net assets at the end of the immediately preceding calendar quarter.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2025, Incentive Fees were $12.5 million and $20.4 million, respectively, of which $11.1 million and $22.6 million, respectively, were realized and payable to the Adviser. For the three and six months ended June 30, 2024, Incentive Fees were $10.1 million and $20.2 million, respectively, of which $11.4 million and $22.3 million, respectively, were realized and payable to the Adviser. For the three and six months ended June 30, 2025, $1.4 million and $(2.2) million, respectively, of Incentive Fees were accrued related to Capital Gains Fees. For the three and six months ended June 30, 2024, $(1.3) million and $(2.2) million, respectively, of Incentive Fees were accrued related to the reversal of Capital Gains Fees. As of June 30, 2025, the Capital Gains Fees accrued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Incentive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at fair value consisted of the following at June 30, 2025 and December 31, 2024: </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June 30, 2025 and December 31, 2024 is as follows: </w:t>
      </w:r>
    </w:p>
    <w:p>
      <w:pPr>
        <w:pStyle w:val="TextBody"/>
        <w:bidi w:val="0"/>
        <w:jc w:val="left"/>
        <w:rPr/>
      </w:pPr>
      <w:r>
        <w:rPr/>
        <w:t> </w:t>
      </w:r>
    </w:p>
    <w:tbl>
      <w:tblPr>
        <w:tblW w:w="6815" w:type="dxa"/>
        <w:jc w:val="left"/>
        <w:tblInd w:w="0" w:type="dxa"/>
        <w:tblLayout w:type="fixed"/>
        <w:tblCellMar>
          <w:top w:w="28" w:type="dxa"/>
          <w:left w:w="28" w:type="dxa"/>
          <w:bottom w:w="28" w:type="dxa"/>
          <w:right w:w="28" w:type="dxa"/>
        </w:tblCellMar>
      </w:tblPr>
      <w:tblGrid>
        <w:gridCol w:w="2911"/>
        <w:gridCol w:w="146"/>
        <w:gridCol w:w="229"/>
        <w:gridCol w:w="896"/>
        <w:gridCol w:w="371"/>
        <w:gridCol w:w="2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Automotive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June 30, 2025 and December 31, 2024 is as follows: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486"/>
        <w:gridCol w:w="146"/>
        <w:gridCol w:w="229"/>
        <w:gridCol w:w="896"/>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sz w:val="20"/>
        </w:rPr>
      </w:pPr>
      <w:r>
        <w:rPr>
          <w:rFonts w:ascii="Times New Roman" w:hAnsi="Times New Roman"/>
          <w:b/>
          <w:color w:val="000000"/>
          <w:sz w:val="20"/>
        </w:rPr>
        <w:t>5.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Rate Swaps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related to the Company's derivatives are included within operating activities on the Consolidated Statements of Cash Flows. The following tables present the amounts paid and received on the Company’s interest rate swap transactions for the three and six months ended June 30, 2025 and 2024:</w:t>
      </w:r>
    </w:p>
    <w:p>
      <w:pPr>
        <w:pStyle w:val="TextBody"/>
        <w:bidi w:val="0"/>
        <w:jc w:val="left"/>
        <w:rPr/>
      </w:pPr>
      <w:r>
        <w:rPr/>
        <w:t> </w:t>
      </w:r>
    </w:p>
    <w:tbl>
      <w:tblPr>
        <w:tblW w:w="10561" w:type="dxa"/>
        <w:jc w:val="left"/>
        <w:tblInd w:w="0" w:type="dxa"/>
        <w:tblLayout w:type="fixed"/>
        <w:tblCellMar>
          <w:top w:w="28" w:type="dxa"/>
          <w:left w:w="28" w:type="dxa"/>
          <w:bottom w:w="28" w:type="dxa"/>
          <w:right w:w="28" w:type="dxa"/>
        </w:tblCellMar>
      </w:tblPr>
      <w:tblGrid>
        <w:gridCol w:w="786"/>
        <w:gridCol w:w="146"/>
        <w:gridCol w:w="766"/>
        <w:gridCol w:w="146"/>
        <w:gridCol w:w="211"/>
        <w:gridCol w:w="931"/>
        <w:gridCol w:w="146"/>
        <w:gridCol w:w="146"/>
        <w:gridCol w:w="211"/>
        <w:gridCol w:w="736"/>
        <w:gridCol w:w="166"/>
        <w:gridCol w:w="146"/>
        <w:gridCol w:w="211"/>
        <w:gridCol w:w="676"/>
        <w:gridCol w:w="146"/>
        <w:gridCol w:w="146"/>
        <w:gridCol w:w="211"/>
        <w:gridCol w:w="631"/>
        <w:gridCol w:w="166"/>
        <w:gridCol w:w="146"/>
        <w:gridCol w:w="211"/>
        <w:gridCol w:w="736"/>
        <w:gridCol w:w="166"/>
        <w:gridCol w:w="146"/>
        <w:gridCol w:w="211"/>
        <w:gridCol w:w="676"/>
        <w:gridCol w:w="146"/>
        <w:gridCol w:w="146"/>
        <w:gridCol w:w="211"/>
        <w:gridCol w:w="631"/>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10771" w:type="dxa"/>
        <w:jc w:val="left"/>
        <w:tblInd w:w="0" w:type="dxa"/>
        <w:tblLayout w:type="fixed"/>
        <w:tblCellMar>
          <w:top w:w="28" w:type="dxa"/>
          <w:left w:w="28" w:type="dxa"/>
          <w:bottom w:w="28" w:type="dxa"/>
          <w:right w:w="28" w:type="dxa"/>
        </w:tblCellMar>
      </w:tblPr>
      <w:tblGrid>
        <w:gridCol w:w="786"/>
        <w:gridCol w:w="146"/>
        <w:gridCol w:w="766"/>
        <w:gridCol w:w="146"/>
        <w:gridCol w:w="211"/>
        <w:gridCol w:w="931"/>
        <w:gridCol w:w="146"/>
        <w:gridCol w:w="146"/>
        <w:gridCol w:w="211"/>
        <w:gridCol w:w="736"/>
        <w:gridCol w:w="166"/>
        <w:gridCol w:w="146"/>
        <w:gridCol w:w="211"/>
        <w:gridCol w:w="676"/>
        <w:gridCol w:w="146"/>
        <w:gridCol w:w="146"/>
        <w:gridCol w:w="211"/>
        <w:gridCol w:w="736"/>
        <w:gridCol w:w="166"/>
        <w:gridCol w:w="146"/>
        <w:gridCol w:w="211"/>
        <w:gridCol w:w="736"/>
        <w:gridCol w:w="166"/>
        <w:gridCol w:w="146"/>
        <w:gridCol w:w="211"/>
        <w:gridCol w:w="676"/>
        <w:gridCol w:w="146"/>
        <w:gridCol w:w="146"/>
        <w:gridCol w:w="211"/>
        <w:gridCol w:w="736"/>
        <w:gridCol w:w="41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the Company recognized $11.6 million and $29.2 million, respectively, of unrealized gains on interest rate swaps designated as hedging instruments in the Consolidated Statements of Operations. For the three and six months ended June 30, 2025, this amount was offset by an increase of $2.8 million and $6.2 million, respectively, for a change in carrying value of the 2026 Notes, an increase of $2.2 million and $5.8 million, respectively, for a change in carrying value of the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2028 Notes, an increase of $3.3 million and $8.3 million, respectively, for a change in carrying value of the 2029 Notes and an increase of $3.3 million and $8.9 million, respectively, for a change in carrying value of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the Company recognized $3.0 million in unrealized gains and $7.4 million in unrealized losses, respectively, on interest rate swaps designated as hedging instruments in the Consolidated Statements of Operations. For the three and six months ended June 30, 2024, this amount was offset by an increase of $3.2 million and $5.4 million, respectively, for a change in the carrying value of the 2024 Notes, an increase of $2.0 million and $0.7 million, respectively, for a change in carrying value of the 2026 Notes, a decrease of $1.0 million and $7.2 million, respectively, for a change in carrying value of the 2028 Notes, and a decrease of $1.2 million and $6.3 million, respectively, for a change in carrying value of the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swap transactions had a fair value of $4.9 million, which is netted against cash collateral of $35.3 million. Cash is pledged as collateral under the Company’s derivative agreements and is included in restricted cash as a component of cash and cash equivalents on the Company’s Consolidated Balance Sheet. 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June 30, 2025 and December 31, 2024: </w:t>
      </w:r>
    </w:p>
    <w:tbl>
      <w:tblPr>
        <w:tblW w:w="8252"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676"/>
        <w:gridCol w:w="146"/>
        <w:gridCol w:w="146"/>
        <w:gridCol w:w="211"/>
        <w:gridCol w:w="931"/>
        <w:gridCol w:w="146"/>
        <w:gridCol w:w="146"/>
        <w:gridCol w:w="211"/>
        <w:gridCol w:w="93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3,299,827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247"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3,494,174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tables present the changes in the fair value of investments for which Level 3 inputs were used to determine the fair value as of and for the three and six months ended June 30, 2025: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46"/>
        <w:gridCol w:w="146"/>
        <w:gridCol w:w="211"/>
        <w:gridCol w:w="781"/>
        <w:gridCol w:w="166"/>
        <w:gridCol w:w="146"/>
        <w:gridCol w:w="211"/>
        <w:gridCol w:w="931"/>
        <w:gridCol w:w="41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Caris Life Sciences, Inc. was transferred out of Level 3 into Level 1 for fair value measurement purposes during the three months ended June 30, 2025, as a result of changes in the observability of inputs into the security valuation for this portfolio company.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411"/>
      </w:tblGrid>
      <w:tr>
        <w:trPr/>
        <w:tc>
          <w:tcPr>
            <w:tcW w:w="3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Caris Life Sciences, Inc. was transferred out of Level 3 into Level 1 for fair value measurement purposes during the six months ended June 30, 2025, as a result of changes in the observability of inputs into the security valuation for this portfolio company.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tables present the changes in the fair value of investments for which Level 3 inputs were used to determine the fair value as of and for the three and six months ended June 30, 2024: </w:t>
      </w:r>
    </w:p>
    <w:tbl>
      <w:tblPr>
        <w:tblW w:w="10205" w:type="dxa"/>
        <w:jc w:val="left"/>
        <w:tblInd w:w="0" w:type="dxa"/>
        <w:tblLayout w:type="fixed"/>
        <w:tblCellMar>
          <w:top w:w="28" w:type="dxa"/>
          <w:left w:w="28" w:type="dxa"/>
          <w:bottom w:w="28" w:type="dxa"/>
          <w:right w:w="28" w:type="dxa"/>
        </w:tblCellMar>
      </w:tblPr>
      <w:tblGrid>
        <w:gridCol w:w="3292"/>
        <w:gridCol w:w="146"/>
        <w:gridCol w:w="211"/>
        <w:gridCol w:w="931"/>
        <w:gridCol w:w="166"/>
        <w:gridCol w:w="146"/>
        <w:gridCol w:w="225"/>
        <w:gridCol w:w="721"/>
        <w:gridCol w:w="166"/>
        <w:gridCol w:w="146"/>
        <w:gridCol w:w="225"/>
        <w:gridCol w:w="721"/>
        <w:gridCol w:w="146"/>
        <w:gridCol w:w="146"/>
        <w:gridCol w:w="211"/>
        <w:gridCol w:w="781"/>
        <w:gridCol w:w="146"/>
        <w:gridCol w:w="146"/>
        <w:gridCol w:w="211"/>
        <w:gridCol w:w="931"/>
        <w:gridCol w:w="391"/>
      </w:tblGrid>
      <w:tr>
        <w:trPr/>
        <w:tc>
          <w:tcPr>
            <w:tcW w:w="3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3,330,769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3,293,341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2"/>
        <w:gridCol w:w="146"/>
        <w:gridCol w:w="211"/>
        <w:gridCol w:w="931"/>
        <w:gridCol w:w="166"/>
        <w:gridCol w:w="146"/>
        <w:gridCol w:w="225"/>
        <w:gridCol w:w="721"/>
        <w:gridCol w:w="166"/>
        <w:gridCol w:w="146"/>
        <w:gridCol w:w="225"/>
        <w:gridCol w:w="721"/>
        <w:gridCol w:w="146"/>
        <w:gridCol w:w="146"/>
        <w:gridCol w:w="211"/>
        <w:gridCol w:w="781"/>
        <w:gridCol w:w="146"/>
        <w:gridCol w:w="146"/>
        <w:gridCol w:w="211"/>
        <w:gridCol w:w="931"/>
        <w:gridCol w:w="391"/>
      </w:tblGrid>
      <w:tr>
        <w:trPr/>
        <w:tc>
          <w:tcPr>
            <w:tcW w:w="3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7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3,208,957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3,293,341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net change in unrealized gains or losses on investments for which Level 3 inputs were used in determining fair value that are still held by the Company at June 30, 2025 and 2024: </w:t>
      </w:r>
    </w:p>
    <w:tbl>
      <w:tblPr>
        <w:tblW w:w="7660" w:type="dxa"/>
        <w:jc w:val="left"/>
        <w:tblInd w:w="0" w:type="dxa"/>
        <w:tblLayout w:type="fixed"/>
        <w:tblCellMar>
          <w:top w:w="28" w:type="dxa"/>
          <w:left w:w="28" w:type="dxa"/>
          <w:bottom w:w="28" w:type="dxa"/>
          <w:right w:w="28" w:type="dxa"/>
        </w:tblCellMar>
      </w:tblPr>
      <w:tblGrid>
        <w:gridCol w:w="2521"/>
        <w:gridCol w:w="146"/>
        <w:gridCol w:w="510"/>
        <w:gridCol w:w="1635"/>
        <w:gridCol w:w="166"/>
        <w:gridCol w:w="146"/>
        <w:gridCol w:w="537"/>
        <w:gridCol w:w="1608"/>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t> </w:t>
      </w:r>
    </w:p>
    <w:tbl>
      <w:tblPr>
        <w:tblW w:w="7300" w:type="dxa"/>
        <w:jc w:val="left"/>
        <w:tblInd w:w="0" w:type="dxa"/>
        <w:tblLayout w:type="fixed"/>
        <w:tblCellMar>
          <w:top w:w="28" w:type="dxa"/>
          <w:left w:w="28" w:type="dxa"/>
          <w:bottom w:w="28" w:type="dxa"/>
          <w:right w:w="28" w:type="dxa"/>
        </w:tblCellMar>
      </w:tblPr>
      <w:tblGrid>
        <w:gridCol w:w="2521"/>
        <w:gridCol w:w="146"/>
        <w:gridCol w:w="467"/>
        <w:gridCol w:w="1498"/>
        <w:gridCol w:w="166"/>
        <w:gridCol w:w="146"/>
        <w:gridCol w:w="438"/>
        <w:gridCol w:w="1527"/>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the fair value of Level 3 Investments and the significant unobservable inputs used in the valuations as of June 30, 2025 and December 31, 2024. The tables are not intended to be all-inclusive, but instead capture the significant unobservable inputs relevant to the Company’s determination of fair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 — 16.3% (11.4%)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13.1% — 14.8% (14.2%)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 — 20.0% (11.6%)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1.9x — 20.0x (9.2x)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3,217,112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sz w:val="24"/>
        </w:rPr>
      </w:pPr>
      <w:r>
        <w:rPr>
          <w:rFonts w:ascii="Times New Roman" w:hAnsi="Times New Roman"/>
          <w:color w:val="000000"/>
          <w:sz w:val="20"/>
        </w:rPr>
        <w:t>Includes $116.0</w:t>
      </w:r>
      <w:r>
        <w:rPr>
          <w:rFonts w:ascii="Times New Roman" w:hAnsi="Times New Roman"/>
          <w:color w:val="000000"/>
          <w:sz w:val="24"/>
        </w:rPr>
        <w:t xml:space="preserve"> </w:t>
      </w:r>
      <w:r>
        <w:rPr>
          <w:rFonts w:ascii="Times New Roman" w:hAnsi="Times New Roman"/>
          <w:color w:val="000000"/>
          <w:sz w:val="20"/>
        </w:rPr>
        <w:t xml:space="preserve">million of debt investments which were valued using an asset valuation waterfall.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sz w:val="24"/>
        </w:rPr>
      </w:pPr>
      <w:r>
        <w:rPr>
          <w:rFonts w:ascii="Times New Roman" w:hAnsi="Times New Roman"/>
          <w:color w:val="000000"/>
          <w:sz w:val="20"/>
        </w:rPr>
        <w:t>Includes $1.5</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sz w:val="24"/>
        </w:rPr>
      </w:pPr>
      <w:r>
        <w:rPr>
          <w:rFonts w:ascii="Times New Roman" w:hAnsi="Times New Roman"/>
          <w:color w:val="000000"/>
          <w:sz w:val="20"/>
        </w:rPr>
        <w:t>Includes $11.7</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and $14.4</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 — 17.7% (12.1%)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14.6% — 18.1% (15.6%)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12.2% — 22.5% (12.7%)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2.3x — 20.0x (7.8x)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3,485,041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Includes $199.4</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Includes $6.0</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sz w:val="24"/>
        </w:rPr>
      </w:pPr>
      <w:r>
        <w:rPr>
          <w:rFonts w:ascii="Times New Roman" w:hAnsi="Times New Roman"/>
          <w:color w:val="000000"/>
          <w:sz w:val="20"/>
        </w:rPr>
        <w:t>Includes $13.6</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$0.5</w:t>
      </w:r>
      <w:r>
        <w:rPr>
          <w:rFonts w:ascii="Times New Roman" w:hAnsi="Times New Roman"/>
          <w:color w:val="000000"/>
          <w:sz w:val="24"/>
        </w:rPr>
        <w:t xml:space="preserve"> </w:t>
      </w:r>
      <w:r>
        <w:rPr>
          <w:rFonts w:ascii="Times New Roman" w:hAnsi="Times New Roman"/>
          <w:color w:val="000000"/>
          <w:sz w:val="20"/>
        </w:rPr>
        <w:t>million of equity investments using a Black-Scholes model and $20.4</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multiples of similar companies’ revenues, earnings before income taxes, depreciation and amortization (“EBITDA”) or some combination thereof and comparable market transactions are typically used.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Company’s Revolving Credit Facility, which is categorized as Level 3 within the fair value hierarchy, as of June 30, 2025 and December 31, 2024, approximates its carrying value as the outstanding balance is callable at carrying value.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presents the fair value of the Company’s 2026 Notes, 2028 Notes, 2029 Notes and 2030 Notes as of June 30, 2025 and December 31, 2024. </w:t>
      </w:r>
    </w:p>
    <w:tbl>
      <w:tblPr>
        <w:tblW w:w="6746" w:type="dxa"/>
        <w:jc w:val="left"/>
        <w:tblInd w:w="0" w:type="dxa"/>
        <w:tblLayout w:type="fixed"/>
        <w:tblCellMar>
          <w:top w:w="28" w:type="dxa"/>
          <w:left w:w="28" w:type="dxa"/>
          <w:bottom w:w="28" w:type="dxa"/>
          <w:right w:w="28" w:type="dxa"/>
        </w:tblCellMar>
      </w:tblPr>
      <w:tblGrid>
        <w:gridCol w:w="1051"/>
        <w:gridCol w:w="146"/>
        <w:gridCol w:w="211"/>
        <w:gridCol w:w="931"/>
        <w:gridCol w:w="146"/>
        <w:gridCol w:w="146"/>
        <w:gridCol w:w="211"/>
        <w:gridCol w:w="931"/>
        <w:gridCol w:w="146"/>
        <w:gridCol w:w="146"/>
        <w:gridCol w:w="213"/>
        <w:gridCol w:w="793"/>
        <w:gridCol w:w="146"/>
        <w:gridCol w:w="146"/>
        <w:gridCol w:w="211"/>
        <w:gridCol w:w="78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is based on broker quotes received by the Company and is categorized as Level 2 within the fair value hierarchy.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Other Financial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 </w:t>
      </w:r>
    </w:p>
    <w:p>
      <w:pPr>
        <w:pStyle w:val="TextBody"/>
        <w:bidi w:val="0"/>
        <w:spacing w:before="36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borrow amounts in U.S. dollars or certain other permitted currencies. As of June 30, 2025, the Company had outstanding debt denominated in Australian dollars (AUD) of 63.0 million, British pounds (GBP) of 70.3 million, Canadian dollars (CAD) of 9.5 million, Swedish Krona (SEK) of 209.7 million and Euro (EUR) of 189.3 million on its Revolving Credit Facility, included in the Outstanding Principal amount in the table above.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above.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 million. As of June 30, 2025 and December 31, 2024, the Company had $19.7 million and $21.8 million outstanding letters of credit issued through the Revolving Credit Facility. The amount available for borrowing under the Revolving Credit Facility is reduced by any letters of credit issued through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includes customary events of default, as well as customary covenants, including restrictions on certain distributions and financial covenants. In accordance with the terms of the Sixteenth Amendment, the financial covenants require: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 xml:space="preserve">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equity of at least $650</w:t>
      </w:r>
      <w:r>
        <w:rPr>
          <w:color w:val="000000"/>
        </w:rPr>
        <w:t xml:space="preserve"> </w:t>
      </w:r>
      <w:r>
        <w:rPr>
          <w:rFonts w:ascii="Times New Roman" w:hAnsi="Times New Roman"/>
          <w:color w:val="000000"/>
          <w:sz w:val="20"/>
        </w:rPr>
        <w:t>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1.5</w:t>
      </w:r>
      <w:r>
        <w:rPr>
          <w:color w:val="000000"/>
        </w:rPr>
        <w:t xml:space="preserve"> </w:t>
      </w:r>
      <w:r>
        <w:rPr>
          <w:rFonts w:ascii="Times New Roman" w:hAnsi="Times New Roman"/>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Company’s issuance of the 2030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the Company was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2024 Notes matured on November 1, 2024 and were fully repaid. The corresponding swap transaction associated with the issuance of the 2024 Notes also matured on November 1, 2024.</w:t>
      </w:r>
    </w:p>
    <w:p>
      <w:pPr>
        <w:pStyle w:val="TextBody"/>
        <w:bidi w:val="0"/>
        <w:spacing w:before="360" w:after="120"/>
        <w:jc w:val="left"/>
        <w:rPr>
          <w:rFonts w:ascii="Times New Roman" w:hAnsi="Times New Roman"/>
          <w:sz w:val="20"/>
        </w:rPr>
      </w:pPr>
      <w:r>
        <w:rPr>
          <w:rFonts w:ascii="Times New Roman" w:hAnsi="Times New Roman"/>
          <w:i/>
          <w:color w:val="000000"/>
          <w:sz w:val="20"/>
        </w:rPr>
        <w:t>2026 Notes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$(11.4) million and $(17.6)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sz w:val="20"/>
        </w:rPr>
      </w:pPr>
      <w:r>
        <w:rPr>
          <w:rFonts w:ascii="Times New Roman" w:hAnsi="Times New Roman"/>
          <w:i/>
          <w:color w:val="000000"/>
          <w:sz w:val="20"/>
        </w:rPr>
        <w:t>2028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$4.5 million and $(1.4)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June 30, 2025 and December 31, 2024, the effective hedge interest rate swaps had a fair value of $3.0 million and $(5.2) million, respectively, which is offset within interest expense by an equal, but opposite, fair value change for the hedged risk on the 2029 Notes.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June 30, 2025, the effective hedge interest rate swaps had a fair value of $8.9 million which is offset within interest expense by an equal, but opposite, fair value change for the hedged risk on the 2030 Notes.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three and six months ended June 30, 2025 and 2024, the components of interest expense related to the 2024 Notes, 2026 Notes, 2028 Notes, 2029 Notes, and 2030 Notes were as follows:</w:t>
      </w:r>
    </w:p>
    <w:tbl>
      <w:tblPr>
        <w:tblW w:w="9304" w:type="dxa"/>
        <w:jc w:val="left"/>
        <w:tblInd w:w="0" w:type="dxa"/>
        <w:tblLayout w:type="fixed"/>
        <w:tblCellMar>
          <w:top w:w="28" w:type="dxa"/>
          <w:left w:w="28" w:type="dxa"/>
          <w:bottom w:w="28" w:type="dxa"/>
          <w:right w:w="28" w:type="dxa"/>
        </w:tblCellMar>
      </w:tblPr>
      <w:tblGrid>
        <w:gridCol w:w="3391"/>
        <w:gridCol w:w="146"/>
        <w:gridCol w:w="267"/>
        <w:gridCol w:w="858"/>
        <w:gridCol w:w="146"/>
        <w:gridCol w:w="146"/>
        <w:gridCol w:w="267"/>
        <w:gridCol w:w="858"/>
        <w:gridCol w:w="146"/>
        <w:gridCol w:w="146"/>
        <w:gridCol w:w="267"/>
        <w:gridCol w:w="858"/>
        <w:gridCol w:w="146"/>
        <w:gridCol w:w="146"/>
        <w:gridCol w:w="267"/>
        <w:gridCol w:w="858"/>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2024 Notes, 2026 Notes, 2028 Notes, 2029 Notes and 2030 Notes. During the three and six months ended June 30, 2025, the Company received $16.7 million and $30.5 million, respectively, and paid $21.2 million and $38.7 million respectively, related to the settlements of its interest rate swaps related to the 2026 Notes, 2028 Notes, 2029 Notes and 2030 Notes. During the three and six months ended June 30, 2024, the Company received $15.9 million and $30.5 million, respectively, and paid $26.2 million and $50.2 million, respectively, related to the settlements of its interest rate swaps, excluding upfront fees, related to the 2024 Notes, 2026 Notes, 2028 Notes and 2029 Notes. These net amounts are included in interest expense in the Company’s Consolidated Statements of Operations. Please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components of the carrying value of the 2026 Notes, 2028 Notes, 2029 Notes and 2030 Notes and the stated interest rates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components of the carrying value of the 2026 Notes, 2028 Notes and 2029 Notes and the stated interest rates were as follows:</w:t>
      </w:r>
    </w:p>
    <w:tbl>
      <w:tblPr>
        <w:tblW w:w="7618"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337,845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June 30, 2025, the Company's swap-adjusted interest rate on the 2026 Notes, 2028 Notes, 2029 Notes and 2030 notes was SOFR plus 2.17%, 2.99%, 2.44% and 1.53%, respectively. As of December 31, 2024, the Company's swap-adjusted interest rate on the 2026 Notes, 2028 Notes and 2029 Notes was SOFR plus 2.17%, 2.99% and 2.44%,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Company was in compliance with the terms of the indentures governing the 2026 Notes, 2028 Notes, 2029 Notes and 2030 Notes. As of December 31, 2024, the Company was in compliance with the terms of the indentures governing the 2026 Notes, 2028 Notes and 2029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1940 Act, with certain limitations, the Company is allowed to borrow amounts such that its asset coverage, as defined in the 1940 Act, is at least 150% after such borrowing. As of June 30, 2025 and December 31, 2024, the Company’s asset coverage was 192.5% and 182.5%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2025 and December 31, 2024: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$17.0</w:t>
      </w:r>
      <w:r>
        <w:rPr>
          <w:rFonts w:ascii="Times New Roman" w:hAnsi="Times New Roman"/>
          <w:color w:val="000000"/>
          <w:sz w:val="24"/>
        </w:rPr>
        <w:t xml:space="preserve"> </w:t>
      </w:r>
      <w:r>
        <w:rPr>
          <w:rFonts w:ascii="Times New Roman" w:hAnsi="Times New Roman"/>
          <w:color w:val="000000"/>
          <w:sz w:val="20"/>
        </w:rPr>
        <w:t>million, $1.3</w:t>
      </w:r>
      <w:r>
        <w:rPr>
          <w:rFonts w:ascii="Times New Roman" w:hAnsi="Times New Roman"/>
          <w:color w:val="000000"/>
          <w:sz w:val="24"/>
        </w:rPr>
        <w:t xml:space="preserve"> </w:t>
      </w:r>
      <w:r>
        <w:rPr>
          <w:rFonts w:ascii="Times New Roman" w:hAnsi="Times New Roman"/>
          <w:color w:val="000000"/>
          <w:sz w:val="20"/>
        </w:rPr>
        <w:t>million, $3.9</w:t>
      </w:r>
      <w:r>
        <w:rPr>
          <w:rFonts w:ascii="Times New Roman" w:hAnsi="Times New Roman"/>
          <w:color w:val="000000"/>
          <w:sz w:val="24"/>
        </w:rPr>
        <w:t xml:space="preserve"> </w:t>
      </w:r>
      <w:r>
        <w:rPr>
          <w:rFonts w:ascii="Times New Roman" w:hAnsi="Times New Roman"/>
          <w:color w:val="000000"/>
          <w:sz w:val="20"/>
        </w:rPr>
        <w:t>million $6.1</w:t>
      </w:r>
      <w:r>
        <w:rPr>
          <w:rFonts w:ascii="Times New Roman" w:hAnsi="Times New Roman"/>
          <w:color w:val="000000"/>
          <w:sz w:val="24"/>
        </w:rPr>
        <w:t xml:space="preserve"> </w:t>
      </w:r>
      <w:r>
        <w:rPr>
          <w:rFonts w:ascii="Times New Roman" w:hAnsi="Times New Roman"/>
          <w:color w:val="000000"/>
          <w:sz w:val="20"/>
        </w:rPr>
        <w:t>million and $7.2</w:t>
      </w:r>
      <w:r>
        <w:rPr>
          <w:rFonts w:ascii="Times New Roman" w:hAnsi="Times New Roman"/>
          <w:color w:val="000000"/>
          <w:sz w:val="24"/>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and 2030 Notes are presented inclusive of an incremental $(11.4)</w:t>
      </w:r>
      <w:r>
        <w:rPr>
          <w:rFonts w:ascii="Times New Roman" w:hAnsi="Times New Roman"/>
          <w:color w:val="000000"/>
          <w:sz w:val="24"/>
        </w:rPr>
        <w:t xml:space="preserve"> </w:t>
      </w:r>
      <w:r>
        <w:rPr>
          <w:rFonts w:ascii="Times New Roman" w:hAnsi="Times New Roman"/>
          <w:color w:val="000000"/>
          <w:sz w:val="20"/>
        </w:rPr>
        <w:t>million, $4.5</w:t>
      </w:r>
      <w:r>
        <w:rPr>
          <w:rFonts w:ascii="Times New Roman" w:hAnsi="Times New Roman"/>
          <w:color w:val="000000"/>
          <w:sz w:val="24"/>
        </w:rPr>
        <w:t xml:space="preserve"> </w:t>
      </w:r>
      <w:r>
        <w:rPr>
          <w:rFonts w:ascii="Times New Roman" w:hAnsi="Times New Roman"/>
          <w:color w:val="000000"/>
          <w:sz w:val="20"/>
        </w:rPr>
        <w:t>million, $3.0</w:t>
      </w:r>
      <w:r>
        <w:rPr>
          <w:rFonts w:ascii="Times New Roman" w:hAnsi="Times New Roman"/>
          <w:color w:val="000000"/>
          <w:sz w:val="24"/>
        </w:rPr>
        <w:t xml:space="preserve"> </w:t>
      </w:r>
      <w:r>
        <w:rPr>
          <w:rFonts w:ascii="Times New Roman" w:hAnsi="Times New Roman"/>
          <w:color w:val="000000"/>
          <w:sz w:val="20"/>
        </w:rPr>
        <w:t>million and $8.9</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and 2030 Notes, each resulting from a hedge accounting relationship.</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and 2029 Notes are presented net of the combination of deferred financing costs and original issue discounts totaling $15.4</w:t>
      </w:r>
      <w:r>
        <w:rPr>
          <w:rFonts w:ascii="Times New Roman" w:hAnsi="Times New Roman"/>
          <w:color w:val="000000"/>
          <w:sz w:val="24"/>
        </w:rPr>
        <w:t xml:space="preserve"> </w:t>
      </w:r>
      <w:r>
        <w:rPr>
          <w:rFonts w:ascii="Times New Roman" w:hAnsi="Times New Roman"/>
          <w:color w:val="000000"/>
          <w:sz w:val="20"/>
        </w:rPr>
        <w:t>million, $1.8</w:t>
      </w:r>
      <w:r>
        <w:rPr>
          <w:rFonts w:ascii="Times New Roman" w:hAnsi="Times New Roman"/>
          <w:color w:val="000000"/>
          <w:sz w:val="24"/>
        </w:rPr>
        <w:t xml:space="preserve"> </w:t>
      </w:r>
      <w:r>
        <w:rPr>
          <w:rFonts w:ascii="Times New Roman" w:hAnsi="Times New Roman"/>
          <w:color w:val="000000"/>
          <w:sz w:val="20"/>
        </w:rPr>
        <w:t>million, $4.5</w:t>
      </w:r>
      <w:r>
        <w:rPr>
          <w:rFonts w:ascii="Times New Roman" w:hAnsi="Times New Roman"/>
          <w:color w:val="000000"/>
          <w:sz w:val="24"/>
        </w:rPr>
        <w:t xml:space="preserve"> </w:t>
      </w:r>
      <w:r>
        <w:rPr>
          <w:rFonts w:ascii="Times New Roman" w:hAnsi="Times New Roman"/>
          <w:color w:val="000000"/>
          <w:sz w:val="20"/>
        </w:rPr>
        <w:t>million and $6.9</w:t>
      </w:r>
      <w:r>
        <w:rPr>
          <w:rFonts w:ascii="Times New Roman" w:hAnsi="Times New Roman"/>
          <w:color w:val="000000"/>
          <w:sz w:val="24"/>
        </w:rPr>
        <w:t xml:space="preserve"> </w:t>
      </w:r>
      <w:r>
        <w:rPr>
          <w:rFonts w:ascii="Times New Roman" w:hAnsi="Times New Roman"/>
          <w:color w:val="000000"/>
          <w:sz w:val="20"/>
        </w:rPr>
        <w:t>million, respectively.</w:t>
      </w:r>
      <w:r>
        <w:rPr>
          <w:rFonts w:ascii="Times New Roman" w:hAnsi="Times New Roman"/>
          <w:color w:val="000000"/>
          <w:sz w:val="24"/>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2025 and 2024, the components of interest expense were as follows: </w:t>
      </w:r>
    </w:p>
    <w:tbl>
      <w:tblPr>
        <w:tblW w:w="9679" w:type="dxa"/>
        <w:jc w:val="left"/>
        <w:tblInd w:w="0" w:type="dxa"/>
        <w:tblLayout w:type="fixed"/>
        <w:tblCellMar>
          <w:top w:w="28" w:type="dxa"/>
          <w:left w:w="28" w:type="dxa"/>
          <w:bottom w:w="28" w:type="dxa"/>
          <w:right w:w="28" w:type="dxa"/>
        </w:tblCellMar>
      </w:tblPr>
      <w:tblGrid>
        <w:gridCol w:w="3391"/>
        <w:gridCol w:w="146"/>
        <w:gridCol w:w="254"/>
        <w:gridCol w:w="871"/>
        <w:gridCol w:w="271"/>
        <w:gridCol w:w="146"/>
        <w:gridCol w:w="254"/>
        <w:gridCol w:w="871"/>
        <w:gridCol w:w="271"/>
        <w:gridCol w:w="146"/>
        <w:gridCol w:w="254"/>
        <w:gridCol w:w="871"/>
        <w:gridCol w:w="271"/>
        <w:gridCol w:w="146"/>
        <w:gridCol w:w="254"/>
        <w:gridCol w:w="87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the Company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05" w:type="dxa"/>
        <w:jc w:val="left"/>
        <w:tblInd w:w="0" w:type="dxa"/>
        <w:tblLayout w:type="fixed"/>
        <w:tblCellMar>
          <w:top w:w="28" w:type="dxa"/>
          <w:left w:w="28" w:type="dxa"/>
          <w:bottom w:w="28" w:type="dxa"/>
          <w:right w:w="28" w:type="dxa"/>
        </w:tblCellMar>
      </w:tblPr>
      <w:tblGrid>
        <w:gridCol w:w="5651"/>
        <w:gridCol w:w="246"/>
        <w:gridCol w:w="267"/>
        <w:gridCol w:w="858"/>
        <w:gridCol w:w="246"/>
        <w:gridCol w:w="246"/>
        <w:gridCol w:w="357"/>
        <w:gridCol w:w="1143"/>
        <w:gridCol w:w="191"/>
      </w:tblGrid>
      <w:tr>
        <w:trPr/>
        <w:tc>
          <w:tcPr>
            <w:tcW w:w="56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Wombat Holdings,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Elysium BidCo Limited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PrimePay Intermediate,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PrimeRevenue,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QSR Acquisition Co.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34" w:type="dxa"/>
        <w:jc w:val="left"/>
        <w:tblInd w:w="0" w:type="dxa"/>
        <w:tblLayout w:type="fixed"/>
        <w:tblCellMar>
          <w:top w:w="28" w:type="dxa"/>
          <w:left w:w="28" w:type="dxa"/>
          <w:bottom w:w="28" w:type="dxa"/>
          <w:right w:w="28" w:type="dxa"/>
        </w:tblCellMar>
      </w:tblPr>
      <w:tblGrid>
        <w:gridCol w:w="5921"/>
        <w:gridCol w:w="246"/>
        <w:gridCol w:w="211"/>
        <w:gridCol w:w="781"/>
        <w:gridCol w:w="246"/>
        <w:gridCol w:w="246"/>
        <w:gridCol w:w="211"/>
        <w:gridCol w:w="781"/>
        <w:gridCol w:w="291"/>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 Bidco S.p.A.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#2 -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TradingScreen,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341,014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and December 31, 2024, the Company did not have any unfunded commitments to fund investments to new borrowers that were not current portfolio companies as of such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become a party to certain legal proceedings incidental to the normal course of its business. As of June 30, 2025 and December 31, 2024, management is not aware of any material pending or threatened litigation that would require accounting recognition or financial statement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9. Net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Company’s dividend reinvestment plan, the following tables summarize the shares issued to stockholders who have not opted out of the Company’s dividend reinvestment plan during the six months ended June 30, 2025 and 2024. All shares issued to stockholders in the tables below are newly issued shares. </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587,706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11 for further information on base, supplemental and special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April 30, 2025 (effective May 31, 2025).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during the six months ended June 30, 2025 and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June 30, 2025.</w:t>
      </w:r>
    </w:p>
    <w:p>
      <w:pPr>
        <w:pStyle w:val="TextBody"/>
        <w:bidi w:val="0"/>
        <w:spacing w:before="360" w:after="283"/>
        <w:jc w:val="left"/>
        <w:rPr>
          <w:rFonts w:ascii="Times New Roman" w:hAnsi="Times New Roman"/>
          <w:sz w:val="20"/>
        </w:rPr>
      </w:pPr>
      <w:r>
        <w:rPr>
          <w:rFonts w:ascii="Times New Roman" w:hAnsi="Times New Roman"/>
          <w:b/>
          <w:color w:val="000000"/>
          <w:sz w:val="20"/>
        </w:rPr>
        <w:t>10. 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earnings per common share for the three and six months ended June 30, 2025 and 2024: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1036"/>
        <w:gridCol w:w="146"/>
        <w:gridCol w:w="146"/>
        <w:gridCol w:w="211"/>
        <w:gridCol w:w="1036"/>
        <w:gridCol w:w="146"/>
        <w:gridCol w:w="146"/>
        <w:gridCol w:w="211"/>
        <w:gridCol w:w="1036"/>
        <w:gridCol w:w="146"/>
        <w:gridCol w:w="146"/>
        <w:gridCol w:w="211"/>
        <w:gridCol w:w="1036"/>
        <w:gridCol w:w="1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93,971,164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92,734,320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93,821,251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90,883,350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dividends declared during the six months ended June 30, 2025 and 2024: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15,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dividends declared during the six months ended June 30, 2025 and 2024 were derived from net investment income and long-term capital gains, determined on a tax basis.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Financial Highlights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stock outstanding during the six months ended June 30, 2025 and 2024:</w:t>
      </w:r>
    </w:p>
    <w:tbl>
      <w:tblPr>
        <w:tblW w:w="9415" w:type="dxa"/>
        <w:jc w:val="left"/>
        <w:tblInd w:w="0" w:type="dxa"/>
        <w:tblLayout w:type="fixed"/>
        <w:tblCellMar>
          <w:top w:w="28" w:type="dxa"/>
          <w:left w:w="28" w:type="dxa"/>
          <w:bottom w:w="28" w:type="dxa"/>
          <w:right w:w="28" w:type="dxa"/>
        </w:tblCellMar>
      </w:tblPr>
      <w:tblGrid>
        <w:gridCol w:w="5716"/>
        <w:gridCol w:w="146"/>
        <w:gridCol w:w="238"/>
        <w:gridCol w:w="1172"/>
        <w:gridCol w:w="271"/>
        <w:gridCol w:w="146"/>
        <w:gridCol w:w="238"/>
        <w:gridCol w:w="1172"/>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realized and unrealized gains</w:t>
              <w:br/>
              <w:t xml:space="preserve">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 of offering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from net investment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increase/(decrease) in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market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with reinvestment of dividends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94,240,348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93,017,205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Ratios / Supplemental Data</w:t>
            </w:r>
            <w:r>
              <w:rPr>
                <w:rFonts w:ascii="Times New Roman" w:hAnsi="Times New Roman"/>
                <w:color w:val="000000"/>
                <w:sz w:val="20"/>
              </w:rPr>
              <w:t> </w:t>
            </w:r>
            <w:r>
              <w:rPr>
                <w:rFonts w:ascii="Times New Roman" w:hAnsi="Times New Roman"/>
                <w:b/>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Ratio of net expenses to average net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1,599,035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per share data was derived by using the weighted average shares outstanding during the period.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per share data was derived by using the actual shares outstanding at the date of the relevant transactions.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with dividends reinvested is calculated as the change in market value per share during the period plus declared dividends per share, assuming reinvestment of dividends,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Total return based on net asset value is calculated as the change in net asset value per share during the period plus declared dividends per share, divided by the beginning net asset value per share.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ratios reflect an annualized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sz w:val="22"/>
        </w:rPr>
      </w:pPr>
      <w:r>
        <w:rPr>
          <w:rFonts w:ascii="Times New Roman" w:hAnsi="Times New Roman"/>
          <w:color w:val="000000"/>
          <w:sz w:val="20"/>
        </w:rPr>
        <w:t>The ratio of net expenses to average net assets in the table above reflects the Adviser’s waivers of its right to receive a portion of the Management Fee pursuant to the Leverage Waiver for the six months ended June 30, 2025 and 2024. Excluding the effects of the waivers, the ratio of net expenses to average net assets would have been 15.32%</w:t>
      </w:r>
      <w:r>
        <w:rPr>
          <w:rFonts w:ascii="Times New Roman" w:hAnsi="Times New Roman"/>
          <w:color w:val="000000"/>
          <w:sz w:val="22"/>
        </w:rPr>
        <w:t xml:space="preserve"> </w:t>
      </w:r>
      <w:r>
        <w:rPr>
          <w:rFonts w:ascii="Times New Roman" w:hAnsi="Times New Roman"/>
          <w:color w:val="000000"/>
          <w:sz w:val="20"/>
        </w:rPr>
        <w:t>and 17.03%, respectively, for the six months ended June 30, 2025 and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elected to be regulated as a BDC under the 1940 Act and as a RIC under the Code. We made our BDC election on April 15, 2011. As a result, we are required to comply with various statutory and regulatory requirements,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shares are listed on the NYSE under the symbol “TSLX.” </w:t>
      </w:r>
    </w:p>
    <w:p>
      <w:pPr>
        <w:pStyle w:val="TextBody"/>
        <w:bidi w:val="0"/>
        <w:spacing w:before="360" w:after="283"/>
        <w:jc w:val="left"/>
        <w:rPr>
          <w:rFonts w:ascii="Times New Roman" w:hAnsi="Times New Roman"/>
          <w:sz w:val="20"/>
        </w:rPr>
      </w:pPr>
      <w:r>
        <w:rPr>
          <w:rFonts w:ascii="Times New Roman" w:hAnsi="Times New Roman"/>
          <w:b/>
          <w:color w:val="000000"/>
          <w:sz w:val="20"/>
        </w:rPr>
        <w:t>Our Investment Framework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specialty finance company focused on lending to middle-market companies. Since we began our investment activities in July 2011, through June 30, 2025, we have originated approximately $48.1 billion aggregate principal amount of investments and retained more than $11.2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“middle-market companies,” we mean companies that have annual EBITDA, which we believe is a useful proxy for cash flow, of $10 million to $250 million, although we may invest in larger or smaller companies on occasion. As of June 30, 2025, our core portfolio companies, which exclude certain investments that fall outside of our typical borrower profile and represent 94.6% of our total investments based on fair value, had weighted average annual revenue of $377.5 million and weighted average annual EBITDA of $114.1 million. As of June 30, 2025, our core portfolio companies had a median annual revenue of $146.7 million and a median annual EBITDA of $46.4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June 30, 2025, the largest single investment based on fair value represented 2.5% of our total investment portfolio.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average investment size in each of our portfolio companies was approximately $30.2 million based on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the largest industry represented 17.9%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June 30, 2025, approximately 93.3% of our portfolio was invested in secured debt, including 92.4%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June 30, 2025, the weighted average term on new investment commitments in new portfolio companies was 6.2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A substantial majority of our portfolio investments are sourced through our direct or proprietary relationships.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We seek to mitigate non-credit-related risk on our returns in several ways, including call protection provisions to protect future interest income. As of June 30, 2025, we had call protection on 82.9% of our debt investments based on fair value, with weighted average call prices of 108.4% for the first year, 104.5% for the second year and 101.6% for the third year, in each case from the date of the initial investment. As of June 30, 2025, 96.5% of our debt investments based on fair value bore interest at floating rates, with 100.0% of these subject to interest rate floors, which we believe helps act as a portfolio-wide hedge against inflation.</w:t>
      </w:r>
    </w:p>
    <w:p>
      <w:pPr>
        <w:pStyle w:val="TextBody"/>
        <w:bidi w:val="0"/>
        <w:spacing w:before="360" w:after="283"/>
        <w:jc w:val="left"/>
        <w:rPr>
          <w:rFonts w:ascii="Times New Roman" w:hAnsi="Times New Roman"/>
          <w:sz w:val="20"/>
        </w:rPr>
      </w:pPr>
      <w:r>
        <w:rPr>
          <w:rFonts w:ascii="Times New Roman" w:hAnsi="Times New Roman"/>
          <w:b/>
          <w:i/>
          <w:color w:val="000000"/>
          <w:sz w:val="20"/>
        </w:rPr>
        <w:t>Relationship with our Adviser and Sixth Street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$115 billion of assets under management as of June 30, 2025.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690 investment and operating professionals. As of June 30, 2025, seventy-two (72) of these personnel are dedicated to direct lending, including fifty-seven (57) investment professionals.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To date, 2025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recently announced tariffs on goods imported from various countries to the United States. Countries subject to such tariffs have imposed, or may in the future, impose reciprocal or retaliatory tariffs and other trade measures. We are actively monitoring the tariff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June 30, 2025, 96.5%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six months ended June 30, 2025, 5.0% and 4.8%, respectively, of our total investment income was comprised of PIK interest. For the three and six months ended June 30, 2024, 7.7% and 7.3%, respectively, of our total investment income was comprised of PIK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Dividend income on common equity investments is recorded on the record date for private portfolio companies or on the ex-dividend date for publicly traded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stock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Director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directors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sz w:val="20"/>
        </w:rPr>
      </w:pPr>
      <w:r>
        <w:rPr>
          <w:rFonts w:ascii="Times New Roman" w:hAnsi="Times New Roman"/>
          <w:b/>
          <w:color w:val="000000"/>
          <w:sz w:val="20"/>
        </w:rPr>
        <w:t>Portfolio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our portfolio based on fair value consisted of 92.4% first-lien debt investments, 0.9% second-lien debt investments, 1.6% mezzanine debt investments and 5.1% equity investments. As of December 31, 2024, our portfolio based on fair value consisted of 93.9% first-lien debt investments, 0.6% second-lien debt investments, 1.1% mezzanine debt investments, 4.4% equity and other investments and less than 0.1% structured credit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our weighted average total yield of debt and income producing securities at fair value (which includes interest income and amortization of fees and discounts) was 11.7% and 12.3%, respectively, and our weighted average total yield of debt and income-producing securities at amortized cost (which includes interest income and amortization of fees and discounts) was 12.0% and 12.5%,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investments in 109 portfolio companies with an aggregate fair value of $3,294.9 million. As of December 31, 2024, we had investments in 116 portfolio companies (including one structured credit investment, which include each series of collateralized loan obligation as a separate portfolio company investment) with an aggregate fair value of $3,518.4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2025, the principal amount of new investments funded was $208.6 million in thirteen new portfolio companies and four existing portfolio companies. For this period, we had $388.7 million aggregate principal amount in exits and repayments.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2024, the principal amount of new investments funded was $163.6 million in eight new portfolio companies and five existing portfolio companies. For this period, we had $290.3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activity for the three months ended June 30, 2025 and 2024 is presented below (information presented herein is at par value unless otherwise indicated).</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980" w:type="dxa"/>
        <w:jc w:val="left"/>
        <w:tblInd w:w="0" w:type="dxa"/>
        <w:tblLayout w:type="fixed"/>
        <w:tblCellMar>
          <w:top w:w="28" w:type="dxa"/>
          <w:left w:w="28" w:type="dxa"/>
          <w:bottom w:w="28" w:type="dxa"/>
          <w:right w:w="28" w:type="dxa"/>
        </w:tblCellMar>
      </w:tblPr>
      <w:tblGrid>
        <w:gridCol w:w="4576"/>
        <w:gridCol w:w="146"/>
        <w:gridCol w:w="303"/>
        <w:gridCol w:w="822"/>
        <w:gridCol w:w="271"/>
        <w:gridCol w:w="146"/>
        <w:gridCol w:w="254"/>
        <w:gridCol w:w="871"/>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affiliates of Sixth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and December 31, 2024,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show the fair value and amortized cost of our performing and non-accrual investments as of June 30, 2025 and December 31, 2024: </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June 30, 2025 and December 31, 2024 were as follows: </w:t>
      </w:r>
    </w:p>
    <w:tbl>
      <w:tblPr>
        <w:tblW w:w="8550" w:type="dxa"/>
        <w:jc w:val="left"/>
        <w:tblInd w:w="0" w:type="dxa"/>
        <w:tblLayout w:type="fixed"/>
        <w:tblCellMar>
          <w:top w:w="28" w:type="dxa"/>
          <w:left w:w="28" w:type="dxa"/>
          <w:bottom w:w="28" w:type="dxa"/>
          <w:right w:w="28" w:type="dxa"/>
        </w:tblCellMar>
      </w:tblPr>
      <w:tblGrid>
        <w:gridCol w:w="4846"/>
        <w:gridCol w:w="146"/>
        <w:gridCol w:w="268"/>
        <w:gridCol w:w="857"/>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 floating</w:t>
              <w:br/>
              <w:t>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total portfolio yield at fair value was 11.1% at June 30, 2025 and 11.6% at December 31, 2024.</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June 30, 2025 and December 31, 2024.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spacing w:before="240" w:after="283"/>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results for the three and six months ended June 30, 2025 and 2024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09"/>
        <w:gridCol w:w="346"/>
        <w:gridCol w:w="260"/>
        <w:gridCol w:w="705"/>
        <w:gridCol w:w="346"/>
        <w:gridCol w:w="346"/>
        <w:gridCol w:w="260"/>
        <w:gridCol w:w="705"/>
        <w:gridCol w:w="346"/>
        <w:gridCol w:w="346"/>
        <w:gridCol w:w="260"/>
        <w:gridCol w:w="705"/>
        <w:gridCol w:w="346"/>
        <w:gridCol w:w="346"/>
        <w:gridCol w:w="260"/>
        <w:gridCol w:w="705"/>
        <w:gridCol w:w="414"/>
      </w:tblGrid>
      <w:tr>
        <w:trPr/>
        <w:tc>
          <w:tcPr>
            <w:tcW w:w="35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taxes, including excise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9744" w:type="dxa"/>
        <w:jc w:val="left"/>
        <w:tblInd w:w="0" w:type="dxa"/>
        <w:tblLayout w:type="fixed"/>
        <w:tblCellMar>
          <w:top w:w="28" w:type="dxa"/>
          <w:left w:w="28" w:type="dxa"/>
          <w:bottom w:w="28" w:type="dxa"/>
          <w:right w:w="28" w:type="dxa"/>
        </w:tblCellMar>
      </w:tblPr>
      <w:tblGrid>
        <w:gridCol w:w="2431"/>
        <w:gridCol w:w="346"/>
        <w:gridCol w:w="303"/>
        <w:gridCol w:w="822"/>
        <w:gridCol w:w="346"/>
        <w:gridCol w:w="346"/>
        <w:gridCol w:w="303"/>
        <w:gridCol w:w="822"/>
        <w:gridCol w:w="346"/>
        <w:gridCol w:w="346"/>
        <w:gridCol w:w="303"/>
        <w:gridCol w:w="822"/>
        <w:gridCol w:w="346"/>
        <w:gridCol w:w="346"/>
        <w:gridCol w:w="303"/>
        <w:gridCol w:w="822"/>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$105.0 million for the three months ended June 30, 2024 to $101.2 million for the three months ended June 30, 2025. The decrease in interest from investments was primarily the result of a decrease in reference rates for the three months ended June 30, 2025 compared to the same period in 2024. Paid-in-kind interest income decreased from $9.4 million for the three months ended June 30, 2024 to $5.8 million for the three months ended June 30, 2025 due to decreased PIK investments. Dividend income decreased from $1.8 million for the three months ended June 30, 2024 to $0.4 million for the three months ended June 30, 2025 due to the timing of dividend payments in 2025. Other income increased from $5.6 million for the three months ended June 30, 2024 to $7.6 million for the three months ended June 30, 2025, primarily due to increased miscellaneous fees earned during the three months ended June 30, 2025.</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$209.7 million for the six months ended June 30, 2024 to $207.9 million for the six months ended June 30, 2025. The decrease in interest from investments was primarily the result of a decrease in references rates for the six months ended June 30, 2025 compared to the same period in 2024. Paid-in-kind interest income decreased from $17.5 million for the six months ended June 30, 2024 to $11.1 million for the six months ended June 30, 2025 due to decreased PIK investments. Dividend income decreased from $2.6 million for the six months ended June 30, 2024 to $1.3 million for the six months ended June 30, 2025 due to the timing of dividend payments in 2025. Other income increased from $9.8 million for the six months ended June 30, 2024 to $11.1 million for the six months ended June 30, 2025, primarily due to increased miscellaneous fees earned during the six months ended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and six months ended June 30, 2025 and 2024 were as follows: </w:t>
      </w:r>
    </w:p>
    <w:p>
      <w:pPr>
        <w:pStyle w:val="TextBody"/>
        <w:bidi w:val="0"/>
        <w:jc w:val="left"/>
        <w:rPr/>
      </w:pPr>
      <w:r>
        <w:rPr/>
        <w:t> </w:t>
      </w:r>
    </w:p>
    <w:tbl>
      <w:tblPr>
        <w:tblW w:w="9744" w:type="dxa"/>
        <w:jc w:val="left"/>
        <w:tblInd w:w="0" w:type="dxa"/>
        <w:tblLayout w:type="fixed"/>
        <w:tblCellMar>
          <w:top w:w="28" w:type="dxa"/>
          <w:left w:w="28" w:type="dxa"/>
          <w:bottom w:w="28" w:type="dxa"/>
          <w:right w:w="28" w:type="dxa"/>
        </w:tblCellMar>
      </w:tblPr>
      <w:tblGrid>
        <w:gridCol w:w="3391"/>
        <w:gridCol w:w="346"/>
        <w:gridCol w:w="350"/>
        <w:gridCol w:w="775"/>
        <w:gridCol w:w="146"/>
        <w:gridCol w:w="146"/>
        <w:gridCol w:w="350"/>
        <w:gridCol w:w="775"/>
        <w:gridCol w:w="346"/>
        <w:gridCol w:w="346"/>
        <w:gridCol w:w="303"/>
        <w:gridCol w:w="822"/>
        <w:gridCol w:w="166"/>
        <w:gridCol w:w="146"/>
        <w:gridCol w:w="303"/>
        <w:gridCol w:w="822"/>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160" w:after="283"/>
        <w:jc w:val="left"/>
        <w:rPr>
          <w:rFonts w:ascii="Times New Roman" w:hAnsi="Times New Roman"/>
          <w:sz w:val="20"/>
        </w:rPr>
      </w:pPr>
      <w:r>
        <w:rPr>
          <w:rFonts w:ascii="Times New Roman" w:hAnsi="Times New Roman"/>
          <w:i/>
          <w:color w:val="000000"/>
          <w:sz w:val="20"/>
        </w:rPr>
        <w:t>Interest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$39.2 million for the three months ended June 30, 2024 to $33.6 million for the three months ended June 30, 2025. This decrease was primarily due to a decrease in the average interest rate on our debt outstanding, which decreased from 7.7% for the three months ended June 30, 2024 to 6.3% for the three months ended June 30, 2025 due to a change in the mix of our debt financing sources and a change in SOFR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$78.3 million for the six months ended June 30, 2024 to $66.6 million for the six months ended June 30, 2025. This decrease was primarily due to a decrease in the average interest rate on our debt outstanding, which decreased from 7.7% for the six months ended June 30, 2024 to 6.4% for the six months ended June 30, 2025 due to a change in the mix of our debt financing sources and a change in SOFR rates.</w:t>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Management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$12.8 million for the three months ended June 30, 2024 to $12.9 million for the three months ended June 30, 2025 due to an increase in average assets. Management Fees (net of waivers) increased from $12.5 million for the three months ended June 30, 2024 to $12.6 million for the three months ended June 30, 2025. Management Fees waived were $0.3 million for the three months ended June 30, 2025 and $0.3 million for the three months ended June 30, 2024, pursuant to the Leverage Waiver. Any waived management fees are not subject to recoupment by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increased from $25.4 million for the six months ended June 30, 2024 to $26.0 million for the six months ended June 30, 2025 due to an increase in average assets. Management Fees (net of waivers) increased from $24.7 million for the six months ended June 30, 2024 to $25.3 million for the six months ended June 30, 2025. Management Fees waived were $0.7 million for the six months ended June 30, 2025 and $0.7 million for the six months ended June 30, 2024, pursuant to the Leverage Waiver. Any waived management fees are not subject to recoupment by the Adviser.</w:t>
      </w:r>
    </w:p>
    <w:p>
      <w:pPr>
        <w:pStyle w:val="TextBody"/>
        <w:bidi w:val="0"/>
        <w:spacing w:before="240" w:after="283"/>
        <w:jc w:val="left"/>
        <w:rPr>
          <w:rFonts w:ascii="Times New Roman" w:hAnsi="Times New Roman"/>
          <w:sz w:val="20"/>
        </w:rPr>
      </w:pPr>
      <w:r>
        <w:rPr>
          <w:rFonts w:ascii="Times New Roman" w:hAnsi="Times New Roman"/>
          <w:i/>
          <w:color w:val="000000"/>
          <w:sz w:val="20"/>
        </w:rPr>
        <w:t>Incentive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and 2024, Incentive Fees were $12.5 million and $10.1 million, respectively, of which $11.1 million and $11.4 million, respectively, were realized and payable to the Adviser. For the three months ended June 30, 2025 and 2024, $1.4 million and $(1.3) million, respectively, of Incentive Fees were accrued related to Capital Gains Fees. As of June 30, 2025, these accrued Incentive Fees are not contractually payable to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and 2024, Incentive Fees were $20.4 million and $20.1 million, respectively, of which $22.6 million and $22.3 million, respectively, were realized and payable to the Adviser. For the six months ended June 30, 2025 and 2024, $(2.2) million and $(2.2) million, respectively, of Incentive Fees were accrued related to Capital Gains Fees. As of June 30, 2025, these accrued Incentive Fees are not contractually payable to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increased from $2.1 million for the three months ended June 30, 2024 to $2.6 million for the three months ended June 30, 2025 due to higher legal and audit related fees. Other general and administrative fees were $1.3 million for the three months ended June 30, 2024 and $1.3 million for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increased from $3.9 million for the six months ended June 30, 2024 to $4.5 million for the six months ended June 30, 2025 due to higher legal and audit related fees. Other general and administrative fees were $2.6 million for the six months ended June 30, 2024 and $2.6 million for the six months ended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we recorded a net expense of $1.3 million and $2.6 million, respectively, for U.S. federal excise tax and other taxes. For the three and six months ended June 30, 2024, we recorded a net expense of $1.2 million and $2.1 million, respectively, for U.S. federal excise tax and other taxes.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net realized and unrealized gains (losses) for the three and six months ended June 30, 2025 and 2024: </w:t>
      </w:r>
    </w:p>
    <w:tbl>
      <w:tblPr>
        <w:tblW w:w="10205" w:type="dxa"/>
        <w:jc w:val="left"/>
        <w:tblInd w:w="0" w:type="dxa"/>
        <w:tblLayout w:type="fixed"/>
        <w:tblCellMar>
          <w:top w:w="28" w:type="dxa"/>
          <w:left w:w="28" w:type="dxa"/>
          <w:bottom w:w="28" w:type="dxa"/>
          <w:right w:w="28" w:type="dxa"/>
        </w:tblCellMar>
      </w:tblPr>
      <w:tblGrid>
        <w:gridCol w:w="4620"/>
        <w:gridCol w:w="146"/>
        <w:gridCol w:w="306"/>
        <w:gridCol w:w="764"/>
        <w:gridCol w:w="166"/>
        <w:gridCol w:w="146"/>
        <w:gridCol w:w="306"/>
        <w:gridCol w:w="764"/>
        <w:gridCol w:w="166"/>
        <w:gridCol w:w="146"/>
        <w:gridCol w:w="290"/>
        <w:gridCol w:w="787"/>
        <w:gridCol w:w="166"/>
        <w:gridCol w:w="146"/>
        <w:gridCol w:w="306"/>
        <w:gridCol w:w="764"/>
        <w:gridCol w:w="216"/>
      </w:tblGrid>
      <w:tr>
        <w:trPr/>
        <w:tc>
          <w:tcPr>
            <w:tcW w:w="4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foreign currency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Table may not sum due to rounding.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2025, we had net realized losses on investments of $36.8 million and $35.7 million, respectively. For the three and six months ended June 30, 2025, we had net realized gains of $0.1 million and net realized losses of $0.1 million, respectively, on foreign currency transactions, primarily as a result of translating foreign currency related to our non-USD denominated investments. For the three and six months ended June 30, 2025, we had net realized gains on foreign currency investments of $0.8 million and $0.8 million, respectively. For the three and six months ended June 30, 2025, we had net realized losses on foreign currency borrowings of $1.0 million and $1.0 million, respectively. The net realized losses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June 30, 2025, we had $94.6 million in unrealized gains on 77 portfolio company investments, which was offset by $23.8 million in unrealized losses on 40 portfolio company investments. Unrealized gains for the three months ended June 30, 2025 resulted from positive portfolio company specific developments, tightening credit spreads, and the reversal of prior period unrealized losses due to realizations. Unrealized losses for the three months ended June 30, 2025 resulted from negative credit-related adjustments and the reversal of prior period unrealized gains due to realizations. For the six months ended June 30, 2025, we had $104.9 million in unrealized gains on 67 portfolio company investments, which was offset by $44.9 million in unrealized losses on 57 portfolio company investments. Unrealized gains for the six months ended June 30, 2025 resulted from positive portfolio company specific developments, tightening credit spreads, and the reversal of prior period unrealized losses due to realizations. Unrealized losses for the six months ended June 30, 2025 resulted from negative credit-related adjustments and the reversal of prior period unrealized gains due to realizations.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2025 we had unrealized losses on foreign currency borrowings of $25.8 million and $36.8 million, respectively, on foreign currency borrowings, primarily as a result of fluctuations in the AUD, CAD, SEK, GBP and EUR exchange rates. For the three and six months ended June 30, 2025, we had unrealized gains of less than $0.1 million and unrealized losses of less than $0.1 million, respectively, on foreign currency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we had net realized gains on investments of $1.6 million and $3.9 million,</w:t>
        <w:br/>
        <w:t xml:space="preserve">respectively, primarily driven by nineteen investments and thirty-six investments, respectively. For the three and six months ended June 30, 2024, we had net realized losses of $0.1 million and $0.8 million, respectively on foreign currency transactions, primarily as a result of translating foreign currency related to our non-USD denominated investments. For the three and six months ended June 30, 2024, we had net realized losses of $1.7 million and $2.4 million, respectively, on foreign currency investments. For the three and six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months ended June 30, 2024, we had net realized gains of $2.0 million and $3.2 million, respectively, on foreign currency borrowings. The net realized gains and losses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2024, we had $13.9 million in unrealized gains on 57 portfolio company investments, which</w:t>
        <w:br/>
        <w:t>was offset by $21.8 million in unrealized losses on 73 portfolio company investments. Unrealized gains primarily resulted from</w:t>
        <w:br/>
        <w:t>tightening credit spreads and positive portfolio company specific developments. Unrealized losses primarily resulted from negative</w:t>
        <w:br/>
        <w:t>portfolio company specific developments and the reversal of prior period unrealized gains due to realizations. For the six months ended June 30, 2024, we had $23.7 million in unrealized gains on 63 portfolio company investments, which was offset by $43.2</w:t>
        <w:br/>
        <w:t>million in unrealized losses on 89 portfolio company investments. Unrealized gains primarily resulted from tightening credit spreads</w:t>
        <w:br/>
        <w:t>and positive portfolio company specific developments. Unrealized losses primarily resulted from negative portfolio company specific</w:t>
        <w:br/>
        <w:t>developments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2024, we had unrealized losses on foreign currency borrowings of $1.6 million and</w:t>
        <w:br/>
        <w:t>unrealized gains of $3.0 million, respectively, on foreign currency borrowings, as a result of fluctuations in the AUD, CAD, EUR,</w:t>
        <w:br/>
        <w:t>SEK and GBP exchange rates. For the three and six months ended June 30, 2024, we had unrealized losses on foreign currency cash of</w:t>
        <w:br/>
        <w:t xml:space="preserve">less than $0.1 million and less than $0.1 million,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Realized Gross Internal Rate of Return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we began investing in 2011 through June 30, 2025, weighted by capital invested, our exited investments have generated an average realized gross internal rate of return to us of 17.1% (based on total capital invested of $8.6 billion and total proceeds from these exited investments of $11.0 billion). Ninety-two percent of these exited investments resulted in a realized gross internal rate of return to us of 10% or greater.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Revolving Credit Facility to fund these investments. For the six months ended June 30, 2025 and 2024, we had $36.8 million of unrealized losses and $3.0 million of unrealized gains, respectively, on the translation of our non-U.S. dollar denominated debt into U.S. dollars; such amounts approximate the corresponding unrealized gains and losses on the translation of our non-U.S. dollar denominated investments into U.S. dollars for the six months ended June 30, 2025 and 2024. See Note 2 for additional disclosure regarding our accounting for foreign currency. See Note 7 for additional disclosure regarding the amounts of outstanding debt denominated in each foreign currency at June 30, 2025.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hAnsi="Times New Roman"/>
          <w:i/>
          <w:color w:val="000000"/>
          <w:sz w:val="20"/>
        </w:rPr>
        <w:t>Key Components of Our Results of Operations — Leverage</w:t>
      </w:r>
      <w:r>
        <w:rPr>
          <w:rFonts w:ascii="Times New Roman" w:hAnsi="Times New Roman"/>
          <w:color w:val="000000"/>
          <w:sz w:val="20"/>
        </w:rPr>
        <w:t>” above. As of June 30, 2025 and December 31, 2024, our asset coverage ratio was 192.5% and 182.5%,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as of June 30, 2025, taken together with cash available under our credit facilities, is expected to be sufficient for our investing activities and to conduct our operations in the near term. As of June 30, 2025, we had approximately $1.1 billion of availability on our Revolving Credit Facility, subject to asset coverage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we had $39.2 million in cash and cash equivalents, including $35.3 million of restricted cash. During the six months ended June 30, 2025, cash provided by operating activities was $343.1 million, primarily attributable to repayments and proceeds from investments of $733.2 million and an increase in net assets resulting from operations of $96.0 million, which was partially offset by cash used in other operating activities of $26.6 million and funding portfolio investments of $459.5 million. Cash used in financing activities was $331.3 million during the period due to paydowns on our Revolving Credit Facility of $977.8 million, dividends paid of $85.9 million and deferred financing costs of $7.3 million, which was partially offset by borrowings of $739.7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2024, we had $34.6 million in cash and cash equivalents, including $29.5 million of restricted cash. During the six months ended June 30, 2024, cash provided by operating activities was $59.7 million, primarily attributable to an increase in net assets</w:t>
        <w:br/>
        <w:t>resulting from operations of $94.9 million and repayments and proceeds from investments of $433.7 million, which was offset by</w:t>
        <w:br/>
        <w:t>funding portfolio investments of $458.9 million and other operating activity of $10.0 million. Cash used in financing activities was</w:t>
        <w:br/>
        <w:t>$(50.3) million during the period, primarily attributable to paydowns on our Revolving Credit Facility of $905.2 million, dividends</w:t>
        <w:br/>
        <w:t>paid to stockholders of $85.6 million, deferred financing costs of $8.8 million, which was offset due to borrowings of $856.0 million</w:t>
        <w:br/>
        <w:t>and proceeds from the issuance of common stock $93.3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we issued a total of 4,000,000 shares of common stock at $20.52 per share. Net of underwriting fees and offering costs, we received total cash proceeds of $81.5 million. Subsequent to the offering, we issued an additional 600,000 shares on April 1, 2024 pursuant to the overallotment option granted to underwriters and received, net of offering and underwriting fees, additional total cash proceeds of $11.9 million.</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2025 and 2024, we issued 578,912 and 587,706 shares of our common stock, respectively, to investors who have not opted out of our dividend reinvestment plan for proceeds of $12.7 million and $11.9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April 30, 2025 (effective May 31, 2025). The amount and timing of stock repurchases under the program may vary depending on market conditions, and no assurance can be given that any particular amount of common stock will be repurchased.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for the three and six months ended June 30, 2025 and 2024.</w:t>
      </w:r>
    </w:p>
    <w:p>
      <w:pPr>
        <w:pStyle w:val="TextBody"/>
        <w:bidi w:val="0"/>
        <w:spacing w:before="3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June 30, 2025, we had outstanding debt denominated in Australian dollars (AUD) of 63.0 million, British pounds (GBP) of 70.3 million, Canadian dollars (CAD) of 9.5 million, Swedish Krona (SEK) of 209.7 million and Euro (EUR) of 189.3 million on our Revolving Credit Facility, included in the Outstanding Principal amount in the table below.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also provides for the issuance of letters of credit up to an aggregate amount of $75 million. As of June 30, 2025 and December 31, 2024, we had $19.7 million and $21.8 million respectively in outstanding letters of credit issued through the Revolving Credit Facility. The amount available for borrowing under the Revolving Credit Facility is reduced by any letters of credit issued through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asset coverage ratio of no less than 2 to 1 on the last day of any fiscal quarter;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of at least $650 million plus 25% of the net proceeds of the sale of equity interests after April 24, 2024;</w:t>
        <w:b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proceeds received from the issuance of the 2030 Notes were used to pay down borrowings on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we were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2024 Notes matured on November 1, 2024 and were fully repaid. The corresponding swap transaction associated with the issuance of the 2024 Notes also matured on November 1, 2024.</w:t>
      </w:r>
    </w:p>
    <w:p>
      <w:pPr>
        <w:pStyle w:val="TextBody"/>
        <w:bidi w:val="0"/>
        <w:spacing w:before="360" w:after="283"/>
        <w:jc w:val="left"/>
        <w:rPr>
          <w:rFonts w:ascii="Times New Roman" w:hAnsi="Times New Roman"/>
          <w:sz w:val="20"/>
        </w:rPr>
      </w:pPr>
      <w:r>
        <w:rPr>
          <w:rFonts w:ascii="Times New Roman" w:hAnsi="Times New Roman"/>
          <w:i/>
          <w:color w:val="000000"/>
          <w:sz w:val="20"/>
        </w:rPr>
        <w:t>2026 Notes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our Consolidated Statements of Operations. As of June 30, 2025 and December 31, 2024, the effective hedge interest rate swaps had a fair value of $(11.4) million and $(17.6)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June 30, 2025 and December 31, 2024, the effective hedge interest rate swaps had a fair value of $4.5 million and $(1.4)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we entered into an interest rate swap to align the interest rates of its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June 30, 2025 and December 31, 2024, the effective hedge interest rate swaps had a fair value of $3.0 million and $(5.2)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on our Consolidated Statements of Operations. As of June 30, 2025, the effective hedge interest rate swaps had a fair value of $8.9 million which is offset within interest expense by an equal, but opposite, fair value change for the hedged risk on the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June 30, 2025 and December 31, 2024: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$17.0 million, $1.3 million, $3.9 million $6.1 million and $7.2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and 2030 Notes are presented inclusive of an incremental $(11.4) million, $4.5 million, $3.0 million and $8.9 million, which represents an adjustment in the carrying values of the 2026 Notes, 2028 Notes, 2029 Notes and 2030 Notes, each resulting from a hedge accounting relationship.</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and December 31, 2024,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June 30, 2025 and December 31, 2024, we had the following commitments to fund investments in current portfolio companies: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05" w:type="dxa"/>
        <w:jc w:val="left"/>
        <w:tblInd w:w="0" w:type="dxa"/>
        <w:tblLayout w:type="fixed"/>
        <w:tblCellMar>
          <w:top w:w="28" w:type="dxa"/>
          <w:left w:w="28" w:type="dxa"/>
          <w:bottom w:w="28" w:type="dxa"/>
          <w:right w:w="28" w:type="dxa"/>
        </w:tblCellMar>
      </w:tblPr>
      <w:tblGrid>
        <w:gridCol w:w="5551"/>
        <w:gridCol w:w="246"/>
        <w:gridCol w:w="350"/>
        <w:gridCol w:w="775"/>
        <w:gridCol w:w="246"/>
        <w:gridCol w:w="246"/>
        <w:gridCol w:w="467"/>
        <w:gridCol w:w="1033"/>
        <w:gridCol w:w="191"/>
      </w:tblGrid>
      <w:tr>
        <w:trPr/>
        <w:tc>
          <w:tcPr>
            <w:tcW w:w="55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Alpha Midco,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Apellis Pharmaceuticals,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Aptean,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 Buyer,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Avalara,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Axonify,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Babylon Finco Limited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Banyan Software Holdings,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Bluebill Buyer,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 Nevis Midco Limited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Big Wombat Holdings,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BlueSnap,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BTRS Holdings,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 Bidco B.V.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Elysium BidCo Limited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Employment Hero Holdings Pty Ltd.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ForeScout Technologies,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Fullsteam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Heritage Environmental Services, Inc.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Marcura Equities LTD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Merit Software Finance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PrimePay Intermediate,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14" w:type="dxa"/>
        <w:jc w:val="left"/>
        <w:tblInd w:w="0" w:type="dxa"/>
        <w:tblLayout w:type="fixed"/>
        <w:tblCellMar>
          <w:top w:w="28" w:type="dxa"/>
          <w:left w:w="28" w:type="dxa"/>
          <w:bottom w:w="28" w:type="dxa"/>
          <w:right w:w="28" w:type="dxa"/>
        </w:tblCellMar>
      </w:tblPr>
      <w:tblGrid>
        <w:gridCol w:w="5821"/>
        <w:gridCol w:w="146"/>
        <w:gridCol w:w="211"/>
        <w:gridCol w:w="571"/>
        <w:gridCol w:w="246"/>
        <w:gridCol w:w="246"/>
        <w:gridCol w:w="211"/>
        <w:gridCol w:w="571"/>
        <w:gridCol w:w="2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PrimeRevenue,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QSR Acquisition Co.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 Bidco S.p.A.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SkyLark UK DebtCo Limited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 Buyer Corp.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#2 -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TradingScreen,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and December 31, 2024, we did not have any unfunded commitments to fund investments to new borrowers that were not current portfolio companies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June 30, 2025,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our contractual payment obligations as of June 30, 2025 is as follows: </w:t>
      </w:r>
    </w:p>
    <w:tbl>
      <w:tblPr>
        <w:tblW w:w="908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95"/>
        <w:gridCol w:w="485"/>
        <w:gridCol w:w="146"/>
        <w:gridCol w:w="146"/>
        <w:gridCol w:w="211"/>
        <w:gridCol w:w="571"/>
        <w:gridCol w:w="146"/>
        <w:gridCol w:w="146"/>
        <w:gridCol w:w="211"/>
        <w:gridCol w:w="721"/>
        <w:gridCol w:w="146"/>
        <w:gridCol w:w="146"/>
        <w:gridCol w:w="287"/>
        <w:gridCol w:w="778"/>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addition to the contractual payment obligations in the tables above, we also have commitments to fund investments and to pledge assets as collateral under the terms of our derivatives agreements. </w:t>
      </w:r>
    </w:p>
    <w:p>
      <w:pPr>
        <w:pStyle w:val="TextBody"/>
        <w:bidi w:val="0"/>
        <w:spacing w:before="360" w:after="283"/>
        <w:jc w:val="left"/>
        <w:rPr>
          <w:rFonts w:ascii="Times New Roman" w:hAnsi="Times New Roman"/>
          <w:sz w:val="20"/>
        </w:rPr>
      </w:pPr>
      <w:r>
        <w:rPr>
          <w:rFonts w:ascii="Times New Roman" w:hAnsi="Times New Roman"/>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tax-exempt interest income (which is the excess of our gross tax exempt interest income over certain disallowed deductions) for such taxable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RIC, we (but not our stockholders) generally will not be subject to U.S. federal income tax on investment company taxable income and net capital gains that we distribute to our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Investment Advisory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Administration Agreement;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2024, filed with the SEC on February 13, 2025, and elsewhere in our filings with the SEC. The critical accounting policies and estimates should be read in connection with our risk factors discussed in Part I, “Item 1A. Risk Factors” in our Annual Report on Form 10-K for the fiscal year ended December 31, 2024.</w:t>
      </w:r>
    </w:p>
    <w:p>
      <w:pPr>
        <w:pStyle w:val="TextBody"/>
        <w:bidi w:val="0"/>
        <w:spacing w:before="360" w:after="283"/>
        <w:jc w:val="left"/>
        <w:rPr/>
      </w:pPr>
      <w:r>
        <w:rPr/>
        <w:t> </w:t>
      </w:r>
    </w:p>
    <w:p>
      <w:pPr>
        <w:pStyle w:val="TextBody"/>
        <w:bidi w:val="0"/>
        <w:spacing w:before="180" w:after="283"/>
        <w:jc w:val="left"/>
        <w:rPr>
          <w:rFonts w:ascii="Times New Roman" w:hAnsi="Times New Roman"/>
          <w:sz w:val="20"/>
        </w:rPr>
      </w:pPr>
      <w:bookmarkStart w:id="10" w:name="item_3_quantitative_disclosur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36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96.5%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June 30,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w:t>
      </w:r>
      <w:bookmarkStart w:id="12" w:name="item_9a_controls_and_procedures"/>
      <w:bookmarkEnd w:id="12"/>
      <w:r>
        <w:rPr>
          <w:rFonts w:ascii="Times New Roman" w:hAnsi="Times New Roman"/>
          <w:b/>
          <w:color w:val="000000"/>
          <w:sz w:val="20"/>
        </w:rPr>
        <w:t>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4" w:name="item_1_legal_proceedings"/>
      <w:bookmarkEnd w:id="14"/>
      <w:r>
        <w:rPr>
          <w:rFonts w:ascii="Times New Roman" w:hAnsi="Times New Roman"/>
          <w:b/>
          <w:color w:val="000000"/>
          <w:sz w:val="20"/>
        </w:rPr>
        <w:t>I</w:t>
      </w:r>
      <w:bookmarkStart w:id="15" w:name="item_10_directors"/>
      <w:bookmarkEnd w:id="15"/>
      <w:r>
        <w:rPr>
          <w:rFonts w:ascii="Times New Roman" w:hAnsi="Times New Roman"/>
          <w:b/>
          <w:color w:val="000000"/>
          <w:sz w:val="20"/>
        </w:rPr>
        <w:t>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pStyle w:val="TextBody"/>
        <w:bidi w:val="0"/>
        <w:spacing w:before="160" w:after="283"/>
        <w:jc w:val="left"/>
        <w:rPr>
          <w:rFonts w:ascii="Times New Roman" w:hAnsi="Times New Roman"/>
          <w:sz w:val="20"/>
        </w:rPr>
      </w:pPr>
      <w:bookmarkStart w:id="16" w:name="items_1a_risk_factors"/>
      <w:bookmarkStart w:id="17" w:name="item_11_executive_compensat"/>
      <w:bookmarkEnd w:id="16"/>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2024,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jc w:val="left"/>
        <w:rPr/>
      </w:pPr>
      <w:r>
        <w:rPr/>
        <w:t> </w:t>
      </w:r>
    </w:p>
    <w:p>
      <w:pPr>
        <w:pStyle w:val="TextBody"/>
        <w:bidi w:val="0"/>
        <w:jc w:val="left"/>
        <w:rPr>
          <w:rFonts w:ascii="Times New Roman" w:hAnsi="Times New Roman"/>
          <w:b/>
          <w:color w:val="000000"/>
          <w:sz w:val="20"/>
        </w:rPr>
      </w:pPr>
      <w:bookmarkStart w:id="18" w:name="item_2_unregistered_sales"/>
      <w:bookmarkStart w:id="19" w:name="item_12"/>
      <w:bookmarkEnd w:id="18"/>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bookmarkStart w:id="20" w:name="item_3_defaults"/>
      <w:bookmarkStart w:id="21" w:name="item_13"/>
      <w:bookmarkEnd w:id="20"/>
      <w:bookmarkEnd w:id="21"/>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2" w:name="item_4_mine_safety"/>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3" w:name="item_5_other_information"/>
      <w:bookmarkStart w:id="24" w:name="item_14"/>
      <w:bookmarkEnd w:id="23"/>
      <w:bookmarkEnd w:id="2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Rule 10b5-1 Trading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none of our directors or officers (as defined in Rule 16a-1(f) under the Exchange Act) adopted, modified or terminated any Rule 10b5-1 trading arrangement or non-Rule 10b5-1 trading arrangement (as such terms are defined in Item 408 of Regulation S-K).</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5" w:name="item_6_exhibits"/>
      <w:bookmarkEnd w:id="25"/>
      <w:r>
        <w:rPr>
          <w:rFonts w:ascii="Times New Roman" w:hAnsi="Times New Roman"/>
          <w:b/>
          <w:color w:val="000000"/>
          <w:sz w:val="20"/>
        </w:rPr>
        <w:t>I</w:t>
      </w:r>
      <w:bookmarkStart w:id="26" w:name="item_15"/>
      <w:bookmarkEnd w:id="26"/>
      <w:r>
        <w:rPr>
          <w:rFonts w:ascii="Times New Roman" w:hAnsi="Times New Roman"/>
          <w:b/>
          <w:color w:val="000000"/>
          <w:sz w:val="20"/>
        </w:rPr>
        <w:t>TEM 6.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54"/>
        <w:gridCol w:w="290"/>
        <w:gridCol w:w="9061"/>
      </w:tblGrid>
      <w:tr>
        <w:trPr/>
        <w:tc>
          <w:tcPr>
            <w:tcW w:w="854"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061" w:type="dxa"/>
            <w:tcBorders/>
            <w:shd w:fill="FFFFFF" w:val="clear"/>
            <w:vAlign w:val="center"/>
          </w:tcPr>
          <w:p>
            <w:pPr>
              <w:pStyle w:val="TableContents"/>
              <w:bidi w:val="0"/>
              <w:spacing w:before="0" w:after="283"/>
              <w:jc w:val="left"/>
              <w:rPr>
                <w:sz w:val="4"/>
                <w:szCs w:val="4"/>
              </w:rPr>
            </w:pPr>
            <w:r>
              <w:rPr>
                <w:sz w:val="4"/>
                <w:szCs w:val="4"/>
              </w:rPr>
            </w:r>
          </w:p>
        </w:tc>
      </w:tr>
      <w:tr>
        <w:trPr/>
        <w:tc>
          <w:tcPr>
            <w:tcW w:w="8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of Exhibits </w:t>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3.2 to Amendment No. 1 to the Company’s Current Report on Form 8-K filed on June 19, 2020).</w:t>
              </w:r>
            </w:hyperlink>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Second Amended and Restated Bylaws dated July 10, 2023 (incorporated by reference to Exhibit 3.1 to the Company’s</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Current Report on Form 8-K/A filed on July 17, 2023)</w:t>
              </w:r>
            </w:hyperlink>
            <w:r>
              <w:rPr>
                <w:rFonts w:ascii="Times New Roman" w:hAnsi="Times New Roman"/>
                <w:color w:val="000000"/>
                <w:sz w:val="20"/>
              </w:rPr>
              <w:t>.</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hyperlink w:anchor="tslx-ex31_1.htm">
              <w:r>
                <w:rPr>
                  <w:rStyle w:val="InternetLink"/>
                  <w:rFonts w:ascii="Times New Roman" w:hAnsi="Times New Roman"/>
                  <w:color w:val="0000FF"/>
                  <w:sz w:val="20"/>
                  <w:u w:val="single"/>
                </w:rPr>
                <w:t>Certification of Chief Executive Officer Pursuant to 18 U.S.C. Section 1350, as Adopted Pursuant to Section 302 of the Sarbanes-Oxley Act of 2002.</w:t>
              </w:r>
            </w:hyperlink>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hyperlink w:anchor="tslx-ex31_2.htm">
              <w:r>
                <w:rPr>
                  <w:rStyle w:val="InternetLink"/>
                  <w:rFonts w:ascii="Times New Roman" w:hAnsi="Times New Roman"/>
                  <w:color w:val="0000FF"/>
                  <w:sz w:val="20"/>
                  <w:u w:val="single"/>
                </w:rPr>
                <w:t>Certification of Chief Financial Officer Pursuant to 18 U.S.C. Section 1350, as Adopted Pursuant to Section 302 of the Sarbanes-Oxley Act of 2002.</w:t>
              </w:r>
            </w:hyperlink>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hyperlink w:anchor="tslx-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6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signature_page"/>
      <w:bookmarkEnd w:id="2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tbl>
      <w:tblPr>
        <w:tblW w:w="6013" w:type="dxa"/>
        <w:jc w:val="left"/>
        <w:tblInd w:w="0" w:type="dxa"/>
        <w:tblLayout w:type="fixed"/>
        <w:tblCellMar>
          <w:top w:w="28" w:type="dxa"/>
          <w:left w:w="28" w:type="dxa"/>
          <w:bottom w:w="28" w:type="dxa"/>
          <w:right w:w="28" w:type="dxa"/>
        </w:tblCellMar>
      </w:tblPr>
      <w:tblGrid>
        <w:gridCol w:w="1711"/>
        <w:gridCol w:w="146"/>
        <w:gridCol w:w="415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SIXTH STREET SPECIALTY LENDING,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/s/ Joshua Easterly</w:t>
            </w:r>
            <w:r>
              <w:rPr>
                <w:rFonts w:ascii="Times New Roman" w:hAnsi="Times New Roman"/>
                <w:color w:val="000000"/>
                <w:sz w:val="24"/>
              </w:rPr>
              <w:t xml:space="preserve">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Joshua Easterly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8" w:name="tslx-ex31_1.htm"/>
      <w:bookmarkStart w:id="29" w:name="kstslxex31_1"/>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Joshua Easterly,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2025</w:t>
      </w:r>
    </w:p>
    <w:tbl>
      <w:tblPr>
        <w:tblW w:w="2897" w:type="dxa"/>
        <w:jc w:val="left"/>
        <w:tblInd w:w="0" w:type="dxa"/>
        <w:tblLayout w:type="fixed"/>
        <w:tblCellMar>
          <w:top w:w="28" w:type="dxa"/>
          <w:left w:w="28" w:type="dxa"/>
          <w:bottom w:w="28" w:type="dxa"/>
          <w:right w:w="28" w:type="dxa"/>
        </w:tblCellMar>
      </w:tblPr>
      <w:tblGrid>
        <w:gridCol w:w="421"/>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J</w:t>
            </w:r>
            <w:r>
              <w:rPr>
                <w:rFonts w:ascii="Times New Roman" w:hAnsi="Times New Roman"/>
                <w:color w:val="000000"/>
                <w:sz w:val="15"/>
              </w:rPr>
              <w:t>OSHUA</w:t>
            </w:r>
            <w:r>
              <w:rPr>
                <w:rFonts w:ascii="Times New Roman" w:hAnsi="Times New Roman"/>
                <w:color w:val="000000"/>
                <w:sz w:val="20"/>
              </w:rPr>
              <w:t> E</w:t>
            </w:r>
            <w:r>
              <w:rPr>
                <w:rFonts w:ascii="Times New Roman" w:hAnsi="Times New Roman"/>
                <w:color w:val="000000"/>
                <w:sz w:val="15"/>
              </w:rPr>
              <w:t>ASTERLY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Joshua Easterly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tslx-ex31_2.htm"/>
      <w:bookmarkStart w:id="31" w:name="kstslxex31_2"/>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CFO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Sixth Street Specialty Lending,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2025</w:t>
      </w:r>
    </w:p>
    <w:tbl>
      <w:tblPr>
        <w:tblW w:w="2837" w:type="dxa"/>
        <w:jc w:val="left"/>
        <w:tblInd w:w="0" w:type="dxa"/>
        <w:tblLayout w:type="fixed"/>
        <w:tblCellMar>
          <w:top w:w="28" w:type="dxa"/>
          <w:left w:w="28" w:type="dxa"/>
          <w:bottom w:w="28" w:type="dxa"/>
          <w:right w:w="28" w:type="dxa"/>
        </w:tblCellMar>
      </w:tblPr>
      <w:tblGrid>
        <w:gridCol w:w="421"/>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r>
              <w:rPr>
                <w:rFonts w:ascii="Times New Roman" w:hAnsi="Times New Roman"/>
                <w:color w:val="000000"/>
                <w:sz w:val="20"/>
              </w:rPr>
              <w:t xml:space="preserve"> </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tslx-ex32.htm"/>
      <w:bookmarkStart w:id="33" w:name="kstslxex3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Specialty Lending, Inc. (the “Company”) for the quarterly period ended June 30, 2025,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tbl>
      <w:tblPr>
        <w:tblW w:w="3362" w:type="dxa"/>
        <w:jc w:val="left"/>
        <w:tblInd w:w="0" w:type="dxa"/>
        <w:tblLayout w:type="fixed"/>
        <w:tblCellMar>
          <w:top w:w="28" w:type="dxa"/>
          <w:left w:w="28" w:type="dxa"/>
          <w:bottom w:w="28" w:type="dxa"/>
          <w:right w:w="28" w:type="dxa"/>
        </w:tblCellMar>
      </w:tblPr>
      <w:tblGrid>
        <w:gridCol w:w="886"/>
        <w:gridCol w:w="2476"/>
      </w:tblGrid>
      <w:tr>
        <w:trPr/>
        <w:tc>
          <w:tcPr>
            <w:tcW w:w="88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4"/>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J</w:t>
            </w:r>
            <w:r>
              <w:rPr>
                <w:rFonts w:ascii="Times New Roman" w:hAnsi="Times New Roman"/>
                <w:color w:val="000000"/>
                <w:sz w:val="15"/>
              </w:rPr>
              <w:t>OSHUA</w:t>
            </w:r>
            <w:r>
              <w:rPr>
                <w:rFonts w:ascii="Times New Roman" w:hAnsi="Times New Roman"/>
                <w:color w:val="000000"/>
                <w:sz w:val="24"/>
              </w:rPr>
              <w:t> </w:t>
            </w:r>
            <w:r>
              <w:rPr>
                <w:rFonts w:ascii="Times New Roman" w:hAnsi="Times New Roman"/>
                <w:color w:val="000000"/>
                <w:sz w:val="20"/>
              </w:rPr>
              <w:t>E</w:t>
            </w:r>
            <w:r>
              <w:rPr>
                <w:rFonts w:ascii="Times New Roman" w:hAnsi="Times New Roman"/>
                <w:color w:val="000000"/>
                <w:sz w:val="15"/>
              </w:rPr>
              <w:t>ASTERLY</w:t>
            </w:r>
            <w:r>
              <w:rPr>
                <w:rFonts w:ascii="Times New Roman" w:hAnsi="Times New Roman"/>
                <w:color w:val="000000"/>
                <w:sz w:val="24"/>
              </w:rPr>
              <w:t xml:space="preserve"> </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Joshua Easterly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2025</w:t>
      </w:r>
    </w:p>
    <w:tbl>
      <w:tblPr>
        <w:tblW w:w="3302" w:type="dxa"/>
        <w:jc w:val="left"/>
        <w:tblInd w:w="0" w:type="dxa"/>
        <w:tblLayout w:type="fixed"/>
        <w:tblCellMar>
          <w:top w:w="28" w:type="dxa"/>
          <w:left w:w="28" w:type="dxa"/>
          <w:bottom w:w="28" w:type="dxa"/>
          <w:right w:w="28" w:type="dxa"/>
        </w:tblCellMar>
      </w:tblPr>
      <w:tblGrid>
        <w:gridCol w:w="886"/>
        <w:gridCol w:w="2416"/>
      </w:tblGrid>
      <w:tr>
        <w:trPr/>
        <w:tc>
          <w:tcPr>
            <w:tcW w:w="8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30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4"/>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4"/>
              </w:rPr>
              <w:t> </w:t>
            </w:r>
            <w:r>
              <w:rPr>
                <w:rFonts w:ascii="Times New Roman" w:hAnsi="Times New Roman"/>
                <w:color w:val="000000"/>
                <w:sz w:val="20"/>
              </w:rPr>
              <w:t>S</w:t>
            </w:r>
            <w:r>
              <w:rPr>
                <w:rFonts w:ascii="Times New Roman" w:hAnsi="Times New Roman"/>
                <w:color w:val="000000"/>
                <w:sz w:val="15"/>
              </w:rPr>
              <w:t>IMMONDS</w:t>
            </w:r>
            <w:r>
              <w:rPr>
                <w:rFonts w:ascii="Times New Roman" w:hAnsi="Times New Roman"/>
                <w:color w:val="000000"/>
                <w:sz w:val="24"/>
              </w:rPr>
              <w:t xml:space="preserve"> </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Ian Simmonds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July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0174009/d936084dex32.htm" TargetMode="External"/><Relationship Id="rId3" Type="http://schemas.openxmlformats.org/officeDocument/2006/relationships/hyperlink" Target="https://www.sec.gov/Archives/edgar/data/1508655/000119312523188221/d534568dex31.htm" TargetMode="External"/><Relationship Id="rId4" Type="http://schemas.openxmlformats.org/officeDocument/2006/relationships/hyperlink" Target="https://www.sec.gov/Archives/edgar/data/1508655/000119312523188221/d534568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44954</Words>
  <Characters>236575</Characters>
  <CharactersWithSpaces>289749</CharactersWithSpaces>
  <Paragraphs>24592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