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1935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19354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Gordon Jennifer</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420" w:type="dxa"/>
            <w:vAlign w:val="bottom"/>
            <w:tcBorders>
              <w:top w:val="single" w:sz="8" w:color="0000EE"/>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02/20/2015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2">
        <w:r>
          <w:rPr>
            <w:rFonts w:ascii="Arial" w:cs="Arial" w:eastAsia="Arial" w:hAnsi="Arial"/>
            <w:sz w:val="19"/>
            <w:szCs w:val="19"/>
            <w:u w:val="single" w:color="auto"/>
            <w:color w:val="0000EE"/>
          </w:rPr>
          <w:t>TPG Specialty Lending,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TSLX</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418"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4"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TPG GLOBAL, LLC,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301 COMMERCE STREET, SUITE 3300</w:t>
      </w:r>
    </w:p>
    <w:p>
      <w:pPr>
        <w:spacing w:after="0" w:line="323"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900" w:type="dxa"/>
            <w:vAlign w:val="bottom"/>
          </w:tcPr>
          <w:p>
            <w:pPr>
              <w:spacing w:after="0"/>
              <w:rPr>
                <w:sz w:val="20"/>
                <w:szCs w:val="20"/>
                <w:color w:val="auto"/>
              </w:rPr>
            </w:pPr>
            <w:r>
              <w:rPr>
                <w:rFonts w:ascii="Arial" w:cs="Arial" w:eastAsia="Arial" w:hAnsi="Arial"/>
                <w:sz w:val="14"/>
                <w:szCs w:val="14"/>
                <w:color w:val="auto"/>
              </w:rPr>
              <w:t>(Street)</w:t>
            </w: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900" w:type="dxa"/>
            <w:vAlign w:val="bottom"/>
          </w:tcPr>
          <w:p>
            <w:pPr>
              <w:ind w:left="40"/>
              <w:spacing w:after="0"/>
              <w:rPr>
                <w:sz w:val="20"/>
                <w:szCs w:val="20"/>
                <w:color w:val="auto"/>
              </w:rPr>
            </w:pPr>
            <w:r>
              <w:rPr>
                <w:rFonts w:ascii="Arial" w:cs="Arial" w:eastAsia="Arial" w:hAnsi="Arial"/>
                <w:sz w:val="18"/>
                <w:szCs w:val="18"/>
                <w:color w:val="0000FF"/>
              </w:rPr>
              <w:t>FORT</w:t>
            </w:r>
          </w:p>
        </w:tc>
        <w:tc>
          <w:tcPr>
            <w:tcW w:w="880" w:type="dxa"/>
            <w:vAlign w:val="bottom"/>
            <w:vMerge w:val="restart"/>
          </w:tcPr>
          <w:p>
            <w:pPr>
              <w:ind w:left="240"/>
              <w:spacing w:after="0"/>
              <w:rPr>
                <w:sz w:val="20"/>
                <w:szCs w:val="20"/>
                <w:color w:val="auto"/>
              </w:rPr>
            </w:pPr>
            <w:r>
              <w:rPr>
                <w:rFonts w:ascii="Arial" w:cs="Arial" w:eastAsia="Arial" w:hAnsi="Arial"/>
                <w:sz w:val="18"/>
                <w:szCs w:val="18"/>
                <w:color w:val="0000FF"/>
              </w:rPr>
              <w:t>TX</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0000FF"/>
              </w:rPr>
              <w:t>76102</w:t>
            </w:r>
          </w:p>
        </w:tc>
        <w:tc>
          <w:tcPr>
            <w:tcW w:w="0" w:type="dxa"/>
            <w:vAlign w:val="bottom"/>
          </w:tcPr>
          <w:p>
            <w:pPr>
              <w:spacing w:after="0"/>
              <w:rPr>
                <w:sz w:val="1"/>
                <w:szCs w:val="1"/>
                <w:color w:val="auto"/>
              </w:rPr>
            </w:pPr>
          </w:p>
        </w:tc>
      </w:tr>
      <w:tr>
        <w:trPr>
          <w:trHeight w:val="114"/>
        </w:trPr>
        <w:tc>
          <w:tcPr>
            <w:tcW w:w="900" w:type="dxa"/>
            <w:vAlign w:val="bottom"/>
            <w:vMerge w:val="restart"/>
          </w:tcPr>
          <w:p>
            <w:pPr>
              <w:ind w:left="40"/>
              <w:spacing w:after="0"/>
              <w:rPr>
                <w:sz w:val="20"/>
                <w:szCs w:val="20"/>
                <w:color w:val="auto"/>
              </w:rPr>
            </w:pPr>
            <w:r>
              <w:rPr>
                <w:rFonts w:ascii="Arial" w:cs="Arial" w:eastAsia="Arial" w:hAnsi="Arial"/>
                <w:sz w:val="18"/>
                <w:szCs w:val="18"/>
                <w:color w:val="0000FF"/>
              </w:rPr>
              <w:t>WORTH</w:t>
            </w:r>
          </w:p>
        </w:tc>
        <w:tc>
          <w:tcPr>
            <w:tcW w:w="88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900" w:type="dxa"/>
            <w:vAlign w:val="bottom"/>
            <w:vMerge w:val="continue"/>
          </w:tcPr>
          <w:p>
            <w:pPr>
              <w:spacing w:after="0"/>
              <w:rPr>
                <w:sz w:val="9"/>
                <w:szCs w:val="9"/>
                <w:color w:val="auto"/>
              </w:rPr>
            </w:pP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26"/>
        <w:spacing w:after="0"/>
        <w:rPr>
          <w:sz w:val="20"/>
          <w:szCs w:val="20"/>
          <w:color w:val="auto"/>
        </w:rPr>
      </w:pPr>
      <w:r>
        <w:rPr>
          <w:rFonts w:ascii="Arial" w:cs="Arial" w:eastAsia="Arial" w:hAnsi="Arial"/>
          <w:sz w:val="18"/>
          <w:szCs w:val="18"/>
          <w:color w:val="0000FF"/>
        </w:rPr>
        <w:t>Chief Compliance Officer</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338"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66"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125"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330"/>
        </w:trPr>
        <w:tc>
          <w:tcPr>
            <w:tcW w:w="20" w:type="dxa"/>
            <w:vAlign w:val="bottom"/>
            <w:tcBorders>
              <w:bottom w:val="single" w:sz="8" w:color="2C2C2C"/>
            </w:tcBorders>
          </w:tcPr>
          <w:p>
            <w:pPr>
              <w:spacing w:after="0"/>
              <w:rPr>
                <w:sz w:val="24"/>
                <w:szCs w:val="24"/>
                <w:color w:val="auto"/>
              </w:rPr>
            </w:pPr>
          </w:p>
        </w:tc>
        <w:tc>
          <w:tcPr>
            <w:tcW w:w="302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w w:val="94"/>
              </w:rPr>
              <w:t>No securities beneficially owned</w:t>
            </w:r>
            <w:r>
              <w:rPr>
                <w:rFonts w:ascii="Arial" w:cs="Arial" w:eastAsia="Arial" w:hAnsi="Arial"/>
                <w:sz w:val="22"/>
                <w:szCs w:val="22"/>
                <w:color w:val="008000"/>
                <w:w w:val="94"/>
                <w:vertAlign w:val="superscript"/>
              </w:rPr>
              <w:t>(1)(2)(3)</w:t>
            </w:r>
          </w:p>
        </w:tc>
        <w:tc>
          <w:tcPr>
            <w:tcW w:w="5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tcPr>
          <w:p>
            <w:pPr>
              <w:jc w:val="right"/>
              <w:ind w:right="547"/>
              <w:spacing w:after="0"/>
              <w:rPr>
                <w:sz w:val="20"/>
                <w:szCs w:val="20"/>
                <w:color w:val="auto"/>
              </w:rPr>
            </w:pPr>
            <w:r>
              <w:rPr>
                <w:rFonts w:ascii="Arial" w:cs="Arial" w:eastAsia="Arial" w:hAnsi="Arial"/>
                <w:sz w:val="18"/>
                <w:szCs w:val="18"/>
                <w:color w:val="0000FF"/>
              </w:rPr>
              <w:t>0</w:t>
            </w:r>
          </w:p>
        </w:tc>
        <w:tc>
          <w:tcPr>
            <w:tcW w:w="1220" w:type="dxa"/>
            <w:vAlign w:val="bottom"/>
            <w:tcBorders>
              <w:bottom w:val="single" w:sz="8" w:color="2C2C2C"/>
            </w:tcBorders>
          </w:tcPr>
          <w:p>
            <w:pPr>
              <w:ind w:left="98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30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4400" w:type="dxa"/>
            <w:vAlign w:val="bottom"/>
            <w:tcBorders>
              <w:top w:val="single" w:sz="8" w:color="2C2C2C"/>
            </w:tcBorders>
            <w:gridSpan w:val="4"/>
          </w:tcPr>
          <w:p>
            <w:pPr>
              <w:ind w:left="4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5840" w:type="dxa"/>
            <w:vAlign w:val="bottom"/>
            <w:gridSpan w:val="6"/>
          </w:tcPr>
          <w:p>
            <w:pPr>
              <w:ind w:left="26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30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02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56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5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020" w:type="dxa"/>
            <w:vAlign w:val="bottom"/>
          </w:tcPr>
          <w:p>
            <w:pPr>
              <w:spacing w:after="0"/>
              <w:rPr>
                <w:sz w:val="6"/>
                <w:szCs w:val="6"/>
                <w:color w:val="auto"/>
              </w:rPr>
            </w:pPr>
          </w:p>
        </w:tc>
        <w:tc>
          <w:tcPr>
            <w:tcW w:w="56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5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020" w:type="dxa"/>
            <w:vAlign w:val="bottom"/>
          </w:tcPr>
          <w:p>
            <w:pPr>
              <w:spacing w:after="0"/>
              <w:rPr>
                <w:sz w:val="4"/>
                <w:szCs w:val="4"/>
                <w:color w:val="auto"/>
              </w:rPr>
            </w:pPr>
          </w:p>
        </w:tc>
        <w:tc>
          <w:tcPr>
            <w:tcW w:w="56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220" w:type="dxa"/>
            <w:vAlign w:val="bottom"/>
            <w:vMerge w:val="restart"/>
          </w:tcPr>
          <w:p>
            <w:pPr>
              <w:ind w:left="62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20" w:type="dxa"/>
            <w:vAlign w:val="bottom"/>
          </w:tcPr>
          <w:p>
            <w:pPr>
              <w:ind w:left="62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20" w:type="dxa"/>
            <w:vAlign w:val="bottom"/>
          </w:tcPr>
          <w:p>
            <w:pPr>
              <w:ind w:left="62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500" w:type="dxa"/>
            <w:vAlign w:val="bottom"/>
          </w:tcPr>
          <w:p>
            <w:pPr>
              <w:spacing w:after="0"/>
              <w:rPr>
                <w:sz w:val="12"/>
                <w:szCs w:val="12"/>
                <w:color w:val="auto"/>
              </w:rPr>
            </w:pPr>
          </w:p>
        </w:tc>
        <w:tc>
          <w:tcPr>
            <w:tcW w:w="1220" w:type="dxa"/>
            <w:vAlign w:val="bottom"/>
          </w:tcPr>
          <w:p>
            <w:pPr>
              <w:ind w:left="62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50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220" w:type="dxa"/>
            <w:vAlign w:val="bottom"/>
          </w:tcPr>
          <w:p>
            <w:pPr>
              <w:ind w:left="62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Jennifer Gordon does not directly own any securities of TPG Specialty Lending, Inc. (the "Issuer").</w:t>
      </w:r>
    </w:p>
    <w:p>
      <w:pPr>
        <w:spacing w:after="0" w:line="41" w:lineRule="exact"/>
        <w:rPr>
          <w:rFonts w:ascii="Arial" w:cs="Arial" w:eastAsia="Arial" w:hAnsi="Arial"/>
          <w:sz w:val="14"/>
          <w:szCs w:val="14"/>
          <w:color w:val="008000"/>
        </w:rPr>
      </w:pPr>
    </w:p>
    <w:p>
      <w:pPr>
        <w:jc w:val="both"/>
        <w:ind w:left="40" w:right="60" w:firstLine="9"/>
        <w:spacing w:after="0" w:line="230"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Ms. Gordon is the Chief Compliance Officer of the Issuer, which is affiliated with TPG Group Holdings (SBS) Advisors, Inc., a Delaware corporation ("Group Advisors"), and Tarrant Capital Advisors, Inc., a Delaware corporation ("Tarrant Capital"). As of the date hereof, Group Advisors may be deemed to beneficially own 2,799,817 shares of Common Stock (the "TSL Stock") of the Issuer. As of the date hereof, Tarrant Capital may be deemed to beneficially own (i) 2,375,225 shares of the TSL Stock, (ii) 435,346 shares of Common Stock held by TSL FOF, L.P., a Delaware limited partnership, and (iii) 66 shares of Common Stock held by Tarrant Advisors, Inc., a Texas corporation.</w:t>
      </w:r>
    </w:p>
    <w:p>
      <w:pPr>
        <w:spacing w:after="0" w:line="31" w:lineRule="exact"/>
        <w:rPr>
          <w:rFonts w:ascii="Arial" w:cs="Arial" w:eastAsia="Arial" w:hAnsi="Arial"/>
          <w:sz w:val="14"/>
          <w:szCs w:val="14"/>
          <w:color w:val="008000"/>
        </w:rPr>
      </w:pPr>
    </w:p>
    <w:p>
      <w:pPr>
        <w:ind w:left="40" w:right="140" w:firstLine="9"/>
        <w:spacing w:after="0" w:line="285" w:lineRule="auto"/>
        <w:tabs>
          <w:tab w:leader="none" w:pos="175" w:val="left"/>
        </w:tabs>
        <w:numPr>
          <w:ilvl w:val="0"/>
          <w:numId w:val="4"/>
        </w:numPr>
        <w:rPr>
          <w:rFonts w:ascii="Arial" w:cs="Arial" w:eastAsia="Arial" w:hAnsi="Arial"/>
          <w:sz w:val="12"/>
          <w:szCs w:val="12"/>
          <w:color w:val="008000"/>
        </w:rPr>
      </w:pPr>
      <w:r>
        <w:rPr>
          <w:rFonts w:ascii="Arial" w:cs="Arial" w:eastAsia="Arial" w:hAnsi="Arial"/>
          <w:sz w:val="12"/>
          <w:szCs w:val="12"/>
          <w:color w:val="008000"/>
        </w:rPr>
        <w:t>Ms. Gordon disclaims beneficial ownership of the shares of Common Stock that are or may be beneficially owned by Group Advisors or Tarrant Capital or any of their respective affiliates. Pursuant to Rule 16a-1(a)(4) under the Securities Exchange Act of 1934, as amended (the "Exchange Act"), this filing shall not be deemed an admission that Ms. Gordon is, for purposes of Section 16 of the Exchange Act or otherwise, the beneficial owner of any securities of the Issuer directly held by Group Advisors, Tarrant Capital or any of their affiliates.</w:t>
      </w: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(4) Ronald Cami is signing on behalf of Jennifer Gordon pursuant to the authorization and designation letter dated October 27, 2014, which is attached here as an exhibit.</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60" w:type="dxa"/>
            <w:vAlign w:val="bottom"/>
            <w:gridSpan w:val="3"/>
          </w:tcPr>
          <w:p>
            <w:pPr>
              <w:spacing w:after="0"/>
              <w:rPr>
                <w:sz w:val="20"/>
                <w:szCs w:val="20"/>
                <w:color w:val="auto"/>
              </w:rPr>
            </w:pPr>
            <w:r>
              <w:rPr>
                <w:rFonts w:ascii="Arial" w:cs="Arial" w:eastAsia="Arial" w:hAnsi="Arial"/>
                <w:sz w:val="18"/>
                <w:szCs w:val="18"/>
                <w:color w:val="0000FF"/>
                <w:w w:val="94"/>
              </w:rPr>
              <w:t>/s/ Ronald Cami on behalf of</w:t>
            </w:r>
          </w:p>
        </w:tc>
        <w:tc>
          <w:tcPr>
            <w:tcW w:w="940" w:type="dxa"/>
            <w:vAlign w:val="bottom"/>
            <w:gridSpan w:val="2"/>
            <w:vMerge w:val="restart"/>
          </w:tcPr>
          <w:p>
            <w:pPr>
              <w:ind w:left="140"/>
              <w:spacing w:after="0"/>
              <w:rPr>
                <w:sz w:val="20"/>
                <w:szCs w:val="20"/>
                <w:color w:val="auto"/>
              </w:rPr>
            </w:pPr>
            <w:r>
              <w:rPr>
                <w:rFonts w:ascii="Arial" w:cs="Arial" w:eastAsia="Arial" w:hAnsi="Arial"/>
                <w:sz w:val="18"/>
                <w:szCs w:val="18"/>
                <w:color w:val="0000FF"/>
                <w:w w:val="86"/>
              </w:rPr>
              <w:t>02/25/2015</w:t>
            </w:r>
          </w:p>
        </w:tc>
        <w:tc>
          <w:tcPr>
            <w:tcW w:w="0" w:type="dxa"/>
            <w:vAlign w:val="bottom"/>
          </w:tcPr>
          <w:p>
            <w:pPr>
              <w:spacing w:after="0"/>
              <w:rPr>
                <w:sz w:val="1"/>
                <w:szCs w:val="1"/>
                <w:color w:val="auto"/>
              </w:rPr>
            </w:pPr>
          </w:p>
        </w:tc>
      </w:tr>
      <w:tr>
        <w:trPr>
          <w:trHeight w:val="88"/>
        </w:trPr>
        <w:tc>
          <w:tcPr>
            <w:tcW w:w="2040" w:type="dxa"/>
            <w:vAlign w:val="bottom"/>
            <w:tcBorders>
              <w:top w:val="single" w:sz="8" w:color="auto"/>
            </w:tcBorders>
            <w:gridSpan w:val="2"/>
            <w:vMerge w:val="restart"/>
          </w:tcPr>
          <w:p>
            <w:pPr>
              <w:spacing w:after="0" w:line="196" w:lineRule="exact"/>
              <w:rPr>
                <w:sz w:val="20"/>
                <w:szCs w:val="20"/>
                <w:color w:val="auto"/>
              </w:rPr>
            </w:pPr>
            <w:r>
              <w:rPr>
                <w:rFonts w:ascii="Arial" w:cs="Arial" w:eastAsia="Arial" w:hAnsi="Arial"/>
                <w:sz w:val="18"/>
                <w:szCs w:val="18"/>
                <w:color w:val="0000FF"/>
              </w:rPr>
              <w:t>Jennifer Gordon (4)</w:t>
            </w:r>
          </w:p>
        </w:tc>
        <w:tc>
          <w:tcPr>
            <w:tcW w:w="120" w:type="dxa"/>
            <w:vAlign w:val="bottom"/>
            <w:vMerge w:val="restart"/>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04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400" w:type="dxa"/>
            <w:vAlign w:val="bottom"/>
            <w:shd w:val="clear" w:color="auto" w:fill="000000"/>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6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40" w:type="dxa"/>
            <w:vAlign w:val="bottom"/>
            <w:gridSpan w:val="2"/>
          </w:tcPr>
          <w:p>
            <w:pPr>
              <w:ind w:left="14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22"/>
          <w:szCs w:val="22"/>
          <w:b w:val="1"/>
          <w:bCs w:val="1"/>
          <w:color w:val="auto"/>
        </w:rPr>
        <w:t>[TPG Logo]</w:t>
      </w:r>
    </w:p>
    <w:p>
      <w:pPr>
        <w:spacing w:after="0" w:line="347"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October 27, 2014</w:t>
      </w:r>
    </w:p>
    <w:p>
      <w:pPr>
        <w:spacing w:after="0" w:line="206" w:lineRule="exact"/>
        <w:rPr>
          <w:sz w:val="20"/>
          <w:szCs w:val="20"/>
          <w:color w:val="auto"/>
        </w:rPr>
      </w:pPr>
    </w:p>
    <w:p>
      <w:pPr>
        <w:ind w:left="100"/>
        <w:spacing w:after="0"/>
        <w:rPr>
          <w:sz w:val="20"/>
          <w:szCs w:val="20"/>
          <w:color w:val="auto"/>
        </w:rPr>
      </w:pPr>
      <w:r>
        <w:rPr>
          <w:rFonts w:ascii="Arial" w:cs="Arial" w:eastAsia="Arial" w:hAnsi="Arial"/>
          <w:sz w:val="22"/>
          <w:szCs w:val="22"/>
          <w:color w:val="auto"/>
        </w:rPr>
        <w:t>Securities and Exchange Commission</w:t>
      </w:r>
    </w:p>
    <w:p>
      <w:pPr>
        <w:ind w:left="100"/>
        <w:spacing w:after="0" w:line="238" w:lineRule="auto"/>
        <w:rPr>
          <w:sz w:val="20"/>
          <w:szCs w:val="20"/>
          <w:color w:val="auto"/>
        </w:rPr>
      </w:pPr>
      <w:r>
        <w:rPr>
          <w:rFonts w:ascii="Arial" w:cs="Arial" w:eastAsia="Arial" w:hAnsi="Arial"/>
          <w:sz w:val="22"/>
          <w:szCs w:val="22"/>
          <w:color w:val="auto"/>
        </w:rPr>
        <w:t>100 F Street, NE</w:t>
      </w:r>
    </w:p>
    <w:p>
      <w:pPr>
        <w:ind w:left="100"/>
        <w:spacing w:after="0"/>
        <w:rPr>
          <w:sz w:val="20"/>
          <w:szCs w:val="20"/>
          <w:color w:val="auto"/>
        </w:rPr>
      </w:pPr>
      <w:r>
        <w:rPr>
          <w:rFonts w:ascii="Arial" w:cs="Arial" w:eastAsia="Arial" w:hAnsi="Arial"/>
          <w:sz w:val="22"/>
          <w:szCs w:val="22"/>
          <w:color w:val="auto"/>
        </w:rPr>
        <w:t>Washington, DC 20549</w:t>
      </w:r>
    </w:p>
    <w:p>
      <w:pPr>
        <w:spacing w:after="0" w:line="215" w:lineRule="exact"/>
        <w:rPr>
          <w:sz w:val="20"/>
          <w:szCs w:val="20"/>
          <w:color w:val="auto"/>
        </w:rPr>
      </w:pPr>
    </w:p>
    <w:p>
      <w:pPr>
        <w:ind w:firstLine="1297"/>
        <w:spacing w:after="0"/>
        <w:rPr>
          <w:sz w:val="20"/>
          <w:szCs w:val="20"/>
          <w:color w:val="auto"/>
        </w:rPr>
      </w:pPr>
      <w:r>
        <w:rPr>
          <w:rFonts w:ascii="Arial" w:cs="Arial" w:eastAsia="Arial" w:hAnsi="Arial"/>
          <w:sz w:val="22"/>
          <w:szCs w:val="22"/>
          <w:color w:val="auto"/>
        </w:rPr>
        <w:t>This letter confirms that Ronald Cami and David Reintjes are authorized and designated to sign all securities related filings with the Securities and Exchange Commission, including Form ID Acknowledgements, on my behalf. This authorization and designation shall be valid until July 1, 2016.</w:t>
      </w:r>
    </w:p>
    <w:p>
      <w:pPr>
        <w:spacing w:after="0" w:line="186" w:lineRule="exact"/>
        <w:rPr>
          <w:sz w:val="20"/>
          <w:szCs w:val="20"/>
          <w:color w:val="auto"/>
        </w:rPr>
      </w:pPr>
    </w:p>
    <w:p>
      <w:pPr>
        <w:jc w:val="center"/>
        <w:ind w:left="420"/>
        <w:spacing w:after="0"/>
        <w:rPr>
          <w:sz w:val="20"/>
          <w:szCs w:val="20"/>
          <w:color w:val="auto"/>
        </w:rPr>
      </w:pPr>
      <w:r>
        <w:rPr>
          <w:rFonts w:ascii="Arial" w:cs="Arial" w:eastAsia="Arial" w:hAnsi="Arial"/>
          <w:sz w:val="22"/>
          <w:szCs w:val="22"/>
          <w:color w:val="auto"/>
        </w:rPr>
        <w:t>Very truly yours,</w:t>
      </w:r>
    </w:p>
    <w:p>
      <w:pPr>
        <w:spacing w:after="0" w:line="200" w:lineRule="exact"/>
        <w:rPr>
          <w:sz w:val="20"/>
          <w:szCs w:val="20"/>
          <w:color w:val="auto"/>
        </w:rPr>
      </w:pPr>
    </w:p>
    <w:p>
      <w:pPr>
        <w:spacing w:after="0" w:line="276" w:lineRule="exact"/>
        <w:rPr>
          <w:sz w:val="20"/>
          <w:szCs w:val="20"/>
          <w:color w:val="auto"/>
        </w:rPr>
      </w:pPr>
    </w:p>
    <w:p>
      <w:pPr>
        <w:ind w:left="5200"/>
        <w:spacing w:after="0"/>
        <w:rPr>
          <w:sz w:val="20"/>
          <w:szCs w:val="20"/>
          <w:color w:val="auto"/>
        </w:rPr>
      </w:pPr>
      <w:r>
        <w:rPr>
          <w:rFonts w:ascii="Arial" w:cs="Arial" w:eastAsia="Arial" w:hAnsi="Arial"/>
          <w:sz w:val="22"/>
          <w:szCs w:val="22"/>
          <w:u w:val="single" w:color="auto"/>
          <w:color w:val="auto"/>
        </w:rPr>
        <w:t>/s/ Jennifer Gordon</w:t>
      </w:r>
    </w:p>
    <w:p>
      <w:pPr>
        <w:spacing w:after="0" w:line="8"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Jennifer Gordon</w:t>
      </w:r>
    </w:p>
    <w:sectPr>
      <w:pgSz w:w="11900" w:h="16838" w:orient="portrait"/>
      <w:cols w:equalWidth="0" w:num="1">
        <w:col w:w="11340"/>
      </w:cols>
      <w:pgMar w:left="240" w:top="463"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623591" TargetMode="External"/><Relationship Id="rId12" Type="http://schemas.openxmlformats.org/officeDocument/2006/relationships/hyperlink" Target="http://www.sec.gov/cgi-bin/browse-edgar?action=getcompany&amp;CIK=00015086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2019-12-08T23:53:18Z</dcterms:created>
  <dcterms:modified xsi:type="dcterms:W3CDTF">2019-12-08T23:53:18Z</dcterms:modified>
</cp:coreProperties>
</file>