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994410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61595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80645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880" w:right="320" w:hanging="790"/>
        <w:spacing w:after="0" w:line="288" w:lineRule="auto"/>
        <w:tabs>
          <w:tab w:leader="none" w:pos="88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2" w:lineRule="exact"/>
        <w:rPr>
          <w:sz w:val="24"/>
          <w:szCs w:val="24"/>
          <w:color w:val="auto"/>
        </w:rPr>
      </w:pPr>
    </w:p>
    <w:p>
      <w:pPr>
        <w:ind w:left="880" w:right="320" w:hanging="790"/>
        <w:spacing w:after="0" w:line="288" w:lineRule="auto"/>
        <w:tabs>
          <w:tab w:leader="none" w:pos="88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40" w:orient="portrait"/>
          <w:cols w:equalWidth="0" w:num="1">
            <w:col w:w="10540"/>
          </w:cols>
          <w:pgMar w:left="660" w:top="1440" w:right="700" w:bottom="1440" w:gutter="0" w:footer="0" w:header="0"/>
        </w:sectPr>
      </w:pPr>
    </w:p>
    <w:p>
      <w:pPr>
        <w:spacing w:after="0" w:line="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sectPr>
          <w:pgSz w:w="11900" w:h="16840" w:orient="portrait"/>
          <w:cols w:equalWidth="0" w:num="2">
            <w:col w:w="5920" w:space="720"/>
            <w:col w:w="3900"/>
          </w:cols>
          <w:pgMar w:left="660" w:top="1440" w:right="70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55245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84" w:lineRule="exact"/>
        <w:rPr>
          <w:sz w:val="24"/>
          <w:szCs w:val="24"/>
          <w:color w:val="auto"/>
        </w:rPr>
      </w:pPr>
    </w:p>
    <w:tbl>
      <w:tblPr>
        <w:tblLayout w:type="fixed"/>
        <w:tblInd w:w="1440" w:type="dxa"/>
        <w:tblCellMar>
          <w:top w:w="0" w:type="dxa"/>
          <w:left w:w="0" w:type="dxa"/>
          <w:bottom w:w="0" w:type="dxa"/>
          <w:right w:w="0" w:type="dxa"/>
        </w:tblCellMar>
      </w:tblPr>
      <w:tr>
        <w:trPr>
          <w:trHeight w:val="20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27-3380000</w:t>
            </w:r>
          </w:p>
        </w:tc>
      </w:tr>
      <w:tr>
        <w:trPr>
          <w:trHeight w:val="156"/>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93"/>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800" w:type="dxa"/>
            <w:vAlign w:val="bottom"/>
          </w:tcPr>
          <w:p>
            <w:pPr>
              <w:spacing w:after="0"/>
              <w:rPr>
                <w:sz w:val="24"/>
                <w:szCs w:val="24"/>
                <w:color w:val="auto"/>
              </w:rPr>
            </w:pPr>
          </w:p>
        </w:tc>
      </w:tr>
      <w:tr>
        <w:trPr>
          <w:trHeight w:val="20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800" w:type="dxa"/>
            <w:vAlign w:val="bottom"/>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75201</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(469) 621-3001</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101600</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10540"/>
          </w:cols>
          <w:pgMar w:left="660" w:top="1440" w:right="700" w:bottom="1440" w:gutter="0" w:footer="0" w:header="0"/>
          <w:type w:val="continuous"/>
        </w:sectPr>
      </w:pPr>
    </w:p>
    <w:p>
      <w:pPr>
        <w:spacing w:after="0" w:line="16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7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Trading Symbol(s)</w:t>
      </w:r>
    </w:p>
    <w:p>
      <w:pPr>
        <w:spacing w:after="0" w:line="7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TSLX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7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The New York Stock Exchange</w:t>
      </w:r>
    </w:p>
    <w:p>
      <w:pPr>
        <w:spacing w:after="0" w:line="81" w:lineRule="exact"/>
        <w:rPr>
          <w:sz w:val="24"/>
          <w:szCs w:val="24"/>
          <w:color w:val="auto"/>
        </w:rPr>
      </w:pPr>
    </w:p>
    <w:p>
      <w:pPr>
        <w:sectPr>
          <w:pgSz w:w="11900" w:h="16840" w:orient="portrait"/>
          <w:cols w:equalWidth="0" w:num="3">
            <w:col w:w="4040" w:space="720"/>
            <w:col w:w="2100" w:space="720"/>
            <w:col w:w="2960"/>
          </w:cols>
          <w:pgMar w:left="660" w:top="1440" w:right="700" w:bottom="1440" w:gutter="0" w:footer="0" w:header="0"/>
          <w:type w:val="continuous"/>
        </w:sect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3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8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Accelerated filer</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8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9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Emerging growth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6" w:lineRule="exact"/>
        <w:rPr>
          <w:sz w:val="24"/>
          <w:szCs w:val="24"/>
          <w:color w:val="auto"/>
        </w:r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3540"/>
        <w:spacing w:after="0" w:line="20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the registrant’s common stock, $.01 par value per share, outstanding at May 1, 2024 was 92,721,556.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gridSpan w:val="7"/>
          </w:tcPr>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4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NO.</w:t>
            </w:r>
          </w:p>
        </w:tc>
        <w:tc>
          <w:tcPr>
            <w:tcW w:w="0" w:type="dxa"/>
            <w:vAlign w:val="bottom"/>
          </w:tcPr>
          <w:p>
            <w:pPr>
              <w:spacing w:after="0"/>
              <w:rPr>
                <w:sz w:val="1"/>
                <w:szCs w:val="1"/>
                <w:color w:val="auto"/>
              </w:rPr>
            </w:pPr>
          </w:p>
        </w:tc>
      </w:tr>
      <w:tr>
        <w:trPr>
          <w:trHeight w:val="30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w:t>
            </w: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INFORMATION</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94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Statements</w:t>
              </w:r>
            </w:hyperlink>
          </w:p>
        </w:tc>
        <w:tc>
          <w:tcPr>
            <w:tcW w:w="6180" w:type="dxa"/>
            <w:vAlign w:val="bottom"/>
            <w:gridSpan w:val="11"/>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4">
              <w:r>
                <w:rPr>
                  <w:rFonts w:ascii="Times New Roman" w:cs="Times New Roman" w:eastAsia="Times New Roman" w:hAnsi="Times New Roman"/>
                  <w:sz w:val="16"/>
                  <w:szCs w:val="16"/>
                  <w:color w:val="0000FF"/>
                  <w:w w:val="96"/>
                </w:rPr>
                <w:t>Consolidated Balance Sheets as of March 31, 2024 (Unaudited) and December 31, 2023</w:t>
              </w:r>
            </w:hyperlink>
          </w:p>
        </w:tc>
        <w:tc>
          <w:tcPr>
            <w:tcW w:w="2640" w:type="dxa"/>
            <w:vAlign w:val="bottom"/>
            <w:gridSpan w:val="6"/>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Operations for the three months ended March 31, 2024 and 2023 (Unaudited)</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60" w:type="dxa"/>
            <w:vAlign w:val="bottom"/>
            <w:tcBorders>
              <w:top w:val="single" w:sz="8" w:color="0000FF"/>
            </w:tcBorders>
            <w:gridSpan w:val="16"/>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Consolidated Schedules of Investments as of March 31, 2024 (Unaudited) and December 31, 2023</w:t>
              </w:r>
            </w:hyperlink>
          </w:p>
        </w:tc>
        <w:tc>
          <w:tcPr>
            <w:tcW w:w="156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Consolidated Statements of Changes in Net Assets for the three months ended March 31, 2024 and 2023 (Unaudited)</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2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6"/>
                <w:szCs w:val="16"/>
                <w:color w:val="0000FF"/>
                <w:w w:val="96"/>
              </w:rPr>
            </w:pPr>
            <w:hyperlink w:anchor="page22">
              <w:r>
                <w:rPr>
                  <w:rFonts w:ascii="Times New Roman" w:cs="Times New Roman" w:eastAsia="Times New Roman" w:hAnsi="Times New Roman"/>
                  <w:sz w:val="16"/>
                  <w:szCs w:val="16"/>
                  <w:color w:val="0000FF"/>
                  <w:w w:val="96"/>
                </w:rPr>
                <w:t>Consolidated Statements of Cash Flows for the three months ended March 31, 2024 and 2023 (Unaudited)</w:t>
              </w:r>
            </w:hyperlink>
          </w:p>
        </w:tc>
        <w:tc>
          <w:tcPr>
            <w:tcW w:w="6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w:anchor="page23">
              <w:r>
                <w:rPr>
                  <w:rFonts w:ascii="Times New Roman" w:cs="Times New Roman" w:eastAsia="Times New Roman" w:hAnsi="Times New Roman"/>
                  <w:sz w:val="16"/>
                  <w:szCs w:val="16"/>
                  <w:color w:val="0000FF"/>
                  <w:w w:val="96"/>
                </w:rPr>
                <w:t>Notes to Consolidated Financial Statements (Unaudited)</w:t>
              </w:r>
            </w:hyperlink>
          </w:p>
        </w:tc>
        <w:tc>
          <w:tcPr>
            <w:tcW w:w="462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7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37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64">
              <w:r>
                <w:rPr>
                  <w:rFonts w:ascii="Times New Roman" w:cs="Times New Roman" w:eastAsia="Times New Roman" w:hAnsi="Times New Roman"/>
                  <w:sz w:val="16"/>
                  <w:szCs w:val="16"/>
                  <w:color w:val="0000FF"/>
                  <w:w w:val="96"/>
                </w:rPr>
                <w:t>Quantitative and Qualitative Disclosures About Market Risk</w:t>
              </w:r>
            </w:hyperlink>
          </w:p>
        </w:tc>
        <w:tc>
          <w:tcPr>
            <w:tcW w:w="4360" w:type="dxa"/>
            <w:vAlign w:val="bottom"/>
            <w:gridSpan w:val="7"/>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65">
              <w:r>
                <w:rPr>
                  <w:rFonts w:ascii="Times New Roman" w:cs="Times New Roman" w:eastAsia="Times New Roman" w:hAnsi="Times New Roman"/>
                  <w:sz w:val="16"/>
                  <w:szCs w:val="16"/>
                  <w:color w:val="0000FF"/>
                  <w:w w:val="95"/>
                </w:rPr>
                <w:t>Controls and Procedures</w:t>
              </w:r>
            </w:hyperlink>
          </w:p>
        </w:tc>
        <w:tc>
          <w:tcPr>
            <w:tcW w:w="6600" w:type="dxa"/>
            <w:vAlign w:val="bottom"/>
            <w:gridSpan w:val="1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II.</w:t>
            </w: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OTHER INFORMATION</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1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w w:val="94"/>
              </w:rPr>
            </w:pPr>
            <w:hyperlink w:anchor="page66">
              <w:r>
                <w:rPr>
                  <w:rFonts w:ascii="Times New Roman" w:cs="Times New Roman" w:eastAsia="Times New Roman" w:hAnsi="Times New Roman"/>
                  <w:sz w:val="16"/>
                  <w:szCs w:val="16"/>
                  <w:color w:val="0000FF"/>
                  <w:w w:val="94"/>
                </w:rPr>
                <w:t>Legal Proceedings</w:t>
              </w:r>
            </w:hyperlink>
          </w:p>
        </w:tc>
        <w:tc>
          <w:tcPr>
            <w:tcW w:w="480" w:type="dxa"/>
            <w:vAlign w:val="bottom"/>
            <w:tcBorders>
              <w:top w:val="single" w:sz="8" w:color="0000FF"/>
            </w:tcBorders>
            <w:gridSpan w:val="3"/>
          </w:tcPr>
          <w:p>
            <w:pPr>
              <w:spacing w:after="0"/>
              <w:rPr>
                <w:sz w:val="24"/>
                <w:szCs w:val="24"/>
                <w:color w:val="auto"/>
              </w:rPr>
            </w:pPr>
          </w:p>
        </w:tc>
        <w:tc>
          <w:tcPr>
            <w:tcW w:w="6500" w:type="dxa"/>
            <w:vAlign w:val="bottom"/>
            <w:gridSpan w:val="12"/>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Risk Factors</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120" w:type="dxa"/>
            <w:vAlign w:val="bottom"/>
            <w:gridSpan w:val="19"/>
          </w:tcPr>
          <w:p>
            <w:pPr>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Unregistered Sales of Equity Securities and Use of Proceeds</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20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w w:val="95"/>
              </w:rPr>
            </w:pPr>
            <w:hyperlink w:anchor="page66">
              <w:r>
                <w:rPr>
                  <w:rFonts w:ascii="Times New Roman" w:cs="Times New Roman" w:eastAsia="Times New Roman" w:hAnsi="Times New Roman"/>
                  <w:sz w:val="16"/>
                  <w:szCs w:val="16"/>
                  <w:color w:val="0000FF"/>
                  <w:w w:val="95"/>
                </w:rPr>
                <w:t>Defaults Upon Senior Securities</w:t>
              </w:r>
            </w:hyperlink>
          </w:p>
        </w:tc>
        <w:tc>
          <w:tcPr>
            <w:tcW w:w="1740" w:type="dxa"/>
            <w:vAlign w:val="bottom"/>
            <w:tcBorders>
              <w:top w:val="single" w:sz="8" w:color="0000FF"/>
            </w:tcBorders>
            <w:gridSpan w:val="2"/>
          </w:tcPr>
          <w:p>
            <w:pPr>
              <w:spacing w:after="0"/>
              <w:rPr>
                <w:sz w:val="24"/>
                <w:szCs w:val="24"/>
                <w:color w:val="auto"/>
              </w:rPr>
            </w:pPr>
          </w:p>
        </w:tc>
        <w:tc>
          <w:tcPr>
            <w:tcW w:w="4380" w:type="dxa"/>
            <w:vAlign w:val="bottom"/>
            <w:gridSpan w:val="8"/>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66">
              <w:r>
                <w:rPr>
                  <w:rFonts w:ascii="Times New Roman" w:cs="Times New Roman" w:eastAsia="Times New Roman" w:hAnsi="Times New Roman"/>
                  <w:sz w:val="16"/>
                  <w:szCs w:val="16"/>
                  <w:color w:val="0000FF"/>
                  <w:w w:val="95"/>
                </w:rPr>
                <w:t>Mine Safety Disclosures</w:t>
              </w:r>
            </w:hyperlink>
          </w:p>
        </w:tc>
        <w:tc>
          <w:tcPr>
            <w:tcW w:w="6600" w:type="dxa"/>
            <w:vAlign w:val="bottom"/>
            <w:gridSpan w:val="13"/>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112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4"/>
              </w:rPr>
            </w:pPr>
            <w:hyperlink w:anchor="page66">
              <w:r>
                <w:rPr>
                  <w:rFonts w:ascii="Times New Roman" w:cs="Times New Roman" w:eastAsia="Times New Roman" w:hAnsi="Times New Roman"/>
                  <w:sz w:val="16"/>
                  <w:szCs w:val="16"/>
                  <w:color w:val="0000FF"/>
                  <w:w w:val="94"/>
                </w:rPr>
                <w:t>Other Information</w:t>
              </w:r>
            </w:hyperlink>
          </w:p>
        </w:tc>
        <w:tc>
          <w:tcPr>
            <w:tcW w:w="7000" w:type="dxa"/>
            <w:vAlign w:val="bottom"/>
            <w:gridSpan w:val="16"/>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500" w:type="dxa"/>
            <w:vAlign w:val="bottom"/>
            <w:tcBorders>
              <w:bottom w:val="single" w:sz="8" w:color="0000FF"/>
            </w:tcBorders>
          </w:tcPr>
          <w:p>
            <w:pPr>
              <w:spacing w:after="0"/>
              <w:rPr>
                <w:rFonts w:ascii="Times New Roman" w:cs="Times New Roman" w:eastAsia="Times New Roman" w:hAnsi="Times New Roman"/>
                <w:sz w:val="16"/>
                <w:szCs w:val="16"/>
                <w:color w:val="0000FF"/>
                <w:w w:val="89"/>
              </w:rPr>
            </w:pPr>
            <w:hyperlink w:anchor="page67">
              <w:r>
                <w:rPr>
                  <w:rFonts w:ascii="Times New Roman" w:cs="Times New Roman" w:eastAsia="Times New Roman" w:hAnsi="Times New Roman"/>
                  <w:sz w:val="16"/>
                  <w:szCs w:val="16"/>
                  <w:color w:val="0000FF"/>
                  <w:w w:val="89"/>
                </w:rPr>
                <w:t>Exhibits</w:t>
              </w:r>
            </w:hyperlink>
          </w:p>
        </w:tc>
        <w:tc>
          <w:tcPr>
            <w:tcW w:w="7620" w:type="dxa"/>
            <w:vAlign w:val="bottom"/>
            <w:gridSpan w:val="18"/>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16"/>
        </w:trPr>
        <w:tc>
          <w:tcPr>
            <w:tcW w:w="9120" w:type="dxa"/>
            <w:vAlign w:val="bottom"/>
            <w:gridSpan w:val="21"/>
          </w:tcPr>
          <w:p>
            <w:pPr>
              <w:ind w:left="20"/>
              <w:spacing w:after="0"/>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SIGNATURES</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938"/>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480" w:type="dxa"/>
            <w:vAlign w:val="bottom"/>
            <w:gridSpan w:val="13"/>
          </w:tcPr>
          <w:p>
            <w:pPr>
              <w:jc w:val="right"/>
              <w:ind w:right="109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5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(the “Company”, “we”, “us” or “our”)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•an economic downturn, which could impair our portfolio companies’ abilities to continue to operate, and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 and</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report, in our Annual Report on Form 10-K for the year ended December 31, 2023, filed with the SEC on February 15, 2024, and elsewhere in our filings with the SEC.</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20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Non-controlled, non-affiliated investments (amortized cost of $3,279,013 and $3,172,853, respectively)</w:t>
            </w: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3,319,997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3,223,152</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Controlled, affiliated investments (amortized cost of $80,639 and $78,159, respectively)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59,913</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 (amortized cost of $3,359,652 and $3,251,012, respectively)</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3,380,009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of $29,100 and $23,979, respectively)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receivable</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27,969</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80" w:type="dxa"/>
            <w:vAlign w:val="bottom"/>
          </w:tcPr>
          <w:p>
            <w:pPr>
              <w:spacing w:after="0"/>
              <w:rPr>
                <w:sz w:val="17"/>
                <w:szCs w:val="17"/>
                <w:color w:val="auto"/>
              </w:rPr>
            </w:pPr>
          </w:p>
        </w:tc>
      </w:tr>
      <w:tr>
        <w:trPr>
          <w:trHeight w:val="245"/>
        </w:trPr>
        <w:tc>
          <w:tcPr>
            <w:tcW w:w="6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3,452,022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68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(net of deferred financing costs of $25,258 and $21,930, respectively)</w:t>
            </w: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1,804,347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Incentive fees on net investment income payable to affiliate</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 on net capital gains accrued to affiliate</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payables to affiliate</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1,870,016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1,847,433</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9"/>
        </w:trPr>
        <w:tc>
          <w:tcPr>
            <w:tcW w:w="68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Preferred stock, $0.01 par value; 100,000,000 shares authorized; no shares</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w:t>
            </w:r>
          </w:p>
        </w:tc>
        <w:tc>
          <w:tcPr>
            <w:tcW w:w="32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68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 $0.01 par value; 400,000,000 shares authorized, 92,785,806</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8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and 88,493,749 shares issued, respectively; and 92,121,556 and 87,829,499</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1,492,511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1,405,173</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stock at cost; 664,250 and 664,250 shares held, respectively</w:t>
            </w:r>
          </w:p>
        </w:tc>
        <w:tc>
          <w:tcPr>
            <w:tcW w:w="3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(10,459 )</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(10,459 )</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99,026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100,776</w:t>
            </w:r>
          </w:p>
        </w:tc>
        <w:tc>
          <w:tcPr>
            <w:tcW w:w="80" w:type="dxa"/>
            <w:vAlign w:val="bottom"/>
          </w:tcPr>
          <w:p>
            <w:pPr>
              <w:spacing w:after="0"/>
              <w:rPr>
                <w:sz w:val="17"/>
                <w:szCs w:val="17"/>
                <w:color w:val="auto"/>
              </w:rPr>
            </w:pPr>
          </w:p>
        </w:tc>
      </w:tr>
      <w:tr>
        <w:trPr>
          <w:trHeight w:val="205"/>
        </w:trPr>
        <w:tc>
          <w:tcPr>
            <w:tcW w:w="6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1,582,006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1,496,375</w:t>
            </w:r>
          </w:p>
        </w:tc>
        <w:tc>
          <w:tcPr>
            <w:tcW w:w="80" w:type="dxa"/>
            <w:vAlign w:val="bottom"/>
            <w:shd w:val="clear" w:color="auto" w:fill="CFF0FC"/>
          </w:tcPr>
          <w:p>
            <w:pPr>
              <w:spacing w:after="0"/>
              <w:rPr>
                <w:sz w:val="17"/>
                <w:szCs w:val="17"/>
                <w:color w:val="auto"/>
              </w:rPr>
            </w:pPr>
          </w:p>
        </w:tc>
      </w:tr>
      <w:tr>
        <w:trPr>
          <w:trHeight w:val="20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Net Assets</w:t>
            </w: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3,452,022</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3,343,808</w:t>
            </w:r>
          </w:p>
        </w:tc>
        <w:tc>
          <w:tcPr>
            <w:tcW w:w="8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6860" w:type="dxa"/>
            <w:vAlign w:val="bottom"/>
            <w:tcBorders>
              <w:bottom w:val="single" w:sz="8" w:color="CFF0FC"/>
            </w:tcBorders>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gridSpan w:val="5"/>
          </w:tcPr>
          <w:p>
            <w:pPr>
              <w:jc w:val="right"/>
              <w:ind w:right="13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4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102,407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88,434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115,549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94,802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240" w:type="dxa"/>
            <w:vAlign w:val="bottom"/>
            <w:shd w:val="clear" w:color="auto" w:fill="CFF0FC"/>
          </w:tcPr>
          <w:p>
            <w:pPr>
              <w:spacing w:after="0"/>
              <w:rPr>
                <w:sz w:val="15"/>
                <w:szCs w:val="15"/>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8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117,783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12,597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24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(845 )</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Directors’ fees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Total expenses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64,969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24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(398 )</w:t>
            </w:r>
          </w:p>
        </w:tc>
        <w:tc>
          <w:tcPr>
            <w:tcW w:w="24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(256 )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64,571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53,212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52,362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24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(9,315 )</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11,754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24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(2,381 )</w:t>
            </w:r>
          </w:p>
        </w:tc>
        <w:tc>
          <w:tcPr>
            <w:tcW w:w="24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(6,204 )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(1,004 )</w:t>
            </w: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240" w:type="dxa"/>
            <w:vAlign w:val="bottom"/>
          </w:tcPr>
          <w:p>
            <w:pPr>
              <w:spacing w:after="0"/>
              <w:rPr>
                <w:sz w:val="15"/>
                <w:szCs w:val="15"/>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24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(6,969 )</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gains (losses):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24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(109 )</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6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240" w:type="dxa"/>
            <w:vAlign w:val="bottom"/>
          </w:tcPr>
          <w:p>
            <w:pPr>
              <w:spacing w:after="0"/>
              <w:rPr>
                <w:sz w:val="15"/>
                <w:szCs w:val="15"/>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(4,844 )</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47,518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52,952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common share—basic and diluted</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28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89,032,381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81,400,843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March 31, 2024</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2"/>
        </w:trPr>
        <w:tc>
          <w:tcPr>
            <w:tcW w:w="23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4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23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9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560" w:type="dxa"/>
            <w:vAlign w:val="bottom"/>
          </w:tcPr>
          <w:p>
            <w:pPr>
              <w:ind w:left="10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40" w:type="dxa"/>
            <w:vAlign w:val="bottom"/>
          </w:tcPr>
          <w:p>
            <w:pPr>
              <w:spacing w:after="0"/>
              <w:rPr>
                <w:sz w:val="13"/>
                <w:szCs w:val="13"/>
                <w:color w:val="auto"/>
              </w:rPr>
            </w:pPr>
          </w:p>
        </w:tc>
        <w:tc>
          <w:tcPr>
            <w:tcW w:w="900" w:type="dxa"/>
            <w:vAlign w:val="bottom"/>
          </w:tcPr>
          <w:p>
            <w:pPr>
              <w:jc w:val="right"/>
              <w:ind w:right="266"/>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180" w:type="dxa"/>
            <w:vAlign w:val="bottom"/>
          </w:tcPr>
          <w:p>
            <w:pPr>
              <w:spacing w:after="0"/>
              <w:rPr>
                <w:sz w:val="13"/>
                <w:szCs w:val="13"/>
                <w:color w:val="auto"/>
              </w:rPr>
            </w:pPr>
          </w:p>
        </w:tc>
        <w:tc>
          <w:tcPr>
            <w:tcW w:w="820" w:type="dxa"/>
            <w:vAlign w:val="bottom"/>
          </w:tcPr>
          <w:p>
            <w:pPr>
              <w:jc w:val="right"/>
              <w:ind w:right="126"/>
              <w:spacing w:after="0" w:line="156"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(8)</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4"/>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Bestpass, Inc.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($44,688 par, due 5/2029)</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5/26/2023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11.08%</w:t>
            </w:r>
          </w:p>
        </w:tc>
        <w:tc>
          <w:tcPr>
            <w:tcW w:w="2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43,514</w:t>
            </w:r>
          </w:p>
        </w:tc>
        <w:tc>
          <w:tcPr>
            <w:tcW w:w="1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44,464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($40,437 par, due 2/2031)</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2/13/2024</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11.06%</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39,994</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40,101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6"/>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revolving loan ($146 par, due 2/2030)</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2/13/2024</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11.06%</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83,611</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84,678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5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14"/>
                <w:szCs w:val="14"/>
                <w:color w:val="auto"/>
                <w:vertAlign w:val="superscript"/>
              </w:rPr>
              <w:t>(3)(5)</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($68,928 par, due 8/2025)</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8/15/2019</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+ 7.63%</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12.93%</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68,410</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69,793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($38,015 par, due 11/2029)</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11/7/2023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12.32%</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37,184</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37,469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44"/>
        </w:trPr>
        <w:tc>
          <w:tcPr>
            <w:tcW w:w="2360" w:type="dxa"/>
            <w:vAlign w:val="bottom"/>
          </w:tcPr>
          <w:p>
            <w:pPr>
              <w:spacing w:after="0"/>
              <w:rPr>
                <w:sz w:val="12"/>
                <w:szCs w:val="1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(EUR 17,691 par, due 11/2029)</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11/7/2023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 + 7.00%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10.92%</w:t>
            </w:r>
          </w:p>
        </w:tc>
        <w:tc>
          <w:tcPr>
            <w:tcW w:w="2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18,646</w:t>
            </w:r>
          </w:p>
        </w:tc>
        <w:tc>
          <w:tcPr>
            <w:tcW w:w="18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18,867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42"/>
        </w:trPr>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17,470)</w:t>
            </w:r>
          </w:p>
        </w:tc>
        <w:tc>
          <w:tcPr>
            <w:tcW w:w="760" w:type="dxa"/>
            <w:vAlign w:val="bottom"/>
          </w:tcPr>
          <w:p>
            <w:pPr>
              <w:spacing w:after="0"/>
              <w:rPr>
                <w:sz w:val="12"/>
                <w:szCs w:val="12"/>
                <w:color w:val="auto"/>
              </w:rPr>
            </w:pPr>
          </w:p>
        </w:tc>
      </w:tr>
      <w:tr>
        <w:trPr>
          <w:trHeight w:val="158"/>
        </w:trPr>
        <w:tc>
          <w:tcPr>
            <w:tcW w:w="23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Azurite Intermediate Holdings,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($13,063 par, due 3/2031)</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3/19/2024</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+ 6.50%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11.83%</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12,574</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12,588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holdco loan ($32,913 par, due 10/2030)</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4/18/2023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+ 9.00%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14.30% PIK</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32,083</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33,324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Crewline Buyer, Inc.</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($56,324 par, due 11/2030)</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11/8/2023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12.06%</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54,820</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55,547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4"/>
        </w:trPr>
        <w:tc>
          <w:tcPr>
            <w:tcW w:w="236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(CAD 37,874 par, due 12/2027)</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12/3/2021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C + 5.75%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11.04%</w:t>
            </w:r>
          </w:p>
        </w:tc>
        <w:tc>
          <w:tcPr>
            <w:tcW w:w="2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28,852</w:t>
            </w:r>
          </w:p>
        </w:tc>
        <w:tc>
          <w:tcPr>
            <w:tcW w:w="18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27,987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42"/>
        </w:trPr>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(CAD 37,874)</w:t>
            </w:r>
          </w:p>
        </w:tc>
        <w:tc>
          <w:tcPr>
            <w:tcW w:w="760" w:type="dxa"/>
            <w:vAlign w:val="bottom"/>
          </w:tcPr>
          <w:p>
            <w:pPr>
              <w:spacing w:after="0"/>
              <w:rPr>
                <w:sz w:val="12"/>
                <w:szCs w:val="12"/>
                <w:color w:val="auto"/>
              </w:rPr>
            </w:pPr>
          </w:p>
        </w:tc>
      </w:tr>
      <w:tr>
        <w:trPr>
          <w:trHeight w:val="158"/>
        </w:trPr>
        <w:tc>
          <w:tcPr>
            <w:tcW w:w="23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($68,247 par, due 7/2027)</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7/22/2021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+ 7.60%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12.93%</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67,324</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68,074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ForeScout Technologies, Inc. </w:t>
            </w:r>
            <w:r>
              <w:rPr>
                <w:rFonts w:ascii="Times New Roman" w:cs="Times New Roman" w:eastAsia="Times New Roman" w:hAnsi="Times New Roman"/>
                <w:sz w:val="14"/>
                <w:szCs w:val="14"/>
                <w:color w:val="auto"/>
                <w:vertAlign w:val="superscript"/>
              </w:rPr>
              <w:t>(3)</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($5,476 par, due 8/2026)</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7/1/2022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+ 8.10%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13.41%</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5,429</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5,498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($64,579 par, due 5/2030)</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5/3/2023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12.56%</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62,810</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63,611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4"/>
        </w:trPr>
        <w:tc>
          <w:tcPr>
            <w:tcW w:w="2360" w:type="dxa"/>
            <w:vAlign w:val="bottom"/>
          </w:tcPr>
          <w:p>
            <w:pPr>
              <w:spacing w:after="0"/>
              <w:rPr>
                <w:sz w:val="13"/>
                <w:szCs w:val="13"/>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revolving loan ($4,471 par, due 5/2030)</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12.56%</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4,214</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4,320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4"/>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Information Clearinghouse, LLC and MS Market</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($17,595 par, due 12/2026)</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12/20/2021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+ 6.65%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17,315</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17,727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Service, LLC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Mitnick Corporate Purchaser, Inc. </w:t>
            </w:r>
            <w:r>
              <w:rPr>
                <w:rFonts w:ascii="Times New Roman" w:cs="Times New Roman" w:eastAsia="Times New Roman" w:hAnsi="Times New Roman"/>
                <w:sz w:val="14"/>
                <w:szCs w:val="14"/>
                <w:color w:val="auto"/>
                <w:vertAlign w:val="superscript"/>
              </w:rPr>
              <w:t>(3)(9)</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($328 par, due 5/2029)</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+ 4.60%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9.91%</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329</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($46,358 par, due 6/2029)</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6/9/2022</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10.30%</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45,812</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46,730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44"/>
        </w:trPr>
        <w:tc>
          <w:tcPr>
            <w:tcW w:w="236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(3)(4)(5)</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(EUR 3,004 par, due 12/2028)</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12/8/2022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 + 5.75%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9.58%</w:t>
            </w:r>
          </w:p>
        </w:tc>
        <w:tc>
          <w:tcPr>
            <w:tcW w:w="2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3,099</w:t>
            </w: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3,285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2"/>
        </w:trPr>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3,041)</w:t>
            </w:r>
          </w:p>
        </w:tc>
        <w:tc>
          <w:tcPr>
            <w:tcW w:w="760" w:type="dxa"/>
            <w:vAlign w:val="bottom"/>
          </w:tcPr>
          <w:p>
            <w:pPr>
              <w:spacing w:after="0"/>
              <w:rPr>
                <w:sz w:val="12"/>
                <w:szCs w:val="12"/>
                <w:color w:val="auto"/>
              </w:rPr>
            </w:pPr>
          </w:p>
        </w:tc>
      </w:tr>
      <w:tr>
        <w:trPr>
          <w:trHeight w:val="146"/>
        </w:trPr>
        <w:tc>
          <w:tcPr>
            <w:tcW w:w="236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10/27/2023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 + 7.00%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10.93%</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963</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36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899)</w:t>
            </w:r>
          </w:p>
        </w:tc>
        <w:tc>
          <w:tcPr>
            <w:tcW w:w="760" w:type="dxa"/>
            <w:vAlign w:val="bottom"/>
            <w:shd w:val="clear" w:color="auto" w:fill="CFF0FC"/>
          </w:tcPr>
          <w:p>
            <w:pPr>
              <w:spacing w:after="0"/>
              <w:rPr>
                <w:sz w:val="12"/>
                <w:szCs w:val="12"/>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14"/>
                <w:szCs w:val="14"/>
                <w:color w:val="auto"/>
                <w:vertAlign w:val="superscript"/>
              </w:rPr>
              <w:t>(3)(5)</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($82,626 par, due 10/2026)</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10/8/2020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12.56%</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81,785</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83,039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($4,153 par, due 7/2029)</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7/7/2023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+ 7.50%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12.82%</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4,047</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4,141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4"/>
        </w:trPr>
        <w:tc>
          <w:tcPr>
            <w:tcW w:w="2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545,696</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553,285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r>
      <w:tr>
        <w:trPr>
          <w:trHeight w:val="15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44"/>
        </w:trPr>
        <w:tc>
          <w:tcPr>
            <w:tcW w:w="236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14"/>
                <w:szCs w:val="14"/>
                <w:color w:val="auto"/>
                <w:vertAlign w:val="superscript"/>
              </w:rPr>
              <w:t>(3)(4)</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9/6/2022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 + 6.75%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10.64%</w:t>
            </w:r>
          </w:p>
        </w:tc>
        <w:tc>
          <w:tcPr>
            <w:tcW w:w="2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6,833</w:t>
            </w: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8,006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2"/>
        </w:trPr>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7,413)</w:t>
            </w:r>
          </w:p>
        </w:tc>
        <w:tc>
          <w:tcPr>
            <w:tcW w:w="760" w:type="dxa"/>
            <w:vAlign w:val="bottom"/>
          </w:tcPr>
          <w:p>
            <w:pPr>
              <w:spacing w:after="0"/>
              <w:rPr>
                <w:sz w:val="12"/>
                <w:szCs w:val="12"/>
                <w:color w:val="auto"/>
              </w:rPr>
            </w:pPr>
          </w:p>
        </w:tc>
      </w:tr>
      <w:tr>
        <w:trPr>
          <w:trHeight w:val="146"/>
        </w:trPr>
        <w:tc>
          <w:tcPr>
            <w:tcW w:w="2360" w:type="dxa"/>
            <w:vAlign w:val="bottom"/>
            <w:shd w:val="clear" w:color="auto" w:fill="CFF0FC"/>
          </w:tcPr>
          <w:p>
            <w:pPr>
              <w:spacing w:after="0"/>
              <w:rPr>
                <w:sz w:val="12"/>
                <w:szCs w:val="12"/>
                <w:color w:val="auto"/>
              </w:rPr>
            </w:pP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(GBP 13,388 par, due 9/2028)</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9/6/2022</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 + 6.75%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11.94%</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15,127</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17,081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4"/>
        </w:trPr>
        <w:tc>
          <w:tcPr>
            <w:tcW w:w="236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(GBP 13,522)</w:t>
            </w:r>
          </w:p>
        </w:tc>
        <w:tc>
          <w:tcPr>
            <w:tcW w:w="760" w:type="dxa"/>
            <w:vAlign w:val="bottom"/>
            <w:shd w:val="clear" w:color="auto" w:fill="CFF0FC"/>
          </w:tcPr>
          <w:p>
            <w:pPr>
              <w:spacing w:after="0"/>
              <w:rPr>
                <w:sz w:val="12"/>
                <w:szCs w:val="12"/>
                <w:color w:val="auto"/>
              </w:rPr>
            </w:pPr>
          </w:p>
        </w:tc>
      </w:tr>
      <w:tr>
        <w:trPr>
          <w:trHeight w:val="144"/>
        </w:trPr>
        <w:tc>
          <w:tcPr>
            <w:tcW w:w="2360" w:type="dxa"/>
            <w:vAlign w:val="bottom"/>
          </w:tcPr>
          <w:p>
            <w:pPr>
              <w:spacing w:after="0"/>
              <w:rPr>
                <w:sz w:val="12"/>
                <w:szCs w:val="1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9/6/2022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 + 6.75%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11.45%</w:t>
            </w:r>
          </w:p>
        </w:tc>
        <w:tc>
          <w:tcPr>
            <w:tcW w:w="2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18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2"/>
        </w:trPr>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(NOK 7,501)</w:t>
            </w:r>
          </w:p>
        </w:tc>
        <w:tc>
          <w:tcPr>
            <w:tcW w:w="760" w:type="dxa"/>
            <w:vAlign w:val="bottom"/>
          </w:tcPr>
          <w:p>
            <w:pPr>
              <w:spacing w:after="0"/>
              <w:rPr>
                <w:sz w:val="12"/>
                <w:szCs w:val="12"/>
                <w:color w:val="auto"/>
              </w:rPr>
            </w:pPr>
          </w:p>
        </w:tc>
      </w:tr>
      <w:tr>
        <w:trPr>
          <w:trHeight w:val="158"/>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22,670</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25,778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4"/>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Babylon Finco Limited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($1,557 par, due 1/2031)</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1/26/2024</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11.57%</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1,507</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1,515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Banyan Software Holdings, LLC </w:t>
            </w:r>
            <w:r>
              <w:rPr>
                <w:rFonts w:ascii="Times New Roman" w:cs="Times New Roman" w:eastAsia="Times New Roman" w:hAnsi="Times New Roman"/>
                <w:sz w:val="14"/>
                <w:szCs w:val="14"/>
                <w:color w:val="auto"/>
                <w:vertAlign w:val="superscript"/>
              </w:rPr>
              <w:t>(3)(4)</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($35,449 par, due 10/2026)</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1/27/2023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+ 7.35%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12.68%</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34,375</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35,795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($28,851 par, due 11/2026)</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11/19/2021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+ 5.75%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11.08%</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28,318</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28,851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6"/>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IntelePeer Holdings, Inc.</w:t>
            </w:r>
          </w:p>
        </w:tc>
        <w:tc>
          <w:tcPr>
            <w:tcW w:w="2560" w:type="dxa"/>
            <w:vAlign w:val="bottom"/>
          </w:tcPr>
          <w:p>
            <w:pPr>
              <w:ind w:left="22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($33,367 par, due 12/2024) </w:t>
            </w:r>
            <w:r>
              <w:rPr>
                <w:rFonts w:ascii="Times New Roman" w:cs="Times New Roman" w:eastAsia="Times New Roman" w:hAnsi="Times New Roman"/>
                <w:sz w:val="14"/>
                <w:szCs w:val="14"/>
                <w:color w:val="auto"/>
                <w:vertAlign w:val="superscript"/>
              </w:rPr>
              <w:t>(3)</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12/2/2019</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+ 8.40%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13.71%</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33,352</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33,284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6"/>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Convertible note ($4,790 par, due 5/2028)</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5/12/2021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7.50%</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7.50% PIK</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4,764</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5,197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4"/>
        </w:trPr>
        <w:tc>
          <w:tcPr>
            <w:tcW w:w="2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102,316</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104,642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r>
      <w:tr>
        <w:trPr>
          <w:trHeight w:val="158"/>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4"/>
                <w:szCs w:val="14"/>
                <w:color w:val="auto"/>
                <w:vertAlign w:val="superscript"/>
              </w:rPr>
              <w:t>(3)(14)</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Second-lien loan ($43,479 par, due 10/2029)</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10/22/2021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+ 9.14%</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14.44%</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42,833</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17,609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Destiny Solutions Parent Holding Company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($59,400 par, due 6/2026)</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6/8/2021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+ 5.85%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11.18%</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58,776</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59,103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(3)</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($56,216 par, due 12/2027)</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12/22/2021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+ 6.35%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11.68%</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55,446</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55,232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6"/>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revolving loan ($2,811 par, due 12/2027)</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12/22/2021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+ 6.35%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11.68%</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2,702</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($30,625 par, due 11/2030)</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11/2/2023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+ 7.50%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12.90%</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29,699</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30,013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189,456</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164,614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54"/>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6"/>
        </w:trPr>
        <w:tc>
          <w:tcPr>
            <w:tcW w:w="236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9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5/30/2023</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 + 6.25%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10.15%</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756</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785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236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727)</w:t>
            </w:r>
          </w:p>
        </w:tc>
        <w:tc>
          <w:tcPr>
            <w:tcW w:w="760" w:type="dxa"/>
            <w:vAlign w:val="bottom"/>
            <w:shd w:val="clear" w:color="auto" w:fill="CFF0FC"/>
          </w:tcPr>
          <w:p>
            <w:pPr>
              <w:spacing w:after="0"/>
              <w:rPr>
                <w:sz w:val="12"/>
                <w:szCs w:val="12"/>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(3)(5)</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($29,116 par, due 7/2029)</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7/20/2023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12.56%</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28,147</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28,679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loan ($41,790 par, due 10/2025)</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10/25/2019</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+ 7.15%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12.46%</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41,455</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41,458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BTRS Holdings, Inc.</w:t>
            </w:r>
            <w:r>
              <w:rPr>
                <w:rFonts w:ascii="Times New Roman" w:cs="Times New Roman" w:eastAsia="Times New Roman" w:hAnsi="Times New Roman"/>
                <w:sz w:val="14"/>
                <w:szCs w:val="14"/>
                <w:color w:val="auto"/>
                <w:vertAlign w:val="superscript"/>
              </w:rPr>
              <w:t>(3)</w:t>
            </w:r>
          </w:p>
        </w:tc>
        <w:tc>
          <w:tcPr>
            <w:tcW w:w="2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First-lien loan ($47,526 par, due 12/2028)</w:t>
            </w: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12/16/2022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+ 8.00%</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13.33%</w:t>
            </w:r>
          </w:p>
        </w:tc>
        <w:tc>
          <w:tcPr>
            <w:tcW w:w="24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46,463</w:t>
            </w:r>
          </w:p>
        </w:tc>
        <w:tc>
          <w:tcPr>
            <w:tcW w:w="18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47,883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56"/>
        </w:trPr>
        <w:tc>
          <w:tcPr>
            <w:tcW w:w="2360" w:type="dxa"/>
            <w:vAlign w:val="bottom"/>
            <w:shd w:val="clear" w:color="auto" w:fill="CFF0FC"/>
          </w:tcPr>
          <w:p>
            <w:pPr>
              <w:spacing w:after="0"/>
              <w:rPr>
                <w:sz w:val="13"/>
                <w:szCs w:val="13"/>
                <w:color w:val="auto"/>
              </w:rPr>
            </w:pPr>
          </w:p>
        </w:tc>
        <w:tc>
          <w:tcPr>
            <w:tcW w:w="2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First-lien revolving loan ($2,410 par, due 12/2028)</w:t>
            </w:r>
          </w:p>
        </w:tc>
        <w:tc>
          <w:tcPr>
            <w:tcW w:w="9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12/16/2022</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12.58%</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2,446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bl>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2"/>
        </w:trPr>
        <w:tc>
          <w:tcPr>
            <w:tcW w:w="2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2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8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00" w:type="dxa"/>
            <w:vAlign w:val="bottom"/>
          </w:tcPr>
          <w:p>
            <w:pPr>
              <w:spacing w:after="0"/>
              <w:rPr>
                <w:sz w:val="10"/>
                <w:szCs w:val="10"/>
                <w:color w:val="auto"/>
              </w:rPr>
            </w:pPr>
          </w:p>
        </w:tc>
        <w:tc>
          <w:tcPr>
            <w:tcW w:w="1060" w:type="dxa"/>
            <w:vAlign w:val="bottom"/>
          </w:tcPr>
          <w:p>
            <w:pPr>
              <w:jc w:val="right"/>
              <w:ind w:right="307"/>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9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740" w:type="dxa"/>
            <w:vAlign w:val="bottom"/>
          </w:tcPr>
          <w:p>
            <w:pPr>
              <w:ind w:left="12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60" w:type="dxa"/>
            <w:vAlign w:val="bottom"/>
          </w:tcPr>
          <w:p>
            <w:pPr>
              <w:jc w:val="right"/>
              <w:ind w:right="347"/>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920" w:type="dxa"/>
            <w:vAlign w:val="bottom"/>
          </w:tcPr>
          <w:p>
            <w:pPr>
              <w:jc w:val="right"/>
              <w:ind w:right="126"/>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(8)</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(3)(4)</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($3,916 par, due 11/2027)</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13.81%</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3,849</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3,887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Second-lien loan ($3,357 par, due 11/2028)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+ 12.00%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17.31%</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3,124</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3,164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Fullsteam Operations, LLC</w:t>
            </w:r>
            <w:r>
              <w:rPr>
                <w:rFonts w:ascii="Times New Roman" w:cs="Times New Roman" w:eastAsia="Times New Roman" w:hAnsi="Times New Roman"/>
                <w:sz w:val="14"/>
                <w:szCs w:val="14"/>
                <w:color w:val="auto"/>
                <w:vertAlign w:val="superscript"/>
              </w:rPr>
              <w:t>(3)</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($33,479 par, due 11/2029)</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11/27/2023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+ 8.40%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13.73%</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32,367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33,008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6"/>
        </w:trPr>
        <w:tc>
          <w:tcPr>
            <w:tcW w:w="2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4"/>
                <w:szCs w:val="14"/>
                <w:color w:val="auto"/>
                <w:vertAlign w:val="superscript"/>
              </w:rPr>
              <w:t>(3)(5)</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($1,197 par, due 5/2027)</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5/28/2021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+ 4.65%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9.99%</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1,071</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1,385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14"/>
                <w:szCs w:val="14"/>
                <w:color w:val="auto"/>
                <w:vertAlign w:val="superscript"/>
              </w:rPr>
              <w:t>(3)</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($16,514 par, due 5/2028)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5/28/2021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+ 8.40%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13.74% PIK</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16,308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16,556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21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Kyriba Corp. </w:t>
            </w:r>
            <w:r>
              <w:rPr>
                <w:rFonts w:ascii="Times New Roman" w:cs="Times New Roman" w:eastAsia="Times New Roman" w:hAnsi="Times New Roman"/>
                <w:sz w:val="14"/>
                <w:szCs w:val="14"/>
                <w:color w:val="auto"/>
                <w:vertAlign w:val="superscript"/>
              </w:rPr>
              <w:t>(3)</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($36,399 par, due 4/2028)</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12/21/2023</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+ 8.50%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13.83% (incl.</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35,680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35,816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44"/>
        </w:trPr>
        <w:tc>
          <w:tcPr>
            <w:tcW w:w="2180" w:type="dxa"/>
            <w:vAlign w:val="bottom"/>
            <w:shd w:val="clear" w:color="auto" w:fill="CFF0FC"/>
          </w:tcPr>
          <w:p>
            <w:pPr>
              <w:spacing w:after="0"/>
              <w:rPr>
                <w:sz w:val="12"/>
                <w:szCs w:val="12"/>
                <w:color w:val="auto"/>
              </w:rPr>
            </w:pPr>
          </w:p>
        </w:tc>
        <w:tc>
          <w:tcPr>
            <w:tcW w:w="27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8.50% PIK)</w:t>
            </w: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(EUR 11,158 par, due 4/2028)</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 + 8.50%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12.44% (incl.</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12,034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11,870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42"/>
        </w:trPr>
        <w:tc>
          <w:tcPr>
            <w:tcW w:w="2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8.50% PIK)</w:t>
            </w:r>
          </w:p>
        </w:tc>
        <w:tc>
          <w:tcPr>
            <w:tcW w:w="10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10,991)</w:t>
            </w:r>
          </w:p>
        </w:tc>
        <w:tc>
          <w:tcPr>
            <w:tcW w:w="760" w:type="dxa"/>
            <w:vAlign w:val="bottom"/>
          </w:tcPr>
          <w:p>
            <w:pPr>
              <w:spacing w:after="0"/>
              <w:rPr>
                <w:sz w:val="12"/>
                <w:szCs w:val="12"/>
                <w:color w:val="auto"/>
              </w:rPr>
            </w:pPr>
          </w:p>
        </w:tc>
      </w:tr>
      <w:tr>
        <w:trPr>
          <w:trHeight w:val="158"/>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Passport Labs, Inc.</w:t>
            </w:r>
          </w:p>
        </w:tc>
        <w:tc>
          <w:tcPr>
            <w:tcW w:w="2740" w:type="dxa"/>
            <w:vAlign w:val="bottom"/>
            <w:shd w:val="clear" w:color="auto" w:fill="CFF0FC"/>
          </w:tcPr>
          <w:p>
            <w:pPr>
              <w:ind w:left="400"/>
              <w:spacing w:after="0" w:line="158" w:lineRule="exact"/>
              <w:rPr>
                <w:sz w:val="20"/>
                <w:szCs w:val="20"/>
                <w:color w:val="auto"/>
              </w:rPr>
            </w:pPr>
            <w:r>
              <w:rPr>
                <w:rFonts w:ascii="Times New Roman" w:cs="Times New Roman" w:eastAsia="Times New Roman" w:hAnsi="Times New Roman"/>
                <w:sz w:val="11"/>
                <w:szCs w:val="11"/>
                <w:color w:val="auto"/>
              </w:rPr>
              <w:t xml:space="preserve">First-lien loan ($24,857 par, due 4/2026) </w:t>
            </w:r>
            <w:r>
              <w:rPr>
                <w:rFonts w:ascii="Times New Roman" w:cs="Times New Roman" w:eastAsia="Times New Roman" w:hAnsi="Times New Roman"/>
                <w:sz w:val="14"/>
                <w:szCs w:val="14"/>
                <w:color w:val="auto"/>
                <w:vertAlign w:val="superscript"/>
              </w:rPr>
              <w:t>(3)</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4/28/2021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P + 7.25%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15.75%</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24,713</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24,808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44"/>
        </w:trPr>
        <w:tc>
          <w:tcPr>
            <w:tcW w:w="2180" w:type="dxa"/>
            <w:vAlign w:val="bottom"/>
          </w:tcPr>
          <w:p>
            <w:pPr>
              <w:spacing w:after="0"/>
              <w:rPr>
                <w:sz w:val="12"/>
                <w:szCs w:val="12"/>
                <w:color w:val="auto"/>
              </w:rPr>
            </w:pP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Convertible Promissory Note A ($1,086 par, due</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8.00%</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1,086</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1,485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2180" w:type="dxa"/>
            <w:vAlign w:val="bottom"/>
          </w:tcPr>
          <w:p>
            <w:pPr>
              <w:spacing w:after="0"/>
              <w:rPr>
                <w:sz w:val="12"/>
                <w:szCs w:val="12"/>
                <w:color w:val="auto"/>
              </w:rPr>
            </w:pP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8/2026)</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8"/>
        </w:trPr>
        <w:tc>
          <w:tcPr>
            <w:tcW w:w="21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Ping Identity Holding Corp. </w:t>
            </w:r>
            <w:r>
              <w:rPr>
                <w:rFonts w:ascii="Times New Roman" w:cs="Times New Roman" w:eastAsia="Times New Roman" w:hAnsi="Times New Roman"/>
                <w:sz w:val="14"/>
                <w:szCs w:val="14"/>
                <w:color w:val="auto"/>
                <w:vertAlign w:val="superscript"/>
              </w:rPr>
              <w:t>(3)</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($22,727 par, due 10/2029)</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10/17/2022</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+ 7.00%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12.33%</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22,200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23,165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14"/>
                <w:szCs w:val="14"/>
                <w:color w:val="auto"/>
                <w:vertAlign w:val="superscript"/>
              </w:rPr>
              <w:t>(3)</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($7,007 par, due 12/2024)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12/31/2018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+ 7.10%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12.43%</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7,000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7,073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6"/>
        </w:trPr>
        <w:tc>
          <w:tcPr>
            <w:tcW w:w="2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(3)(5)</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($50,078 par, due 4/2027)</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4/30/2021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+ 6.35%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11.66%</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49,220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49,952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Volante Technologies, Inc.</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($2,712 par, due 9/2028)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9/29/2023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16.50% PIK</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2,686</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2,678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8"/>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330,455</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336,098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w:t>
            </w:r>
          </w:p>
        </w:tc>
      </w:tr>
      <w:tr>
        <w:trPr>
          <w:trHeight w:val="156"/>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14"/>
                <w:szCs w:val="14"/>
                <w:color w:val="auto"/>
                <w:vertAlign w:val="superscript"/>
              </w:rPr>
              <w:t>(3)</w:t>
            </w:r>
          </w:p>
        </w:tc>
        <w:tc>
          <w:tcPr>
            <w:tcW w:w="2740" w:type="dxa"/>
            <w:vAlign w:val="bottom"/>
          </w:tcPr>
          <w:p>
            <w:pPr>
              <w:ind w:left="40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($69,429 par, due 11/2027) </w:t>
            </w:r>
            <w:r>
              <w:rPr>
                <w:rFonts w:ascii="Times New Roman" w:cs="Times New Roman" w:eastAsia="Times New Roman" w:hAnsi="Times New Roman"/>
                <w:sz w:val="14"/>
                <w:szCs w:val="14"/>
                <w:color w:val="auto"/>
                <w:vertAlign w:val="superscript"/>
              </w:rPr>
              <w:t>(5)</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11/23/2020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+ 7.45%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12.79%</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68,583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70,296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56"/>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Second-lien loan ($5,854 par, due 1/2030)</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1/23/2023</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+ 10.70%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16.02% PIK</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5,729</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5,898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4"/>
        </w:trPr>
        <w:tc>
          <w:tcPr>
            <w:tcW w:w="218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(EUR 5,811 par, due 2/2029)</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2/24/2023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E + 7.00%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10.93% (incl.</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6,042</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6,313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2"/>
        </w:trPr>
        <w:tc>
          <w:tcPr>
            <w:tcW w:w="2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3.25% PIK)</w:t>
            </w:r>
          </w:p>
        </w:tc>
        <w:tc>
          <w:tcPr>
            <w:tcW w:w="10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(EUR 5,845)</w:t>
            </w:r>
          </w:p>
        </w:tc>
        <w:tc>
          <w:tcPr>
            <w:tcW w:w="760" w:type="dxa"/>
            <w:vAlign w:val="bottom"/>
          </w:tcPr>
          <w:p>
            <w:pPr>
              <w:spacing w:after="0"/>
              <w:rPr>
                <w:sz w:val="12"/>
                <w:szCs w:val="12"/>
                <w:color w:val="auto"/>
              </w:rPr>
            </w:pPr>
          </w:p>
        </w:tc>
      </w:tr>
      <w:tr>
        <w:trPr>
          <w:trHeight w:val="158"/>
        </w:trPr>
        <w:tc>
          <w:tcPr>
            <w:tcW w:w="21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Homecare Software Solutions, LLC </w:t>
            </w:r>
            <w:r>
              <w:rPr>
                <w:rFonts w:ascii="Times New Roman" w:cs="Times New Roman" w:eastAsia="Times New Roman" w:hAnsi="Times New Roman"/>
                <w:sz w:val="14"/>
                <w:szCs w:val="14"/>
                <w:color w:val="auto"/>
                <w:vertAlign w:val="superscript"/>
              </w:rPr>
              <w:t>(3)(5)</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($65,000 par, due 10/2026)</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10/6/2021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+ 5.70%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11.13%</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64,093</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64,838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14"/>
                <w:szCs w:val="14"/>
                <w:color w:val="auto"/>
                <w:vertAlign w:val="superscript"/>
              </w:rPr>
              <w:t>(3)(5)</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($70,103 par, due 6/2028)</w:t>
            </w: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6/30/2022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12.56%</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68,285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69,753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56"/>
        </w:trPr>
        <w:tc>
          <w:tcPr>
            <w:tcW w:w="2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($15,530 par, due 3/2029)</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3/24/2023</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+ 6.75%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12.06%</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15,055</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15,608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14"/>
                <w:szCs w:val="14"/>
                <w:color w:val="auto"/>
                <w:vertAlign w:val="superscript"/>
              </w:rPr>
              <w:t>(3)(5)</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($31,875 par, due 7/2029)</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+ 7.75%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13.08%</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30,583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31,488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6"/>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258,370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264,194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w:t>
            </w: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18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14"/>
                <w:szCs w:val="14"/>
                <w:color w:val="auto"/>
                <w:vertAlign w:val="superscript"/>
              </w:rPr>
              <w:t>(3)(5)</w:t>
            </w: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loan ($64,457 par, due 5/2028)</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5/25/2022</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+ 6.40%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11.71%</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63,262</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64,782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4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Equinox Holdings, Inc.</w:t>
            </w:r>
          </w:p>
        </w:tc>
        <w:tc>
          <w:tcPr>
            <w:tcW w:w="2740" w:type="dxa"/>
            <w:vAlign w:val="bottom"/>
          </w:tcPr>
          <w:p>
            <w:pPr>
              <w:ind w:left="400"/>
              <w:spacing w:after="0" w:line="144" w:lineRule="exact"/>
              <w:rPr>
                <w:sz w:val="20"/>
                <w:szCs w:val="20"/>
                <w:color w:val="auto"/>
              </w:rPr>
            </w:pPr>
            <w:r>
              <w:rPr>
                <w:rFonts w:ascii="Times New Roman" w:cs="Times New Roman" w:eastAsia="Times New Roman" w:hAnsi="Times New Roman"/>
                <w:sz w:val="11"/>
                <w:szCs w:val="11"/>
                <w:color w:val="auto"/>
              </w:rPr>
              <w:t>First-lien loan ($48,044 par, due 3/2029)</w:t>
            </w:r>
            <w:r>
              <w:rPr>
                <w:rFonts w:ascii="Times New Roman" w:cs="Times New Roman" w:eastAsia="Times New Roman" w:hAnsi="Times New Roman"/>
                <w:sz w:val="14"/>
                <w:szCs w:val="14"/>
                <w:color w:val="auto"/>
                <w:vertAlign w:val="superscript"/>
              </w:rPr>
              <w:t>(3)</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3/8/2024</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+ 8.25%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13.56% (incl.</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47,329</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47,443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2"/>
        </w:trPr>
        <w:tc>
          <w:tcPr>
            <w:tcW w:w="2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4.13% PIK)</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8"/>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Second-lien loan ($2,066 par, due 6/2027)</w:t>
            </w:r>
          </w:p>
        </w:tc>
        <w:tc>
          <w:tcPr>
            <w:tcW w:w="9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3/13/2024</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16.00% PIK</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2,005</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1,999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(3)(6)</w:t>
            </w:r>
          </w:p>
        </w:tc>
        <w:tc>
          <w:tcPr>
            <w:tcW w:w="27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First-lien loan ($30,261 par, due 6/2024)</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+ 9.65%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14.96%</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28,594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30,034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rPr>
              <w:t>First-lien revolving loan ($30,102 par, due 6/2024)</w:t>
            </w:r>
          </w:p>
        </w:tc>
        <w:tc>
          <w:tcPr>
            <w:tcW w:w="9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+ 9.65%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14.96%</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30,102</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29,851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4"/>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171,292</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174,109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58"/>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bl>
    <w:p>
      <w:pPr>
        <w:spacing w:after="0" w:line="1" w:lineRule="exact"/>
        <w:rPr>
          <w:sz w:val="20"/>
          <w:szCs w:val="20"/>
          <w:color w:val="auto"/>
        </w:rPr>
      </w:pPr>
    </w:p>
    <w:p>
      <w:pPr>
        <w:sectPr>
          <w:pgSz w:w="11900" w:h="16840" w:orient="portrait"/>
          <w:cols w:equalWidth="0" w:num="1">
            <w:col w:w="10560"/>
          </w:cols>
          <w:pgMar w:left="660" w:top="1408" w:right="680" w:bottom="1440" w:gutter="0" w:footer="0" w:header="0"/>
        </w:sectPr>
      </w:pPr>
    </w:p>
    <w:p>
      <w:pPr>
        <w:ind w:left="20"/>
        <w:spacing w:after="0"/>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(3)(4)(5)</w:t>
      </w:r>
    </w:p>
    <w:p>
      <w:pPr>
        <w:ind w:left="20"/>
        <w:spacing w:after="0" w:line="236" w:lineRule="auto"/>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 xml:space="preserve">Elysian Finco Ltd. </w:t>
      </w:r>
      <w:r>
        <w:rPr>
          <w:rFonts w:ascii="Times New Roman" w:cs="Times New Roman" w:eastAsia="Times New Roman" w:hAnsi="Times New Roman"/>
          <w:sz w:val="13"/>
          <w:szCs w:val="13"/>
          <w:color w:val="auto"/>
          <w:vertAlign w:val="superscript"/>
        </w:rPr>
        <w:t>(3)(4)(5)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($42,299 par, due 5/2027)</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5/5/2021</w:t>
            </w:r>
          </w:p>
        </w:tc>
        <w:tc>
          <w:tcPr>
            <w:tcW w:w="1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+ 7.65%</w:t>
            </w: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12.92%</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41,746</w:t>
            </w: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42,412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6"/>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($44,246 par, due 11/2028)</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11/7/2022</w:t>
            </w:r>
          </w:p>
        </w:tc>
        <w:tc>
          <w:tcPr>
            <w:tcW w:w="1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+ 6.38%</w:t>
            </w: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11.70%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43,184</w:t>
            </w: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45,021</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48"/>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($20,087 par, due 1/2028)</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1/31/2021</w:t>
            </w:r>
          </w:p>
        </w:tc>
        <w:tc>
          <w:tcPr>
            <w:tcW w:w="1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+ 6.65%</w:t>
            </w: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12.03% (incl.</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19,701</w:t>
            </w: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20,564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0"/>
        </w:trPr>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6.50% PIK)</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-278765</wp:posOffset>
            </wp:positionV>
            <wp:extent cx="6707505" cy="99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1860" w:space="720"/>
            <w:col w:w="7980"/>
          </w:cols>
          <w:pgMar w:left="660" w:top="1408" w:right="680"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26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1"/>
                <w:szCs w:val="11"/>
                <w:color w:val="auto"/>
              </w:rPr>
              <w:t xml:space="preserve">Employment Hero Holdings Pty Ltd. </w:t>
            </w:r>
            <w:r>
              <w:rPr>
                <w:rFonts w:ascii="Times New Roman" w:cs="Times New Roman" w:eastAsia="Times New Roman" w:hAnsi="Times New Roman"/>
                <w:sz w:val="14"/>
                <w:szCs w:val="14"/>
                <w:color w:val="auto"/>
                <w:vertAlign w:val="superscript"/>
              </w:rPr>
              <w:t>(3)(4)</w:t>
            </w: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(AUD 50,000 par, due 12/2026)</w:t>
            </w:r>
          </w:p>
        </w:tc>
        <w:tc>
          <w:tcPr>
            <w:tcW w:w="9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12/6/2021</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B + 6.25%</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10.65%</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34,877</w:t>
            </w:r>
          </w:p>
        </w:tc>
        <w:tc>
          <w:tcPr>
            <w:tcW w:w="108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32,620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60"/>
        </w:trPr>
        <w:tc>
          <w:tcPr>
            <w:tcW w:w="2260" w:type="dxa"/>
            <w:vAlign w:val="bottom"/>
            <w:tcBorders>
              <w:bottom w:val="single" w:sz="8" w:color="CFF0FC"/>
            </w:tcBorders>
            <w:shd w:val="clear" w:color="auto" w:fill="CFF0FC"/>
          </w:tcPr>
          <w:p>
            <w:pPr>
              <w:spacing w:after="0"/>
              <w:rPr>
                <w:sz w:val="13"/>
                <w:szCs w:val="13"/>
                <w:color w:val="auto"/>
              </w:rPr>
            </w:pPr>
          </w:p>
        </w:tc>
        <w:tc>
          <w:tcPr>
            <w:tcW w:w="27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(AUD 50,000)</w:t>
            </w:r>
          </w:p>
        </w:tc>
        <w:tc>
          <w:tcPr>
            <w:tcW w:w="580" w:type="dxa"/>
            <w:vAlign w:val="bottom"/>
            <w:tcBorders>
              <w:bottom w:val="single" w:sz="8" w:color="CFF0FC"/>
            </w:tcBorders>
            <w:shd w:val="clear" w:color="auto" w:fill="CFF0FC"/>
          </w:tcPr>
          <w:p>
            <w:pPr>
              <w:spacing w:after="0"/>
              <w:rPr>
                <w:sz w:val="13"/>
                <w:szCs w:val="13"/>
                <w:color w:val="auto"/>
              </w:rPr>
            </w:pPr>
          </w:p>
        </w:tc>
      </w:tr>
      <w:tr>
        <w:trPr>
          <w:trHeight w:val="156"/>
        </w:trPr>
        <w:tc>
          <w:tcPr>
            <w:tcW w:w="22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HireVue, Inc.</w:t>
            </w:r>
            <w:r>
              <w:rPr>
                <w:rFonts w:ascii="Times New Roman" w:cs="Times New Roman" w:eastAsia="Times New Roman" w:hAnsi="Times New Roman"/>
                <w:sz w:val="14"/>
                <w:szCs w:val="14"/>
                <w:color w:val="auto"/>
                <w:vertAlign w:val="superscript"/>
              </w:rPr>
              <w:t>(3)</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($53,978 par, due 5/2029)</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+ 7.25%</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12.56%</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52,574</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54,248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56"/>
        </w:trPr>
        <w:tc>
          <w:tcPr>
            <w:tcW w:w="2260" w:type="dxa"/>
            <w:vAlign w:val="bottom"/>
            <w:shd w:val="clear" w:color="auto" w:fill="CFF0FC"/>
          </w:tcPr>
          <w:p>
            <w:pPr>
              <w:spacing w:after="0"/>
              <w:rPr>
                <w:sz w:val="13"/>
                <w:szCs w:val="13"/>
                <w:color w:val="auto"/>
              </w:rPr>
            </w:pP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revolving loan ($1,377 par, due 5/2029)</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5/3/2023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+ 7.25%</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12.56%</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1,207</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1,412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Madcap Software, Inc.</w:t>
            </w:r>
            <w:r>
              <w:rPr>
                <w:rFonts w:ascii="Times New Roman" w:cs="Times New Roman" w:eastAsia="Times New Roman" w:hAnsi="Times New Roman"/>
                <w:sz w:val="14"/>
                <w:szCs w:val="14"/>
                <w:color w:val="auto"/>
                <w:vertAlign w:val="superscript"/>
              </w:rPr>
              <w:t>(3)(5)</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($32,419 par, due 12/2026)</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12/15/2023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+ 6.10%</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11.43%</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31,690</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31,770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4"/>
        </w:trPr>
        <w:tc>
          <w:tcPr>
            <w:tcW w:w="22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14"/>
                <w:szCs w:val="14"/>
                <w:color w:val="auto"/>
                <w:vertAlign w:val="superscript"/>
              </w:rPr>
              <w:t>(3)(4)(5)</w:t>
            </w: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(AUD 11,938 par, due 12/2025)</w:t>
            </w:r>
          </w:p>
        </w:tc>
        <w:tc>
          <w:tcPr>
            <w:tcW w:w="9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1/11/2018</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B + 5.00%</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9.35%</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9,030</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7,788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4"/>
        </w:trPr>
        <w:tc>
          <w:tcPr>
            <w:tcW w:w="226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(AUD 11,938)</w:t>
            </w:r>
          </w:p>
        </w:tc>
        <w:tc>
          <w:tcPr>
            <w:tcW w:w="580" w:type="dxa"/>
            <w:vAlign w:val="bottom"/>
            <w:shd w:val="clear" w:color="auto" w:fill="CFF0FC"/>
          </w:tcPr>
          <w:p>
            <w:pPr>
              <w:spacing w:after="0"/>
              <w:rPr>
                <w:sz w:val="12"/>
                <w:szCs w:val="12"/>
                <w:color w:val="auto"/>
              </w:rPr>
            </w:pPr>
          </w:p>
        </w:tc>
      </w:tr>
      <w:tr>
        <w:trPr>
          <w:trHeight w:val="144"/>
        </w:trPr>
        <w:tc>
          <w:tcPr>
            <w:tcW w:w="2260" w:type="dxa"/>
            <w:vAlign w:val="bottom"/>
          </w:tcPr>
          <w:p>
            <w:pPr>
              <w:spacing w:after="0"/>
              <w:rPr>
                <w:sz w:val="12"/>
                <w:szCs w:val="12"/>
                <w:color w:val="auto"/>
              </w:rPr>
            </w:pP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(GBP 2,761 par, due 12/2025)</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10/28/2021</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 + 5.03%</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10.24%</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3,804</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3,488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2"/>
        </w:trPr>
        <w:tc>
          <w:tcPr>
            <w:tcW w:w="2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(GBP 2,761)</w:t>
            </w:r>
          </w:p>
        </w:tc>
        <w:tc>
          <w:tcPr>
            <w:tcW w:w="580" w:type="dxa"/>
            <w:vAlign w:val="bottom"/>
          </w:tcPr>
          <w:p>
            <w:pPr>
              <w:spacing w:after="0"/>
              <w:rPr>
                <w:sz w:val="12"/>
                <w:szCs w:val="12"/>
                <w:color w:val="auto"/>
              </w:rPr>
            </w:pPr>
          </w:p>
        </w:tc>
      </w:tr>
      <w:tr>
        <w:trPr>
          <w:trHeight w:val="158"/>
        </w:trPr>
        <w:tc>
          <w:tcPr>
            <w:tcW w:w="2260" w:type="dxa"/>
            <w:vAlign w:val="bottom"/>
            <w:shd w:val="clear" w:color="auto" w:fill="CFF0FC"/>
          </w:tcPr>
          <w:p>
            <w:pPr>
              <w:spacing w:after="0"/>
              <w:rPr>
                <w:sz w:val="13"/>
                <w:szCs w:val="13"/>
                <w:color w:val="auto"/>
              </w:rPr>
            </w:pP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($9,579 par, due 12/2025)</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10/28/2021</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+ 5.10%</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10.43%</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9,572</w:t>
            </w:r>
          </w:p>
        </w:tc>
        <w:tc>
          <w:tcPr>
            <w:tcW w:w="10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9,579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22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14"/>
                <w:szCs w:val="14"/>
                <w:color w:val="auto"/>
                <w:vertAlign w:val="superscript"/>
              </w:rPr>
              <w:t>(3)(5)</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($71,014 par, due 5/2027)</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5/3/2019</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+ 6.35%</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11.58%</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70,668</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71,191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56"/>
        </w:trPr>
        <w:tc>
          <w:tcPr>
            <w:tcW w:w="2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PrimePay Intermediate, LLC </w:t>
            </w:r>
            <w:r>
              <w:rPr>
                <w:rFonts w:ascii="Times New Roman" w:cs="Times New Roman" w:eastAsia="Times New Roman" w:hAnsi="Times New Roman"/>
                <w:sz w:val="14"/>
                <w:szCs w:val="14"/>
                <w:color w:val="auto"/>
                <w:vertAlign w:val="superscript"/>
              </w:rPr>
              <w:t>(3)(5)</w:t>
            </w: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($34,287 par, due 12/2026)</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12/17/2021</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+ 7.15%</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12.46%</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33,636</w:t>
            </w:r>
          </w:p>
        </w:tc>
        <w:tc>
          <w:tcPr>
            <w:tcW w:w="108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34,287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4"/>
        </w:trPr>
        <w:tc>
          <w:tcPr>
            <w:tcW w:w="2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351,689</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354,380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r>
      <w:tr>
        <w:trPr>
          <w:trHeight w:val="158"/>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7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2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Disco Parent, Inc. </w:t>
            </w:r>
            <w:r>
              <w:rPr>
                <w:rFonts w:ascii="Times New Roman" w:cs="Times New Roman" w:eastAsia="Times New Roman" w:hAnsi="Times New Roman"/>
                <w:sz w:val="14"/>
                <w:szCs w:val="14"/>
                <w:color w:val="auto"/>
                <w:vertAlign w:val="superscript"/>
              </w:rPr>
              <w:t>(3)</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($4,545 par, due 3/2029)</w:t>
            </w: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3/30/2023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+ 7.50%</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12.84%</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4,441</w:t>
            </w:r>
          </w:p>
        </w:tc>
        <w:tc>
          <w:tcPr>
            <w:tcW w:w="10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4,570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7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26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($35,209 par, due 7/2030)</w:t>
            </w: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6/30/2023</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+ 6.50%</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11.80%</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34,331</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35,209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6"/>
        </w:trPr>
        <w:tc>
          <w:tcPr>
            <w:tcW w:w="2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($37,064 par, due 10/2028)</w:t>
            </w:r>
          </w:p>
        </w:tc>
        <w:tc>
          <w:tcPr>
            <w:tcW w:w="9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10/1/2021</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+ 7.60%</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12.92% PIK</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36,584</w:t>
            </w:r>
          </w:p>
        </w:tc>
        <w:tc>
          <w:tcPr>
            <w:tcW w:w="108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36,971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4"/>
        </w:trPr>
        <w:tc>
          <w:tcPr>
            <w:tcW w:w="2260" w:type="dxa"/>
            <w:vAlign w:val="bottom"/>
          </w:tcPr>
          <w:p>
            <w:pPr>
              <w:spacing w:after="0"/>
              <w:rPr>
                <w:sz w:val="13"/>
                <w:szCs w:val="13"/>
                <w:color w:val="auto"/>
              </w:rPr>
            </w:pP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revolving loan ($320 par, due 10/2027)</w:t>
            </w: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10/1/2021</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+ 6.85%</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12.17%</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288</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314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226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1"/>
                <w:szCs w:val="11"/>
                <w:color w:val="auto"/>
              </w:rPr>
              <w:t>First-lien loan ($43,191 par, due 2/2030)</w:t>
            </w:r>
          </w:p>
        </w:tc>
        <w:tc>
          <w:tcPr>
            <w:tcW w:w="9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2/27/2023</w:t>
            </w: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SOFR + 7.50%</w:t>
            </w:r>
          </w:p>
        </w:tc>
        <w:tc>
          <w:tcPr>
            <w:tcW w:w="112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12.81%</w:t>
            </w:r>
          </w:p>
        </w:tc>
        <w:tc>
          <w:tcPr>
            <w:tcW w:w="90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42,179</w:t>
            </w:r>
          </w:p>
        </w:tc>
        <w:tc>
          <w:tcPr>
            <w:tcW w:w="108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44,191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6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CrunchTime Information, Systems, Inc. </w:t>
            </w:r>
            <w:r>
              <w:rPr>
                <w:rFonts w:ascii="Times New Roman" w:cs="Times New Roman" w:eastAsia="Times New Roman" w:hAnsi="Times New Roman"/>
                <w:sz w:val="14"/>
                <w:szCs w:val="14"/>
                <w:color w:val="auto"/>
                <w:vertAlign w:val="superscript"/>
              </w:rPr>
              <w:t>(3)(5)</w:t>
            </w:r>
          </w:p>
        </w:tc>
        <w:tc>
          <w:tcPr>
            <w:tcW w:w="2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First-lien loan ($59,350 par, due 6/2028)</w:t>
            </w: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6/17/2022</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SOFR + 6.00%</w:t>
            </w:r>
          </w:p>
        </w:tc>
        <w:tc>
          <w:tcPr>
            <w:tcW w:w="11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11.33%</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58,376</w:t>
            </w:r>
          </w:p>
        </w:tc>
        <w:tc>
          <w:tcPr>
            <w:tcW w:w="10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59,795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bl>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32"/>
        </w:trPr>
        <w:tc>
          <w:tcPr>
            <w:tcW w:w="23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23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00" w:type="dxa"/>
            <w:vAlign w:val="bottom"/>
          </w:tcPr>
          <w:p>
            <w:pPr>
              <w:spacing w:after="0"/>
              <w:rPr>
                <w:sz w:val="10"/>
                <w:szCs w:val="10"/>
                <w:color w:val="auto"/>
              </w:rPr>
            </w:pPr>
          </w:p>
        </w:tc>
        <w:tc>
          <w:tcPr>
            <w:tcW w:w="1060" w:type="dxa"/>
            <w:vAlign w:val="bottom"/>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9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58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60" w:type="dxa"/>
            <w:vAlign w:val="bottom"/>
          </w:tcPr>
          <w:p>
            <w:pPr>
              <w:jc w:val="right"/>
              <w:ind w:right="346"/>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920" w:type="dxa"/>
            <w:vAlign w:val="bottom"/>
          </w:tcPr>
          <w:p>
            <w:pPr>
              <w:jc w:val="right"/>
              <w:ind w:right="126"/>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(8)</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($65,167 par, due 7/2028)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7/7/2022</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+ 6.75%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12.08%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64,000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64,679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14"/>
                <w:szCs w:val="14"/>
                <w:color w:val="auto"/>
                <w:vertAlign w:val="superscript"/>
              </w:rPr>
              <w:t>(3)(5)</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($52,216 par, due 1/2025)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6/18/2018</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+ 6.25%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11.56%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52,084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52,347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44"/>
        </w:trPr>
        <w:tc>
          <w:tcPr>
            <w:tcW w:w="23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(SEK 78,125 par, due 2/2031)</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2/20/2024</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STIBOR + 6.50%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10.58% (incl.</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7,281</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3.50% PIK)</w:t>
            </w: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(SEK 75,937)</w:t>
            </w:r>
          </w:p>
        </w:tc>
        <w:tc>
          <w:tcPr>
            <w:tcW w:w="760" w:type="dxa"/>
            <w:vAlign w:val="bottom"/>
            <w:shd w:val="clear" w:color="auto" w:fill="CFF0FC"/>
          </w:tcPr>
          <w:p>
            <w:pPr>
              <w:spacing w:after="0"/>
              <w:rPr>
                <w:sz w:val="12"/>
                <w:szCs w:val="12"/>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14"/>
                <w:szCs w:val="14"/>
                <w:color w:val="auto"/>
                <w:vertAlign w:val="superscript"/>
              </w:rPr>
              <w:t>(3)(5)</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($39,426 par, due 7/2028)</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7/12/2022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12.81%</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38,677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39,883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23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Lithium Technologies,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($58,342 par, due 1/2025)</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10/3/2017</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+ 9.00%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14.32% (incl.</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58,351</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53,237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4.50% PIK)</w:t>
            </w: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4"/>
        </w:trPr>
        <w:tc>
          <w:tcPr>
            <w:tcW w:w="23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(3)(5)</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($9,059 par, due 2/2027)</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12.83% (incl.</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9,059</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9,059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42"/>
        </w:trPr>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3.50% PIK)</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6"/>
        </w:trPr>
        <w:tc>
          <w:tcPr>
            <w:tcW w:w="23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($52,048 par, due 2/2026)</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2/25/2021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+ 7.85%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13.18% (incl.</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51,508</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52,048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1.94% PIK)</w:t>
            </w: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SMA Technologies Holdings, LLC</w:t>
            </w:r>
            <w:r>
              <w:rPr>
                <w:rFonts w:ascii="Times New Roman" w:cs="Times New Roman" w:eastAsia="Times New Roman" w:hAnsi="Times New Roman"/>
                <w:sz w:val="14"/>
                <w:szCs w:val="14"/>
                <w:color w:val="auto"/>
                <w:vertAlign w:val="superscript"/>
              </w:rPr>
              <w:t>(3)(5)</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($36,833 par, due 10/2028)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10/31/2022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+ 6.75%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12.06%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35,512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37,754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56"/>
        </w:trPr>
        <w:tc>
          <w:tcPr>
            <w:tcW w:w="23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488,230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492,589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31.1%</w:t>
            </w:r>
          </w:p>
        </w:tc>
      </w:tr>
      <w:tr>
        <w:trPr>
          <w:trHeight w:val="154"/>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Aptean,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($7,922 par, due 1/2031)</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1/30/2024</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+ 5.25%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10.57%</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7,830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7,847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(9)</w:t>
            </w:r>
          </w:p>
        </w:tc>
        <w:tc>
          <w:tcPr>
            <w:tcW w:w="2580" w:type="dxa"/>
            <w:vAlign w:val="bottom"/>
          </w:tcPr>
          <w:p>
            <w:pPr>
              <w:ind w:left="260"/>
              <w:spacing w:after="0" w:line="156" w:lineRule="exact"/>
              <w:rPr>
                <w:sz w:val="20"/>
                <w:szCs w:val="20"/>
                <w:color w:val="auto"/>
              </w:rPr>
            </w:pPr>
            <w:r>
              <w:rPr>
                <w:rFonts w:ascii="Times New Roman" w:cs="Times New Roman" w:eastAsia="Times New Roman" w:hAnsi="Times New Roman"/>
                <w:sz w:val="11"/>
                <w:szCs w:val="11"/>
                <w:color w:val="auto"/>
              </w:rPr>
              <w:t xml:space="preserve">First-lien loan ($1,127 par, due 12/2025) </w:t>
            </w:r>
            <w:r>
              <w:rPr>
                <w:rFonts w:ascii="Times New Roman" w:cs="Times New Roman" w:eastAsia="Times New Roman" w:hAnsi="Times New Roman"/>
                <w:sz w:val="14"/>
                <w:szCs w:val="14"/>
                <w:color w:val="auto"/>
                <w:vertAlign w:val="superscript"/>
              </w:rPr>
              <w:t>(3)</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8/25/2023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+ 3.90%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9.20%</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1,061</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1,082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ind w:left="260"/>
              <w:spacing w:after="0" w:line="144" w:lineRule="exact"/>
              <w:rPr>
                <w:sz w:val="20"/>
                <w:szCs w:val="20"/>
                <w:color w:val="auto"/>
              </w:rPr>
            </w:pPr>
            <w:r>
              <w:rPr>
                <w:rFonts w:ascii="Times New Roman" w:cs="Times New Roman" w:eastAsia="Times New Roman" w:hAnsi="Times New Roman"/>
                <w:sz w:val="11"/>
                <w:szCs w:val="11"/>
                <w:color w:val="auto"/>
              </w:rPr>
              <w:t xml:space="preserve">First-lien loan (EUR 1,023 par, due 12/2025) </w:t>
            </w:r>
            <w:r>
              <w:rPr>
                <w:rFonts w:ascii="Times New Roman" w:cs="Times New Roman" w:eastAsia="Times New Roman" w:hAnsi="Times New Roman"/>
                <w:sz w:val="14"/>
                <w:szCs w:val="14"/>
                <w:color w:val="auto"/>
                <w:vertAlign w:val="superscript"/>
              </w:rPr>
              <w:t>(3)</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9/14/2023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 + 3.75%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7.65%</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1,002</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1,042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964)</w:t>
            </w:r>
          </w:p>
        </w:tc>
        <w:tc>
          <w:tcPr>
            <w:tcW w:w="760" w:type="dxa"/>
            <w:vAlign w:val="bottom"/>
            <w:shd w:val="clear" w:color="auto" w:fill="CFF0FC"/>
          </w:tcPr>
          <w:p>
            <w:pPr>
              <w:spacing w:after="0"/>
              <w:rPr>
                <w:sz w:val="12"/>
                <w:szCs w:val="12"/>
                <w:color w:val="auto"/>
              </w:rPr>
            </w:pPr>
          </w:p>
        </w:tc>
      </w:tr>
      <w:tr>
        <w:trPr>
          <w:trHeight w:val="154"/>
        </w:trPr>
        <w:tc>
          <w:tcPr>
            <w:tcW w:w="2320" w:type="dxa"/>
            <w:vAlign w:val="bottom"/>
          </w:tcPr>
          <w:p>
            <w:pPr>
              <w:spacing w:after="0"/>
              <w:rPr>
                <w:sz w:val="13"/>
                <w:szCs w:val="13"/>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Secured Note ($1,226 par, due 9/2028)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12/19/2023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852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2320" w:type="dxa"/>
            <w:vAlign w:val="bottom"/>
            <w:shd w:val="clear" w:color="auto" w:fill="CFF0FC"/>
          </w:tcPr>
          <w:p>
            <w:pPr>
              <w:spacing w:after="0"/>
              <w:rPr>
                <w:sz w:val="13"/>
                <w:szCs w:val="13"/>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Unsecured Note ($1,059 par, due 9/2029)</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8/31/2023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7.50%</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581</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582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($38,636 par, due 10/2028)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10/19/2022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+ 7.25%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12.56%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37,772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39,274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Heritage Environmental Services,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($12,346 par, due 1/2031)</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1/31/2024</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+ 5.50%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10.81%</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12,277</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12,311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($16,340 par, due 9/2030)</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+ 5.75%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11.06%</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15,915</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16,054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(EUR 4,851 par, due 9/2030)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 + 5.75%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9.65%</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5,059</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5,147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4,766)</w:t>
            </w:r>
          </w:p>
        </w:tc>
        <w:tc>
          <w:tcPr>
            <w:tcW w:w="760" w:type="dxa"/>
            <w:vAlign w:val="bottom"/>
            <w:shd w:val="clear" w:color="auto" w:fill="CFF0FC"/>
          </w:tcPr>
          <w:p>
            <w:pPr>
              <w:spacing w:after="0"/>
              <w:rPr>
                <w:sz w:val="12"/>
                <w:szCs w:val="12"/>
                <w:color w:val="auto"/>
              </w:rPr>
            </w:pPr>
          </w:p>
        </w:tc>
      </w:tr>
      <w:tr>
        <w:trPr>
          <w:trHeight w:val="144"/>
        </w:trPr>
        <w:tc>
          <w:tcPr>
            <w:tcW w:w="2320" w:type="dxa"/>
            <w:vAlign w:val="bottom"/>
          </w:tcPr>
          <w:p>
            <w:pPr>
              <w:spacing w:after="0"/>
              <w:rPr>
                <w:sz w:val="12"/>
                <w:szCs w:val="12"/>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(GBP 16,640 par, due 9/2030)</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 + 5.75%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11.00%</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20,047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20,529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2"/>
        </w:trPr>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(GBP 16,251)</w:t>
            </w:r>
          </w:p>
        </w:tc>
        <w:tc>
          <w:tcPr>
            <w:tcW w:w="760" w:type="dxa"/>
            <w:vAlign w:val="bottom"/>
          </w:tcPr>
          <w:p>
            <w:pPr>
              <w:spacing w:after="0"/>
              <w:rPr>
                <w:sz w:val="12"/>
                <w:szCs w:val="12"/>
                <w:color w:val="auto"/>
              </w:rPr>
            </w:pPr>
          </w:p>
        </w:tc>
      </w:tr>
      <w:tr>
        <w:trPr>
          <w:trHeight w:val="158"/>
        </w:trPr>
        <w:tc>
          <w:tcPr>
            <w:tcW w:w="23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102,396</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104,668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54"/>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Office Products</w:t>
            </w: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ABL FILO term loan ($16,500 par, due 4/2027)</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4/25/2022</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11.83%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16,222</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16,458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4"/>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($27,317 par, due 2/2027)</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2/21/2023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+ 7.10%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12.43%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26,811</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27,317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Mach Natural Resources LP</w:t>
            </w:r>
            <w:r>
              <w:rPr>
                <w:rFonts w:ascii="Times New Roman" w:cs="Times New Roman" w:eastAsia="Times New Roman" w:hAnsi="Times New Roman"/>
                <w:sz w:val="14"/>
                <w:szCs w:val="14"/>
                <w:color w:val="auto"/>
                <w:vertAlign w:val="superscript"/>
              </w:rPr>
              <w:t>(3)(4)</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($5,000 par, due 12/2026)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12/28/2023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+ 6.65%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11.95%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4,908</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4,925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($24,637 par, due 6/2026)</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6/30/2022</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+ 8.40%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13.72%</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24,309</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25,068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(3)</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($65,000 par, due 12/2025)</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12/3/2021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+ 7.76%</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13.07%</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64,450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66,980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56"/>
        </w:trPr>
        <w:tc>
          <w:tcPr>
            <w:tcW w:w="23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120,478</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124,290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54"/>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($39,840 par, due 3/2026)</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3/31/2021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+ 6.60%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11.93%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39,388</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39,740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4"/>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99 Cents Only Stores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ABL FILO term loan ($25,000 par, due 5/2025)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9/6/2017</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+ 8.65%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13.97%</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24,891</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25,000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44"/>
        </w:trPr>
        <w:tc>
          <w:tcPr>
            <w:tcW w:w="23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(3)(14)</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($27,003 par, due 9/2026)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9/30/2015</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+ 6.35%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11.68% (incl.</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26,177</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20,522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2"/>
        </w:trPr>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11.18% PIK)</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6"/>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($1,350 par, due 9/2026)</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6/10/2021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+ 14.10%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19.43% (incl.</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1,350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19.18% PIK)</w:t>
            </w: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54"/>
        </w:trPr>
        <w:tc>
          <w:tcPr>
            <w:tcW w:w="2320" w:type="dxa"/>
            <w:vAlign w:val="bottom"/>
          </w:tcPr>
          <w:p>
            <w:pPr>
              <w:spacing w:after="0"/>
              <w:rPr>
                <w:sz w:val="13"/>
                <w:szCs w:val="13"/>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Subordinated note ($4,740 par, due 9/2026)</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3/16/2021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+ 1.15%</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6.48% PIK</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545</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ABL FILO term loan ($12,823 par, due 8/2027)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9/2/2022</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+ 9.90%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15.23%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12,583</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12,085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4"/>
        </w:trPr>
        <w:tc>
          <w:tcPr>
            <w:tcW w:w="2320" w:type="dxa"/>
            <w:vAlign w:val="bottom"/>
          </w:tcPr>
          <w:p>
            <w:pPr>
              <w:spacing w:after="0"/>
              <w:rPr>
                <w:sz w:val="13"/>
                <w:szCs w:val="13"/>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Roll Up DIP term loan ($25,728 par, due 9/2024)</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+ 7.90%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13.23% PIK</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25,728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24,248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46"/>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Super-Priority DIP term loan ($4,550 par, due</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+ 7.90%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13.23%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4,550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4,288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9/2024)</w:t>
            </w: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($51,007 par, due 7/2028)</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7/25/2022</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+ 9.18%</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14.53%</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50,116</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51,404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($56,333 par, due 12/2026)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12/20/2021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+ 7.60%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12.93%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55,627</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56,755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($14,410 par, due 2/2031)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2/1/2024</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+ 5.50%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10.83%</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14,120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14,195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44"/>
        </w:trPr>
        <w:tc>
          <w:tcPr>
            <w:tcW w:w="23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Rapid Data GmbH Unternehmensberatung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(EUR 4,495 par, due 7/2029)</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7/11/2023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E + 6.50%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10.43%</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4,687</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4,827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4"/>
        </w:trPr>
        <w:tc>
          <w:tcPr>
            <w:tcW w:w="23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(EUR 4,470)</w:t>
            </w:r>
          </w:p>
        </w:tc>
        <w:tc>
          <w:tcPr>
            <w:tcW w:w="760" w:type="dxa"/>
            <w:vAlign w:val="bottom"/>
            <w:shd w:val="clear" w:color="auto" w:fill="CFF0FC"/>
          </w:tcPr>
          <w:p>
            <w:pPr>
              <w:spacing w:after="0"/>
              <w:rPr>
                <w:sz w:val="12"/>
                <w:szCs w:val="12"/>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Tango Management Consulting, LLC </w:t>
            </w:r>
            <w:r>
              <w:rPr>
                <w:rFonts w:ascii="Times New Roman" w:cs="Times New Roman" w:eastAsia="Times New Roman" w:hAnsi="Times New Roman"/>
                <w:sz w:val="14"/>
                <w:szCs w:val="14"/>
                <w:color w:val="auto"/>
                <w:vertAlign w:val="superscript"/>
              </w:rPr>
              <w:t>(3)(5)</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($57,967 par, due 12/2027)</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12/1/2021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+ 6.90%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12.23%</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57,304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57,822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6"/>
        </w:trPr>
        <w:tc>
          <w:tcPr>
            <w:tcW w:w="2320" w:type="dxa"/>
            <w:vAlign w:val="bottom"/>
            <w:shd w:val="clear" w:color="auto" w:fill="CFF0FC"/>
          </w:tcPr>
          <w:p>
            <w:pPr>
              <w:spacing w:after="0"/>
              <w:rPr>
                <w:sz w:val="13"/>
                <w:szCs w:val="13"/>
                <w:color w:val="auto"/>
              </w:rPr>
            </w:pP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revolving loan ($19 par, due 12/2027)</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+ 6.85%</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12.18%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(38)</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3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277,640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271,328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r>
      <w:tr>
        <w:trPr>
          <w:trHeight w:val="15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loan ($3,296 par, due 3/2028)</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3/26/2024</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+ 5.00%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10.31%</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3,227</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3,224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($32,007 par, due 8/2029)</w:t>
            </w: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8/11/2023</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+ 7.00%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12.18%</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31,055</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31,847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4"/>
        </w:trPr>
        <w:tc>
          <w:tcPr>
            <w:tcW w:w="2320" w:type="dxa"/>
            <w:vAlign w:val="bottom"/>
          </w:tcPr>
          <w:p>
            <w:pPr>
              <w:spacing w:after="0"/>
              <w:rPr>
                <w:sz w:val="13"/>
                <w:szCs w:val="13"/>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First-lien revolving loan ($1,667 par, due 8/2029)</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8/11/2023</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SOFR + 7.00%</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12.18%</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1,592</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1,658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23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First-lien loan ($35,095 par, due 11/2027)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11/12/2021</w:t>
            </w:r>
          </w:p>
        </w:tc>
        <w:tc>
          <w:tcPr>
            <w:tcW w:w="10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SOFR + 6.40%</w:t>
            </w:r>
          </w:p>
        </w:tc>
        <w:tc>
          <w:tcPr>
            <w:tcW w:w="10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11.71%</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34,138</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35,095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4"/>
        </w:trPr>
        <w:tc>
          <w:tcPr>
            <w:tcW w:w="23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70,012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71,824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5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3,174,362</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3,187,245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201.1%</w:t>
            </w: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2"/>
        </w:trPr>
        <w:tc>
          <w:tcPr>
            <w:tcW w:w="2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2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8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00" w:type="dxa"/>
            <w:vAlign w:val="bottom"/>
          </w:tcPr>
          <w:p>
            <w:pPr>
              <w:spacing w:after="0"/>
              <w:rPr>
                <w:sz w:val="10"/>
                <w:szCs w:val="10"/>
                <w:color w:val="auto"/>
              </w:rPr>
            </w:pPr>
          </w:p>
        </w:tc>
        <w:tc>
          <w:tcPr>
            <w:tcW w:w="1060" w:type="dxa"/>
            <w:vAlign w:val="bottom"/>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9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580" w:type="dxa"/>
            <w:vAlign w:val="bottom"/>
          </w:tcPr>
          <w:p>
            <w:pPr>
              <w:ind w:left="12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60" w:type="dxa"/>
            <w:vAlign w:val="bottom"/>
          </w:tcPr>
          <w:p>
            <w:pPr>
              <w:jc w:val="right"/>
              <w:ind w:right="346"/>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920" w:type="dxa"/>
            <w:vAlign w:val="bottom"/>
          </w:tcPr>
          <w:p>
            <w:pPr>
              <w:jc w:val="right"/>
              <w:ind w:right="126"/>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(8)</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Clarience Technologies, LLC </w:t>
            </w:r>
            <w:r>
              <w:rPr>
                <w:rFonts w:ascii="Times New Roman" w:cs="Times New Roman" w:eastAsia="Times New Roman" w:hAnsi="Times New Roman"/>
                <w:sz w:val="14"/>
                <w:szCs w:val="14"/>
                <w:color w:val="auto"/>
                <w:vertAlign w:val="superscript"/>
              </w:rPr>
              <w:t>(11)(12)</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 Units (333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2/12/2024</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820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820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Artisan Topco LP</w:t>
            </w:r>
            <w:r>
              <w:rPr>
                <w:rFonts w:ascii="Times New Roman" w:cs="Times New Roman" w:eastAsia="Times New Roman" w:hAnsi="Times New Roman"/>
                <w:sz w:val="14"/>
                <w:szCs w:val="14"/>
                <w:color w:val="auto"/>
                <w:vertAlign w:val="superscript"/>
              </w:rPr>
              <w:t>(11)(12)</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 Preferred Units (2,117,264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2,117</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2,117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2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4"/>
                <w:szCs w:val="14"/>
                <w:color w:val="auto"/>
                <w:vertAlign w:val="superscript"/>
              </w:rPr>
              <w:t>(4)(10)</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Common Shares (126,968 shares)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12/3/2021</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3,909</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2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(CAD 1,996)</w:t>
            </w:r>
          </w:p>
        </w:tc>
        <w:tc>
          <w:tcPr>
            <w:tcW w:w="760" w:type="dxa"/>
            <w:vAlign w:val="bottom"/>
          </w:tcPr>
          <w:p>
            <w:pPr>
              <w:spacing w:after="0"/>
              <w:rPr>
                <w:sz w:val="12"/>
                <w:szCs w:val="12"/>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4"/>
                <w:szCs w:val="14"/>
                <w:color w:val="auto"/>
                <w:vertAlign w:val="superscript"/>
              </w:rPr>
              <w:t>(11)(12)</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Partnership Interest (329,861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3/19/2024</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3,299</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3,299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Membership Interest (0.43% ownership)</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5/2/2022</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5,247</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4,499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Newark FP Co-Invest, L.P.</w:t>
            </w:r>
            <w:r>
              <w:rPr>
                <w:rFonts w:ascii="Times New Roman" w:cs="Times New Roman" w:eastAsia="Times New Roman" w:hAnsi="Times New Roman"/>
                <w:sz w:val="14"/>
                <w:szCs w:val="14"/>
                <w:color w:val="auto"/>
                <w:vertAlign w:val="superscript"/>
              </w:rPr>
              <w:t>(11)(12)</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Partnership (2,527,719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11/8/2023</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2,533</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2,533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14"/>
                <w:szCs w:val="14"/>
                <w:color w:val="auto"/>
                <w:vertAlign w:val="superscript"/>
              </w:rPr>
              <w:t>(13)</w:t>
            </w:r>
          </w:p>
        </w:tc>
        <w:tc>
          <w:tcPr>
            <w:tcW w:w="2580" w:type="dxa"/>
            <w:vAlign w:val="bottom"/>
          </w:tcPr>
          <w:p>
            <w:pPr>
              <w:ind w:left="360"/>
              <w:spacing w:after="0" w:line="156" w:lineRule="exact"/>
              <w:rPr>
                <w:sz w:val="20"/>
                <w:szCs w:val="20"/>
                <w:color w:val="auto"/>
              </w:rPr>
            </w:pPr>
            <w:r>
              <w:rPr>
                <w:rFonts w:ascii="Times New Roman" w:cs="Times New Roman" w:eastAsia="Times New Roman" w:hAnsi="Times New Roman"/>
                <w:sz w:val="11"/>
                <w:szCs w:val="11"/>
                <w:color w:val="auto"/>
              </w:rPr>
              <w:t xml:space="preserve">Class A-1 Units (637,713 units) </w:t>
            </w:r>
            <w:r>
              <w:rPr>
                <w:rFonts w:ascii="Times New Roman" w:cs="Times New Roman" w:eastAsia="Times New Roman" w:hAnsi="Times New Roman"/>
                <w:sz w:val="14"/>
                <w:szCs w:val="14"/>
                <w:color w:val="auto"/>
                <w:vertAlign w:val="superscript"/>
              </w:rPr>
              <w:t>(11)</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11/23/2021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1,414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line="156" w:lineRule="exact"/>
              <w:rPr>
                <w:sz w:val="20"/>
                <w:szCs w:val="20"/>
                <w:color w:val="auto"/>
              </w:rPr>
            </w:pPr>
            <w:r>
              <w:rPr>
                <w:rFonts w:ascii="Times New Roman" w:cs="Times New Roman" w:eastAsia="Times New Roman" w:hAnsi="Times New Roman"/>
                <w:sz w:val="11"/>
                <w:szCs w:val="11"/>
                <w:color w:val="auto"/>
              </w:rPr>
              <w:t xml:space="preserve">Class A-2 Units (2,989 units) </w:t>
            </w:r>
            <w:r>
              <w:rPr>
                <w:rFonts w:ascii="Times New Roman" w:cs="Times New Roman" w:eastAsia="Times New Roman" w:hAnsi="Times New Roman"/>
                <w:sz w:val="14"/>
                <w:szCs w:val="14"/>
                <w:color w:val="auto"/>
                <w:vertAlign w:val="superscript"/>
              </w:rPr>
              <w:t>(11)</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6/21/2022</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tcPr>
          <w:p>
            <w:pPr>
              <w:spacing w:after="0"/>
              <w:rPr>
                <w:sz w:val="13"/>
                <w:szCs w:val="13"/>
                <w:color w:val="auto"/>
              </w:rPr>
            </w:pPr>
          </w:p>
        </w:tc>
        <w:tc>
          <w:tcPr>
            <w:tcW w:w="2580" w:type="dxa"/>
            <w:vAlign w:val="bottom"/>
          </w:tcPr>
          <w:p>
            <w:pPr>
              <w:ind w:left="360"/>
              <w:spacing w:after="0" w:line="156" w:lineRule="exact"/>
              <w:rPr>
                <w:sz w:val="20"/>
                <w:szCs w:val="20"/>
                <w:color w:val="auto"/>
              </w:rPr>
            </w:pPr>
            <w:r>
              <w:rPr>
                <w:rFonts w:ascii="Times New Roman" w:cs="Times New Roman" w:eastAsia="Times New Roman" w:hAnsi="Times New Roman"/>
                <w:sz w:val="11"/>
                <w:szCs w:val="11"/>
                <w:color w:val="auto"/>
              </w:rPr>
              <w:t xml:space="preserve">Class A-3 Units (16,957 units) </w:t>
            </w:r>
            <w:r>
              <w:rPr>
                <w:rFonts w:ascii="Times New Roman" w:cs="Times New Roman" w:eastAsia="Times New Roman" w:hAnsi="Times New Roman"/>
                <w:sz w:val="14"/>
                <w:szCs w:val="14"/>
                <w:color w:val="auto"/>
                <w:vertAlign w:val="superscript"/>
              </w:rPr>
              <w:t>(11)(12)</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11/10/2023</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line="156" w:lineRule="exact"/>
              <w:rPr>
                <w:sz w:val="20"/>
                <w:szCs w:val="20"/>
                <w:color w:val="auto"/>
              </w:rPr>
            </w:pPr>
            <w:r>
              <w:rPr>
                <w:rFonts w:ascii="Times New Roman" w:cs="Times New Roman" w:eastAsia="Times New Roman" w:hAnsi="Times New Roman"/>
                <w:sz w:val="11"/>
                <w:szCs w:val="11"/>
                <w:color w:val="auto"/>
              </w:rPr>
              <w:t xml:space="preserve">Series A Preferred Stock (1,748 Units) </w:t>
            </w:r>
            <w:r>
              <w:rPr>
                <w:rFonts w:ascii="Times New Roman" w:cs="Times New Roman" w:eastAsia="Times New Roman" w:hAnsi="Times New Roman"/>
                <w:sz w:val="14"/>
                <w:szCs w:val="14"/>
                <w:color w:val="auto"/>
                <w:vertAlign w:val="superscript"/>
              </w:rPr>
              <w:t>(3)(12)</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SOFR + 12.00%</w:t>
            </w:r>
          </w:p>
        </w:tc>
        <w:tc>
          <w:tcPr>
            <w:tcW w:w="1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17.37% PIK</w:t>
            </w: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1,583</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1,610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tcPr>
          <w:p>
            <w:pPr>
              <w:spacing w:after="0"/>
              <w:rPr>
                <w:sz w:val="13"/>
                <w:szCs w:val="13"/>
                <w:color w:val="auto"/>
              </w:rPr>
            </w:pPr>
          </w:p>
        </w:tc>
        <w:tc>
          <w:tcPr>
            <w:tcW w:w="2580" w:type="dxa"/>
            <w:vAlign w:val="bottom"/>
          </w:tcPr>
          <w:p>
            <w:pPr>
              <w:ind w:left="360"/>
              <w:spacing w:after="0" w:line="156" w:lineRule="exact"/>
              <w:rPr>
                <w:sz w:val="20"/>
                <w:szCs w:val="20"/>
                <w:color w:val="auto"/>
              </w:rPr>
            </w:pPr>
            <w:r>
              <w:rPr>
                <w:rFonts w:ascii="Times New Roman" w:cs="Times New Roman" w:eastAsia="Times New Roman" w:hAnsi="Times New Roman"/>
                <w:sz w:val="11"/>
                <w:szCs w:val="11"/>
                <w:color w:val="auto"/>
              </w:rPr>
              <w:t xml:space="preserve">Warrants (90,634 warrants) </w:t>
            </w:r>
            <w:r>
              <w:rPr>
                <w:rFonts w:ascii="Times New Roman" w:cs="Times New Roman" w:eastAsia="Times New Roman" w:hAnsi="Times New Roman"/>
                <w:sz w:val="14"/>
                <w:szCs w:val="14"/>
                <w:color w:val="auto"/>
                <w:vertAlign w:val="superscript"/>
              </w:rPr>
              <w:t>(11)(12)</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12/20/2023</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14"/>
                <w:szCs w:val="14"/>
                <w:color w:val="auto"/>
                <w:vertAlign w:val="superscript"/>
              </w:rPr>
              <w:t>(10)(11)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Common Shares (283,499 shares)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6/24/2021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2,445</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3,479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4"/>
                <w:szCs w:val="14"/>
                <w:color w:val="auto"/>
                <w:vertAlign w:val="superscript"/>
              </w:rPr>
              <w:t>(11)(12)</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Class A Units (423,729 units)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7/7/2023</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424</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22,821</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21,006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11/19/2021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1,250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1,250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C Preferred Shares (1,816,295 shares)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1,816</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Series D Preferred Shares (1,598,874 shares)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2,925</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2220" w:type="dxa"/>
            <w:vAlign w:val="bottom"/>
          </w:tcPr>
          <w:p>
            <w:pPr>
              <w:spacing w:after="0"/>
              <w:rPr>
                <w:sz w:val="13"/>
                <w:szCs w:val="13"/>
                <w:color w:val="auto"/>
              </w:rPr>
            </w:pP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C Warrants (280,000 warrants)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2/28/2020</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183</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Series D Warrants (106,592 warrants)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4/8/2021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6,174</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5,414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8"/>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Membership Interest (10.17% ownership)</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1/13/2022</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3,255</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12/22/2021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5,523</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4,763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RMCF IV CIV XXXV, LP.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Partnership Interest (11.94% ownership)</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1,485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9,778</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6,248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AF Eagle Parent, L.P.</w:t>
            </w:r>
            <w:r>
              <w:rPr>
                <w:rFonts w:ascii="Times New Roman" w:cs="Times New Roman" w:eastAsia="Times New Roman" w:hAnsi="Times New Roman"/>
                <w:sz w:val="14"/>
                <w:szCs w:val="14"/>
                <w:color w:val="auto"/>
                <w:vertAlign w:val="superscript"/>
              </w:rPr>
              <w:t>(11)(12)</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Partnership (121,329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11/27/2023</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4,091</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4,091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CLGF Holdco 2, LLC</w:t>
            </w:r>
            <w:r>
              <w:rPr>
                <w:rFonts w:ascii="Times New Roman" w:cs="Times New Roman" w:eastAsia="Times New Roman" w:hAnsi="Times New Roman"/>
                <w:sz w:val="14"/>
                <w:szCs w:val="14"/>
                <w:color w:val="auto"/>
                <w:vertAlign w:val="superscript"/>
              </w:rPr>
              <w:t>(4)(11)(12)</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Warrants (334,682 warrants)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183</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12/10/2020</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4,177</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13,857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14"/>
                <w:szCs w:val="14"/>
                <w:color w:val="auto"/>
                <w:vertAlign w:val="superscript"/>
              </w:rPr>
              <w:t>(4)(10)</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Common Shares (1,620 shares)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8/5/2015</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Warrants (17,534 warrants)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4/28/2021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192</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14"/>
                <w:szCs w:val="14"/>
                <w:color w:val="auto"/>
                <w:vertAlign w:val="superscript"/>
              </w:rPr>
              <w:t>(11)(13)</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5/14/2021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9,249</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18,840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Series C Preferred Shares (1,915,114 shares)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10/13/2020</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3,500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4"/>
        </w:trPr>
        <w:tc>
          <w:tcPr>
            <w:tcW w:w="2220" w:type="dxa"/>
            <w:vAlign w:val="bottom"/>
          </w:tcPr>
          <w:p>
            <w:pPr>
              <w:spacing w:after="0"/>
              <w:rPr>
                <w:sz w:val="13"/>
                <w:szCs w:val="13"/>
                <w:color w:val="auto"/>
              </w:rPr>
            </w:pP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D Preferred Shares (1,240,740 shares)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5/11/2021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10,050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10,251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8"/>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Warrants (633,376 warrants)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9/21/2018</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192</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1,334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2220" w:type="dxa"/>
            <w:vAlign w:val="bottom"/>
          </w:tcPr>
          <w:p>
            <w:pPr>
              <w:spacing w:after="0"/>
              <w:rPr>
                <w:sz w:val="13"/>
                <w:szCs w:val="13"/>
                <w:color w:val="auto"/>
              </w:rPr>
            </w:pP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Warrants (569,991 warrants)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4/2/2020</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1,018</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Merative Topco L.P.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A-1 Units (989,691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6/30/2022</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9,897</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9,600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(11)(12)</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Ordinary Shares (20,268 shares)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3/24/2023</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2,033</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2,033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25,922</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31,359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14"/>
                <w:szCs w:val="14"/>
                <w:color w:val="auto"/>
                <w:vertAlign w:val="superscript"/>
              </w:rPr>
              <w:t>(7)(11)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21,842</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220" w:type="dxa"/>
            <w:vAlign w:val="bottom"/>
          </w:tcPr>
          <w:p>
            <w:pPr>
              <w:spacing w:after="0"/>
              <w:rPr>
                <w:sz w:val="13"/>
                <w:szCs w:val="13"/>
                <w:color w:val="auto"/>
              </w:rPr>
            </w:pP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Class C-1 Units (8,800,000 units)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12/21/2018</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8"/>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21,942</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14"/>
                <w:szCs w:val="14"/>
                <w:color w:val="auto"/>
                <w:vertAlign w:val="superscript"/>
              </w:rPr>
              <w:t>(4)(11)(13)</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5/5/2021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3,780</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4,026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Class A-1 Units (2,393,509 units)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11/7/2022</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2,393</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2,675</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12/18/2020</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1,347</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2,172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220" w:type="dxa"/>
            <w:vAlign w:val="bottom"/>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Employment Hero Holdings Pty Ltd. </w:t>
            </w:r>
            <w:r>
              <w:rPr>
                <w:rFonts w:ascii="Times New Roman" w:cs="Times New Roman" w:eastAsia="Times New Roman" w:hAnsi="Times New Roman"/>
                <w:sz w:val="14"/>
                <w:szCs w:val="14"/>
                <w:color w:val="auto"/>
                <w:vertAlign w:val="superscript"/>
              </w:rPr>
              <w:t>(4)(11)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E Preferred Shares (113,250 shares)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3/1/2022</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2,134</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2,662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42"/>
        </w:trPr>
        <w:tc>
          <w:tcPr>
            <w:tcW w:w="2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(AUD 4,080)</w:t>
            </w:r>
          </w:p>
        </w:tc>
        <w:tc>
          <w:tcPr>
            <w:tcW w:w="760" w:type="dxa"/>
            <w:vAlign w:val="bottom"/>
          </w:tcPr>
          <w:p>
            <w:pPr>
              <w:spacing w:after="0"/>
              <w:rPr>
                <w:sz w:val="12"/>
                <w:szCs w:val="12"/>
                <w:color w:val="auto"/>
              </w:rPr>
            </w:pPr>
          </w:p>
        </w:tc>
      </w:tr>
      <w:tr>
        <w:trPr>
          <w:trHeight w:val="158"/>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9,654</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11,535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4"/>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4"/>
                <w:szCs w:val="14"/>
                <w:color w:val="auto"/>
                <w:vertAlign w:val="superscript"/>
              </w:rPr>
              <w:t>(11)(13)</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Co-Invest Common Units (8,837,008 units)</w:t>
            </w: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10/1/2021</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8,837</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9,521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4"/>
        </w:trPr>
        <w:tc>
          <w:tcPr>
            <w:tcW w:w="2220" w:type="dxa"/>
            <w:vAlign w:val="bottom"/>
          </w:tcPr>
          <w:p>
            <w:pPr>
              <w:spacing w:after="0"/>
              <w:rPr>
                <w:sz w:val="13"/>
                <w:szCs w:val="13"/>
                <w:color w:val="auto"/>
              </w:rPr>
            </w:pP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Co-Invest 2 Common Units (3,493,701 units)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10/1/2021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3,493</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3,764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8"/>
        </w:trPr>
        <w:tc>
          <w:tcPr>
            <w:tcW w:w="22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4"/>
                <w:szCs w:val="14"/>
                <w:color w:val="auto"/>
                <w:vertAlign w:val="superscript"/>
              </w:rPr>
              <w:t>(11)</w:t>
            </w: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Series F Preferred Shares (199,054 shares)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8/2/2019</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C-1 Preferred Shares (418,527 shares)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12/22/2021</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3,000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3,000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Series C-2 Preferred Shares (27,588 shares)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11/18/2022</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198</w:t>
            </w:r>
          </w:p>
        </w:tc>
        <w:tc>
          <w:tcPr>
            <w:tcW w:w="9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SMA Technologies Holdings, LLC </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Class A Units (1,300 units)</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11/21/2022</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1,300</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1,300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220" w:type="dxa"/>
            <w:vAlign w:val="bottom"/>
            <w:shd w:val="clear" w:color="auto" w:fill="CFF0FC"/>
          </w:tcPr>
          <w:p>
            <w:pPr>
              <w:spacing w:after="0"/>
              <w:rPr>
                <w:sz w:val="13"/>
                <w:szCs w:val="13"/>
                <w:color w:val="auto"/>
              </w:rPr>
            </w:pPr>
          </w:p>
        </w:tc>
        <w:tc>
          <w:tcPr>
            <w:tcW w:w="2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Class B Units (923,250 units)</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11/21/2022</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4"/>
        </w:trPr>
        <w:tc>
          <w:tcPr>
            <w:tcW w:w="2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17,628</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18,583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8"/>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Marketing Services</w:t>
            </w:r>
          </w:p>
        </w:tc>
        <w:tc>
          <w:tcPr>
            <w:tcW w:w="25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1"/>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Validity, Inc.</w:t>
            </w:r>
            <w:r>
              <w:rPr>
                <w:rFonts w:ascii="Times New Roman" w:cs="Times New Roman" w:eastAsia="Times New Roman" w:hAnsi="Times New Roman"/>
                <w:sz w:val="14"/>
                <w:szCs w:val="14"/>
                <w:color w:val="auto"/>
                <w:vertAlign w:val="superscript"/>
              </w:rPr>
              <w:t>(11)</w:t>
            </w:r>
          </w:p>
        </w:tc>
        <w:tc>
          <w:tcPr>
            <w:tcW w:w="2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Series A Preferred Shares (3,840,000 shares)</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5/31/2018</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3,840</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10,752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32"/>
        </w:trPr>
        <w:tc>
          <w:tcPr>
            <w:tcW w:w="25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25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6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b w:val="1"/>
                <w:bCs w:val="1"/>
                <w:color w:val="auto"/>
              </w:rPr>
              <w:t>Rate and</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w:t>
            </w:r>
          </w:p>
        </w:tc>
        <w:tc>
          <w:tcPr>
            <w:tcW w:w="2260" w:type="dxa"/>
            <w:vAlign w:val="bottom"/>
          </w:tcPr>
          <w:p>
            <w:pPr>
              <w:ind w:left="9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60" w:type="dxa"/>
            <w:vAlign w:val="bottom"/>
          </w:tcPr>
          <w:p>
            <w:pPr>
              <w:jc w:val="right"/>
              <w:ind w:right="227"/>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(8)</w:t>
            </w:r>
          </w:p>
        </w:tc>
        <w:tc>
          <w:tcPr>
            <w:tcW w:w="10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5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14"/>
                <w:szCs w:val="14"/>
                <w:color w:val="auto"/>
                <w:vertAlign w:val="superscript"/>
              </w:rPr>
              <w:t>(13)</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Preferred Units (13,355 units)</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6/30/2022</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14"/>
                <w:szCs w:val="14"/>
                <w:color w:val="auto"/>
                <w:vertAlign w:val="superscript"/>
              </w:rPr>
              <w:t>(11)(13)</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Interest (1.89% ownership)</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8/25/2022</w:t>
            </w: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11,718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4"/>
        </w:trPr>
        <w:tc>
          <w:tcPr>
            <w:tcW w:w="2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14"/>
                <w:szCs w:val="14"/>
                <w:color w:val="auto"/>
                <w:vertAlign w:val="superscript"/>
              </w:rPr>
              <w:t>(4)(11)</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 (14,256 warrants)</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8/5/2020</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520" w:type="dxa"/>
            <w:vAlign w:val="bottom"/>
            <w:shd w:val="clear" w:color="auto" w:fill="CFF0FC"/>
          </w:tcPr>
          <w:p>
            <w:pPr>
              <w:spacing w:after="0"/>
              <w:rPr>
                <w:sz w:val="13"/>
                <w:szCs w:val="13"/>
                <w:color w:val="auto"/>
              </w:rPr>
            </w:pP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4"/>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252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4"/>
                <w:szCs w:val="14"/>
                <w:color w:val="auto"/>
                <w:vertAlign w:val="superscript"/>
              </w:rPr>
              <w:t>(11)</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(687 units)</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3/16/2021</w:t>
            </w: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Copper Bidco, LLC </w:t>
            </w:r>
            <w:r>
              <w:rPr>
                <w:rFonts w:ascii="Times New Roman" w:cs="Times New Roman" w:eastAsia="Times New Roman" w:hAnsi="Times New Roman"/>
                <w:sz w:val="14"/>
                <w:szCs w:val="14"/>
                <w:color w:val="auto"/>
                <w:vertAlign w:val="superscript"/>
              </w:rPr>
              <w:t>(9)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Trust Certificates (996,958 Certificates)</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1/30/2021</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14"/>
                <w:szCs w:val="14"/>
                <w:color w:val="auto"/>
                <w:vertAlign w:val="superscript"/>
              </w:rPr>
              <w:t>(11)(13)</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10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12/20/2021</w:t>
            </w: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2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Structured Credit</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Allegro CLO Ltd, Series 2018-1A,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6/2031)</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5/26/2022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+ 3.11%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Ares CLO Ltd, Series 2021-59A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4/2034)</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6/23/2022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+ 6.51%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11.84%</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Bain Capital Credit CLO Ltd, Series 2018-1A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($500 par, due 4/2031)</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10/15/2020</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+ 5.61%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10.93%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9"/>
              </w:rPr>
              <w:t>Carlyle Global Market Strategies CLO Ltd, Series 2014-</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7/2030)</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5/26/2022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+ 3.16%</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8.48%</w:t>
            </w: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4RA</w:t>
            </w:r>
            <w:r>
              <w:rPr>
                <w:rFonts w:ascii="Times New Roman" w:cs="Times New Roman" w:eastAsia="Times New Roman" w:hAnsi="Times New Roman"/>
                <w:sz w:val="7"/>
                <w:szCs w:val="7"/>
                <w:color w:val="auto"/>
              </w:rPr>
              <w:t xml:space="preserve"> (3)(4)(9)</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32"/>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Carlyle Global Market Strategies CLO Ltd, Series 2016-</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($1,600 par, due 4/2034)</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2/15/2023</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+ 6.86%</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12.18%</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1, Ltd</w:t>
            </w:r>
            <w:r>
              <w:rPr>
                <w:rFonts w:ascii="Times New Roman" w:cs="Times New Roman" w:eastAsia="Times New Roman" w:hAnsi="Times New Roman"/>
                <w:sz w:val="7"/>
                <w:szCs w:val="7"/>
                <w:color w:val="auto"/>
              </w:rPr>
              <w:t xml:space="preserve"> (3)(4)(9)</w:t>
            </w: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CarVal CLO III Ltd, Series 2019-2A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7/2032)</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6/30/2022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+ 6.70%</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12.02%</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Cedar Funding CLO Ltd, Series 2018-7A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1/2031)</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7/21/2022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+ 4.81%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10.13%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CIFC CLO Ltd, Series 2018-3A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7/2031)</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6/16/2022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+ 5.76%</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11.06%</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Crown Point CLO Ltd, Series 2021-10A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7/2034)</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6/14/2022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+ 7.11%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12.43%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Dryden Senior Loan Fund, Series 2018-55A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4/2031)</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7/25/2022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+ 3.11%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8.43%</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Dryden Senior Loan Fund, Series 2020-86A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 7/2034)</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8/17/2022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+ 6.76%</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12.08%</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Eaton CLO Ltd, Series 2020-1A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10/2034)</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8/11/2022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+ 6.51%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11.83%</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Gulf Stream Meridian, Series 2021-4A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($1,015 par, due 7/2034)</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6/3/2022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+ 6.61%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Gulf Stream Meridian, Series 2021-6A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 1/2037)</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9/12/2022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+ 6.62%</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11.94%</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KKR CLO Ltd, 49A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7/2035)</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6/2/2022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+ 8.26%</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13.32%</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MidOcean Credit CLO Ltd, Series 2016-6A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($3,500 par, due 4/2033)</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5/23/2022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+ 3.78%</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9.10%</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3,175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MidOcean Credit CLO Ltd, Series 2018-9A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($1,100 par, due 7/2031)</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6/1/2022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+ 6.31%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Octagon 57 LLC, Series 2021-1A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10/2034)</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5/24/2022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+ 6.86%</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12.18%</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Octagon Investment Partners 18 Ltd, Series 2018-18A </w:t>
            </w:r>
            <w:r>
              <w:rPr>
                <w:rFonts w:ascii="Times New Roman" w:cs="Times New Roman" w:eastAsia="Times New Roman" w:hAnsi="Times New Roman"/>
                <w:sz w:val="13"/>
                <w:szCs w:val="13"/>
                <w:color w:val="auto"/>
                <w:vertAlign w:val="superscript"/>
              </w:rPr>
              <w:t>(3)</w:t>
            </w:r>
          </w:p>
        </w:tc>
        <w:tc>
          <w:tcPr>
            <w:tcW w:w="2260" w:type="dxa"/>
            <w:vAlign w:val="bottom"/>
          </w:tcPr>
          <w:p>
            <w:pPr>
              <w:ind w:left="60"/>
              <w:spacing w:after="0" w:line="120" w:lineRule="exact"/>
              <w:rPr>
                <w:sz w:val="20"/>
                <w:szCs w:val="20"/>
                <w:color w:val="auto"/>
              </w:rPr>
            </w:pPr>
            <w:r>
              <w:rPr>
                <w:rFonts w:ascii="Times New Roman" w:cs="Times New Roman" w:eastAsia="Times New Roman" w:hAnsi="Times New Roman"/>
                <w:sz w:val="11"/>
                <w:szCs w:val="11"/>
                <w:color w:val="auto"/>
              </w:rPr>
              <w:t>Structured Credit ($1,000 par, due 4/2031)</w:t>
            </w:r>
          </w:p>
        </w:tc>
        <w:tc>
          <w:tcPr>
            <w:tcW w:w="1080" w:type="dxa"/>
            <w:vAlign w:val="bottom"/>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rPr>
              <w:t>7/26/2022</w:t>
            </w:r>
          </w:p>
        </w:tc>
        <w:tc>
          <w:tcPr>
            <w:tcW w:w="960" w:type="dxa"/>
            <w:vAlign w:val="bottom"/>
          </w:tcPr>
          <w:p>
            <w:pPr>
              <w:ind w:left="180"/>
              <w:spacing w:after="0" w:line="120" w:lineRule="exact"/>
              <w:rPr>
                <w:sz w:val="20"/>
                <w:szCs w:val="20"/>
                <w:color w:val="auto"/>
              </w:rPr>
            </w:pPr>
            <w:r>
              <w:rPr>
                <w:rFonts w:ascii="Times New Roman" w:cs="Times New Roman" w:eastAsia="Times New Roman" w:hAnsi="Times New Roman"/>
                <w:sz w:val="11"/>
                <w:szCs w:val="11"/>
                <w:color w:val="auto"/>
              </w:rPr>
              <w:t>SOFR + 2.96%</w:t>
            </w:r>
          </w:p>
        </w:tc>
        <w:tc>
          <w:tcPr>
            <w:tcW w:w="88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1"/>
                <w:szCs w:val="11"/>
                <w:color w:val="auto"/>
              </w:rPr>
              <w:t>8.28%</w:t>
            </w:r>
          </w:p>
        </w:tc>
        <w:tc>
          <w:tcPr>
            <w:tcW w:w="200" w:type="dxa"/>
            <w:vAlign w:val="bottom"/>
          </w:tcPr>
          <w:p>
            <w:pPr>
              <w:spacing w:after="0"/>
              <w:rPr>
                <w:sz w:val="10"/>
                <w:szCs w:val="10"/>
                <w:color w:val="auto"/>
              </w:rPr>
            </w:pPr>
          </w:p>
        </w:tc>
        <w:tc>
          <w:tcPr>
            <w:tcW w:w="8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915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984</w:t>
            </w:r>
          </w:p>
        </w:tc>
        <w:tc>
          <w:tcPr>
            <w:tcW w:w="8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0.1%</w:t>
            </w:r>
          </w:p>
        </w:tc>
      </w:tr>
      <w:tr>
        <w:trPr>
          <w:trHeight w:val="94"/>
        </w:trPr>
        <w:tc>
          <w:tcPr>
            <w:tcW w:w="2520" w:type="dxa"/>
            <w:vAlign w:val="bottom"/>
          </w:tcPr>
          <w:p>
            <w:pPr>
              <w:ind w:left="20"/>
              <w:spacing w:after="0"/>
              <w:rPr>
                <w:sz w:val="20"/>
                <w:szCs w:val="20"/>
                <w:color w:val="auto"/>
              </w:rPr>
            </w:pPr>
            <w:r>
              <w:rPr>
                <w:rFonts w:ascii="Times New Roman" w:cs="Times New Roman" w:eastAsia="Times New Roman" w:hAnsi="Times New Roman"/>
                <w:sz w:val="7"/>
                <w:szCs w:val="7"/>
                <w:color w:val="auto"/>
              </w:rPr>
              <w:t>(4)(9)</w:t>
            </w:r>
          </w:p>
        </w:tc>
        <w:tc>
          <w:tcPr>
            <w:tcW w:w="2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38"/>
        </w:trPr>
        <w:tc>
          <w:tcPr>
            <w:tcW w:w="2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Park Avenue Institutional Advisers CLO Ltd, Series</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10/2031)</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9/23/2022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+ 3.59%</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8.91%</w:t>
            </w: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2018-1A</w:t>
            </w:r>
            <w:r>
              <w:rPr>
                <w:rFonts w:ascii="Times New Roman" w:cs="Times New Roman" w:eastAsia="Times New Roman" w:hAnsi="Times New Roman"/>
                <w:sz w:val="7"/>
                <w:szCs w:val="7"/>
                <w:color w:val="auto"/>
              </w:rPr>
              <w:t xml:space="preserve"> (3)(4)(9)</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Southwick Park CLO Ltd, Series 2019-4A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 7/2032)</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5/25/2022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+ 6.51%</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11.83%</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Voya CLO Ltd, Series 2018-3A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($2,750 par, due 10/2031)</w:t>
            </w:r>
          </w:p>
        </w:tc>
        <w:tc>
          <w:tcPr>
            <w:tcW w:w="10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6/22/2022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+ 6.01%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11.33%</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6"/>
        </w:trPr>
        <w:tc>
          <w:tcPr>
            <w:tcW w:w="252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Wind River CLO Ltd, Series 2014-2A </w:t>
            </w:r>
            <w:r>
              <w:rPr>
                <w:rFonts w:ascii="Times New Roman" w:cs="Times New Roman" w:eastAsia="Times New Roman" w:hAnsi="Times New Roman"/>
                <w:sz w:val="14"/>
                <w:szCs w:val="14"/>
                <w:color w:val="auto"/>
                <w:vertAlign w:val="superscript"/>
              </w:rPr>
              <w:t>(3)(4)(9)</w:t>
            </w:r>
          </w:p>
        </w:tc>
        <w:tc>
          <w:tcPr>
            <w:tcW w:w="2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 1/2031)</w:t>
            </w: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6/23/2022</w:t>
            </w:r>
          </w:p>
        </w:tc>
        <w:tc>
          <w:tcPr>
            <w:tcW w:w="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SOFR + 3.16%</w:t>
            </w: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8.48%</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2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Wind River CLO Ltd, Series 2018-3A </w:t>
            </w:r>
            <w:r>
              <w:rPr>
                <w:rFonts w:ascii="Times New Roman" w:cs="Times New Roman" w:eastAsia="Times New Roman" w:hAnsi="Times New Roman"/>
                <w:sz w:val="14"/>
                <w:szCs w:val="14"/>
                <w:color w:val="auto"/>
                <w:vertAlign w:val="superscript"/>
              </w:rPr>
              <w:t>(3)(4)(9)</w:t>
            </w:r>
          </w:p>
        </w:tc>
        <w:tc>
          <w:tcPr>
            <w:tcW w:w="2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 1/2031)</w:t>
            </w:r>
          </w:p>
        </w:tc>
        <w:tc>
          <w:tcPr>
            <w:tcW w:w="10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12/12/2022</w:t>
            </w:r>
          </w:p>
        </w:tc>
        <w:tc>
          <w:tcPr>
            <w:tcW w:w="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SOFR + 5.91%</w:t>
            </w:r>
          </w:p>
        </w:tc>
        <w:tc>
          <w:tcPr>
            <w:tcW w:w="8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11.23%</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2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30,591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and Other Investments</w:t>
            </w:r>
          </w:p>
        </w:tc>
        <w:tc>
          <w:tcPr>
            <w:tcW w:w="2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185,290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192,764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54"/>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3,359,652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3,380,009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213.7%</w:t>
            </w: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1" w:name="page12"/>
    <w:bookmarkEnd w:id="11"/>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0" w:type="dxa"/>
            <w:vAlign w:val="bottom"/>
            <w:gridSpan w:val="7"/>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Interest Rate Swaps as of March 31, 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8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8"/>
        </w:trPr>
        <w:tc>
          <w:tcPr>
            <w:tcW w:w="18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80" w:type="dxa"/>
            <w:vAlign w:val="bottom"/>
            <w:gridSpan w:val="2"/>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5"/>
                <w:szCs w:val="15"/>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208"/>
        </w:trPr>
        <w:tc>
          <w:tcPr>
            <w:tcW w:w="186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+ 2.54%</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4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11/1/2024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8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(a)(b)(c)(d)</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+ 2.51%</w:t>
            </w:r>
          </w:p>
        </w:tc>
        <w:tc>
          <w:tcPr>
            <w:tcW w:w="13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(6,966 )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80" w:type="dxa"/>
            <w:vAlign w:val="bottom"/>
          </w:tcPr>
          <w:p>
            <w:pPr>
              <w:spacing w:after="0"/>
              <w:rPr>
                <w:sz w:val="17"/>
                <w:szCs w:val="17"/>
                <w:color w:val="auto"/>
              </w:rPr>
            </w:pPr>
          </w:p>
        </w:tc>
      </w:tr>
      <w:tr>
        <w:trPr>
          <w:trHeight w:val="204"/>
        </w:trPr>
        <w:tc>
          <w:tcPr>
            <w:tcW w:w="18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(a)(b)(c)(d)</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+ 2.72%</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(1,224 )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FF0FC"/>
          </w:tcPr>
          <w:p>
            <w:pPr>
              <w:spacing w:after="0"/>
              <w:rPr>
                <w:sz w:val="17"/>
                <w:szCs w:val="17"/>
                <w:color w:val="auto"/>
              </w:rPr>
            </w:pPr>
          </w:p>
        </w:tc>
      </w:tr>
      <w:tr>
        <w:trPr>
          <w:trHeight w:val="204"/>
        </w:trPr>
        <w:tc>
          <w:tcPr>
            <w:tcW w:w="18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2.50%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+ 2.17%</w:t>
            </w: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(27,338 )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(1,227 )</w:t>
            </w:r>
          </w:p>
        </w:tc>
      </w:tr>
      <w:tr>
        <w:trPr>
          <w:trHeight w:val="204"/>
        </w:trPr>
        <w:tc>
          <w:tcPr>
            <w:tcW w:w="18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6.95%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+ 2.99%</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(1,534 )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(6,214 )</w:t>
            </w:r>
          </w:p>
        </w:tc>
      </w:tr>
      <w:tr>
        <w:trPr>
          <w:trHeight w:val="204"/>
        </w:trPr>
        <w:tc>
          <w:tcPr>
            <w:tcW w:w="18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6.125%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+ 2.44%</w:t>
            </w: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3/1/2029</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(5,143 )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(5,143 )</w:t>
            </w:r>
          </w:p>
        </w:tc>
      </w:tr>
      <w:tr>
        <w:trPr>
          <w:trHeight w:val="179"/>
        </w:trPr>
        <w:tc>
          <w:tcPr>
            <w:tcW w:w="18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Total Hedge Accounting</w:t>
            </w:r>
          </w:p>
        </w:tc>
        <w:tc>
          <w:tcPr>
            <w:tcW w:w="1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(42,205 )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(10,365 )</w:t>
            </w: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(10,365 </w:t>
            </w:r>
            <w:r>
              <w:rPr>
                <w:rFonts w:ascii="Times New Roman" w:cs="Times New Roman" w:eastAsia="Times New Roman" w:hAnsi="Times New Roman"/>
                <w:sz w:val="23"/>
                <w:szCs w:val="23"/>
                <w:color w:val="auto"/>
                <w:vertAlign w:val="subscript"/>
              </w:rPr>
              <w:t>)</w:t>
            </w: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(3)Investment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2024.</w:t>
      </w:r>
    </w:p>
    <w:p>
      <w:pPr>
        <w:spacing w:after="0" w:line="2"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11.3% of total assets as of March 31, 2024.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 w:name="page13"/>
    <w:bookmarkEnd w:id="12"/>
    <w:p>
      <w:pPr>
        <w:ind w:right="40"/>
        <w:spacing w:after="0"/>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 Transactions during the three months ended March 31, 2024 in which the Company was an Affiliated Person of and was deemed to Control a portfolio company are as follows: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Net Change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Value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 Unrealized</w:t>
            </w:r>
          </w:p>
        </w:tc>
        <w:tc>
          <w:tcPr>
            <w:tcW w:w="680" w:type="dxa"/>
            <w:vAlign w:val="bottom"/>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Other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0" w:type="dxa"/>
            <w:vAlign w:val="bottom"/>
          </w:tcPr>
          <w:p>
            <w:pPr>
              <w:spacing w:after="0"/>
              <w:rPr>
                <w:sz w:val="1"/>
                <w:szCs w:val="1"/>
                <w:color w:val="auto"/>
              </w:rPr>
            </w:pPr>
          </w:p>
        </w:tc>
      </w:tr>
      <w:tr>
        <w:trPr>
          <w:trHeight w:val="166"/>
        </w:trPr>
        <w:tc>
          <w:tcPr>
            <w:tcW w:w="192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Additions (a)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Reductions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Transfers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58"/>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59,913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(2,381 )</w:t>
            </w:r>
          </w:p>
        </w:tc>
        <w:tc>
          <w:tcPr>
            <w:tcW w:w="680" w:type="dxa"/>
            <w:vAlign w:val="bottom"/>
            <w:shd w:val="clear" w:color="auto" w:fill="CFF0FC"/>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60,012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59,913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2,480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(2,381 </w:t>
            </w:r>
            <w:r>
              <w:rPr>
                <w:rFonts w:ascii="Times New Roman" w:cs="Times New Roman" w:eastAsia="Times New Roman" w:hAnsi="Times New Roman"/>
                <w:sz w:val="15"/>
                <w:szCs w:val="15"/>
                <w:b w:val="1"/>
                <w:bCs w:val="1"/>
                <w:color w:val="auto"/>
                <w:vertAlign w:val="subscript"/>
              </w:rPr>
              <w:t>)</w:t>
            </w:r>
          </w:p>
        </w:tc>
        <w:tc>
          <w:tcPr>
            <w:tcW w:w="68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82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60,012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480" w:right="18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12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5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(7)As of March 31, 2024, the estimated cost basis of investments for U.S. federal tax purposes was $3,365,588, resulting in estimated gross unrealized gains and losses of $170,747 and $154,360, respectively.</w:t>
      </w:r>
    </w:p>
    <w:p>
      <w:pPr>
        <w:spacing w:after="0" w:line="1"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4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March 31, 2024, the aggregate fair value of these securities is $15,994, or 1.0%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March 31, 2024.</w:t>
      </w:r>
    </w:p>
    <w:p>
      <w:pPr>
        <w:ind w:right="32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$12.3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61" w:right="6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2023</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20"/>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8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0"/>
        </w:trPr>
        <w:tc>
          <w:tcPr>
            <w:tcW w:w="15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8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240" w:type="dxa"/>
            <w:vAlign w:val="bottom"/>
          </w:tcPr>
          <w:p>
            <w:pPr>
              <w:spacing w:after="0"/>
              <w:rPr>
                <w:sz w:val="10"/>
                <w:szCs w:val="10"/>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134"/>
        </w:trPr>
        <w:tc>
          <w:tcPr>
            <w:tcW w:w="1580" w:type="dxa"/>
            <w:vAlign w:val="bottom"/>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600" w:type="dxa"/>
            <w:vAlign w:val="bottom"/>
          </w:tcPr>
          <w:p>
            <w:pPr>
              <w:ind w:left="11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98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11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000" w:type="dxa"/>
            <w:vAlign w:val="bottom"/>
          </w:tcPr>
          <w:p>
            <w:pPr>
              <w:jc w:val="right"/>
              <w:ind w:right="392"/>
              <w:spacing w:after="0" w:line="133"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5"/>
                <w:szCs w:val="5"/>
                <w:b w:val="1"/>
                <w:bCs w:val="1"/>
                <w:color w:val="auto"/>
              </w:rPr>
              <w:t xml:space="preserve"> (2)(7)</w:t>
            </w:r>
          </w:p>
        </w:tc>
        <w:tc>
          <w:tcPr>
            <w:tcW w:w="240" w:type="dxa"/>
            <w:vAlign w:val="bottom"/>
          </w:tcPr>
          <w:p>
            <w:pPr>
              <w:spacing w:after="0"/>
              <w:rPr>
                <w:sz w:val="11"/>
                <w:szCs w:val="11"/>
                <w:color w:val="auto"/>
              </w:rPr>
            </w:pPr>
          </w:p>
        </w:tc>
        <w:tc>
          <w:tcPr>
            <w:tcW w:w="860" w:type="dxa"/>
            <w:vAlign w:val="bottom"/>
          </w:tcPr>
          <w:p>
            <w:pPr>
              <w:jc w:val="right"/>
              <w:ind w:right="21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(8)</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Debt Investments</w:t>
            </w: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0"/>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Automotive</w:t>
            </w: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Bestpass, Inc.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($44,800 par, due 5/2029)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5/26/2023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+ 5.75%</w:t>
            </w:r>
          </w:p>
        </w:tc>
        <w:tc>
          <w:tcPr>
            <w:tcW w:w="12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11.11 %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43,571</w:t>
            </w:r>
          </w:p>
        </w:tc>
        <w:tc>
          <w:tcPr>
            <w:tcW w:w="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44,240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3.0 %</w:t>
            </w:r>
          </w:p>
        </w:tc>
      </w:tr>
      <w:tr>
        <w:trPr>
          <w:trHeight w:val="140"/>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7"/>
        </w:trPr>
        <w:tc>
          <w:tcPr>
            <w:tcW w:w="158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Acceo Solutions, Inc. </w:t>
            </w:r>
            <w:r>
              <w:rPr>
                <w:rFonts w:ascii="Times New Roman" w:cs="Times New Roman" w:eastAsia="Times New Roman" w:hAnsi="Times New Roman"/>
                <w:sz w:val="12"/>
                <w:szCs w:val="12"/>
                <w:color w:val="auto"/>
                <w:vertAlign w:val="superscript"/>
              </w:rPr>
              <w:t>(3)(4)(5)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(CAD 52,941 par, due 10/2025)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7/6/2018</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C + 4.75%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10.21 %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40,026</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40,150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(CAD 52,941)</w:t>
            </w:r>
          </w:p>
        </w:tc>
        <w:tc>
          <w:tcPr>
            <w:tcW w:w="940" w:type="dxa"/>
            <w:vAlign w:val="bottom"/>
            <w:shd w:val="clear" w:color="auto" w:fill="CFF0FC"/>
          </w:tcPr>
          <w:p>
            <w:pPr>
              <w:spacing w:after="0"/>
              <w:rPr>
                <w:sz w:val="11"/>
                <w:szCs w:val="11"/>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Alpha Midco, Inc. </w:t>
            </w:r>
            <w:r>
              <w:rPr>
                <w:rFonts w:ascii="Times New Roman" w:cs="Times New Roman" w:eastAsia="Times New Roman" w:hAnsi="Times New Roman"/>
                <w:sz w:val="12"/>
                <w:szCs w:val="12"/>
                <w:color w:val="auto"/>
                <w:vertAlign w:val="superscript"/>
              </w:rPr>
              <w:t>(3)(5)</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($68,885 par, due 8/2025)</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8/15/2019</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+ 7.63%</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12.97 %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68,287</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69,751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Artisan Bidco, Inc.</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($38,112 par, due 11/2029)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11/7/2023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12.38 %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37,250</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37,563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33"/>
        </w:trPr>
        <w:tc>
          <w:tcPr>
            <w:tcW w:w="1580" w:type="dxa"/>
            <w:vAlign w:val="bottom"/>
          </w:tcPr>
          <w:p>
            <w:pPr>
              <w:spacing w:after="0"/>
              <w:rPr>
                <w:sz w:val="11"/>
                <w:szCs w:val="11"/>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(EUR 17,735 par, due 11/2029)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+ 7.00%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10.96 %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18,681</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19,346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(EUR 17,513)</w:t>
            </w:r>
          </w:p>
        </w:tc>
        <w:tc>
          <w:tcPr>
            <w:tcW w:w="940" w:type="dxa"/>
            <w:vAlign w:val="bottom"/>
          </w:tcPr>
          <w:p>
            <w:pPr>
              <w:spacing w:after="0"/>
              <w:rPr>
                <w:sz w:val="11"/>
                <w:szCs w:val="11"/>
                <w:color w:val="auto"/>
              </w:rPr>
            </w:pPr>
          </w:p>
        </w:tc>
      </w:tr>
      <w:tr>
        <w:trPr>
          <w:trHeight w:val="137"/>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BCTO Ignition Purchaser,</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holdco loan ($31,935 par, due 10/2030)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4/18/2023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+ 9.00%</w:t>
            </w: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14.40% PIK</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31,086</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31,775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2.1 %</w:t>
            </w:r>
          </w:p>
        </w:tc>
      </w:tr>
      <w:tr>
        <w:trPr>
          <w:trHeight w:val="132"/>
        </w:trPr>
        <w:tc>
          <w:tcPr>
            <w:tcW w:w="15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Inc. </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Crewline Buyer, Inc.</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($56,324 par, due 11/2030)</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+ 6.75%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12.10 %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54,781</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55,236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33"/>
        </w:trPr>
        <w:tc>
          <w:tcPr>
            <w:tcW w:w="15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Corp. </w:t>
            </w:r>
            <w:r>
              <w:rPr>
                <w:rFonts w:ascii="Times New Roman" w:cs="Times New Roman" w:eastAsia="Times New Roman" w:hAnsi="Times New Roman"/>
                <w:sz w:val="12"/>
                <w:szCs w:val="12"/>
                <w:color w:val="auto"/>
                <w:vertAlign w:val="superscript"/>
              </w:rPr>
              <w:t>(3)(4)</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(CAD 37,874 par, due 12/2027)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12/3/2021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C + 5.75%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28,873</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28,938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(CAD 38,158)</w:t>
            </w:r>
          </w:p>
        </w:tc>
        <w:tc>
          <w:tcPr>
            <w:tcW w:w="940" w:type="dxa"/>
            <w:vAlign w:val="bottom"/>
            <w:shd w:val="clear" w:color="auto" w:fill="CFF0FC"/>
          </w:tcPr>
          <w:p>
            <w:pPr>
              <w:spacing w:after="0"/>
              <w:rPr>
                <w:sz w:val="11"/>
                <w:szCs w:val="11"/>
                <w:color w:val="auto"/>
              </w:rPr>
            </w:pPr>
          </w:p>
        </w:tc>
      </w:tr>
      <w:tr>
        <w:trPr>
          <w:trHeight w:val="133"/>
        </w:trPr>
        <w:tc>
          <w:tcPr>
            <w:tcW w:w="1580" w:type="dxa"/>
            <w:vAlign w:val="bottom"/>
          </w:tcPr>
          <w:p>
            <w:pPr>
              <w:spacing w:after="0"/>
              <w:rPr>
                <w:sz w:val="11"/>
                <w:szCs w:val="11"/>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revolving loan (CAD 1,086 par, due 12/2026)</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12/3/2021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C + 5.75%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693</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(CAD 1,086)</w:t>
            </w:r>
          </w:p>
        </w:tc>
        <w:tc>
          <w:tcPr>
            <w:tcW w:w="940" w:type="dxa"/>
            <w:vAlign w:val="bottom"/>
          </w:tcPr>
          <w:p>
            <w:pPr>
              <w:spacing w:after="0"/>
              <w:rPr>
                <w:sz w:val="11"/>
                <w:szCs w:val="11"/>
                <w:color w:val="auto"/>
              </w:rPr>
            </w:pP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ExtraHop Networks, Inc.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($66,197 par, due 7/2027)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7/22/2021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+ 7.60%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12.96 %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65,245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65,866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4.4 %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ForeScout Technologies, Inc.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($5,476 par, due 8/2026)</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7/1/2022</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+ 8.10%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13.45 %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5,420</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5,498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Galileo Parent, Inc. </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($64,742 par, due 5/2030)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12.60 %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62,920</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63,770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40"/>
        </w:trPr>
        <w:tc>
          <w:tcPr>
            <w:tcW w:w="15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revolving loan ($3,317 par, due 5/2029)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12.60 %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3,048</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3,166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37"/>
        </w:trPr>
        <w:tc>
          <w:tcPr>
            <w:tcW w:w="158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Hornetsecurity Holding GmbH </w:t>
            </w:r>
            <w:r>
              <w:rPr>
                <w:rFonts w:ascii="Times New Roman" w:cs="Times New Roman" w:eastAsia="Times New Roman" w:hAnsi="Times New Roman"/>
                <w:sz w:val="12"/>
                <w:szCs w:val="12"/>
                <w:color w:val="auto"/>
                <w:vertAlign w:val="superscript"/>
              </w:rPr>
              <w:t>(3)(4)</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(EUR 3,150 par, due 11/2029)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11/14/2022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+ 6.50%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10.50 %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3,154</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3,536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3,201)</w:t>
            </w:r>
          </w:p>
        </w:tc>
        <w:tc>
          <w:tcPr>
            <w:tcW w:w="940" w:type="dxa"/>
            <w:vAlign w:val="bottom"/>
            <w:shd w:val="clear" w:color="auto" w:fill="CFF0FC"/>
          </w:tcPr>
          <w:p>
            <w:pPr>
              <w:spacing w:after="0"/>
              <w:rPr>
                <w:sz w:val="11"/>
                <w:szCs w:val="11"/>
                <w:color w:val="auto"/>
              </w:rPr>
            </w:pPr>
          </w:p>
        </w:tc>
      </w:tr>
      <w:tr>
        <w:trPr>
          <w:trHeight w:val="133"/>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Clearinghouse, LLC and</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($17,640 par, due 12/2026)</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12/20/2021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+ 6.65%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12.02 %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17,342</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17,598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r>
      <w:tr>
        <w:trPr>
          <w:trHeight w:val="132"/>
        </w:trPr>
        <w:tc>
          <w:tcPr>
            <w:tcW w:w="158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MS Market Service, LLC </w:t>
            </w:r>
            <w:r>
              <w:rPr>
                <w:rFonts w:ascii="Times New Roman" w:cs="Times New Roman" w:eastAsia="Times New Roman" w:hAnsi="Times New Roman"/>
                <w:sz w:val="12"/>
                <w:szCs w:val="12"/>
                <w:color w:val="auto"/>
                <w:vertAlign w:val="superscript"/>
              </w:rPr>
              <w:t>(3)(5)</w:t>
            </w: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97"/>
              </w:rPr>
              <w:t xml:space="preserve">Mitnick Corporate Purchaser, Inc. </w:t>
            </w:r>
            <w:r>
              <w:rPr>
                <w:rFonts w:ascii="Times New Roman" w:cs="Times New Roman" w:eastAsia="Times New Roman" w:hAnsi="Times New Roman"/>
                <w:sz w:val="12"/>
                <w:szCs w:val="12"/>
                <w:color w:val="auto"/>
                <w:w w:val="97"/>
                <w:vertAlign w:val="superscript"/>
              </w:rPr>
              <w:t>(3)(9)</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($329 par, due 5/2029)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+ 4.50%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9.98 %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329</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Netwrix Corp.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($36,594 par, due 6/2029)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6/9/2022</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+ 5.00%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10.39 %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36,074</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36,842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2.4 %</w:t>
            </w:r>
          </w:p>
        </w:tc>
      </w:tr>
      <w:tr>
        <w:trPr>
          <w:trHeight w:val="133"/>
        </w:trPr>
        <w:tc>
          <w:tcPr>
            <w:tcW w:w="15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OutSystems Luxco SARL</w:t>
            </w:r>
            <w:r>
              <w:rPr>
                <w:rFonts w:ascii="Times New Roman" w:cs="Times New Roman" w:eastAsia="Times New Roman" w:hAnsi="Times New Roman"/>
                <w:sz w:val="12"/>
                <w:szCs w:val="12"/>
                <w:color w:val="auto"/>
                <w:vertAlign w:val="superscript"/>
              </w:rPr>
              <w:t>(3)(4)(5)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(EUR 3,004 par, due 12/2028)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12/8/2022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+ 5.75%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9.59 %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3,091</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3,332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3,016)</w:t>
            </w:r>
          </w:p>
        </w:tc>
        <w:tc>
          <w:tcPr>
            <w:tcW w:w="940" w:type="dxa"/>
            <w:vAlign w:val="bottom"/>
            <w:shd w:val="clear" w:color="auto" w:fill="CFF0FC"/>
          </w:tcPr>
          <w:p>
            <w:pPr>
              <w:spacing w:after="0"/>
              <w:rPr>
                <w:sz w:val="11"/>
                <w:szCs w:val="11"/>
                <w:color w:val="auto"/>
              </w:rPr>
            </w:pPr>
          </w:p>
        </w:tc>
      </w:tr>
      <w:tr>
        <w:trPr>
          <w:trHeight w:val="133"/>
        </w:trPr>
        <w:tc>
          <w:tcPr>
            <w:tcW w:w="158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Price Fx Inc. </w:t>
            </w:r>
            <w:r>
              <w:rPr>
                <w:rFonts w:ascii="Times New Roman" w:cs="Times New Roman" w:eastAsia="Times New Roman" w:hAnsi="Times New Roman"/>
                <w:sz w:val="12"/>
                <w:szCs w:val="12"/>
                <w:color w:val="auto"/>
                <w:vertAlign w:val="superscript"/>
              </w:rPr>
              <w:t>(3)(4)</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(EUR 910 par, due 10/2029)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+ 7.00%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962</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(EUR 890)</w:t>
            </w:r>
          </w:p>
        </w:tc>
        <w:tc>
          <w:tcPr>
            <w:tcW w:w="940" w:type="dxa"/>
            <w:vAlign w:val="bottom"/>
          </w:tcPr>
          <w:p>
            <w:pPr>
              <w:spacing w:after="0"/>
              <w:rPr>
                <w:sz w:val="11"/>
                <w:szCs w:val="11"/>
                <w:color w:val="auto"/>
              </w:rPr>
            </w:pP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ReliaQuest Holdings, LLC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($82,626 par, due 10/2026)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10/8/2020</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12.63 %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81,711</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83,658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Wrangler TopCo, LLC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($4,153 par, due 7/2029)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12.88 %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4,044</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4,118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44"/>
        </w:trPr>
        <w:tc>
          <w:tcPr>
            <w:tcW w:w="158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563,017</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572,260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38.3 %</w:t>
            </w:r>
          </w:p>
        </w:tc>
      </w:tr>
      <w:tr>
        <w:trPr>
          <w:trHeight w:val="140"/>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Chemicals</w:t>
            </w: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7"/>
        </w:trPr>
        <w:tc>
          <w:tcPr>
            <w:tcW w:w="158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Erling Lux Bidco SARL</w:t>
            </w:r>
            <w:r>
              <w:rPr>
                <w:rFonts w:ascii="Times New Roman" w:cs="Times New Roman" w:eastAsia="Times New Roman" w:hAnsi="Times New Roman"/>
                <w:sz w:val="12"/>
                <w:szCs w:val="12"/>
                <w:color w:val="auto"/>
                <w:vertAlign w:val="superscript"/>
              </w:rPr>
              <w:t>(3)(4)</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(EUR 7,239 par, due 9/2028)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+ 6.75%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10.70 %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6,954</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8,053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0.5 %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7,290)</w:t>
            </w:r>
          </w:p>
        </w:tc>
        <w:tc>
          <w:tcPr>
            <w:tcW w:w="940" w:type="dxa"/>
            <w:vAlign w:val="bottom"/>
            <w:shd w:val="clear" w:color="auto" w:fill="CFF0FC"/>
          </w:tcPr>
          <w:p>
            <w:pPr>
              <w:spacing w:after="0"/>
              <w:rPr>
                <w:sz w:val="11"/>
                <w:szCs w:val="11"/>
                <w:color w:val="auto"/>
              </w:rPr>
            </w:pPr>
          </w:p>
        </w:tc>
      </w:tr>
      <w:tr>
        <w:trPr>
          <w:trHeight w:val="133"/>
        </w:trPr>
        <w:tc>
          <w:tcPr>
            <w:tcW w:w="1580" w:type="dxa"/>
            <w:vAlign w:val="bottom"/>
          </w:tcPr>
          <w:p>
            <w:pPr>
              <w:spacing w:after="0"/>
              <w:rPr>
                <w:sz w:val="11"/>
                <w:szCs w:val="11"/>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(GBP 12,287 par, due 9/2028)</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9/6/2022</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 + 6.75%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11.98 %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13,860</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15,742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(GBP 12,349)</w:t>
            </w:r>
          </w:p>
        </w:tc>
        <w:tc>
          <w:tcPr>
            <w:tcW w:w="940" w:type="dxa"/>
            <w:vAlign w:val="bottom"/>
          </w:tcPr>
          <w:p>
            <w:pPr>
              <w:spacing w:after="0"/>
              <w:rPr>
                <w:sz w:val="11"/>
                <w:szCs w:val="11"/>
                <w:color w:val="auto"/>
              </w:rPr>
            </w:pPr>
          </w:p>
        </w:tc>
      </w:tr>
      <w:tr>
        <w:trPr>
          <w:trHeight w:val="137"/>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revolving loan (GBP 312 par, due 9/2028)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 + 6.75%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11.98 %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399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(GBP 313)</w:t>
            </w:r>
          </w:p>
        </w:tc>
        <w:tc>
          <w:tcPr>
            <w:tcW w:w="940" w:type="dxa"/>
            <w:vAlign w:val="bottom"/>
            <w:shd w:val="clear" w:color="auto" w:fill="CFF0FC"/>
          </w:tcPr>
          <w:p>
            <w:pPr>
              <w:spacing w:after="0"/>
              <w:rPr>
                <w:sz w:val="11"/>
                <w:szCs w:val="11"/>
                <w:color w:val="auto"/>
              </w:rPr>
            </w:pPr>
          </w:p>
        </w:tc>
      </w:tr>
      <w:tr>
        <w:trPr>
          <w:trHeight w:val="136"/>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21,214</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24,194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1.6 %</w:t>
            </w:r>
          </w:p>
        </w:tc>
      </w:tr>
      <w:tr>
        <w:trPr>
          <w:trHeight w:val="44"/>
        </w:trPr>
        <w:tc>
          <w:tcPr>
            <w:tcW w:w="15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Banyan Software Holdings, LLC </w:t>
            </w:r>
            <w:r>
              <w:rPr>
                <w:rFonts w:ascii="Times New Roman" w:cs="Times New Roman" w:eastAsia="Times New Roman" w:hAnsi="Times New Roman"/>
                <w:sz w:val="12"/>
                <w:szCs w:val="12"/>
                <w:color w:val="auto"/>
                <w:vertAlign w:val="superscript"/>
              </w:rPr>
              <w:t>(3)(4)</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($29,739 par, due 10/2026)</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+ 7.35%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12.71 %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28,771</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29,739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($34,038 par, due 11/2026)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11/19/2021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11.71 %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33,357</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34,038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IntelePeer Holdings, Inc.</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 xml:space="preserve">First-lien loan ($33,646 par, due 12/2024) </w:t>
            </w:r>
            <w:r>
              <w:rPr>
                <w:rFonts w:ascii="Times New Roman" w:cs="Times New Roman" w:eastAsia="Times New Roman" w:hAnsi="Times New Roman"/>
                <w:sz w:val="12"/>
                <w:szCs w:val="12"/>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12/2/2019</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+ 8.40%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13.75 %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33,625</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33,394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44"/>
        </w:trPr>
        <w:tc>
          <w:tcPr>
            <w:tcW w:w="1580" w:type="dxa"/>
            <w:vAlign w:val="bottom"/>
            <w:shd w:val="clear" w:color="auto" w:fill="CFF0FC"/>
          </w:tcPr>
          <w:p>
            <w:pPr>
              <w:spacing w:after="0"/>
              <w:rPr>
                <w:sz w:val="12"/>
                <w:szCs w:val="12"/>
                <w:color w:val="auto"/>
              </w:rPr>
            </w:pP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Convertible note ($4,700 par, due 5/2028)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5/12/2021</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7.50 %</w:t>
            </w: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7.50% PIK</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4,674</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4,994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40"/>
        </w:trPr>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100,427</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102,165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6.8 %</w:t>
            </w: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Astra Acquisition Corp.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Second-lien loan ($43,479 par, due 10/2029)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10/22/2021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+ 9.14%</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14.48 %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42,814</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27,174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r>
      <w:tr>
        <w:trPr>
          <w:trHeight w:val="133"/>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Destiny Solutions Parent Holding</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($59,550 par, due 6/2026)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+ 5.85%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11.21 %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58,858</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59,252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4.0 %</w:t>
            </w:r>
          </w:p>
        </w:tc>
      </w:tr>
      <w:tr>
        <w:trPr>
          <w:trHeight w:val="132"/>
        </w:trPr>
        <w:tc>
          <w:tcPr>
            <w:tcW w:w="15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Company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($56,216 par, due 12/2027)</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12/22/2021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11.71 %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55,288</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55,079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Kangaroo Bidco AS </w:t>
            </w:r>
            <w:r>
              <w:rPr>
                <w:rFonts w:ascii="Times New Roman" w:cs="Times New Roman" w:eastAsia="Times New Roman" w:hAnsi="Times New Roman"/>
                <w:sz w:val="12"/>
                <w:szCs w:val="12"/>
                <w:color w:val="auto"/>
                <w:vertAlign w:val="superscript"/>
              </w:rPr>
              <w:t>(3)(4)</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($25,582 par, due 11/2030)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11/2/2023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12.94 %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24,621</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24,794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40"/>
        </w:trPr>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181,581</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166,299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11.2 %</w:t>
            </w: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33"/>
        </w:trPr>
        <w:tc>
          <w:tcPr>
            <w:tcW w:w="158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2"/>
                <w:szCs w:val="12"/>
                <w:color w:val="auto"/>
                <w:vertAlign w:val="superscript"/>
              </w:rPr>
              <w:t>(3)(4)</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(EUR 727 par, due 5/2030)</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+ 6.25%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10.39 %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755</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(EUR 720)</w:t>
            </w:r>
          </w:p>
        </w:tc>
        <w:tc>
          <w:tcPr>
            <w:tcW w:w="940" w:type="dxa"/>
            <w:vAlign w:val="bottom"/>
          </w:tcPr>
          <w:p>
            <w:pPr>
              <w:spacing w:after="0"/>
              <w:rPr>
                <w:sz w:val="11"/>
                <w:szCs w:val="11"/>
                <w:color w:val="auto"/>
              </w:rPr>
            </w:pPr>
          </w:p>
        </w:tc>
      </w:tr>
      <w:tr>
        <w:trPr>
          <w:trHeight w:val="137"/>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BCTO Bluebill Buyer,</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($28,640 par, due 7/2029)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7/20/2023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12.60 %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27,635</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27,996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32"/>
        </w:trPr>
        <w:tc>
          <w:tcPr>
            <w:tcW w:w="15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Inc.</w:t>
            </w:r>
            <w:r>
              <w:rPr>
                <w:rFonts w:ascii="Times New Roman" w:cs="Times New Roman" w:eastAsia="Times New Roman" w:hAnsi="Times New Roman"/>
                <w:sz w:val="5"/>
                <w:szCs w:val="5"/>
                <w:color w:val="auto"/>
              </w:rPr>
              <w:t xml:space="preserve"> (3)(5)</w:t>
            </w: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BTRS Holdings, Inc.</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($47,051 par, due 12/2028)</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12/16/2022</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+ 8.00%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13.38 %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45,931</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47,168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44"/>
        </w:trPr>
        <w:tc>
          <w:tcPr>
            <w:tcW w:w="1580" w:type="dxa"/>
            <w:vAlign w:val="bottom"/>
            <w:shd w:val="clear" w:color="auto" w:fill="CFF0FC"/>
          </w:tcPr>
          <w:p>
            <w:pPr>
              <w:spacing w:after="0"/>
              <w:rPr>
                <w:sz w:val="12"/>
                <w:szCs w:val="12"/>
                <w:color w:val="auto"/>
              </w:rPr>
            </w:pP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revolving loan ($1,205 par, due 12/2028)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12/16/2022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12.63 %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1,085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1,217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Bear OpCo, LLC </w:t>
            </w:r>
            <w:r>
              <w:rPr>
                <w:rFonts w:ascii="Times New Roman" w:cs="Times New Roman" w:eastAsia="Times New Roman" w:hAnsi="Times New Roman"/>
                <w:sz w:val="12"/>
                <w:szCs w:val="12"/>
                <w:color w:val="auto"/>
                <w:vertAlign w:val="superscript"/>
              </w:rPr>
              <w:t>(3)(5)</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($21,392 par, due 10/2024)</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10/10/2019</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+ 7.65%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13.01 %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21,294</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21,713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BlueSnap, Inc.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($41,895 par, due 10/2025)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10/25/2019</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+ 7.15%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12.50 %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41,516</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42,117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CLGF Holdco 2, LLC</w:t>
            </w:r>
            <w:r>
              <w:rPr>
                <w:rFonts w:ascii="Times New Roman" w:cs="Times New Roman" w:eastAsia="Times New Roman" w:hAnsi="Times New Roman"/>
                <w:sz w:val="12"/>
                <w:szCs w:val="12"/>
                <w:color w:val="auto"/>
                <w:vertAlign w:val="superscript"/>
              </w:rPr>
              <w:t>(3)(4)</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($3,916 par, due 11/2027)</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+ 8.50%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13.85 %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3,845</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3,867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44"/>
        </w:trPr>
        <w:tc>
          <w:tcPr>
            <w:tcW w:w="1580" w:type="dxa"/>
            <w:vAlign w:val="bottom"/>
            <w:shd w:val="clear" w:color="auto" w:fill="CFF0FC"/>
          </w:tcPr>
          <w:p>
            <w:pPr>
              <w:spacing w:after="0"/>
              <w:rPr>
                <w:sz w:val="12"/>
                <w:szCs w:val="12"/>
                <w:color w:val="auto"/>
              </w:rPr>
            </w:pP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Second-lien loan ($3,357 par, due 11/2028)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11/7/2023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+ 12.00%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17.35 %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3,116</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3,164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Fullsteam Operations, LLC</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($29,663 par, due 11/2029)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+ 8.40%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13.78 %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28,611</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29,049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Ibis Intermediate Co.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($1,201 par, due 5/2027)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5/28/2021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+ 4.65%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10.04 %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1,066</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1,257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Ibis US Blocker Co.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($15,958 par, due 5/2028)</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5/28/2021</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+ 8.40%</w:t>
            </w: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rPr>
              <w:t>13.79% PIK</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15,743</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15,838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33"/>
        </w:trPr>
        <w:tc>
          <w:tcPr>
            <w:tcW w:w="15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Kyriba Corp. </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($35,634 par, due 4/2028)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12/21/2023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+ 8.50%</w:t>
            </w: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13.87% (incl.</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34,875</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34,871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8.50% PIK)</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33"/>
        </w:trPr>
        <w:tc>
          <w:tcPr>
            <w:tcW w:w="1580" w:type="dxa"/>
            <w:vAlign w:val="bottom"/>
          </w:tcPr>
          <w:p>
            <w:pPr>
              <w:spacing w:after="0"/>
              <w:rPr>
                <w:sz w:val="11"/>
                <w:szCs w:val="11"/>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(EUR 10,924 par, due 4/2028)</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12/21/2023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+ 8.50%</w:t>
            </w: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rPr>
              <w:t>12.42% (incl.</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11,766</w:t>
            </w:r>
          </w:p>
        </w:tc>
        <w:tc>
          <w:tcPr>
            <w:tcW w:w="240" w:type="dxa"/>
            <w:vAlign w:val="bottom"/>
          </w:tcPr>
          <w:p>
            <w:pPr>
              <w:spacing w:after="0"/>
              <w:rPr>
                <w:sz w:val="11"/>
                <w:szCs w:val="11"/>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11,825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r>
      <w:tr>
        <w:trPr>
          <w:trHeight w:val="128"/>
        </w:trPr>
        <w:tc>
          <w:tcPr>
            <w:tcW w:w="15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rPr>
              <w:t>8.50% PIK)</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(EUR 10,705)</w:t>
            </w:r>
          </w:p>
        </w:tc>
        <w:tc>
          <w:tcPr>
            <w:tcW w:w="940" w:type="dxa"/>
            <w:vAlign w:val="bottom"/>
          </w:tcPr>
          <w:p>
            <w:pPr>
              <w:spacing w:after="0"/>
              <w:rPr>
                <w:sz w:val="11"/>
                <w:szCs w:val="11"/>
                <w:color w:val="auto"/>
              </w:rPr>
            </w:pP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Passport Labs, Inc.</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 xml:space="preserve">First-lien loan ($24,603 par, due 4/2026) </w:t>
            </w:r>
            <w:r>
              <w:rPr>
                <w:rFonts w:ascii="Times New Roman" w:cs="Times New Roman" w:eastAsia="Times New Roman" w:hAnsi="Times New Roman"/>
                <w:sz w:val="12"/>
                <w:szCs w:val="12"/>
                <w:color w:val="auto"/>
                <w:vertAlign w:val="superscript"/>
              </w:rPr>
              <w:t>(3)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4/28/2021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+ 8.40%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13.75 %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24,444</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24,555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1.6 %</w:t>
            </w:r>
          </w:p>
        </w:tc>
      </w:tr>
      <w:tr>
        <w:trPr>
          <w:trHeight w:val="140"/>
        </w:trPr>
        <w:tc>
          <w:tcPr>
            <w:tcW w:w="15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Convertible Promissory Note A ($1,086 par, due 8/2026)</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3/2/2023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8.00 %</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1,086</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2,025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Ping Identity Holding Corp. </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($22,727 par, due 10/2029)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10/17/2022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12.36 %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22,183</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23,165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PrimeRevenue, Inc.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($9,007 par, due 12/2024)</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12/31/2018</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+ 7.10%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12.46 %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8,996</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9,083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($47,198 par, due 4/2027)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4/30/2021</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11.73 %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46,360</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47,080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3.1 %</w:t>
            </w:r>
          </w:p>
        </w:tc>
      </w:tr>
      <w:tr>
        <w:trPr>
          <w:trHeight w:val="140"/>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Volante Technologies, Inc.</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($2,604 par, due 9/2028)</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9/29/2023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16.50 %</w:t>
            </w: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rPr>
              <w:t>16.50% PIK</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2,578</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2,598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r>
      <w:tr>
        <w:trPr>
          <w:trHeight w:val="148"/>
        </w:trPr>
        <w:tc>
          <w:tcPr>
            <w:tcW w:w="158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342,885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349,384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23.4 %</w:t>
            </w:r>
          </w:p>
        </w:tc>
      </w:tr>
      <w:tr>
        <w:trPr>
          <w:trHeight w:val="140"/>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BCTO Ace Purchaser, Inc. </w:t>
            </w:r>
            <w:r>
              <w:rPr>
                <w:rFonts w:ascii="Times New Roman" w:cs="Times New Roman" w:eastAsia="Times New Roman" w:hAnsi="Times New Roman"/>
                <w:sz w:val="12"/>
                <w:szCs w:val="12"/>
                <w:color w:val="auto"/>
                <w:vertAlign w:val="superscript"/>
              </w:rPr>
              <w:t>(3)</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 xml:space="preserve">First-lien loan ($69,231 par, due 11/2027) </w:t>
            </w:r>
            <w:r>
              <w:rPr>
                <w:rFonts w:ascii="Times New Roman" w:cs="Times New Roman" w:eastAsia="Times New Roman" w:hAnsi="Times New Roman"/>
                <w:sz w:val="12"/>
                <w:szCs w:val="12"/>
                <w:color w:val="auto"/>
                <w:vertAlign w:val="superscript"/>
              </w:rPr>
              <w:t>(5)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11/23/2020</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+ 7.45%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12.84 %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68,325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69,746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0"/>
        </w:trPr>
        <w:tc>
          <w:tcPr>
            <w:tcW w:w="158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Second-lien loan ($5,623 par, due 1/2030)</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+ 10.70%</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16.10 %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5,493</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5,637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r>
      <w:tr>
        <w:trPr>
          <w:trHeight w:val="137"/>
        </w:trPr>
        <w:tc>
          <w:tcPr>
            <w:tcW w:w="158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Edge Bidco B.V. </w:t>
            </w:r>
            <w:r>
              <w:rPr>
                <w:rFonts w:ascii="Times New Roman" w:cs="Times New Roman" w:eastAsia="Times New Roman" w:hAnsi="Times New Roman"/>
                <w:sz w:val="12"/>
                <w:szCs w:val="12"/>
                <w:color w:val="auto"/>
                <w:vertAlign w:val="superscript"/>
              </w:rPr>
              <w:t>(3)(4)(5)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(EUR 3,850 par, due 2/2029)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2/24/2023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+ 7.00%</w:t>
            </w: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16.10% (incl.</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3,951</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4,266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r>
      <w:tr>
        <w:trPr>
          <w:trHeight w:val="132"/>
        </w:trPr>
        <w:tc>
          <w:tcPr>
            <w:tcW w:w="158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412"/>
              <w:spacing w:after="0"/>
              <w:rPr>
                <w:sz w:val="20"/>
                <w:szCs w:val="20"/>
                <w:color w:val="auto"/>
              </w:rPr>
            </w:pPr>
            <w:r>
              <w:rPr>
                <w:rFonts w:ascii="Times New Roman" w:cs="Times New Roman" w:eastAsia="Times New Roman" w:hAnsi="Times New Roman"/>
                <w:sz w:val="10"/>
                <w:szCs w:val="10"/>
                <w:color w:val="auto"/>
              </w:rPr>
              <w:t>3.25% PIK)</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3,862)</w:t>
            </w:r>
          </w:p>
        </w:tc>
        <w:tc>
          <w:tcPr>
            <w:tcW w:w="940" w:type="dxa"/>
            <w:vAlign w:val="bottom"/>
            <w:shd w:val="clear" w:color="auto" w:fill="CFF0FC"/>
          </w:tcPr>
          <w:p>
            <w:pPr>
              <w:spacing w:after="0"/>
              <w:rPr>
                <w:sz w:val="11"/>
                <w:szCs w:val="11"/>
                <w:color w:val="auto"/>
              </w:rPr>
            </w:pPr>
          </w:p>
        </w:tc>
      </w:tr>
      <w:tr>
        <w:trPr>
          <w:trHeight w:val="108"/>
        </w:trPr>
        <w:tc>
          <w:tcPr>
            <w:tcW w:w="158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8"/>
              </w:rPr>
              <w:t xml:space="preserve">Homecare Software Solutions, LLC </w:t>
            </w:r>
            <w:r>
              <w:rPr>
                <w:rFonts w:ascii="Times New Roman" w:cs="Times New Roman" w:eastAsia="Times New Roman" w:hAnsi="Times New Roman"/>
                <w:sz w:val="12"/>
                <w:szCs w:val="12"/>
                <w:color w:val="auto"/>
                <w:w w:val="98"/>
                <w:vertAlign w:val="superscript"/>
              </w:rPr>
              <w:t>(3)</w:t>
            </w:r>
          </w:p>
        </w:tc>
        <w:tc>
          <w:tcPr>
            <w:tcW w:w="260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First-lien loan ($65,000 par, due 10/2026)</w:t>
            </w: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10/6/2021</w:t>
            </w:r>
          </w:p>
        </w:tc>
        <w:tc>
          <w:tcPr>
            <w:tcW w:w="112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SOFR + 5.70%</w:t>
            </w:r>
          </w:p>
        </w:tc>
        <w:tc>
          <w:tcPr>
            <w:tcW w:w="1240" w:type="dxa"/>
            <w:vAlign w:val="bottom"/>
          </w:tcPr>
          <w:p>
            <w:pPr>
              <w:jc w:val="right"/>
              <w:ind w:right="312"/>
              <w:spacing w:after="0" w:line="108" w:lineRule="exact"/>
              <w:rPr>
                <w:sz w:val="20"/>
                <w:szCs w:val="20"/>
                <w:color w:val="auto"/>
              </w:rPr>
            </w:pPr>
            <w:r>
              <w:rPr>
                <w:rFonts w:ascii="Times New Roman" w:cs="Times New Roman" w:eastAsia="Times New Roman" w:hAnsi="Times New Roman"/>
                <w:sz w:val="10"/>
                <w:szCs w:val="10"/>
                <w:color w:val="auto"/>
              </w:rPr>
              <w:t>11.06 %</w:t>
            </w:r>
          </w:p>
        </w:tc>
        <w:tc>
          <w:tcPr>
            <w:tcW w:w="1000" w:type="dxa"/>
            <w:vAlign w:val="bottom"/>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64,017</w:t>
            </w:r>
          </w:p>
        </w:tc>
        <w:tc>
          <w:tcPr>
            <w:tcW w:w="240" w:type="dxa"/>
            <w:vAlign w:val="bottom"/>
          </w:tcPr>
          <w:p>
            <w:pPr>
              <w:spacing w:after="0"/>
              <w:rPr>
                <w:sz w:val="9"/>
                <w:szCs w:val="9"/>
                <w:color w:val="auto"/>
              </w:rPr>
            </w:pPr>
          </w:p>
        </w:tc>
        <w:tc>
          <w:tcPr>
            <w:tcW w:w="86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64,838</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4.3 %</w:t>
            </w:r>
          </w:p>
        </w:tc>
      </w:tr>
      <w:tr>
        <w:trPr>
          <w:trHeight w:val="77"/>
        </w:trPr>
        <w:tc>
          <w:tcPr>
            <w:tcW w:w="1580" w:type="dxa"/>
            <w:vAlign w:val="bottom"/>
          </w:tcPr>
          <w:p>
            <w:pPr>
              <w:ind w:left="20"/>
              <w:spacing w:after="0"/>
              <w:rPr>
                <w:sz w:val="20"/>
                <w:szCs w:val="20"/>
                <w:color w:val="auto"/>
              </w:rPr>
            </w:pPr>
            <w:r>
              <w:rPr>
                <w:rFonts w:ascii="Times New Roman" w:cs="Times New Roman" w:eastAsia="Times New Roman" w:hAnsi="Times New Roman"/>
                <w:sz w:val="6"/>
                <w:szCs w:val="6"/>
                <w:color w:val="auto"/>
              </w:rPr>
              <w:t>(5)</w:t>
            </w:r>
          </w:p>
        </w:tc>
        <w:tc>
          <w:tcPr>
            <w:tcW w:w="2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43"/>
        </w:trPr>
        <w:tc>
          <w:tcPr>
            <w:tcW w:w="15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Merative L.P.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($70,103 par, due 6/2028)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6/30/2022</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12.60 %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68,205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69,753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1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2"/>
                <w:szCs w:val="12"/>
                <w:color w:val="auto"/>
                <w:vertAlign w:val="superscript"/>
              </w:rPr>
              <w:t>(3)</w:t>
            </w:r>
          </w:p>
        </w:tc>
        <w:tc>
          <w:tcPr>
            <w:tcW w:w="2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First-lien loan ($15,569 par, due 3/2029)</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3/24/2023</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+ 6.75%</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12.10 %</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15,070</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15,491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44"/>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SL Buyer Corp. </w:t>
            </w:r>
            <w:r>
              <w:rPr>
                <w:rFonts w:ascii="Times New Roman" w:cs="Times New Roman" w:eastAsia="Times New Roman" w:hAnsi="Times New Roman"/>
                <w:sz w:val="12"/>
                <w:szCs w:val="12"/>
                <w:color w:val="auto"/>
                <w:vertAlign w:val="superscript"/>
              </w:rPr>
              <w:t>(3)(5)</w:t>
            </w: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First-lien loan ($31,475 par, due 7/2029)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7/7/2023</w:t>
            </w:r>
          </w:p>
        </w:tc>
        <w:tc>
          <w:tcPr>
            <w:tcW w:w="11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2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12.36 %</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30,139</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30,902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2.1 %</w:t>
            </w:r>
          </w:p>
        </w:tc>
      </w:tr>
      <w:tr>
        <w:trPr>
          <w:trHeight w:val="140"/>
        </w:trPr>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255,200</w:t>
            </w:r>
          </w:p>
        </w:tc>
        <w:tc>
          <w:tcPr>
            <w:tcW w:w="240" w:type="dxa"/>
            <w:vAlign w:val="bottom"/>
          </w:tcPr>
          <w:p>
            <w:pPr>
              <w:spacing w:after="0"/>
              <w:rPr>
                <w:sz w:val="12"/>
                <w:szCs w:val="12"/>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260,633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17.5 %</w:t>
            </w:r>
          </w:p>
        </w:tc>
      </w:tr>
      <w:tr>
        <w:trPr>
          <w:trHeight w:val="148"/>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6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203"/>
        </w:trPr>
        <w:tc>
          <w:tcPr>
            <w:tcW w:w="1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ind w:right="872"/>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61"/>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821"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20"/>
        </w:trPr>
        <w:tc>
          <w:tcPr>
            <w:tcW w:w="16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8"/>
              </w:rPr>
              <w:t>Rate and</w:t>
            </w:r>
          </w:p>
        </w:tc>
        <w:tc>
          <w:tcPr>
            <w:tcW w:w="1160" w:type="dxa"/>
            <w:vAlign w:val="bottom"/>
          </w:tcPr>
          <w:p>
            <w:pPr>
              <w:spacing w:after="0"/>
              <w:rPr>
                <w:sz w:val="10"/>
                <w:szCs w:val="10"/>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00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6"/>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520" w:type="dxa"/>
            <w:vAlign w:val="bottom"/>
          </w:tcPr>
          <w:p>
            <w:pPr>
              <w:ind w:left="110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1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180" w:type="dxa"/>
            <w:vAlign w:val="bottom"/>
          </w:tcPr>
          <w:p>
            <w:pPr>
              <w:jc w:val="right"/>
              <w:ind w:right="49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(2)(7)</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(8)</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132"/>
        </w:trPr>
        <w:tc>
          <w:tcPr>
            <w:tcW w:w="16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ASG II,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($61,609 par, due 5/2028)</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5/25/2022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+ 6.40%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11.77 %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60,383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61,934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(3)(6)</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($30,261 par, due 6/2024)</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12/21/2018</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+ 9.65%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15.00 %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28,594</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30,109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($27,622 par, due 6/2024)</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12/21/2018</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+ 9.65%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15.03 %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27,622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27,480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116,599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119,523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($41,607 par, due 5/2027)</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5/5/2021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+ 7.65%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13.04 %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41,035</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41,718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($44,358 par, due 11/2028)</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11/7/2022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+ 6.63%</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12.03 %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43,236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44,802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Elysian Finco Ltd.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($19,519 par, due 1/2028)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1/31/2021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+ 6.65%</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12.03% (incl.</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19,112</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19,987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6.50% PIK)</w:t>
            </w: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8"/>
              </w:rPr>
              <w:t xml:space="preserve">Employment Hero Holdings Pty Ltd. </w:t>
            </w:r>
            <w:r>
              <w:rPr>
                <w:rFonts w:ascii="Times New Roman" w:cs="Times New Roman" w:eastAsia="Times New Roman" w:hAnsi="Times New Roman"/>
                <w:sz w:val="12"/>
                <w:szCs w:val="12"/>
                <w:color w:val="auto"/>
                <w:w w:val="98"/>
                <w:vertAlign w:val="superscript"/>
              </w:rPr>
              <w:t>(3)</w:t>
            </w:r>
          </w:p>
        </w:tc>
        <w:tc>
          <w:tcPr>
            <w:tcW w:w="25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(AUD 50,000 par, due 12/2026)</w:t>
            </w:r>
          </w:p>
        </w:tc>
        <w:tc>
          <w:tcPr>
            <w:tcW w:w="112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12/6/2021</w:t>
            </w:r>
          </w:p>
        </w:tc>
        <w:tc>
          <w:tcPr>
            <w:tcW w:w="102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B + 6.25%</w:t>
            </w:r>
          </w:p>
        </w:tc>
        <w:tc>
          <w:tcPr>
            <w:tcW w:w="1160" w:type="dxa"/>
            <w:vAlign w:val="bottom"/>
          </w:tcPr>
          <w:p>
            <w:pPr>
              <w:jc w:val="right"/>
              <w:ind w:right="232"/>
              <w:spacing w:after="0" w:line="108" w:lineRule="exact"/>
              <w:rPr>
                <w:sz w:val="20"/>
                <w:szCs w:val="20"/>
                <w:color w:val="auto"/>
              </w:rPr>
            </w:pPr>
            <w:r>
              <w:rPr>
                <w:rFonts w:ascii="Times New Roman" w:cs="Times New Roman" w:eastAsia="Times New Roman" w:hAnsi="Times New Roman"/>
                <w:sz w:val="10"/>
                <w:szCs w:val="10"/>
                <w:color w:val="auto"/>
              </w:rPr>
              <w:t>10.67 %</w:t>
            </w:r>
          </w:p>
        </w:tc>
        <w:tc>
          <w:tcPr>
            <w:tcW w:w="1180" w:type="dxa"/>
            <w:vAlign w:val="bottom"/>
          </w:tcPr>
          <w:p>
            <w:pPr>
              <w:jc w:val="right"/>
              <w:ind w:right="172"/>
              <w:spacing w:after="0" w:line="108" w:lineRule="exact"/>
              <w:rPr>
                <w:sz w:val="20"/>
                <w:szCs w:val="20"/>
                <w:color w:val="auto"/>
              </w:rPr>
            </w:pPr>
            <w:r>
              <w:rPr>
                <w:rFonts w:ascii="Times New Roman" w:cs="Times New Roman" w:eastAsia="Times New Roman" w:hAnsi="Times New Roman"/>
                <w:sz w:val="10"/>
                <w:szCs w:val="10"/>
                <w:color w:val="auto"/>
              </w:rPr>
              <w:t>34,834</w:t>
            </w:r>
          </w:p>
        </w:tc>
        <w:tc>
          <w:tcPr>
            <w:tcW w:w="100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34,117</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77"/>
        </w:trPr>
        <w:tc>
          <w:tcPr>
            <w:tcW w:w="1620" w:type="dxa"/>
            <w:vAlign w:val="bottom"/>
          </w:tcPr>
          <w:p>
            <w:pPr>
              <w:ind w:left="20"/>
              <w:spacing w:after="0"/>
              <w:rPr>
                <w:sz w:val="20"/>
                <w:szCs w:val="20"/>
                <w:color w:val="auto"/>
              </w:rPr>
            </w:pPr>
            <w:r>
              <w:rPr>
                <w:rFonts w:ascii="Times New Roman" w:cs="Times New Roman" w:eastAsia="Times New Roman" w:hAnsi="Times New Roman"/>
                <w:sz w:val="6"/>
                <w:szCs w:val="6"/>
                <w:color w:val="auto"/>
              </w:rPr>
              <w:t>(4)</w:t>
            </w: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(AUD 50,000)</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HireVue, Inc.</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($54,113 par, due 5/2029)</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5/3/2023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12.63 %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52,478</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53,808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0" w:type="dxa"/>
            <w:vAlign w:val="bottom"/>
          </w:tcPr>
          <w:p>
            <w:pPr>
              <w:spacing w:after="0"/>
              <w:rPr>
                <w:sz w:val="1"/>
                <w:szCs w:val="1"/>
                <w:color w:val="auto"/>
              </w:rPr>
            </w:pP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Madcap Software, Inc.</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($32,500 par, due 12/2026)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12/15/2023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+ 6.10%</w:t>
            </w: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1"/>
                <w:szCs w:val="11"/>
                <w:color w:val="auto"/>
              </w:rPr>
              <w:t>11.46 %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31,713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31,769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PageUp People, Ltd. </w:t>
            </w:r>
            <w:r>
              <w:rPr>
                <w:rFonts w:ascii="Times New Roman" w:cs="Times New Roman" w:eastAsia="Times New Roman" w:hAnsi="Times New Roman"/>
                <w:sz w:val="12"/>
                <w:szCs w:val="12"/>
                <w:color w:val="auto"/>
                <w:vertAlign w:val="superscript"/>
              </w:rPr>
              <w:t>(3)(4)(5)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(AUD 13,400 par, due 12/2025)</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1/11/2018</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B + 5.00%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9.36 %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10,114</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9,143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(AUD 13,400)</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2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(GBP 3,104 par, due 12/2025)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10/28/2021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 + 5.03%</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10.22 %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4,276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3,957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(GBP 3,104)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($10,557 par, due 12/2025)</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10/28/2021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+ 5.10%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10.45 %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10,549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10,557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PayScale Holdings,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($71,196 par, due 5/2027)</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5/3/2019</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11.70 %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70,826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71,374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PrimePay Intermediate, LLC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($34,375 par, due 12/2026)</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12/17/2021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+ 7.15%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12.54 %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33,672</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34,375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351,845</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355,607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23.7 %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Disco Parent,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($4,545 par, due 3/2029)</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3/30/2023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12.89 %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4,436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4,533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Arrow Buyer,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($33,125 par, due 7/2030)</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6/30/2023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+ 6.50%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11.85 %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32,249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32,820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Bayshore Intermediate #2, L.P.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($36,629 par, due 10/2028)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10/1/2021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+ 7.60%</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12.96% PIK</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36,129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36,446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revolving loan ($480 par, due 10/2027)</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+ 6.60%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12.01 %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Coupa Holdings,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($43,191 par, due 2/2030)</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2/27/2023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12.86 %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42,135</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43,441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9"/>
              </w:rPr>
              <w:t>CrunchTime Information, Systems, Inc.</w:t>
            </w:r>
          </w:p>
        </w:tc>
        <w:tc>
          <w:tcPr>
            <w:tcW w:w="25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($59,500 par, due 6/2028)</w:t>
            </w:r>
          </w:p>
        </w:tc>
        <w:tc>
          <w:tcPr>
            <w:tcW w:w="112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6/17/2022</w:t>
            </w:r>
          </w:p>
        </w:tc>
        <w:tc>
          <w:tcPr>
            <w:tcW w:w="102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SOFR + 6.00%</w:t>
            </w:r>
          </w:p>
        </w:tc>
        <w:tc>
          <w:tcPr>
            <w:tcW w:w="1160" w:type="dxa"/>
            <w:vAlign w:val="bottom"/>
          </w:tcPr>
          <w:p>
            <w:pPr>
              <w:jc w:val="right"/>
              <w:ind w:right="232"/>
              <w:spacing w:after="0" w:line="108" w:lineRule="exact"/>
              <w:rPr>
                <w:sz w:val="20"/>
                <w:szCs w:val="20"/>
                <w:color w:val="auto"/>
              </w:rPr>
            </w:pPr>
            <w:r>
              <w:rPr>
                <w:rFonts w:ascii="Times New Roman" w:cs="Times New Roman" w:eastAsia="Times New Roman" w:hAnsi="Times New Roman"/>
                <w:sz w:val="10"/>
                <w:szCs w:val="10"/>
                <w:color w:val="auto"/>
              </w:rPr>
              <w:t>11.36 %</w:t>
            </w:r>
          </w:p>
        </w:tc>
        <w:tc>
          <w:tcPr>
            <w:tcW w:w="1180" w:type="dxa"/>
            <w:vAlign w:val="bottom"/>
          </w:tcPr>
          <w:p>
            <w:pPr>
              <w:jc w:val="right"/>
              <w:ind w:right="172"/>
              <w:spacing w:after="0" w:line="108" w:lineRule="exact"/>
              <w:rPr>
                <w:sz w:val="20"/>
                <w:szCs w:val="20"/>
                <w:color w:val="auto"/>
              </w:rPr>
            </w:pPr>
            <w:r>
              <w:rPr>
                <w:rFonts w:ascii="Times New Roman" w:cs="Times New Roman" w:eastAsia="Times New Roman" w:hAnsi="Times New Roman"/>
                <w:sz w:val="10"/>
                <w:szCs w:val="10"/>
                <w:color w:val="auto"/>
              </w:rPr>
              <w:t>58,477</w:t>
            </w:r>
          </w:p>
        </w:tc>
        <w:tc>
          <w:tcPr>
            <w:tcW w:w="100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59,947</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77"/>
        </w:trPr>
        <w:tc>
          <w:tcPr>
            <w:tcW w:w="1620" w:type="dxa"/>
            <w:vAlign w:val="bottom"/>
          </w:tcPr>
          <w:p>
            <w:pPr>
              <w:ind w:left="20"/>
              <w:spacing w:after="0"/>
              <w:rPr>
                <w:sz w:val="20"/>
                <w:szCs w:val="20"/>
                <w:color w:val="auto"/>
              </w:rPr>
            </w:pPr>
            <w:r>
              <w:rPr>
                <w:rFonts w:ascii="Times New Roman" w:cs="Times New Roman" w:eastAsia="Times New Roman" w:hAnsi="Times New Roman"/>
                <w:sz w:val="6"/>
                <w:szCs w:val="6"/>
                <w:color w:val="auto"/>
              </w:rPr>
              <w:t>(3)(5)</w:t>
            </w: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EDB Parent, LLC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($63,508 par, due 7/2028)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7/7/2022</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+ 6.75%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12.10 %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62,301</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63,032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Higher Logic,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($52,937 par, due 1/2025)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6/18/2018</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+ 6.75%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12.10 %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52,781</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53,069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LeanTaaS Holdings, Inc.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($36,966 par, due 7/2028)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7/12/2022</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12.85 %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36,190</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37,411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33"/>
        </w:trPr>
        <w:tc>
          <w:tcPr>
            <w:tcW w:w="1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Lithium Technologies,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($57,665 par, due 1/2025)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10/3/2017</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+ 9.00%</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14.39% (incl.</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57,673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56,367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4.50% PIK)</w:t>
            </w: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($8,912 par, due 2/2027)</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2/11/2022</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+ 7.50%</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12.86% (incl.</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8,912</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8,912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3.50% PIK)</w:t>
            </w: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($50,889 par, due 2/2026)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2/25/2021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+ 7.10%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12.45 %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50,282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50,508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98"/>
              </w:rPr>
              <w:t>SMA Technologies Holdings, LLC</w:t>
            </w:r>
            <w:r>
              <w:rPr>
                <w:rFonts w:ascii="Times New Roman" w:cs="Times New Roman" w:eastAsia="Times New Roman" w:hAnsi="Times New Roman"/>
                <w:sz w:val="12"/>
                <w:szCs w:val="12"/>
                <w:color w:val="auto"/>
                <w:w w:val="98"/>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($36,833 par, due 10/2028)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10/31/2022</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+ 6.75%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12.11 %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35,459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37,110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473,034</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479,531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Manufacturing</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ASP Unifrax Holdings, Inc. </w:t>
            </w:r>
            <w:r>
              <w:rPr>
                <w:rFonts w:ascii="Times New Roman" w:cs="Times New Roman" w:eastAsia="Times New Roman" w:hAnsi="Times New Roman"/>
                <w:sz w:val="12"/>
                <w:szCs w:val="12"/>
                <w:color w:val="auto"/>
                <w:vertAlign w:val="superscript"/>
              </w:rPr>
              <w:t>(9)</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 xml:space="preserve">First-lien loan ($1,130 par, due 12/2025) </w:t>
            </w:r>
            <w:r>
              <w:rPr>
                <w:rFonts w:ascii="Times New Roman" w:cs="Times New Roman" w:eastAsia="Times New Roman" w:hAnsi="Times New Roman"/>
                <w:sz w:val="12"/>
                <w:szCs w:val="12"/>
                <w:color w:val="auto"/>
                <w:vertAlign w:val="superscript"/>
              </w:rPr>
              <w:t>(3)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8/25/2023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+ 3.90%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9.25 %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1,053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0"/>
                <w:szCs w:val="10"/>
                <w:color w:val="auto"/>
              </w:rPr>
              <w:t xml:space="preserve">First-lien loan (EUR 1,023 par, due 12/2025) </w:t>
            </w:r>
            <w:r>
              <w:rPr>
                <w:rFonts w:ascii="Times New Roman" w:cs="Times New Roman" w:eastAsia="Times New Roman" w:hAnsi="Times New Roman"/>
                <w:sz w:val="12"/>
                <w:szCs w:val="12"/>
                <w:color w:val="auto"/>
                <w:vertAlign w:val="superscript"/>
              </w:rPr>
              <w:t>(3)</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9/14/2023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+ 3.75%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7.68 %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998</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1,030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932)</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Secured Note ($91 par, due 9/2028)</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12/19/2023</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5.25 %</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5.25 %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Unsecured Note ($1,059 par, due 9/2029)</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8/31/2023</w:t>
            </w:r>
          </w:p>
        </w:tc>
        <w:tc>
          <w:tcPr>
            <w:tcW w:w="10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7.50 %</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7.50 %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570</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540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Avalara, Inc.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($38,636 par, due 10/2028)</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10/19/2022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+ 7.25%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12.60 %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37,736</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38,743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Skylark UK DebtCo Limited </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($16,340 par, due 9/2030)</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9/7/2023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+ 6.25%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11.60 %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15,722</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15,812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33"/>
        </w:trPr>
        <w:tc>
          <w:tcPr>
            <w:tcW w:w="162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(EUR 4,851 par, due 9/2030)</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9/7/2023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E + 6.25%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10.18 %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5,055</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(EUR 4,742)</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(GBP 16,640 par, due 9/2030)</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9/7/2023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 + 6.25%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11.52 %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20,207</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20,735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(GBP 16,265)</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81,403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83,215</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Office Products</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USR Parent, Inc.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($17,000 par, due 4/2027)</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4/25/2022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+ 6.50%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11.84 %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16,703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16,914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Laramie Energy,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($27,317 par, due 2/2027)</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2/21/2023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+ 7.10%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12.46 %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26,768</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27,142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Mach Natural Resources LP</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($5,000 par, due 12/2026)</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12/28/2023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+ 6.65%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12.00 %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4,900</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($27,849 par, due 6/2026)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6/30/2022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+ 8.65%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14.00 %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27,453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28,267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($65,000 par, due 12/2025)</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12/3/2021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+ 7.76%</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13.11 %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64,372</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66,980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123,493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127,289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Omnigo Software,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($39,943 par, due 3/2026)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3/31/2021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+ 6.60%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11.96 %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39,440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39,743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99 Cents Only Stores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($25,000 par, due 5/2025)</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9/6/2017</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+ 8.65%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14.03 %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24,868</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25,000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(3)(14)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($27,046 par, due 9/2026)</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9/30/2015</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+ 6.35%</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11.19% PIK</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26,219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20,488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($1,352 par, due 9/2026)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6/10/2021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+ 14.10%</w:t>
            </w: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18.94% PIK</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1,352</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Subordinated note ($4,740 par, due 9/2026)</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3/16/2021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+ 1.15%</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6.54% PIK</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545</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2"/>
                <w:szCs w:val="12"/>
                <w:color w:val="auto"/>
                <w:vertAlign w:val="superscript"/>
              </w:rPr>
              <w:t>(3)(15)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ABL FILO term loan ($14,065 par, due 8/2027)</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9/2/2022</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+ 9.90%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15.26 %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13,787</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13,468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Roll Up DIP term loan ($25,931 par, due 9/2024)</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4/24/2023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+ 7.90%</w:t>
            </w: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13.26% (incl.</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25,931</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24,828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32"/>
              <w:spacing w:after="0"/>
              <w:rPr>
                <w:sz w:val="20"/>
                <w:szCs w:val="20"/>
                <w:color w:val="auto"/>
              </w:rPr>
            </w:pPr>
            <w:r>
              <w:rPr>
                <w:rFonts w:ascii="Times New Roman" w:cs="Times New Roman" w:eastAsia="Times New Roman" w:hAnsi="Times New Roman"/>
                <w:sz w:val="10"/>
                <w:szCs w:val="10"/>
                <w:color w:val="auto"/>
              </w:rPr>
              <w:t>13.26% PIK)</w:t>
            </w: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Super-Priority DIP term loan ($4,739 par, due 9/2024)</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4/24/2023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+ 7.90%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13.26 %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4,739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4,538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Cordance Operations, LLC </w:t>
            </w:r>
            <w:r>
              <w:rPr>
                <w:rFonts w:ascii="Times New Roman" w:cs="Times New Roman" w:eastAsia="Times New Roman" w:hAnsi="Times New Roman"/>
                <w:sz w:val="12"/>
                <w:szCs w:val="12"/>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($49,543 par, due 7/2028)</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7/25/2022</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+ 9.25%</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14.66 %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48,641</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49,801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(3)(5)</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($57,701 par, due 12/2026)</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12/20/2021</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+ 7.65%</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13.03 %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56,923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58,134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Rapid Data GmbH</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(EUR 4,495 par, due 7/2029)</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7/11/2023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E + 6.50%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10.48 %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4,676</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4,853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32"/>
        </w:trPr>
        <w:tc>
          <w:tcPr>
            <w:tcW w:w="16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Unternehmensberatung </w:t>
            </w:r>
            <w:r>
              <w:rPr>
                <w:rFonts w:ascii="Times New Roman" w:cs="Times New Roman" w:eastAsia="Times New Roman" w:hAnsi="Times New Roman"/>
                <w:sz w:val="12"/>
                <w:szCs w:val="12"/>
                <w:color w:val="auto"/>
                <w:vertAlign w:val="superscript"/>
              </w:rPr>
              <w:t>(3)(4)</w:t>
            </w:r>
          </w:p>
        </w:tc>
        <w:tc>
          <w:tcPr>
            <w:tcW w:w="25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(EUR 4,393)</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7"/>
              </w:rPr>
              <w:t xml:space="preserve">Tango Management Consulting, LLC </w:t>
            </w:r>
            <w:r>
              <w:rPr>
                <w:rFonts w:ascii="Times New Roman" w:cs="Times New Roman" w:eastAsia="Times New Roman" w:hAnsi="Times New Roman"/>
                <w:sz w:val="12"/>
                <w:szCs w:val="12"/>
                <w:color w:val="auto"/>
                <w:w w:val="97"/>
                <w:vertAlign w:val="superscript"/>
              </w:rPr>
              <w:t>(3)</w:t>
            </w:r>
          </w:p>
        </w:tc>
        <w:tc>
          <w:tcPr>
            <w:tcW w:w="25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First-lien loan ($57,007 par, due 12/2027)</w:t>
            </w:r>
          </w:p>
        </w:tc>
        <w:tc>
          <w:tcPr>
            <w:tcW w:w="112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12/1/2021</w:t>
            </w:r>
          </w:p>
        </w:tc>
        <w:tc>
          <w:tcPr>
            <w:tcW w:w="1020" w:type="dxa"/>
            <w:vAlign w:val="bottom"/>
          </w:tcPr>
          <w:p>
            <w:pPr>
              <w:jc w:val="right"/>
              <w:ind w:right="192"/>
              <w:spacing w:after="0" w:line="108" w:lineRule="exact"/>
              <w:rPr>
                <w:sz w:val="20"/>
                <w:szCs w:val="20"/>
                <w:color w:val="auto"/>
              </w:rPr>
            </w:pPr>
            <w:r>
              <w:rPr>
                <w:rFonts w:ascii="Times New Roman" w:cs="Times New Roman" w:eastAsia="Times New Roman" w:hAnsi="Times New Roman"/>
                <w:sz w:val="10"/>
                <w:szCs w:val="10"/>
                <w:color w:val="auto"/>
              </w:rPr>
              <w:t>SOFR + 6.85%</w:t>
            </w:r>
          </w:p>
        </w:tc>
        <w:tc>
          <w:tcPr>
            <w:tcW w:w="1160" w:type="dxa"/>
            <w:vAlign w:val="bottom"/>
          </w:tcPr>
          <w:p>
            <w:pPr>
              <w:jc w:val="right"/>
              <w:ind w:right="232"/>
              <w:spacing w:after="0" w:line="108" w:lineRule="exact"/>
              <w:rPr>
                <w:sz w:val="20"/>
                <w:szCs w:val="20"/>
                <w:color w:val="auto"/>
              </w:rPr>
            </w:pPr>
            <w:r>
              <w:rPr>
                <w:rFonts w:ascii="Times New Roman" w:cs="Times New Roman" w:eastAsia="Times New Roman" w:hAnsi="Times New Roman"/>
                <w:sz w:val="10"/>
                <w:szCs w:val="10"/>
                <w:color w:val="auto"/>
              </w:rPr>
              <w:t>12.20 %</w:t>
            </w:r>
          </w:p>
        </w:tc>
        <w:tc>
          <w:tcPr>
            <w:tcW w:w="1180" w:type="dxa"/>
            <w:vAlign w:val="bottom"/>
          </w:tcPr>
          <w:p>
            <w:pPr>
              <w:jc w:val="right"/>
              <w:ind w:right="172"/>
              <w:spacing w:after="0" w:line="108" w:lineRule="exact"/>
              <w:rPr>
                <w:sz w:val="20"/>
                <w:szCs w:val="20"/>
                <w:color w:val="auto"/>
              </w:rPr>
            </w:pPr>
            <w:r>
              <w:rPr>
                <w:rFonts w:ascii="Times New Roman" w:cs="Times New Roman" w:eastAsia="Times New Roman" w:hAnsi="Times New Roman"/>
                <w:sz w:val="10"/>
                <w:szCs w:val="10"/>
                <w:color w:val="auto"/>
              </w:rPr>
              <w:t>56,247</w:t>
            </w:r>
          </w:p>
        </w:tc>
        <w:tc>
          <w:tcPr>
            <w:tcW w:w="100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56,703</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77"/>
        </w:trPr>
        <w:tc>
          <w:tcPr>
            <w:tcW w:w="1620" w:type="dxa"/>
            <w:vAlign w:val="bottom"/>
          </w:tcPr>
          <w:p>
            <w:pPr>
              <w:ind w:left="20"/>
              <w:spacing w:after="0"/>
              <w:rPr>
                <w:sz w:val="20"/>
                <w:szCs w:val="20"/>
                <w:color w:val="auto"/>
              </w:rPr>
            </w:pPr>
            <w:r>
              <w:rPr>
                <w:rFonts w:ascii="Times New Roman" w:cs="Times New Roman" w:eastAsia="Times New Roman" w:hAnsi="Times New Roman"/>
                <w:sz w:val="6"/>
                <w:szCs w:val="6"/>
                <w:color w:val="auto"/>
              </w:rPr>
              <w:t>(5)</w:t>
            </w: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263,928</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257,985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17.2 %</w:t>
            </w:r>
          </w:p>
        </w:tc>
        <w:tc>
          <w:tcPr>
            <w:tcW w:w="0" w:type="dxa"/>
            <w:vAlign w:val="bottom"/>
          </w:tcPr>
          <w:p>
            <w:pPr>
              <w:spacing w:after="0"/>
              <w:rPr>
                <w:sz w:val="1"/>
                <w:szCs w:val="1"/>
                <w:color w:val="auto"/>
              </w:rPr>
            </w:pPr>
          </w:p>
        </w:tc>
      </w:tr>
      <w:tr>
        <w:trPr>
          <w:trHeight w:val="140"/>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Project44, Inc. </w:t>
            </w:r>
            <w:r>
              <w:rPr>
                <w:rFonts w:ascii="Times New Roman" w:cs="Times New Roman" w:eastAsia="Times New Roman" w:hAnsi="Times New Roman"/>
                <w:sz w:val="12"/>
                <w:szCs w:val="12"/>
                <w:color w:val="auto"/>
                <w:vertAlign w:val="superscript"/>
              </w:rPr>
              <w:t>(3)(5)</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loan ($35,139 par, due 11/2027)</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11/12/2021</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+ 6.40%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11.78 %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34,139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35,001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1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Marcura Equities LTD </w:t>
            </w:r>
            <w:r>
              <w:rPr>
                <w:rFonts w:ascii="Times New Roman" w:cs="Times New Roman" w:eastAsia="Times New Roman" w:hAnsi="Times New Roman"/>
                <w:sz w:val="12"/>
                <w:szCs w:val="12"/>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First-lien loan ($32,007 par, due 8/2029)</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8/11/2023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12.18 %</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31,020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31,482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spacing w:after="0"/>
              <w:rPr>
                <w:sz w:val="12"/>
                <w:szCs w:val="12"/>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First-lien revolving loan ($1,667 par, due 8/2029)</w:t>
            </w:r>
          </w:p>
        </w:tc>
        <w:tc>
          <w:tcPr>
            <w:tcW w:w="11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8/11/2023</w:t>
            </w:r>
          </w:p>
        </w:tc>
        <w:tc>
          <w:tcPr>
            <w:tcW w:w="102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0"/>
                <w:szCs w:val="10"/>
                <w:color w:val="auto"/>
              </w:rPr>
              <w:t>SOFR + 7.00%</w:t>
            </w:r>
          </w:p>
        </w:tc>
        <w:tc>
          <w:tcPr>
            <w:tcW w:w="116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0"/>
                <w:szCs w:val="10"/>
                <w:color w:val="auto"/>
              </w:rPr>
              <w:t>12.18 %</w:t>
            </w: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1,589</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1,625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66,748</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68,108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4.5 %</w:t>
            </w: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 Investments</w:t>
            </w:r>
          </w:p>
        </w:tc>
        <w:tc>
          <w:tcPr>
            <w:tcW w:w="25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3,045,524</w:t>
            </w:r>
          </w:p>
        </w:tc>
        <w:tc>
          <w:tcPr>
            <w:tcW w:w="10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3,071,623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670750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Equity and Other Investments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20"/>
        </w:trPr>
        <w:tc>
          <w:tcPr>
            <w:tcW w:w="1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Reference</w:t>
            </w: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Rate and</w:t>
            </w:r>
          </w:p>
        </w:tc>
        <w:tc>
          <w:tcPr>
            <w:tcW w:w="1220" w:type="dxa"/>
            <w:vAlign w:val="bottom"/>
          </w:tcPr>
          <w:p>
            <w:pPr>
              <w:spacing w:after="0"/>
              <w:rPr>
                <w:sz w:val="10"/>
                <w:szCs w:val="10"/>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020" w:type="dxa"/>
            <w:vAlign w:val="bottom"/>
          </w:tcPr>
          <w:p>
            <w:pPr>
              <w:spacing w:after="0"/>
              <w:rPr>
                <w:sz w:val="10"/>
                <w:szCs w:val="1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tc>
        <w:tc>
          <w:tcPr>
            <w:tcW w:w="238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30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2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180" w:type="dxa"/>
            <w:vAlign w:val="bottom"/>
          </w:tcPr>
          <w:p>
            <w:pPr>
              <w:jc w:val="right"/>
              <w:ind w:right="472"/>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(2)(7)</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(8)</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of Net Assets</w:t>
            </w: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Business Services</w:t>
            </w: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Artisan Topco LP</w:t>
            </w:r>
            <w:r>
              <w:rPr>
                <w:rFonts w:ascii="Times New Roman" w:cs="Times New Roman" w:eastAsia="Times New Roman" w:hAnsi="Times New Roman"/>
                <w:sz w:val="12"/>
                <w:szCs w:val="12"/>
                <w:color w:val="auto"/>
                <w:vertAlign w:val="superscript"/>
              </w:rPr>
              <w:t>(11)(12)</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Preferred Units (2,117,264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2,117</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2,117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Newark FP Co-Invest, L.P.</w:t>
            </w:r>
            <w:r>
              <w:rPr>
                <w:rFonts w:ascii="Times New Roman" w:cs="Times New Roman" w:eastAsia="Times New Roman" w:hAnsi="Times New Roman"/>
                <w:sz w:val="12"/>
                <w:szCs w:val="12"/>
                <w:color w:val="auto"/>
                <w:vertAlign w:val="superscript"/>
              </w:rPr>
              <w:t>(11)(12)</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(2,527,719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11/8/2023</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2,532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2,532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Dye &amp; Durham, Ltd. </w:t>
            </w:r>
            <w:r>
              <w:rPr>
                <w:rFonts w:ascii="Times New Roman" w:cs="Times New Roman" w:eastAsia="Times New Roman" w:hAnsi="Times New Roman"/>
                <w:sz w:val="12"/>
                <w:szCs w:val="12"/>
                <w:color w:val="auto"/>
                <w:vertAlign w:val="superscript"/>
              </w:rPr>
              <w:t>(4)(10)</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Common Shares (126,968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12/3/2021</w:t>
            </w:r>
          </w:p>
        </w:tc>
        <w:tc>
          <w:tcPr>
            <w:tcW w:w="9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3,909</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1,383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60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(CAD 1,823)</w:t>
            </w: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Mitnick TA Aggregator, L.P.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Membership Interest (0.43% ownership)</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5,243</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4,496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ReliaQuest, LLC </w:t>
            </w:r>
            <w:r>
              <w:rPr>
                <w:rFonts w:ascii="Times New Roman" w:cs="Times New Roman" w:eastAsia="Times New Roman" w:hAnsi="Times New Roman"/>
                <w:sz w:val="12"/>
                <w:szCs w:val="12"/>
                <w:color w:val="auto"/>
                <w:vertAlign w:val="superscript"/>
              </w:rPr>
              <w:t>(13)</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Class A-1 Units (637,713 units) </w:t>
            </w:r>
            <w:r>
              <w:rPr>
                <w:rFonts w:ascii="Times New Roman" w:cs="Times New Roman" w:eastAsia="Times New Roman" w:hAnsi="Times New Roman"/>
                <w:sz w:val="12"/>
                <w:szCs w:val="12"/>
                <w:color w:val="auto"/>
                <w:vertAlign w:val="superscript"/>
              </w:rPr>
              <w:t>(11)</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11/23/2021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1,120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1,414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Class A-2 Units (2,989 units) </w:t>
            </w:r>
            <w:r>
              <w:rPr>
                <w:rFonts w:ascii="Times New Roman" w:cs="Times New Roman" w:eastAsia="Times New Roman" w:hAnsi="Times New Roman"/>
                <w:sz w:val="12"/>
                <w:szCs w:val="12"/>
                <w:color w:val="auto"/>
                <w:vertAlign w:val="superscript"/>
              </w:rPr>
              <w:t>(11)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6/21/2022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Class A-3 Units (16,957 units) </w:t>
            </w:r>
            <w:r>
              <w:rPr>
                <w:rFonts w:ascii="Times New Roman" w:cs="Times New Roman" w:eastAsia="Times New Roman" w:hAnsi="Times New Roman"/>
                <w:sz w:val="12"/>
                <w:szCs w:val="12"/>
                <w:color w:val="auto"/>
                <w:vertAlign w:val="superscript"/>
              </w:rPr>
              <w:t>(11)(12)</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11/10/2023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36</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Series A Preferred Stock (1,667 Units) </w:t>
            </w:r>
            <w:r>
              <w:rPr>
                <w:rFonts w:ascii="Times New Roman" w:cs="Times New Roman" w:eastAsia="Times New Roman" w:hAnsi="Times New Roman"/>
                <w:sz w:val="12"/>
                <w:szCs w:val="12"/>
                <w:color w:val="auto"/>
                <w:vertAlign w:val="superscript"/>
              </w:rPr>
              <w:t>(12)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12/20/2023</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1,502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1,504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 xml:space="preserve">90,634 Warrants </w:t>
            </w:r>
            <w:r>
              <w:rPr>
                <w:rFonts w:ascii="Times New Roman" w:cs="Times New Roman" w:eastAsia="Times New Roman" w:hAnsi="Times New Roman"/>
                <w:sz w:val="12"/>
                <w:szCs w:val="12"/>
                <w:color w:val="auto"/>
                <w:vertAlign w:val="superscript"/>
              </w:rPr>
              <w:t>(11)(12)</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12/20/2023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102</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Sprinklr, Inc. </w:t>
            </w:r>
            <w:r>
              <w:rPr>
                <w:rFonts w:ascii="Times New Roman" w:cs="Times New Roman" w:eastAsia="Times New Roman" w:hAnsi="Times New Roman"/>
                <w:sz w:val="12"/>
                <w:szCs w:val="12"/>
                <w:color w:val="auto"/>
                <w:vertAlign w:val="superscript"/>
              </w:rPr>
              <w:t>(10)(11)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Common Shares (315,005 shares)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6/24/2021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2,716</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3,793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Warrior TopCo LP </w:t>
            </w:r>
            <w:r>
              <w:rPr>
                <w:rFonts w:ascii="Times New Roman" w:cs="Times New Roman" w:eastAsia="Times New Roman" w:hAnsi="Times New Roman"/>
                <w:sz w:val="12"/>
                <w:szCs w:val="12"/>
                <w:color w:val="auto"/>
                <w:vertAlign w:val="superscript"/>
              </w:rPr>
              <w:t>(11)(12)</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(423,728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7/7/2023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424</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19,707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17,819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Communications</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Celtra Technologies, Inc.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(1,250,000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11/19/2021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1,250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IntelePeer Holdings, Inc. </w:t>
            </w:r>
            <w:r>
              <w:rPr>
                <w:rFonts w:ascii="Times New Roman" w:cs="Times New Roman" w:eastAsia="Times New Roman" w:hAnsi="Times New Roman"/>
                <w:sz w:val="12"/>
                <w:szCs w:val="12"/>
                <w:color w:val="auto"/>
                <w:vertAlign w:val="superscript"/>
              </w:rPr>
              <w:t>(11)</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C Preferred Shares (1,816,295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1,816</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1,957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D Preferred Shares (1,598,874 shares)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2,925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2,099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280,000 Series C Warrants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2/28/2020</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183</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106,592 Series D Warrants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6,174</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5,306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Education</w:t>
            </w: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Astra 2L Holdings II LLC </w:t>
            </w:r>
            <w:r>
              <w:rPr>
                <w:rFonts w:ascii="Times New Roman" w:cs="Times New Roman" w:eastAsia="Times New Roman" w:hAnsi="Times New Roman"/>
                <w:sz w:val="12"/>
                <w:szCs w:val="12"/>
                <w:color w:val="auto"/>
                <w:vertAlign w:val="superscript"/>
              </w:rPr>
              <w:t>(11)</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Membership Interest (10.17% ownership)</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1/13/2022</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3,255</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EMS Linq, Inc.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Units (5,522,526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12/22/2021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5,522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4,762</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RMCF IV CIV XXXV, LP. </w:t>
            </w:r>
            <w:r>
              <w:rPr>
                <w:rFonts w:ascii="Times New Roman" w:cs="Times New Roman" w:eastAsia="Times New Roman" w:hAnsi="Times New Roman"/>
                <w:sz w:val="12"/>
                <w:szCs w:val="12"/>
                <w:color w:val="auto"/>
                <w:vertAlign w:val="superscript"/>
              </w:rPr>
              <w:t>(11)</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Partnership Interest (11.94% ownership)</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6/8/2021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1,455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9,777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6,526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Services</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 Eagle Parent, L.P.</w:t>
            </w:r>
            <w:r>
              <w:rPr>
                <w:rFonts w:ascii="Times New Roman" w:cs="Times New Roman" w:eastAsia="Times New Roman" w:hAnsi="Times New Roman"/>
                <w:sz w:val="12"/>
                <w:szCs w:val="12"/>
                <w:color w:val="auto"/>
                <w:vertAlign w:val="superscript"/>
              </w:rPr>
              <w:t>(11)(12)</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(121,329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11/27/2023</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4,091</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4,091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CLGF Holdco 2, LLC</w:t>
            </w:r>
            <w:r>
              <w:rPr>
                <w:rFonts w:ascii="Times New Roman" w:cs="Times New Roman" w:eastAsia="Times New Roman" w:hAnsi="Times New Roman"/>
                <w:sz w:val="12"/>
                <w:szCs w:val="12"/>
                <w:color w:val="auto"/>
                <w:vertAlign w:val="superscript"/>
              </w:rPr>
              <w:t>(4)(11)(12)</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334,682 Warrants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183</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183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Newport Parent Holdings, L.P.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A-2 Units (131,569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12/10/2020</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4,177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11,591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Oxford Square Capital Corp. </w:t>
            </w:r>
            <w:r>
              <w:rPr>
                <w:rFonts w:ascii="Times New Roman" w:cs="Times New Roman" w:eastAsia="Times New Roman" w:hAnsi="Times New Roman"/>
                <w:sz w:val="12"/>
                <w:szCs w:val="12"/>
                <w:color w:val="auto"/>
                <w:vertAlign w:val="superscript"/>
              </w:rPr>
              <w:t>(4)(10)</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Common Shares (1,620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8/5/2015</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Passport Labs, Inc.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17,534 Warrants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4/28/2021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TradingScreen, Inc. </w:t>
            </w:r>
            <w:r>
              <w:rPr>
                <w:rFonts w:ascii="Times New Roman" w:cs="Times New Roman" w:eastAsia="Times New Roman" w:hAnsi="Times New Roman"/>
                <w:sz w:val="12"/>
                <w:szCs w:val="12"/>
                <w:color w:val="auto"/>
                <w:vertAlign w:val="superscript"/>
              </w:rPr>
              <w:t>(11)(13)</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(600,000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5/14/2021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600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600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9,249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16,470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Healthcare</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Caris Life Sciences, Inc.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C Preferred Shares (1,915,114 shares)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10/13/2020</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3,500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6,676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D Preferred Shares (1,240,740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5/11/2021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10,050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9,899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633,376 Warrants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9/21/2018</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569,991 Warrants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4/2/2020</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250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885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Merative Topco L.P.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989,691 Class A-1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9,897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9,600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2"/>
                <w:szCs w:val="12"/>
                <w:color w:val="auto"/>
                <w:vertAlign w:val="superscript"/>
              </w:rPr>
              <w:t>(11)(12)</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20,268 Ordinary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3/24/2023</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2,033</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2,033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25,922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30,280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Hotel, Gaming and Leisure</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IRGSE Holding Corp. </w:t>
            </w:r>
            <w:r>
              <w:rPr>
                <w:rFonts w:ascii="Times New Roman" w:cs="Times New Roman" w:eastAsia="Times New Roman" w:hAnsi="Times New Roman"/>
                <w:sz w:val="12"/>
                <w:szCs w:val="12"/>
                <w:color w:val="auto"/>
                <w:vertAlign w:val="superscript"/>
              </w:rPr>
              <w:t>(7)(11)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(33,790,171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12/21/2018</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21,842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2,281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C-1 Units (8,800,000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12/21/2018</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43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21,942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2,324</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Human Resource Support Services</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Axonify, Inc. </w:t>
            </w:r>
            <w:r>
              <w:rPr>
                <w:rFonts w:ascii="Times New Roman" w:cs="Times New Roman" w:eastAsia="Times New Roman" w:hAnsi="Times New Roman"/>
                <w:sz w:val="12"/>
                <w:szCs w:val="12"/>
                <w:color w:val="auto"/>
                <w:vertAlign w:val="superscript"/>
              </w:rPr>
              <w:t>(4)(11)(13)</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A-1 Units (3,780,000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3,780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4,026</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2"/>
                <w:szCs w:val="12"/>
                <w:color w:val="auto"/>
                <w:vertAlign w:val="superscript"/>
              </w:rPr>
              <w:t>(11)(12)</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A-1 Units (2,393,509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11/7/2022</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2,394</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2,394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DaySmart Holdings, LLC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(166,811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12/18/2020</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1,347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2,138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97"/>
              </w:rPr>
              <w:t xml:space="preserve">Employment Hero Holdings Pty Ltd. </w:t>
            </w:r>
            <w:r>
              <w:rPr>
                <w:rFonts w:ascii="Times New Roman" w:cs="Times New Roman" w:eastAsia="Times New Roman" w:hAnsi="Times New Roman"/>
                <w:sz w:val="12"/>
                <w:szCs w:val="12"/>
                <w:color w:val="auto"/>
                <w:w w:val="97"/>
                <w:vertAlign w:val="superscript"/>
              </w:rPr>
              <w:t>(4)</w:t>
            </w:r>
          </w:p>
        </w:tc>
        <w:tc>
          <w:tcPr>
            <w:tcW w:w="238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Series E Preferred Shares (113,250 shares)</w:t>
            </w:r>
          </w:p>
        </w:tc>
        <w:tc>
          <w:tcPr>
            <w:tcW w:w="130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3/1/2022</w:t>
            </w:r>
          </w:p>
        </w:tc>
        <w:tc>
          <w:tcPr>
            <w:tcW w:w="9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2,134</w:t>
            </w:r>
          </w:p>
        </w:tc>
        <w:tc>
          <w:tcPr>
            <w:tcW w:w="102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2,605</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77"/>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(11)</w:t>
            </w:r>
          </w:p>
        </w:tc>
        <w:tc>
          <w:tcPr>
            <w:tcW w:w="2380" w:type="dxa"/>
            <w:vAlign w:val="bottom"/>
            <w:shd w:val="clear" w:color="auto" w:fill="CFF0FC"/>
          </w:tcPr>
          <w:p>
            <w:pPr>
              <w:spacing w:after="0"/>
              <w:rPr>
                <w:sz w:val="6"/>
                <w:szCs w:val="6"/>
                <w:color w:val="auto"/>
              </w:rPr>
            </w:pPr>
          </w:p>
        </w:tc>
        <w:tc>
          <w:tcPr>
            <w:tcW w:w="130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1020" w:type="dxa"/>
            <w:vAlign w:val="bottom"/>
            <w:vMerge w:val="restart"/>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(AUD 3,817)</w:t>
            </w:r>
          </w:p>
        </w:tc>
        <w:tc>
          <w:tcPr>
            <w:tcW w:w="9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0" w:type="dxa"/>
            <w:vAlign w:val="bottom"/>
            <w:shd w:val="clear" w:color="auto" w:fill="CFF0FC"/>
          </w:tcPr>
          <w:p>
            <w:pPr>
              <w:spacing w:after="0"/>
              <w:rPr>
                <w:sz w:val="6"/>
                <w:szCs w:val="6"/>
                <w:color w:val="auto"/>
              </w:rPr>
            </w:pPr>
          </w:p>
        </w:tc>
        <w:tc>
          <w:tcPr>
            <w:tcW w:w="2380" w:type="dxa"/>
            <w:vAlign w:val="bottom"/>
            <w:shd w:val="clear" w:color="auto" w:fill="CFF0FC"/>
          </w:tcPr>
          <w:p>
            <w:pPr>
              <w:spacing w:after="0"/>
              <w:rPr>
                <w:sz w:val="6"/>
                <w:szCs w:val="6"/>
                <w:color w:val="auto"/>
              </w:rPr>
            </w:pPr>
          </w:p>
        </w:tc>
        <w:tc>
          <w:tcPr>
            <w:tcW w:w="130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9,655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11,163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Internet Services</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Bayshore Intermediate #2, L.P. </w:t>
            </w:r>
            <w:r>
              <w:rPr>
                <w:rFonts w:ascii="Times New Roman" w:cs="Times New Roman" w:eastAsia="Times New Roman" w:hAnsi="Times New Roman"/>
                <w:sz w:val="12"/>
                <w:szCs w:val="12"/>
                <w:color w:val="auto"/>
                <w:vertAlign w:val="superscript"/>
              </w:rPr>
              <w:t>(11)(13)</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Co-Invest Common Units (8,837,008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8,837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8,461</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Co-Invest 2 Common Units (3,493,701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10/1/2021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3,494</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3,345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Lucidworks, Inc.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F Preferred Shares (199,054 shares)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8/2/2019</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800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800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Piano Software, Inc. </w:t>
            </w:r>
            <w:r>
              <w:rPr>
                <w:rFonts w:ascii="Times New Roman" w:cs="Times New Roman" w:eastAsia="Times New Roman" w:hAnsi="Times New Roman"/>
                <w:sz w:val="12"/>
                <w:szCs w:val="12"/>
                <w:color w:val="auto"/>
                <w:vertAlign w:val="superscript"/>
              </w:rPr>
              <w:t>(11)</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C-1 Preferred Shares (418,527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12/22/2021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3,000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3,000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Series C-2 Preferred Shares (27,588 shares)</w:t>
            </w:r>
            <w:r>
              <w:rPr>
                <w:rFonts w:ascii="Times New Roman" w:cs="Times New Roman" w:eastAsia="Times New Roman" w:hAnsi="Times New Roman"/>
                <w:sz w:val="12"/>
                <w:szCs w:val="12"/>
                <w:color w:val="auto"/>
                <w:vertAlign w:val="superscript"/>
              </w:rPr>
              <w:t>(12)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11/18/2022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198</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w w:val="99"/>
              </w:rPr>
              <w:t xml:space="preserve">SMA Technologies Holdings, LLC </w:t>
            </w:r>
            <w:r>
              <w:rPr>
                <w:rFonts w:ascii="Times New Roman" w:cs="Times New Roman" w:eastAsia="Times New Roman" w:hAnsi="Times New Roman"/>
                <w:sz w:val="12"/>
                <w:szCs w:val="12"/>
                <w:color w:val="auto"/>
                <w:w w:val="99"/>
                <w:vertAlign w:val="superscript"/>
              </w:rPr>
              <w:t>(11)</w:t>
            </w:r>
          </w:p>
        </w:tc>
        <w:tc>
          <w:tcPr>
            <w:tcW w:w="238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0"/>
                <w:szCs w:val="10"/>
                <w:color w:val="auto"/>
              </w:rPr>
              <w:t>Class A Units (1,300 shares)</w:t>
            </w:r>
          </w:p>
        </w:tc>
        <w:tc>
          <w:tcPr>
            <w:tcW w:w="1300" w:type="dxa"/>
            <w:vAlign w:val="bottom"/>
            <w:shd w:val="clear" w:color="auto" w:fill="CFF0FC"/>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11/21/2022</w:t>
            </w:r>
          </w:p>
        </w:tc>
        <w:tc>
          <w:tcPr>
            <w:tcW w:w="9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1020" w:type="dxa"/>
            <w:vAlign w:val="bottom"/>
            <w:shd w:val="clear" w:color="auto" w:fill="CFF0FC"/>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1,300</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00"/>
        </w:trPr>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6"/>
                <w:szCs w:val="6"/>
                <w:color w:val="auto"/>
              </w:rPr>
              <w:t>(12)</w:t>
            </w:r>
          </w:p>
        </w:tc>
        <w:tc>
          <w:tcPr>
            <w:tcW w:w="2380" w:type="dxa"/>
            <w:vAlign w:val="bottom"/>
            <w:tcBorders>
              <w:bottom w:val="single" w:sz="8" w:color="CFF0FC"/>
            </w:tcBorders>
            <w:shd w:val="clear" w:color="auto" w:fill="CFF0FC"/>
          </w:tcPr>
          <w:p>
            <w:pPr>
              <w:spacing w:after="0"/>
              <w:rPr>
                <w:sz w:val="8"/>
                <w:szCs w:val="8"/>
                <w:color w:val="auto"/>
              </w:rPr>
            </w:pPr>
          </w:p>
        </w:tc>
        <w:tc>
          <w:tcPr>
            <w:tcW w:w="1300" w:type="dxa"/>
            <w:vAlign w:val="bottom"/>
            <w:tcBorders>
              <w:bottom w:val="single" w:sz="8" w:color="CFF0FC"/>
            </w:tcBorders>
            <w:shd w:val="clear" w:color="auto" w:fill="CFF0FC"/>
          </w:tcPr>
          <w:p>
            <w:pPr>
              <w:spacing w:after="0"/>
              <w:rPr>
                <w:sz w:val="8"/>
                <w:szCs w:val="8"/>
                <w:color w:val="auto"/>
              </w:rPr>
            </w:pPr>
          </w:p>
        </w:tc>
        <w:tc>
          <w:tcPr>
            <w:tcW w:w="920" w:type="dxa"/>
            <w:vAlign w:val="bottom"/>
            <w:tcBorders>
              <w:bottom w:val="single" w:sz="8" w:color="CFF0FC"/>
            </w:tcBorders>
            <w:shd w:val="clear" w:color="auto" w:fill="CFF0FC"/>
          </w:tcPr>
          <w:p>
            <w:pPr>
              <w:spacing w:after="0"/>
              <w:rPr>
                <w:sz w:val="8"/>
                <w:szCs w:val="8"/>
                <w:color w:val="auto"/>
              </w:rPr>
            </w:pPr>
          </w:p>
        </w:tc>
        <w:tc>
          <w:tcPr>
            <w:tcW w:w="1220" w:type="dxa"/>
            <w:vAlign w:val="bottom"/>
            <w:tcBorders>
              <w:bottom w:val="single" w:sz="8" w:color="CFF0FC"/>
            </w:tcBorders>
            <w:shd w:val="clear" w:color="auto" w:fill="CFF0FC"/>
          </w:tcPr>
          <w:p>
            <w:pPr>
              <w:spacing w:after="0"/>
              <w:rPr>
                <w:sz w:val="8"/>
                <w:szCs w:val="8"/>
                <w:color w:val="auto"/>
              </w:rPr>
            </w:pPr>
          </w:p>
        </w:tc>
        <w:tc>
          <w:tcPr>
            <w:tcW w:w="1180" w:type="dxa"/>
            <w:vAlign w:val="bottom"/>
            <w:tcBorders>
              <w:bottom w:val="single" w:sz="8" w:color="CFF0FC"/>
            </w:tcBorders>
            <w:shd w:val="clear" w:color="auto" w:fill="CFF0FC"/>
          </w:tcPr>
          <w:p>
            <w:pPr>
              <w:spacing w:after="0"/>
              <w:rPr>
                <w:sz w:val="8"/>
                <w:szCs w:val="8"/>
                <w:color w:val="auto"/>
              </w:rPr>
            </w:pPr>
          </w:p>
        </w:tc>
        <w:tc>
          <w:tcPr>
            <w:tcW w:w="102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Units (923,250 shares)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11/21/2022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17,629</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17,104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Marketing Services</w:t>
            </w: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Validity, Inc.</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Series A Preferred Shares (3,840,000 shares)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5/31/2018</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3,840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10,368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Oil, Gas and Consumable Fuels</w:t>
            </w: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Murchison Oil and Gas, LLC </w:t>
            </w:r>
            <w:r>
              <w:rPr>
                <w:rFonts w:ascii="Times New Roman" w:cs="Times New Roman" w:eastAsia="Times New Roman" w:hAnsi="Times New Roman"/>
                <w:sz w:val="12"/>
                <w:szCs w:val="12"/>
                <w:color w:val="auto"/>
                <w:vertAlign w:val="superscript"/>
              </w:rPr>
              <w:t>(13)</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13,355 Preferred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13,355</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14,156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TRP Assets, LLC </w:t>
            </w:r>
            <w:r>
              <w:rPr>
                <w:rFonts w:ascii="Times New Roman" w:cs="Times New Roman" w:eastAsia="Times New Roman" w:hAnsi="Times New Roman"/>
                <w:sz w:val="12"/>
                <w:szCs w:val="12"/>
                <w:color w:val="auto"/>
                <w:vertAlign w:val="superscript"/>
              </w:rPr>
              <w:t>(11)(13)</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Partnership Interest (1.89% ownership)</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8/25/2022</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8,755</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11,513</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22,110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25,669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Pharmaceuticals</w:t>
            </w: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TherapeuticsMD, Inc. </w:t>
            </w:r>
            <w:r>
              <w:rPr>
                <w:rFonts w:ascii="Times New Roman" w:cs="Times New Roman" w:eastAsia="Times New Roman" w:hAnsi="Times New Roman"/>
                <w:sz w:val="12"/>
                <w:szCs w:val="12"/>
                <w:color w:val="auto"/>
                <w:vertAlign w:val="superscript"/>
              </w:rPr>
              <w:t>(4)(11)</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14,256 Warrants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8/5/2020</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1,029</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Retail and Consumer Products</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American Achievement, Corp. </w:t>
            </w:r>
            <w:r>
              <w:rPr>
                <w:rFonts w:ascii="Times New Roman" w:cs="Times New Roman" w:eastAsia="Times New Roman" w:hAnsi="Times New Roman"/>
                <w:sz w:val="12"/>
                <w:szCs w:val="12"/>
                <w:color w:val="auto"/>
                <w:vertAlign w:val="superscript"/>
              </w:rPr>
              <w:t>(11)</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Units (687 units)</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3/16/2021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50</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Copper Bidco, LLC</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Trust Certificates (132,928 Certificates)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12/7/2020</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Trust Certificates (996,958 Certificates) </w:t>
            </w:r>
            <w:r>
              <w:rPr>
                <w:rFonts w:ascii="Times New Roman" w:cs="Times New Roman" w:eastAsia="Times New Roman" w:hAnsi="Times New Roman"/>
                <w:sz w:val="12"/>
                <w:szCs w:val="12"/>
                <w:color w:val="auto"/>
                <w:vertAlign w:val="superscript"/>
              </w:rPr>
              <w:t>(9)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1/30/2021</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2,589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10,089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Neuintel, LLC </w:t>
            </w:r>
            <w:r>
              <w:rPr>
                <w:rFonts w:ascii="Times New Roman" w:cs="Times New Roman" w:eastAsia="Times New Roman" w:hAnsi="Times New Roman"/>
                <w:sz w:val="12"/>
                <w:szCs w:val="12"/>
                <w:color w:val="auto"/>
                <w:vertAlign w:val="superscript"/>
              </w:rPr>
              <w:t>(11)(13)</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Class A Units (1,176,494 units)</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12/21/2021</w:t>
            </w: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3,000</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2,430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5,589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12,569</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Structured Credit</w:t>
            </w:r>
          </w:p>
        </w:tc>
        <w:tc>
          <w:tcPr>
            <w:tcW w:w="2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w w:val="97"/>
              </w:rPr>
              <w:t xml:space="preserve">Allegro CLO Ltd, Series 2018-1A, </w:t>
            </w:r>
            <w:r>
              <w:rPr>
                <w:rFonts w:ascii="Times New Roman" w:cs="Times New Roman" w:eastAsia="Times New Roman" w:hAnsi="Times New Roman"/>
                <w:sz w:val="12"/>
                <w:szCs w:val="12"/>
                <w:color w:val="auto"/>
                <w:w w:val="97"/>
                <w:vertAlign w:val="superscript"/>
              </w:rPr>
              <w:t>(3)(4)</w:t>
            </w:r>
          </w:p>
        </w:tc>
        <w:tc>
          <w:tcPr>
            <w:tcW w:w="238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Structured Credit ($1,000 par, due 6/2031)</w:t>
            </w:r>
          </w:p>
        </w:tc>
        <w:tc>
          <w:tcPr>
            <w:tcW w:w="130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color w:val="auto"/>
              </w:rPr>
              <w:t>5/26/2022</w:t>
            </w:r>
          </w:p>
        </w:tc>
        <w:tc>
          <w:tcPr>
            <w:tcW w:w="9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SOFR + 3.11%</w:t>
            </w:r>
          </w:p>
        </w:tc>
        <w:tc>
          <w:tcPr>
            <w:tcW w:w="122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0"/>
                <w:szCs w:val="10"/>
                <w:color w:val="auto"/>
              </w:rPr>
              <w:t>8.51 %</w:t>
            </w:r>
          </w:p>
        </w:tc>
        <w:tc>
          <w:tcPr>
            <w:tcW w:w="1180" w:type="dxa"/>
            <w:vAlign w:val="bottom"/>
          </w:tcPr>
          <w:p>
            <w:pPr>
              <w:jc w:val="right"/>
              <w:ind w:right="152"/>
              <w:spacing w:after="0" w:line="108" w:lineRule="exact"/>
              <w:rPr>
                <w:sz w:val="20"/>
                <w:szCs w:val="20"/>
                <w:color w:val="auto"/>
              </w:rPr>
            </w:pPr>
            <w:r>
              <w:rPr>
                <w:rFonts w:ascii="Times New Roman" w:cs="Times New Roman" w:eastAsia="Times New Roman" w:hAnsi="Times New Roman"/>
                <w:sz w:val="10"/>
                <w:szCs w:val="10"/>
                <w:color w:val="auto"/>
              </w:rPr>
              <w:t>983</w:t>
            </w:r>
          </w:p>
        </w:tc>
        <w:tc>
          <w:tcPr>
            <w:tcW w:w="1020" w:type="dxa"/>
            <w:vAlign w:val="bottom"/>
          </w:tcPr>
          <w:p>
            <w:pPr>
              <w:jc w:val="right"/>
              <w:ind w:right="132"/>
              <w:spacing w:after="0" w:line="108" w:lineRule="exact"/>
              <w:rPr>
                <w:sz w:val="20"/>
                <w:szCs w:val="20"/>
                <w:color w:val="auto"/>
              </w:rPr>
            </w:pPr>
            <w:r>
              <w:rPr>
                <w:rFonts w:ascii="Times New Roman" w:cs="Times New Roman" w:eastAsia="Times New Roman" w:hAnsi="Times New Roman"/>
                <w:sz w:val="10"/>
                <w:szCs w:val="10"/>
                <w:color w:val="auto"/>
              </w:rPr>
              <w:t>971</w:t>
            </w: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r>
        <w:trPr>
          <w:trHeight w:val="77"/>
        </w:trPr>
        <w:tc>
          <w:tcPr>
            <w:tcW w:w="1600" w:type="dxa"/>
            <w:vAlign w:val="bottom"/>
          </w:tcPr>
          <w:p>
            <w:pPr>
              <w:ind w:left="20"/>
              <w:spacing w:after="0"/>
              <w:rPr>
                <w:sz w:val="20"/>
                <w:szCs w:val="20"/>
                <w:color w:val="auto"/>
              </w:rPr>
            </w:pPr>
            <w:r>
              <w:rPr>
                <w:rFonts w:ascii="Times New Roman" w:cs="Times New Roman" w:eastAsia="Times New Roman" w:hAnsi="Times New Roman"/>
                <w:sz w:val="6"/>
                <w:szCs w:val="6"/>
                <w:color w:val="auto"/>
              </w:rPr>
              <w:t>(9)</w:t>
            </w:r>
          </w:p>
        </w:tc>
        <w:tc>
          <w:tcPr>
            <w:tcW w:w="2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American Money Management Corp</w:t>
            </w:r>
          </w:p>
        </w:tc>
        <w:tc>
          <w:tcPr>
            <w:tcW w:w="2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Structured Credit ($1,500 par, due 5/2031)</w:t>
            </w:r>
          </w:p>
        </w:tc>
        <w:tc>
          <w:tcPr>
            <w:tcW w:w="1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6/22/2022</w:t>
            </w:r>
          </w:p>
        </w:tc>
        <w:tc>
          <w:tcPr>
            <w:tcW w:w="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SOFR + 3.31%</w:t>
            </w:r>
          </w:p>
        </w:tc>
        <w:tc>
          <w:tcPr>
            <w:tcW w:w="122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rPr>
              <w:t>8.70 %</w:t>
            </w:r>
          </w:p>
        </w:tc>
        <w:tc>
          <w:tcPr>
            <w:tcW w:w="11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1,359</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1,475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0" w:type="dxa"/>
            <w:vAlign w:val="bottom"/>
          </w:tcPr>
          <w:p>
            <w:pPr>
              <w:spacing w:after="0"/>
              <w:rPr>
                <w:sz w:val="1"/>
                <w:szCs w:val="1"/>
                <w:color w:val="auto"/>
              </w:rPr>
            </w:pPr>
          </w:p>
        </w:tc>
      </w:tr>
      <w:tr>
        <w:trPr>
          <w:trHeight w:val="132"/>
        </w:trPr>
        <w:tc>
          <w:tcPr>
            <w:tcW w:w="160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CLO Ltd, Series 2016-18A </w:t>
            </w:r>
            <w:r>
              <w:rPr>
                <w:rFonts w:ascii="Times New Roman" w:cs="Times New Roman" w:eastAsia="Times New Roman" w:hAnsi="Times New Roman"/>
                <w:sz w:val="12"/>
                <w:szCs w:val="12"/>
                <w:color w:val="auto"/>
                <w:vertAlign w:val="superscript"/>
              </w:rPr>
              <w:t>(3)(4)(9)</w:t>
            </w:r>
          </w:p>
        </w:tc>
        <w:tc>
          <w:tcPr>
            <w:tcW w:w="23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 xml:space="preserve">Ares CLO Ltd, Series 2021-59A </w:t>
            </w:r>
            <w:r>
              <w:rPr>
                <w:rFonts w:ascii="Times New Roman" w:cs="Times New Roman" w:eastAsia="Times New Roman" w:hAnsi="Times New Roman"/>
                <w:sz w:val="12"/>
                <w:szCs w:val="12"/>
                <w:color w:val="auto"/>
                <w:w w:val="97"/>
                <w:vertAlign w:val="superscript"/>
              </w:rPr>
              <w:t>(3)(4)(9)</w:t>
            </w:r>
          </w:p>
        </w:tc>
        <w:tc>
          <w:tcPr>
            <w:tcW w:w="2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Structured Credit ($1,000 par, due 4/2034)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+ 6.51%</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11.89 %</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967</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0.0 %</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17" w:name="page18"/>
    <w:bookmarkEnd w:id="17"/>
    <w:p>
      <w:pPr>
        <w:spacing w:after="0" w:line="223" w:lineRule="auto"/>
        <w:framePr w:w="280" w:h="53" w:wrap="auto" w:vAnchor="page" w:hAnchor="page" w:x="1920" w:y="5594"/>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t>(3)(4)(9)</w:t>
      </w:r>
    </w:p>
    <w:p>
      <w:pPr>
        <w:spacing w:after="0" w:line="223" w:lineRule="auto"/>
        <w:framePr w:w="280" w:h="53" w:wrap="auto" w:vAnchor="page" w:hAnchor="page" w:x="1920" w:y="5450"/>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t>(3)(4)(9)</w:t>
      </w:r>
    </w:p>
    <w:p>
      <w:pPr>
        <w:spacing w:after="0" w:line="240"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12"/>
          <w:szCs w:val="12"/>
          <w:b w:val="1"/>
          <w:bCs w:val="1"/>
          <w:color w:val="auto"/>
          <w:vertAlign w:val="superscript"/>
        </w:rPr>
        <w:t>(1)</w:t>
      </w:r>
    </w:p>
    <w:p>
      <w:pPr>
        <w:spacing w:after="0" w:line="18" w:lineRule="exact"/>
        <w:rPr>
          <w:rFonts w:ascii="Times New Roman" w:cs="Times New Roman" w:eastAsia="Times New Roman" w:hAnsi="Times New Roman"/>
          <w:sz w:val="5"/>
          <w:szCs w:val="5"/>
          <w:color w:val="auto"/>
        </w:rPr>
      </w:pPr>
    </w:p>
    <w:p>
      <w:pPr>
        <w:ind w:left="2" w:right="40"/>
        <w:spacing w:after="0" w:line="250" w:lineRule="auto"/>
        <w:rPr>
          <w:sz w:val="20"/>
          <w:szCs w:val="20"/>
          <w:color w:val="auto"/>
        </w:rPr>
      </w:pPr>
      <w:r>
        <w:rPr>
          <w:rFonts w:ascii="Times New Roman" w:cs="Times New Roman" w:eastAsia="Times New Roman" w:hAnsi="Times New Roman"/>
          <w:sz w:val="10"/>
          <w:szCs w:val="10"/>
          <w:color w:val="auto"/>
        </w:rPr>
        <w:t xml:space="preserve">Ares Loan Funding I Ltd, Series 2021-ALFA, Class E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left="2" w:right="120"/>
        <w:spacing w:after="0" w:line="180" w:lineRule="auto"/>
        <w:rPr>
          <w:sz w:val="20"/>
          <w:szCs w:val="20"/>
          <w:color w:val="auto"/>
        </w:rPr>
      </w:pPr>
      <w:r>
        <w:rPr>
          <w:rFonts w:ascii="Times New Roman" w:cs="Times New Roman" w:eastAsia="Times New Roman" w:hAnsi="Times New Roman"/>
          <w:sz w:val="9"/>
          <w:szCs w:val="9"/>
          <w:color w:val="auto"/>
        </w:rPr>
        <w:t xml:space="preserve">Bain Capital Credit CLO Ltd, Series </w:t>
      </w:r>
      <w:r>
        <w:rPr>
          <w:rFonts w:ascii="Times New Roman" w:cs="Times New Roman" w:eastAsia="Times New Roman" w:hAnsi="Times New Roman"/>
          <w:sz w:val="18"/>
          <w:szCs w:val="18"/>
          <w:color w:val="auto"/>
          <w:vertAlign w:val="subscript"/>
        </w:rPr>
        <w:t>2018 -1A</w:t>
      </w:r>
      <w:r>
        <w:rPr>
          <w:rFonts w:ascii="Times New Roman" w:cs="Times New Roman" w:eastAsia="Times New Roman" w:hAnsi="Times New Roman"/>
          <w:sz w:val="6"/>
          <w:szCs w:val="6"/>
          <w:color w:val="auto"/>
        </w:rPr>
        <w:t xml:space="preserve"> (3)(4)(9)</w:t>
      </w:r>
    </w:p>
    <w:p>
      <w:pPr>
        <w:ind w:left="2"/>
        <w:spacing w:after="0" w:line="211" w:lineRule="auto"/>
        <w:rPr>
          <w:sz w:val="20"/>
          <w:szCs w:val="20"/>
          <w:color w:val="auto"/>
        </w:rPr>
      </w:pPr>
      <w:r>
        <w:rPr>
          <w:rFonts w:ascii="Times New Roman" w:cs="Times New Roman" w:eastAsia="Times New Roman" w:hAnsi="Times New Roman"/>
          <w:sz w:val="9"/>
          <w:szCs w:val="9"/>
          <w:color w:val="auto"/>
        </w:rPr>
        <w:t xml:space="preserve">Battalion CLO Ltd, Series 2021-21A </w:t>
      </w:r>
      <w:r>
        <w:rPr>
          <w:rFonts w:ascii="Times New Roman" w:cs="Times New Roman" w:eastAsia="Times New Roman" w:hAnsi="Times New Roman"/>
          <w:sz w:val="11"/>
          <w:szCs w:val="11"/>
          <w:color w:val="auto"/>
          <w:vertAlign w:val="superscript"/>
        </w:rPr>
        <w:t>(3)</w:t>
      </w:r>
    </w:p>
    <w:p>
      <w:pPr>
        <w:ind w:left="2"/>
        <w:spacing w:after="0"/>
        <w:rPr>
          <w:sz w:val="20"/>
          <w:szCs w:val="20"/>
          <w:color w:val="auto"/>
        </w:rPr>
      </w:pPr>
      <w:r>
        <w:rPr>
          <w:rFonts w:ascii="Times New Roman" w:cs="Times New Roman" w:eastAsia="Times New Roman" w:hAnsi="Times New Roman"/>
          <w:sz w:val="6"/>
          <w:szCs w:val="6"/>
          <w:color w:val="auto"/>
        </w:rPr>
        <w:t>(4)(9)</w:t>
      </w:r>
    </w:p>
    <w:p>
      <w:pPr>
        <w:spacing w:after="0" w:line="69" w:lineRule="exact"/>
        <w:rPr>
          <w:rFonts w:ascii="Times New Roman" w:cs="Times New Roman" w:eastAsia="Times New Roman" w:hAnsi="Times New Roman"/>
          <w:sz w:val="5"/>
          <w:szCs w:val="5"/>
          <w:color w:val="auto"/>
        </w:rPr>
      </w:pPr>
    </w:p>
    <w:p>
      <w:pPr>
        <w:ind w:left="2" w:right="260"/>
        <w:spacing w:after="0" w:line="260" w:lineRule="auto"/>
        <w:rPr>
          <w:sz w:val="20"/>
          <w:szCs w:val="20"/>
          <w:color w:val="auto"/>
        </w:rPr>
      </w:pPr>
      <w:r>
        <w:rPr>
          <w:rFonts w:ascii="Times New Roman" w:cs="Times New Roman" w:eastAsia="Times New Roman" w:hAnsi="Times New Roman"/>
          <w:sz w:val="10"/>
          <w:szCs w:val="10"/>
          <w:color w:val="auto"/>
        </w:rPr>
        <w:t xml:space="preserve">Benefit Street Partners CLO Ltd, Series 2015-BR </w:t>
      </w:r>
      <w:r>
        <w:rPr>
          <w:rFonts w:ascii="Times New Roman" w:cs="Times New Roman" w:eastAsia="Times New Roman" w:hAnsi="Times New Roman"/>
          <w:sz w:val="12"/>
          <w:szCs w:val="12"/>
          <w:color w:val="auto"/>
          <w:vertAlign w:val="superscript"/>
        </w:rPr>
        <w:t>(3)(4)(9)</w:t>
      </w:r>
    </w:p>
    <w:p>
      <w:pPr>
        <w:ind w:left="2" w:right="260"/>
        <w:spacing w:after="0" w:line="250" w:lineRule="auto"/>
        <w:rPr>
          <w:sz w:val="20"/>
          <w:szCs w:val="20"/>
          <w:color w:val="auto"/>
        </w:rPr>
      </w:pPr>
      <w:r>
        <w:rPr>
          <w:rFonts w:ascii="Times New Roman" w:cs="Times New Roman" w:eastAsia="Times New Roman" w:hAnsi="Times New Roman"/>
          <w:sz w:val="10"/>
          <w:szCs w:val="10"/>
          <w:color w:val="auto"/>
        </w:rPr>
        <w:t xml:space="preserve">Benefit Street Partners CLO Ltd, Series 2015-8A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left="2" w:right="40"/>
        <w:spacing w:after="0" w:line="250"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2014-4RA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left="2" w:right="40"/>
        <w:spacing w:after="0" w:line="250"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2016-1, Ltd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left="2" w:right="40"/>
        <w:spacing w:after="0" w:line="246" w:lineRule="auto"/>
        <w:rPr>
          <w:sz w:val="20"/>
          <w:szCs w:val="20"/>
          <w:color w:val="auto"/>
        </w:rPr>
      </w:pPr>
      <w:r>
        <w:rPr>
          <w:rFonts w:ascii="Times New Roman" w:cs="Times New Roman" w:eastAsia="Times New Roman" w:hAnsi="Times New Roman"/>
          <w:sz w:val="10"/>
          <w:szCs w:val="10"/>
          <w:color w:val="auto"/>
        </w:rPr>
        <w:t xml:space="preserve">Carlyle Global Market Strategies CLO Ltd, Series 2018-1A </w:t>
      </w:r>
      <w:r>
        <w:rPr>
          <w:rFonts w:ascii="Times New Roman" w:cs="Times New Roman" w:eastAsia="Times New Roman" w:hAnsi="Times New Roman"/>
          <w:sz w:val="12"/>
          <w:szCs w:val="12"/>
          <w:color w:val="auto"/>
          <w:vertAlign w:val="superscript"/>
        </w:rPr>
        <w:t>(3)(4)(9)</w:t>
      </w:r>
    </w:p>
    <w:p>
      <w:pPr>
        <w:ind w:left="2"/>
        <w:spacing w:after="0" w:line="196" w:lineRule="auto"/>
        <w:rPr>
          <w:sz w:val="20"/>
          <w:szCs w:val="20"/>
          <w:color w:val="auto"/>
        </w:rPr>
      </w:pPr>
      <w:r>
        <w:rPr>
          <w:rFonts w:ascii="Times New Roman" w:cs="Times New Roman" w:eastAsia="Times New Roman" w:hAnsi="Times New Roman"/>
          <w:sz w:val="7"/>
          <w:szCs w:val="7"/>
          <w:color w:val="auto"/>
        </w:rPr>
        <w:t xml:space="preserve">CarVal CLO III Ltd, Series 2019-2A </w:t>
      </w:r>
      <w:r>
        <w:rPr>
          <w:rFonts w:ascii="Times New Roman" w:cs="Times New Roman" w:eastAsia="Times New Roman" w:hAnsi="Times New Roman"/>
          <w:sz w:val="9"/>
          <w:szCs w:val="9"/>
          <w:color w:val="auto"/>
          <w:vertAlign w:val="superscript"/>
        </w:rPr>
        <w:t>(3)</w:t>
      </w:r>
    </w:p>
    <w:p>
      <w:pPr>
        <w:ind w:left="2"/>
        <w:spacing w:after="0"/>
        <w:rPr>
          <w:sz w:val="20"/>
          <w:szCs w:val="20"/>
          <w:color w:val="auto"/>
        </w:rPr>
      </w:pPr>
      <w:r>
        <w:rPr>
          <w:rFonts w:ascii="Times New Roman" w:cs="Times New Roman" w:eastAsia="Times New Roman" w:hAnsi="Times New Roman"/>
          <w:sz w:val="6"/>
          <w:szCs w:val="6"/>
          <w:color w:val="auto"/>
        </w:rPr>
        <w:t>(4)(9)</w:t>
      </w:r>
    </w:p>
    <w:p>
      <w:pPr>
        <w:spacing w:after="0" w:line="61" w:lineRule="exact"/>
        <w:rPr>
          <w:rFonts w:ascii="Times New Roman" w:cs="Times New Roman" w:eastAsia="Times New Roman" w:hAnsi="Times New Roman"/>
          <w:sz w:val="5"/>
          <w:szCs w:val="5"/>
          <w:color w:val="auto"/>
        </w:rPr>
      </w:pPr>
    </w:p>
    <w:p>
      <w:pPr>
        <w:ind w:left="2" w:right="40"/>
        <w:spacing w:after="0" w:line="181" w:lineRule="auto"/>
        <w:rPr>
          <w:sz w:val="20"/>
          <w:szCs w:val="20"/>
          <w:color w:val="auto"/>
        </w:rPr>
      </w:pPr>
      <w:r>
        <w:rPr>
          <w:rFonts w:ascii="Times New Roman" w:cs="Times New Roman" w:eastAsia="Times New Roman" w:hAnsi="Times New Roman"/>
          <w:sz w:val="10"/>
          <w:szCs w:val="10"/>
          <w:color w:val="auto"/>
        </w:rPr>
        <w:t>Cedar Funding CLO Ltd, Series 2018-</w:t>
      </w:r>
      <w:r>
        <w:rPr>
          <w:rFonts w:ascii="Times New Roman" w:cs="Times New Roman" w:eastAsia="Times New Roman" w:hAnsi="Times New Roman"/>
          <w:sz w:val="19"/>
          <w:szCs w:val="19"/>
          <w:color w:val="auto"/>
          <w:vertAlign w:val="subscript"/>
        </w:rPr>
        <w:t>7A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9"/>
          <w:szCs w:val="9"/>
          <w:color w:val="auto"/>
        </w:rPr>
        <w:t xml:space="preserve">CIFC CLO Ltd, Series 2018-3A </w:t>
      </w:r>
      <w:r>
        <w:rPr>
          <w:rFonts w:ascii="Times New Roman" w:cs="Times New Roman" w:eastAsia="Times New Roman" w:hAnsi="Times New Roman"/>
          <w:sz w:val="11"/>
          <w:szCs w:val="11"/>
          <w:color w:val="auto"/>
          <w:vertAlign w:val="superscript"/>
        </w:rPr>
        <w:t>(3)(4)(9)</w:t>
      </w:r>
    </w:p>
    <w:p>
      <w:pPr>
        <w:spacing w:after="0" w:line="24"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9"/>
          <w:szCs w:val="9"/>
          <w:color w:val="auto"/>
        </w:rPr>
        <w:t xml:space="preserve">CIFC CLO Ltd, Series 2021-4A </w:t>
      </w:r>
      <w:r>
        <w:rPr>
          <w:rFonts w:ascii="Times New Roman" w:cs="Times New Roman" w:eastAsia="Times New Roman" w:hAnsi="Times New Roman"/>
          <w:sz w:val="11"/>
          <w:szCs w:val="11"/>
          <w:color w:val="auto"/>
          <w:vertAlign w:val="superscript"/>
        </w:rPr>
        <w:t>(3)(4)(9)</w:t>
      </w:r>
    </w:p>
    <w:p>
      <w:pPr>
        <w:spacing w:after="0" w:line="21" w:lineRule="exact"/>
        <w:rPr>
          <w:rFonts w:ascii="Times New Roman" w:cs="Times New Roman" w:eastAsia="Times New Roman" w:hAnsi="Times New Roman"/>
          <w:sz w:val="5"/>
          <w:szCs w:val="5"/>
          <w:color w:val="auto"/>
        </w:rPr>
      </w:pPr>
    </w:p>
    <w:p>
      <w:pPr>
        <w:ind w:left="2" w:right="140"/>
        <w:spacing w:after="0" w:line="180" w:lineRule="auto"/>
        <w:rPr>
          <w:sz w:val="20"/>
          <w:szCs w:val="20"/>
          <w:color w:val="auto"/>
        </w:rPr>
      </w:pPr>
      <w:r>
        <w:rPr>
          <w:rFonts w:ascii="Times New Roman" w:cs="Times New Roman" w:eastAsia="Times New Roman" w:hAnsi="Times New Roman"/>
          <w:sz w:val="9"/>
          <w:szCs w:val="9"/>
          <w:color w:val="auto"/>
        </w:rPr>
        <w:t>Crown Point CLO Ltd, Series 2021-</w:t>
      </w:r>
      <w:r>
        <w:rPr>
          <w:rFonts w:ascii="Times New Roman" w:cs="Times New Roman" w:eastAsia="Times New Roman" w:hAnsi="Times New Roman"/>
          <w:sz w:val="18"/>
          <w:szCs w:val="18"/>
          <w:color w:val="auto"/>
          <w:vertAlign w:val="subscript"/>
        </w:rPr>
        <w:t>10A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left="2" w:right="240"/>
        <w:spacing w:after="0" w:line="181" w:lineRule="auto"/>
        <w:rPr>
          <w:sz w:val="20"/>
          <w:szCs w:val="20"/>
          <w:color w:val="auto"/>
        </w:rPr>
      </w:pPr>
      <w:r>
        <w:rPr>
          <w:rFonts w:ascii="Times New Roman" w:cs="Times New Roman" w:eastAsia="Times New Roman" w:hAnsi="Times New Roman"/>
          <w:sz w:val="10"/>
          <w:szCs w:val="10"/>
          <w:color w:val="auto"/>
        </w:rPr>
        <w:t xml:space="preserve">Dryden Senior Loan Fund, Series </w:t>
      </w:r>
      <w:r>
        <w:rPr>
          <w:rFonts w:ascii="Times New Roman" w:cs="Times New Roman" w:eastAsia="Times New Roman" w:hAnsi="Times New Roman"/>
          <w:sz w:val="19"/>
          <w:szCs w:val="19"/>
          <w:color w:val="auto"/>
          <w:vertAlign w:val="subscript"/>
        </w:rPr>
        <w:t>2018-55A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10"/>
          <w:szCs w:val="10"/>
          <w:color w:val="auto"/>
        </w:rPr>
        <w:t>Dryden Senior Loan Fund, Series</w:t>
      </w:r>
    </w:p>
    <w:p>
      <w:pPr>
        <w:ind w:left="2"/>
        <w:spacing w:after="0" w:line="191" w:lineRule="auto"/>
        <w:rPr>
          <w:sz w:val="20"/>
          <w:szCs w:val="20"/>
          <w:color w:val="auto"/>
        </w:rPr>
      </w:pPr>
      <w:r>
        <w:rPr>
          <w:rFonts w:ascii="Times New Roman" w:cs="Times New Roman" w:eastAsia="Times New Roman" w:hAnsi="Times New Roman"/>
          <w:sz w:val="14"/>
          <w:szCs w:val="14"/>
          <w:color w:val="auto"/>
          <w:vertAlign w:val="subscript"/>
        </w:rPr>
        <w:t>2020-86A</w:t>
      </w:r>
      <w:r>
        <w:rPr>
          <w:rFonts w:ascii="Times New Roman" w:cs="Times New Roman" w:eastAsia="Times New Roman" w:hAnsi="Times New Roman"/>
          <w:sz w:val="5"/>
          <w:szCs w:val="5"/>
          <w:color w:val="auto"/>
        </w:rPr>
        <w:t xml:space="preserve"> (3)(4)(9)</w:t>
      </w:r>
    </w:p>
    <w:p>
      <w:pPr>
        <w:spacing w:after="0" w:line="21"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Eaton CLO Ltd, Series 2015-1A</w:t>
      </w:r>
    </w:p>
    <w:p>
      <w:pPr>
        <w:spacing w:after="0" w:line="52"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Eaton CLO Ltd, Series 2020-1A</w:t>
      </w:r>
    </w:p>
    <w:p>
      <w:pPr>
        <w:spacing w:after="0" w:line="44" w:lineRule="exact"/>
        <w:rPr>
          <w:rFonts w:ascii="Times New Roman" w:cs="Times New Roman" w:eastAsia="Times New Roman" w:hAnsi="Times New Roman"/>
          <w:sz w:val="5"/>
          <w:szCs w:val="5"/>
          <w:color w:val="auto"/>
        </w:rPr>
      </w:pPr>
    </w:p>
    <w:p>
      <w:pPr>
        <w:ind w:left="2" w:right="160"/>
        <w:spacing w:after="0" w:line="181" w:lineRule="auto"/>
        <w:rPr>
          <w:sz w:val="20"/>
          <w:szCs w:val="20"/>
          <w:color w:val="auto"/>
        </w:rPr>
      </w:pPr>
      <w:r>
        <w:rPr>
          <w:rFonts w:ascii="Times New Roman" w:cs="Times New Roman" w:eastAsia="Times New Roman" w:hAnsi="Times New Roman"/>
          <w:sz w:val="10"/>
          <w:szCs w:val="10"/>
          <w:color w:val="auto"/>
        </w:rPr>
        <w:t>GoldenTree CLO Ltd, Series 2020-</w:t>
      </w:r>
      <w:r>
        <w:rPr>
          <w:rFonts w:ascii="Times New Roman" w:cs="Times New Roman" w:eastAsia="Times New Roman" w:hAnsi="Times New Roman"/>
          <w:sz w:val="19"/>
          <w:szCs w:val="19"/>
          <w:color w:val="auto"/>
          <w:vertAlign w:val="subscript"/>
        </w:rPr>
        <w:t>7A</w:t>
      </w:r>
      <w:r>
        <w:rPr>
          <w:rFonts w:ascii="Times New Roman" w:cs="Times New Roman" w:eastAsia="Times New Roman" w:hAnsi="Times New Roman"/>
          <w:sz w:val="6"/>
          <w:szCs w:val="6"/>
          <w:color w:val="auto"/>
        </w:rPr>
        <w:t xml:space="preserve"> (3)(4)(9)</w:t>
      </w:r>
    </w:p>
    <w:p>
      <w:pPr>
        <w:spacing w:after="0" w:line="19"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Gulf Stream Meridian, Series 2021-4A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67"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Gulf Stream Meridian, Series 2021-6A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61" w:lineRule="exact"/>
        <w:rPr>
          <w:rFonts w:ascii="Times New Roman" w:cs="Times New Roman" w:eastAsia="Times New Roman" w:hAnsi="Times New Roman"/>
          <w:sz w:val="5"/>
          <w:szCs w:val="5"/>
          <w:color w:val="auto"/>
        </w:rPr>
      </w:pPr>
    </w:p>
    <w:p>
      <w:pPr>
        <w:ind w:left="2" w:right="80"/>
        <w:spacing w:after="0" w:line="181" w:lineRule="auto"/>
        <w:rPr>
          <w:sz w:val="20"/>
          <w:szCs w:val="20"/>
          <w:color w:val="auto"/>
        </w:rPr>
      </w:pPr>
      <w:r>
        <w:rPr>
          <w:rFonts w:ascii="Times New Roman" w:cs="Times New Roman" w:eastAsia="Times New Roman" w:hAnsi="Times New Roman"/>
          <w:sz w:val="10"/>
          <w:szCs w:val="10"/>
          <w:color w:val="auto"/>
        </w:rPr>
        <w:t>Jefferson Mill CLO Ltd, Series 2015-</w:t>
      </w: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(3)(4)(9)</w:t>
      </w:r>
    </w:p>
    <w:p>
      <w:pPr>
        <w:spacing w:after="0" w:line="21"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10"/>
          <w:szCs w:val="10"/>
          <w:color w:val="auto"/>
        </w:rPr>
        <w:t xml:space="preserve">KKR CLO Ltd, 49A </w:t>
      </w:r>
      <w:r>
        <w:rPr>
          <w:rFonts w:ascii="Times New Roman" w:cs="Times New Roman" w:eastAsia="Times New Roman" w:hAnsi="Times New Roman"/>
          <w:sz w:val="12"/>
          <w:szCs w:val="12"/>
          <w:color w:val="auto"/>
          <w:vertAlign w:val="superscript"/>
        </w:rPr>
        <w:t>(3)(4)(9)</w:t>
      </w:r>
    </w:p>
    <w:p>
      <w:pPr>
        <w:ind w:left="2"/>
        <w:spacing w:after="0" w:line="200" w:lineRule="auto"/>
        <w:rPr>
          <w:sz w:val="20"/>
          <w:szCs w:val="20"/>
          <w:color w:val="auto"/>
        </w:rPr>
      </w:pPr>
      <w:r>
        <w:rPr>
          <w:rFonts w:ascii="Times New Roman" w:cs="Times New Roman" w:eastAsia="Times New Roman" w:hAnsi="Times New Roman"/>
          <w:sz w:val="10"/>
          <w:szCs w:val="10"/>
          <w:color w:val="auto"/>
        </w:rPr>
        <w:t>Madison Park CLO, Series 2018-28A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44"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10"/>
          <w:szCs w:val="10"/>
          <w:color w:val="auto"/>
        </w:rPr>
        <w:t>Magnetite CLO Ltd, Series 2021-30A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61" w:lineRule="exact"/>
        <w:rPr>
          <w:rFonts w:ascii="Times New Roman" w:cs="Times New Roman" w:eastAsia="Times New Roman" w:hAnsi="Times New Roman"/>
          <w:sz w:val="5"/>
          <w:szCs w:val="5"/>
          <w:color w:val="auto"/>
        </w:rPr>
      </w:pPr>
    </w:p>
    <w:p>
      <w:pPr>
        <w:ind w:left="2" w:right="200"/>
        <w:spacing w:after="0" w:line="181" w:lineRule="auto"/>
        <w:rPr>
          <w:sz w:val="20"/>
          <w:szCs w:val="20"/>
          <w:color w:val="auto"/>
        </w:rPr>
      </w:pPr>
      <w:r>
        <w:rPr>
          <w:rFonts w:ascii="Times New Roman" w:cs="Times New Roman" w:eastAsia="Times New Roman" w:hAnsi="Times New Roman"/>
          <w:sz w:val="10"/>
          <w:szCs w:val="10"/>
          <w:color w:val="auto"/>
        </w:rPr>
        <w:t xml:space="preserve">MidOcean Credit CLO Ltd, Series </w:t>
      </w:r>
      <w:r>
        <w:rPr>
          <w:rFonts w:ascii="Times New Roman" w:cs="Times New Roman" w:eastAsia="Times New Roman" w:hAnsi="Times New Roman"/>
          <w:sz w:val="19"/>
          <w:szCs w:val="19"/>
          <w:color w:val="auto"/>
          <w:vertAlign w:val="subscript"/>
        </w:rPr>
        <w:t>2016-6A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left="2" w:right="200"/>
        <w:spacing w:after="0" w:line="181" w:lineRule="auto"/>
        <w:rPr>
          <w:sz w:val="20"/>
          <w:szCs w:val="20"/>
          <w:color w:val="auto"/>
        </w:rPr>
      </w:pPr>
      <w:r>
        <w:rPr>
          <w:rFonts w:ascii="Times New Roman" w:cs="Times New Roman" w:eastAsia="Times New Roman" w:hAnsi="Times New Roman"/>
          <w:sz w:val="10"/>
          <w:szCs w:val="10"/>
          <w:color w:val="auto"/>
        </w:rPr>
        <w:t xml:space="preserve">MidOcean Credit CLO Ltd, Series </w:t>
      </w:r>
      <w:r>
        <w:rPr>
          <w:rFonts w:ascii="Times New Roman" w:cs="Times New Roman" w:eastAsia="Times New Roman" w:hAnsi="Times New Roman"/>
          <w:sz w:val="19"/>
          <w:szCs w:val="19"/>
          <w:color w:val="auto"/>
          <w:vertAlign w:val="subscript"/>
        </w:rPr>
        <w:t>2018-9A</w:t>
      </w:r>
      <w:r>
        <w:rPr>
          <w:rFonts w:ascii="Times New Roman" w:cs="Times New Roman" w:eastAsia="Times New Roman" w:hAnsi="Times New Roman"/>
          <w:sz w:val="6"/>
          <w:szCs w:val="6"/>
          <w:color w:val="auto"/>
        </w:rPr>
        <w:t xml:space="preserve"> (3)(4)(9)</w:t>
      </w:r>
    </w:p>
    <w:p>
      <w:pPr>
        <w:ind w:left="2"/>
        <w:spacing w:after="0" w:line="210" w:lineRule="auto"/>
        <w:rPr>
          <w:sz w:val="20"/>
          <w:szCs w:val="20"/>
          <w:color w:val="auto"/>
        </w:rPr>
      </w:pPr>
      <w:r>
        <w:rPr>
          <w:rFonts w:ascii="Times New Roman" w:cs="Times New Roman" w:eastAsia="Times New Roman" w:hAnsi="Times New Roman"/>
          <w:sz w:val="9"/>
          <w:szCs w:val="9"/>
          <w:color w:val="auto"/>
        </w:rPr>
        <w:t xml:space="preserve">Octagon 57 LLC, Series 2021-1A </w:t>
      </w:r>
      <w:r>
        <w:rPr>
          <w:rFonts w:ascii="Times New Roman" w:cs="Times New Roman" w:eastAsia="Times New Roman" w:hAnsi="Times New Roman"/>
          <w:sz w:val="11"/>
          <w:szCs w:val="11"/>
          <w:color w:val="auto"/>
          <w:vertAlign w:val="superscript"/>
        </w:rPr>
        <w:t>(3)(4)</w:t>
      </w:r>
    </w:p>
    <w:p>
      <w:pPr>
        <w:ind w:left="2"/>
        <w:spacing w:after="0"/>
        <w:rPr>
          <w:sz w:val="20"/>
          <w:szCs w:val="20"/>
          <w:color w:val="auto"/>
        </w:rPr>
      </w:pPr>
      <w:r>
        <w:rPr>
          <w:rFonts w:ascii="Times New Roman" w:cs="Times New Roman" w:eastAsia="Times New Roman" w:hAnsi="Times New Roman"/>
          <w:sz w:val="6"/>
          <w:szCs w:val="6"/>
          <w:color w:val="auto"/>
        </w:rPr>
        <w:t>(9)</w:t>
      </w:r>
    </w:p>
    <w:p>
      <w:pPr>
        <w:spacing w:after="0" w:line="69" w:lineRule="exact"/>
        <w:rPr>
          <w:rFonts w:ascii="Times New Roman" w:cs="Times New Roman" w:eastAsia="Times New Roman" w:hAnsi="Times New Roman"/>
          <w:sz w:val="5"/>
          <w:szCs w:val="5"/>
          <w:color w:val="auto"/>
        </w:rPr>
      </w:pPr>
    </w:p>
    <w:p>
      <w:pPr>
        <w:ind w:left="2" w:right="100"/>
        <w:spacing w:after="0" w:line="260" w:lineRule="auto"/>
        <w:rPr>
          <w:sz w:val="20"/>
          <w:szCs w:val="20"/>
          <w:color w:val="auto"/>
        </w:rPr>
      </w:pPr>
      <w:r>
        <w:rPr>
          <w:rFonts w:ascii="Times New Roman" w:cs="Times New Roman" w:eastAsia="Times New Roman" w:hAnsi="Times New Roman"/>
          <w:sz w:val="10"/>
          <w:szCs w:val="10"/>
          <w:color w:val="auto"/>
        </w:rPr>
        <w:t xml:space="preserve">Octagon Investment Partners 18 Ltd, Series 2018-18A </w:t>
      </w:r>
      <w:r>
        <w:rPr>
          <w:rFonts w:ascii="Times New Roman" w:cs="Times New Roman" w:eastAsia="Times New Roman" w:hAnsi="Times New Roman"/>
          <w:sz w:val="12"/>
          <w:szCs w:val="12"/>
          <w:color w:val="auto"/>
          <w:vertAlign w:val="superscript"/>
        </w:rPr>
        <w:t>(3)(4)(9)</w:t>
      </w:r>
    </w:p>
    <w:p>
      <w:pPr>
        <w:ind w:left="2" w:right="100"/>
        <w:spacing w:after="0" w:line="250" w:lineRule="auto"/>
        <w:rPr>
          <w:sz w:val="20"/>
          <w:szCs w:val="20"/>
          <w:color w:val="auto"/>
        </w:rPr>
      </w:pPr>
      <w:r>
        <w:rPr>
          <w:rFonts w:ascii="Times New Roman" w:cs="Times New Roman" w:eastAsia="Times New Roman" w:hAnsi="Times New Roman"/>
          <w:sz w:val="10"/>
          <w:szCs w:val="10"/>
          <w:color w:val="auto"/>
        </w:rPr>
        <w:t xml:space="preserve">Octagon Investment Partners 38 Ltd, Series 2018-1A </w:t>
      </w:r>
      <w:r>
        <w:rPr>
          <w:rFonts w:ascii="Times New Roman" w:cs="Times New Roman" w:eastAsia="Times New Roman" w:hAnsi="Times New Roman"/>
          <w:sz w:val="12"/>
          <w:szCs w:val="12"/>
          <w:color w:val="auto"/>
          <w:vertAlign w:val="superscript"/>
        </w:rPr>
        <w:t>(3)(4)(9)</w:t>
      </w:r>
    </w:p>
    <w:p>
      <w:pPr>
        <w:spacing w:after="0" w:line="1" w:lineRule="exact"/>
        <w:rPr>
          <w:rFonts w:ascii="Times New Roman" w:cs="Times New Roman" w:eastAsia="Times New Roman" w:hAnsi="Times New Roman"/>
          <w:sz w:val="5"/>
          <w:szCs w:val="5"/>
          <w:color w:val="auto"/>
        </w:rPr>
      </w:pPr>
    </w:p>
    <w:p>
      <w:pPr>
        <w:ind w:left="2" w:right="180"/>
        <w:spacing w:after="0" w:line="271" w:lineRule="auto"/>
        <w:rPr>
          <w:sz w:val="20"/>
          <w:szCs w:val="20"/>
          <w:color w:val="auto"/>
        </w:rPr>
      </w:pPr>
      <w:r>
        <w:rPr>
          <w:rFonts w:ascii="Times New Roman" w:cs="Times New Roman" w:eastAsia="Times New Roman" w:hAnsi="Times New Roman"/>
          <w:sz w:val="9"/>
          <w:szCs w:val="9"/>
          <w:color w:val="auto"/>
        </w:rPr>
        <w:t xml:space="preserve">Park Avenue Institutional Advisers CLO Ltd, Series 2018-1A </w:t>
      </w:r>
      <w:r>
        <w:rPr>
          <w:rFonts w:ascii="Times New Roman" w:cs="Times New Roman" w:eastAsia="Times New Roman" w:hAnsi="Times New Roman"/>
          <w:sz w:val="11"/>
          <w:szCs w:val="11"/>
          <w:color w:val="auto"/>
          <w:vertAlign w:val="superscript"/>
        </w:rPr>
        <w:t>(3)(4)(9)</w:t>
      </w:r>
    </w:p>
    <w:p>
      <w:pPr>
        <w:ind w:left="2"/>
        <w:spacing w:after="0" w:line="195" w:lineRule="auto"/>
        <w:rPr>
          <w:sz w:val="20"/>
          <w:szCs w:val="20"/>
          <w:color w:val="auto"/>
        </w:rPr>
      </w:pPr>
      <w:r>
        <w:rPr>
          <w:rFonts w:ascii="Times New Roman" w:cs="Times New Roman" w:eastAsia="Times New Roman" w:hAnsi="Times New Roman"/>
          <w:sz w:val="7"/>
          <w:szCs w:val="7"/>
          <w:color w:val="auto"/>
        </w:rPr>
        <w:t xml:space="preserve">Pikes Peak CLO, Series 2021-9A </w:t>
      </w:r>
      <w:r>
        <w:rPr>
          <w:rFonts w:ascii="Times New Roman" w:cs="Times New Roman" w:eastAsia="Times New Roman" w:hAnsi="Times New Roman"/>
          <w:sz w:val="9"/>
          <w:szCs w:val="9"/>
          <w:color w:val="auto"/>
          <w:vertAlign w:val="superscript"/>
        </w:rPr>
        <w:t>(3)(4)</w:t>
      </w:r>
    </w:p>
    <w:p>
      <w:pPr>
        <w:ind w:left="2"/>
        <w:spacing w:after="0"/>
        <w:rPr>
          <w:sz w:val="20"/>
          <w:szCs w:val="20"/>
          <w:color w:val="auto"/>
        </w:rPr>
      </w:pPr>
      <w:r>
        <w:rPr>
          <w:rFonts w:ascii="Times New Roman" w:cs="Times New Roman" w:eastAsia="Times New Roman" w:hAnsi="Times New Roman"/>
          <w:sz w:val="6"/>
          <w:szCs w:val="6"/>
          <w:color w:val="auto"/>
        </w:rPr>
        <w:t>(9)</w:t>
      </w:r>
    </w:p>
    <w:p>
      <w:pPr>
        <w:spacing w:after="0" w:line="69" w:lineRule="exact"/>
        <w:rPr>
          <w:rFonts w:ascii="Times New Roman" w:cs="Times New Roman" w:eastAsia="Times New Roman" w:hAnsi="Times New Roman"/>
          <w:sz w:val="5"/>
          <w:szCs w:val="5"/>
          <w:color w:val="auto"/>
        </w:rPr>
      </w:pPr>
    </w:p>
    <w:p>
      <w:pPr>
        <w:ind w:left="2" w:right="120" w:hanging="2"/>
        <w:spacing w:after="0" w:line="197" w:lineRule="auto"/>
        <w:tabs>
          <w:tab w:leader="none" w:pos="154"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Ltd, Series 2020-8A </w:t>
      </w:r>
      <w:r>
        <w:rPr>
          <w:rFonts w:ascii="Times New Roman" w:cs="Times New Roman" w:eastAsia="Times New Roman" w:hAnsi="Times New Roman"/>
          <w:sz w:val="12"/>
          <w:szCs w:val="12"/>
          <w:color w:val="auto"/>
          <w:vertAlign w:val="superscript"/>
        </w:rPr>
        <w:t>(3)(4)(9)</w:t>
      </w:r>
      <w:r>
        <w:rPr>
          <w:rFonts w:ascii="Times New Roman" w:cs="Times New Roman" w:eastAsia="Times New Roman" w:hAnsi="Times New Roman"/>
          <w:sz w:val="10"/>
          <w:szCs w:val="10"/>
          <w:color w:val="auto"/>
        </w:rPr>
        <w:t xml:space="preserve"> Signal Peak CLO LLC, Series 2018-</w:t>
      </w:r>
      <w:r>
        <w:rPr>
          <w:rFonts w:ascii="Times New Roman" w:cs="Times New Roman" w:eastAsia="Times New Roman" w:hAnsi="Times New Roman"/>
          <w:sz w:val="19"/>
          <w:szCs w:val="19"/>
          <w:color w:val="auto"/>
          <w:vertAlign w:val="subscript"/>
        </w:rPr>
        <w:t>5A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left="2"/>
        <w:spacing w:after="0" w:line="181" w:lineRule="auto"/>
        <w:rPr>
          <w:sz w:val="20"/>
          <w:szCs w:val="20"/>
          <w:color w:val="auto"/>
        </w:rPr>
      </w:pPr>
      <w:r>
        <w:rPr>
          <w:rFonts w:ascii="Times New Roman" w:cs="Times New Roman" w:eastAsia="Times New Roman" w:hAnsi="Times New Roman"/>
          <w:sz w:val="10"/>
          <w:szCs w:val="10"/>
          <w:color w:val="auto"/>
        </w:rPr>
        <w:t>Southwick Park CLO Ltd, Series 2019-</w:t>
      </w:r>
      <w:r>
        <w:rPr>
          <w:rFonts w:ascii="Times New Roman" w:cs="Times New Roman" w:eastAsia="Times New Roman" w:hAnsi="Times New Roman"/>
          <w:sz w:val="19"/>
          <w:szCs w:val="19"/>
          <w:color w:val="auto"/>
          <w:vertAlign w:val="subscript"/>
        </w:rPr>
        <w:t>4A</w:t>
      </w:r>
      <w:r>
        <w:rPr>
          <w:rFonts w:ascii="Times New Roman" w:cs="Times New Roman" w:eastAsia="Times New Roman" w:hAnsi="Times New Roman"/>
          <w:sz w:val="6"/>
          <w:szCs w:val="6"/>
          <w:color w:val="auto"/>
        </w:rPr>
        <w:t xml:space="preserve"> (3)(4)(9)</w:t>
      </w:r>
    </w:p>
    <w:p>
      <w:pPr>
        <w:spacing w:after="0" w:line="19"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Stewart Park CLO Ltd, Series 2015-1A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69"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9"/>
          <w:szCs w:val="9"/>
          <w:color w:val="auto"/>
        </w:rPr>
        <w:t xml:space="preserve">Voya CLO Ltd, Series 2018-3A </w:t>
      </w:r>
      <w:r>
        <w:rPr>
          <w:rFonts w:ascii="Times New Roman" w:cs="Times New Roman" w:eastAsia="Times New Roman" w:hAnsi="Times New Roman"/>
          <w:sz w:val="11"/>
          <w:szCs w:val="11"/>
          <w:color w:val="auto"/>
          <w:vertAlign w:val="superscript"/>
        </w:rPr>
        <w:t>(3)(4)(9)</w:t>
      </w:r>
    </w:p>
    <w:p>
      <w:pPr>
        <w:spacing w:after="0" w:line="28" w:lineRule="exact"/>
        <w:rPr>
          <w:rFonts w:ascii="Times New Roman" w:cs="Times New Roman" w:eastAsia="Times New Roman" w:hAnsi="Times New Roman"/>
          <w:sz w:val="5"/>
          <w:szCs w:val="5"/>
          <w:color w:val="auto"/>
        </w:rPr>
      </w:pPr>
    </w:p>
    <w:p>
      <w:pPr>
        <w:ind w:left="2" w:right="160"/>
        <w:spacing w:after="0" w:line="180" w:lineRule="auto"/>
        <w:rPr>
          <w:sz w:val="20"/>
          <w:szCs w:val="20"/>
          <w:color w:val="auto"/>
        </w:rPr>
      </w:pPr>
      <w:r>
        <w:rPr>
          <w:rFonts w:ascii="Times New Roman" w:cs="Times New Roman" w:eastAsia="Times New Roman" w:hAnsi="Times New Roman"/>
          <w:sz w:val="9"/>
          <w:szCs w:val="9"/>
          <w:color w:val="auto"/>
        </w:rPr>
        <w:t>Wind River CLO Ltd, Series 2014-</w:t>
      </w:r>
      <w:r>
        <w:rPr>
          <w:rFonts w:ascii="Times New Roman" w:cs="Times New Roman" w:eastAsia="Times New Roman" w:hAnsi="Times New Roman"/>
          <w:sz w:val="18"/>
          <w:szCs w:val="18"/>
          <w:color w:val="auto"/>
          <w:vertAlign w:val="subscript"/>
        </w:rPr>
        <w:t>2A</w:t>
      </w:r>
      <w:r>
        <w:rPr>
          <w:rFonts w:ascii="Times New Roman" w:cs="Times New Roman" w:eastAsia="Times New Roman" w:hAnsi="Times New Roman"/>
          <w:sz w:val="6"/>
          <w:szCs w:val="6"/>
          <w:color w:val="auto"/>
        </w:rPr>
        <w:t xml:space="preserve"> (3)(4)(9)</w:t>
      </w:r>
    </w:p>
    <w:p>
      <w:pPr>
        <w:spacing w:after="0" w:line="13" w:lineRule="exact"/>
        <w:rPr>
          <w:rFonts w:ascii="Times New Roman" w:cs="Times New Roman" w:eastAsia="Times New Roman" w:hAnsi="Times New Roman"/>
          <w:sz w:val="5"/>
          <w:szCs w:val="5"/>
          <w:color w:val="auto"/>
        </w:rPr>
      </w:pPr>
    </w:p>
    <w:p>
      <w:pPr>
        <w:ind w:left="2" w:right="160"/>
        <w:spacing w:after="0" w:line="181" w:lineRule="auto"/>
        <w:rPr>
          <w:sz w:val="20"/>
          <w:szCs w:val="20"/>
          <w:color w:val="auto"/>
        </w:rPr>
      </w:pPr>
      <w:r>
        <w:rPr>
          <w:rFonts w:ascii="Times New Roman" w:cs="Times New Roman" w:eastAsia="Times New Roman" w:hAnsi="Times New Roman"/>
          <w:sz w:val="10"/>
          <w:szCs w:val="10"/>
          <w:color w:val="auto"/>
        </w:rPr>
        <w:t>Wind River CLO Ltd, Series 2017-</w:t>
      </w: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6"/>
          <w:szCs w:val="6"/>
          <w:color w:val="auto"/>
        </w:rPr>
        <w:t xml:space="preserve"> (3)(4)(9)</w:t>
      </w:r>
    </w:p>
    <w:p>
      <w:pPr>
        <w:spacing w:after="0" w:line="19" w:lineRule="exact"/>
        <w:rPr>
          <w:rFonts w:ascii="Times New Roman" w:cs="Times New Roman" w:eastAsia="Times New Roman" w:hAnsi="Times New Roman"/>
          <w:sz w:val="5"/>
          <w:szCs w:val="5"/>
          <w:color w:val="auto"/>
        </w:rPr>
      </w:pPr>
    </w:p>
    <w:p>
      <w:pPr>
        <w:ind w:left="2"/>
        <w:spacing w:after="0"/>
        <w:rPr>
          <w:sz w:val="20"/>
          <w:szCs w:val="20"/>
          <w:color w:val="auto"/>
        </w:rPr>
      </w:pPr>
      <w:r>
        <w:rPr>
          <w:rFonts w:ascii="Times New Roman" w:cs="Times New Roman" w:eastAsia="Times New Roman" w:hAnsi="Times New Roman"/>
          <w:sz w:val="8"/>
          <w:szCs w:val="8"/>
          <w:color w:val="auto"/>
        </w:rPr>
        <w:t>Wind River CLO Ltd, Series 2018-3A</w:t>
      </w:r>
    </w:p>
    <w:p>
      <w:pPr>
        <w:ind w:left="2"/>
        <w:spacing w:after="0"/>
        <w:rPr>
          <w:sz w:val="20"/>
          <w:szCs w:val="20"/>
          <w:color w:val="auto"/>
        </w:rPr>
      </w:pPr>
      <w:r>
        <w:rPr>
          <w:rFonts w:ascii="Times New Roman" w:cs="Times New Roman" w:eastAsia="Times New Roman" w:hAnsi="Times New Roman"/>
          <w:sz w:val="6"/>
          <w:szCs w:val="6"/>
          <w:color w:val="auto"/>
        </w:rPr>
        <w:t>(3)(4)(9)</w:t>
      </w:r>
    </w:p>
    <w:p>
      <w:pPr>
        <w:spacing w:after="0" w:line="211" w:lineRule="exact"/>
        <w:rPr>
          <w:rFonts w:ascii="Times New Roman" w:cs="Times New Roman" w:eastAsia="Times New Roman" w:hAnsi="Times New Roman"/>
          <w:sz w:val="5"/>
          <w:szCs w:val="5"/>
          <w:color w:val="auto"/>
        </w:rPr>
      </w:pPr>
    </w:p>
    <w:p>
      <w:pPr>
        <w:ind w:left="2" w:right="40"/>
        <w:spacing w:after="0" w:line="322" w:lineRule="auto"/>
        <w:rPr>
          <w:sz w:val="20"/>
          <w:szCs w:val="20"/>
          <w:color w:val="auto"/>
        </w:rPr>
      </w:pPr>
      <w:r>
        <w:rPr>
          <w:rFonts w:ascii="Times New Roman" w:cs="Times New Roman" w:eastAsia="Times New Roman" w:hAnsi="Times New Roman"/>
          <w:sz w:val="10"/>
          <w:szCs w:val="10"/>
          <w:b w:val="1"/>
          <w:bCs w:val="1"/>
          <w:color w:val="auto"/>
        </w:rPr>
        <w:t>Total Equity and Other Investments Total Investments</w:t>
      </w:r>
    </w:p>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20"/>
        </w:trPr>
        <w:tc>
          <w:tcPr>
            <w:tcW w:w="2240" w:type="dxa"/>
            <w:vAlign w:val="bottom"/>
          </w:tcPr>
          <w:p>
            <w:pPr>
              <w:spacing w:after="0"/>
              <w:rPr>
                <w:sz w:val="10"/>
                <w:szCs w:val="10"/>
                <w:color w:val="auto"/>
              </w:rPr>
            </w:pPr>
          </w:p>
        </w:tc>
        <w:tc>
          <w:tcPr>
            <w:tcW w:w="13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Reference</w:t>
            </w: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240" w:type="dxa"/>
            <w:vAlign w:val="bottom"/>
          </w:tcPr>
          <w:p>
            <w:pPr>
              <w:spacing w:after="0"/>
              <w:rPr>
                <w:sz w:val="10"/>
                <w:szCs w:val="10"/>
                <w:color w:val="auto"/>
              </w:rPr>
            </w:pPr>
          </w:p>
        </w:tc>
        <w:tc>
          <w:tcPr>
            <w:tcW w:w="13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Rate and</w:t>
            </w: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146"/>
        </w:trPr>
        <w:tc>
          <w:tcPr>
            <w:tcW w:w="2240" w:type="dxa"/>
            <w:vAlign w:val="bottom"/>
          </w:tcPr>
          <w:p>
            <w:pPr>
              <w:ind w:left="10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13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880" w:type="dxa"/>
            <w:vAlign w:val="bottom"/>
          </w:tcPr>
          <w:p>
            <w:pPr>
              <w:jc w:val="right"/>
              <w:ind w:right="272"/>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(8)</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of Net Assets</w:t>
            </w:r>
          </w:p>
        </w:tc>
      </w:tr>
      <w:tr>
        <w:trPr>
          <w:trHeight w:val="12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6/24/2022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+ 6.96%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12.36 %</w:t>
            </w:r>
          </w:p>
        </w:tc>
        <w:tc>
          <w:tcPr>
            <w:tcW w:w="2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($500 par, due 4/2031)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10/15/2020</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+ 5.61%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11.02 %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($1,300 par, due 7/2034)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+ 3.56%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($2,500 par, due 7/2034)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+ 4.11%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9.53 %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($1,425 par, due 1/2031)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9/13/2022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+ 3.01%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1,367</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5/26/2022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+ 3.16%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($1,600 par, due 4/2034)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2/15/2023</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+ 6.86%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12.28 %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($1,550 par, due 4/2031)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8/11/2020</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+ 6.01%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11.42 %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7/2032)</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6/30/2022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+ 6.70%</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12.11 %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7/21/2022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+ 4.81%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10.23 %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6/16/2022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+ 5.76%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7/2033)</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7/14/2022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+ 6.26%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6/14/2022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+ 7.11%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12.53 %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7/25/2022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+ 3.11%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($1,500 par, due 7/2034)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8/17/2022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+ 6.76%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($2,500 par, due 1/2030)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+ 2.76%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8.18 %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8/11/2022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+ 6.51%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11.91 %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6/17/2022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+ 6.76%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($1,015 par, due 7/2034)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+ 6.61%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12.01 %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1/2037)</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9/12/2022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+ 6.62%</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+ 3.81%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9.22 %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7/2035)</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+ 8.26%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6/28/2022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+ 5.51%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10.91 %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+ 6.46%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11.84 %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($3,500 par, due 4/2033)</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+ 3.78%</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($1,100 par, due 7/2031)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+ 6.31%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5/24/2022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+ 6.86%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7/26/2022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+ 2.96%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8.36 %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($2,800 par, due 7/2030)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9/20/2022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+ 3.21%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10/2031)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+ 3.59%</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9.01 %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10/2034)</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8/31/2022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+ 6.84%</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4/2033)</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8/22/2022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+ 6.66%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($333 par, due 4/2031)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+ 5.91%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0.0 %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7/2032)</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5/25/2022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+ 6.51%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($1,000 par, due 1/2030)</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7/25/2022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+ 2.86%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8.26 %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($2,750 par, due 10/2031)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6/22/2022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+ 6.01%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11.41 %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14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($1,500 par, due 1/2031)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6/23/2022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+ 3.16%</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8.56 %</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($3,000 par, due 4/2036)</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7/14/2022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+ 3.98%</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9.38 %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2,911</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0.2 %</w:t>
            </w:r>
          </w:p>
        </w:tc>
      </w:tr>
      <w:tr>
        <w:trPr>
          <w:trHeight w:val="26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Structured Credit ($2,000 par, due 1/2031)</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12/12/2022</w:t>
            </w:r>
          </w:p>
        </w:tc>
        <w:tc>
          <w:tcPr>
            <w:tcW w:w="9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SOFR + 5.91%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11.33 %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1,856</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r>
      <w:tr>
        <w:trPr>
          <w:trHeight w:val="228"/>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55,844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3.7 %</w:t>
            </w:r>
          </w:p>
        </w:tc>
      </w:tr>
      <w:tr>
        <w:trPr>
          <w:trHeight w:val="144"/>
        </w:trPr>
        <w:tc>
          <w:tcPr>
            <w:tcW w:w="2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205,488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211,442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14.1 %</w:t>
            </w:r>
          </w:p>
        </w:tc>
      </w:tr>
      <w:tr>
        <w:trPr>
          <w:trHeight w:val="148"/>
        </w:trPr>
        <w:tc>
          <w:tcPr>
            <w:tcW w:w="2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3,251,012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3,283,065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219.4 %</w:t>
            </w:r>
          </w:p>
        </w:tc>
      </w:tr>
      <w:tr>
        <w:trPr>
          <w:trHeight w:val="20"/>
        </w:trPr>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column">
              <wp:posOffset>-1062355</wp:posOffset>
            </wp:positionH>
            <wp:positionV relativeFrom="paragraph">
              <wp:posOffset>-6074410</wp:posOffset>
            </wp:positionV>
            <wp:extent cx="6707505" cy="167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-5739130</wp:posOffset>
            </wp:positionV>
            <wp:extent cx="6707505"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-5426075</wp:posOffset>
            </wp:positionV>
            <wp:extent cx="6707505" cy="167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-5090795</wp:posOffset>
            </wp:positionV>
            <wp:extent cx="6707505" cy="167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-4755515</wp:posOffset>
            </wp:positionV>
            <wp:extent cx="6707505" cy="14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-4443095</wp:posOffset>
            </wp:positionV>
            <wp:extent cx="6707505"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-4260215</wp:posOffset>
            </wp:positionV>
            <wp:extent cx="6707505" cy="167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-3924935</wp:posOffset>
            </wp:positionV>
            <wp:extent cx="6707505" cy="167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-3665855</wp:posOffset>
            </wp:positionV>
            <wp:extent cx="6707505"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-3406140</wp:posOffset>
            </wp:positionV>
            <wp:extent cx="6707505" cy="144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-3116580</wp:posOffset>
            </wp:positionV>
            <wp:extent cx="6707505" cy="167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-2857500</wp:posOffset>
            </wp:positionV>
            <wp:extent cx="6707505" cy="144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-2567940</wp:posOffset>
            </wp:positionV>
            <wp:extent cx="6707505" cy="167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-2232660</wp:posOffset>
            </wp:positionV>
            <wp:extent cx="6707505" cy="14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-1920240</wp:posOffset>
            </wp:positionV>
            <wp:extent cx="6707505" cy="167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-1584960</wp:posOffset>
            </wp:positionV>
            <wp:extent cx="6707505" cy="144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-1348740</wp:posOffset>
            </wp:positionV>
            <wp:extent cx="6707505" cy="167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-1012825</wp:posOffset>
            </wp:positionV>
            <wp:extent cx="6707505" cy="144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-776605</wp:posOffset>
            </wp:positionV>
            <wp:extent cx="6707505" cy="167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-441325</wp:posOffset>
            </wp:positionV>
            <wp:extent cx="6707505" cy="14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-205105</wp:posOffset>
            </wp:positionV>
            <wp:extent cx="6707505" cy="91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column">
              <wp:posOffset>-1075055</wp:posOffset>
            </wp:positionH>
            <wp:positionV relativeFrom="paragraph">
              <wp:posOffset>411480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522" w:space="140"/>
            <w:col w:w="8900"/>
          </w:cols>
          <w:pgMar w:left="678" w:top="1408" w:right="66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0" w:type="dxa"/>
            <w:vAlign w:val="bottom"/>
            <w:gridSpan w:val="7"/>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840" w:type="dxa"/>
            <w:vAlign w:val="bottom"/>
          </w:tcPr>
          <w:p>
            <w:pPr>
              <w:spacing w:after="0"/>
              <w:rPr>
                <w:sz w:val="13"/>
                <w:szCs w:val="13"/>
                <w:color w:val="auto"/>
              </w:rPr>
            </w:pP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8"/>
        </w:trPr>
        <w:tc>
          <w:tcPr>
            <w:tcW w:w="1840" w:type="dxa"/>
            <w:vAlign w:val="bottom"/>
          </w:tcPr>
          <w:p>
            <w:pPr>
              <w:spacing w:after="0"/>
              <w:rPr>
                <w:sz w:val="15"/>
                <w:szCs w:val="15"/>
                <w:color w:val="auto"/>
              </w:rPr>
            </w:pP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5"/>
                <w:szCs w:val="15"/>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208"/>
        </w:trPr>
        <w:tc>
          <w:tcPr>
            <w:tcW w:w="184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7"/>
              </w:rPr>
              <w:t>SOFR + 2.54%</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3.875%</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11/1/2024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+ 2.51%</w:t>
            </w:r>
          </w:p>
        </w:tc>
        <w:tc>
          <w:tcPr>
            <w:tcW w:w="13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(8,846 )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tcPr>
          <w:p>
            <w:pPr>
              <w:spacing w:after="0"/>
              <w:rPr>
                <w:sz w:val="17"/>
                <w:szCs w:val="17"/>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w w:val="99"/>
              </w:rPr>
              <w:t xml:space="preserve">Interest rate swap </w:t>
            </w:r>
            <w:r>
              <w:rPr>
                <w:rFonts w:ascii="Times New Roman" w:cs="Times New Roman" w:eastAsia="Times New Roman" w:hAnsi="Times New Roman"/>
                <w:sz w:val="21"/>
                <w:szCs w:val="21"/>
                <w:color w:val="auto"/>
                <w:w w:val="99"/>
                <w:vertAlign w:val="superscript"/>
              </w:rPr>
              <w:t>(a)(b)(c)(d)</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7"/>
              </w:rPr>
              <w:t>3.875%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+ 2.72%</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11/1/2024</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(1,563 )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shd w:val="clear" w:color="auto" w:fill="CFF0FC"/>
          </w:tcPr>
          <w:p>
            <w:pPr>
              <w:spacing w:after="0"/>
              <w:rPr>
                <w:sz w:val="17"/>
                <w:szCs w:val="17"/>
                <w:color w:val="auto"/>
              </w:rPr>
            </w:pPr>
          </w:p>
        </w:tc>
      </w:tr>
      <w:tr>
        <w:trPr>
          <w:trHeight w:val="204"/>
        </w:trPr>
        <w:tc>
          <w:tcPr>
            <w:tcW w:w="18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20" w:type="dxa"/>
            <w:vAlign w:val="bottom"/>
          </w:tcPr>
          <w:p>
            <w:pPr>
              <w:jc w:val="center"/>
              <w:ind w:left="5"/>
              <w:spacing w:after="0"/>
              <w:rPr>
                <w:sz w:val="20"/>
                <w:szCs w:val="20"/>
                <w:color w:val="auto"/>
              </w:rPr>
            </w:pPr>
            <w:r>
              <w:rPr>
                <w:rFonts w:ascii="Times New Roman" w:cs="Times New Roman" w:eastAsia="Times New Roman" w:hAnsi="Times New Roman"/>
                <w:sz w:val="16"/>
                <w:szCs w:val="16"/>
                <w:color w:val="auto"/>
                <w:w w:val="96"/>
              </w:rPr>
              <w:t>2.50%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SOFR + 2.17%</w:t>
            </w: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8/1/2026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(26,111 )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80" w:type="dxa"/>
            <w:vAlign w:val="bottom"/>
          </w:tcPr>
          <w:p>
            <w:pPr>
              <w:spacing w:after="0"/>
              <w:rPr>
                <w:sz w:val="17"/>
                <w:szCs w:val="17"/>
                <w:color w:val="auto"/>
              </w:rPr>
            </w:pPr>
          </w:p>
        </w:tc>
      </w:tr>
      <w:tr>
        <w:trPr>
          <w:trHeight w:val="204"/>
        </w:trPr>
        <w:tc>
          <w:tcPr>
            <w:tcW w:w="18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(a)(b)</w:t>
            </w:r>
          </w:p>
        </w:tc>
        <w:tc>
          <w:tcPr>
            <w:tcW w:w="132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6"/>
                <w:szCs w:val="16"/>
                <w:color w:val="auto"/>
                <w:w w:val="96"/>
              </w:rPr>
              <w:t>6.95%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SOFR + 2.99%</w:t>
            </w:r>
          </w:p>
        </w:tc>
        <w:tc>
          <w:tcPr>
            <w:tcW w:w="13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8/14/2028</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80" w:type="dxa"/>
            <w:vAlign w:val="bottom"/>
            <w:shd w:val="clear" w:color="auto" w:fill="CFF0FC"/>
          </w:tcPr>
          <w:p>
            <w:pPr>
              <w:spacing w:after="0"/>
              <w:rPr>
                <w:sz w:val="17"/>
                <w:szCs w:val="17"/>
                <w:color w:val="auto"/>
              </w:rPr>
            </w:pPr>
          </w:p>
        </w:tc>
      </w:tr>
      <w:tr>
        <w:trPr>
          <w:trHeight w:val="179"/>
        </w:trPr>
        <w:tc>
          <w:tcPr>
            <w:tcW w:w="18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Total Hedge Accounting</w:t>
            </w: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(31,840 )</w:t>
            </w:r>
          </w:p>
        </w:tc>
        <w:tc>
          <w:tcPr>
            <w:tcW w:w="12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r>
      <w:tr>
        <w:trPr>
          <w:trHeight w:val="20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1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80" w:type="dxa"/>
            <w:vAlign w:val="bottom"/>
          </w:tcPr>
          <w:p>
            <w:pPr>
              <w:spacing w:after="0"/>
              <w:rPr>
                <w:sz w:val="17"/>
                <w:szCs w:val="17"/>
                <w:color w:val="auto"/>
              </w:rPr>
            </w:pPr>
          </w:p>
        </w:tc>
      </w:tr>
      <w:tr>
        <w:trPr>
          <w:trHeight w:val="20"/>
        </w:trPr>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(c)$2.5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(d)The fair market value of this instrument is presented net with the $2.5 million in aggregate notional value of instruments no longer designated as instruments in a hedge accounting relationship.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4"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96" w:right="6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Controlled, Affiliated Investments during the year ended 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2"/>
                <w:szCs w:val="12"/>
                <w:color w:val="auto"/>
              </w:rPr>
            </w:pPr>
          </w:p>
        </w:tc>
        <w:tc>
          <w:tcPr>
            <w:tcW w:w="6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December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2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 Unrealized</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Gain/(Losses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78"/>
        </w:trPr>
        <w:tc>
          <w:tcPr>
            <w:tcW w:w="228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(b)</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00" w:type="dxa"/>
            <w:vAlign w:val="bottom"/>
          </w:tcPr>
          <w:p>
            <w:pPr>
              <w:spacing w:after="0"/>
              <w:rPr>
                <w:sz w:val="15"/>
                <w:szCs w:val="15"/>
                <w:color w:val="auto"/>
              </w:rPr>
            </w:pPr>
          </w:p>
        </w:tc>
        <w:tc>
          <w:tcPr>
            <w:tcW w:w="6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5"/>
                <w:szCs w:val="15"/>
                <w:color w:val="auto"/>
              </w:rPr>
            </w:pPr>
          </w:p>
        </w:tc>
        <w:tc>
          <w:tcPr>
            <w:tcW w:w="5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4"/>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70,755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(21,717 )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70,755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10,875</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1"/>
                <w:szCs w:val="11"/>
                <w:b w:val="1"/>
                <w:bCs w:val="1"/>
                <w:color w:val="auto"/>
              </w:rPr>
              <w:t xml:space="preserve">(21,717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0" w:right="140"/>
        <w:spacing w:after="0" w:line="238"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5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(7)As of December 31, 2023, the estimated cost basis of investments for U.S. federal tax purposes was $3,256,630 resulting in estimated gross unrealized gains and losses of $159,281 and $135,606, respectively.</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(8)In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(10)This investment is valued using observable inputs and is considered a Level 1 investment. See Note 6 for further information related to investments at fair value.</w:t>
      </w:r>
    </w:p>
    <w:p>
      <w:pPr>
        <w:spacing w:after="0" w:line="235" w:lineRule="auto"/>
        <w:rPr>
          <w:sz w:val="20"/>
          <w:szCs w:val="20"/>
          <w:color w:val="auto"/>
        </w:rPr>
      </w:pPr>
      <w:r>
        <w:rPr>
          <w:rFonts w:ascii="Times New Roman" w:cs="Times New Roman" w:eastAsia="Times New Roman" w:hAnsi="Times New Roman"/>
          <w:sz w:val="16"/>
          <w:szCs w:val="16"/>
          <w:color w:val="auto"/>
        </w:rPr>
        <w:t>(11)This investment is non-income producing.</w:t>
      </w:r>
    </w:p>
    <w:p>
      <w:pPr>
        <w:ind w:right="50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2023.</w:t>
      </w:r>
    </w:p>
    <w:p>
      <w:pPr>
        <w:ind w:right="280"/>
        <w:spacing w:after="0" w:line="234"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1" w:right="68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13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 in Capital</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Distributa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w:t>
            </w:r>
          </w:p>
        </w:tc>
        <w:tc>
          <w:tcPr>
            <w:tcW w:w="140" w:type="dxa"/>
            <w:vAlign w:val="bottom"/>
          </w:tcPr>
          <w:p>
            <w:pPr>
              <w:spacing w:after="0"/>
              <w:rPr>
                <w:sz w:val="13"/>
                <w:szCs w:val="13"/>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ble</w:t>
            </w:r>
          </w:p>
        </w:tc>
        <w:tc>
          <w:tcPr>
            <w:tcW w:w="8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nt</w:t>
            </w:r>
          </w:p>
        </w:tc>
        <w:tc>
          <w:tcPr>
            <w:tcW w:w="22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6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8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87,829,499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664,250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9 )</w:t>
            </w:r>
          </w:p>
        </w:tc>
        <w:tc>
          <w:tcPr>
            <w:tcW w:w="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1,405,173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100,776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1,496,375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52,362</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52,362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(6,969 )</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(6,969 )</w:t>
            </w:r>
          </w:p>
        </w:tc>
        <w:tc>
          <w:tcPr>
            <w:tcW w:w="0" w:type="dxa"/>
            <w:vAlign w:val="bottom"/>
          </w:tcPr>
          <w:p>
            <w:pPr>
              <w:spacing w:after="0"/>
              <w:rPr>
                <w:sz w:val="1"/>
                <w:szCs w:val="1"/>
                <w:color w:val="auto"/>
              </w:rPr>
            </w:pPr>
          </w:p>
        </w:tc>
      </w:tr>
      <w:tr>
        <w:trPr>
          <w:trHeight w:val="160"/>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78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currency transactions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Issuance of common stock, net of offering and</w:t>
            </w:r>
          </w:p>
        </w:tc>
        <w:tc>
          <w:tcPr>
            <w:tcW w:w="78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underwriting costs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4,000,000</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Borders>
              <w:right w:val="single" w:sz="8" w:color="CFF0FC"/>
            </w:tcBorders>
            <w:shd w:val="clear" w:color="auto" w:fill="CFF0FC"/>
          </w:tcPr>
          <w:p>
            <w:pPr>
              <w:spacing w:after="0"/>
              <w:rPr>
                <w:sz w:val="15"/>
                <w:szCs w:val="15"/>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81,417</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81,457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292,057</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right w:val="single" w:sz="8" w:color="CFF0FC"/>
            </w:tcBorders>
            <w:shd w:val="clear" w:color="auto" w:fill="CFF0FC"/>
          </w:tcPr>
          <w:p>
            <w:pPr>
              <w:spacing w:after="0"/>
              <w:rPr>
                <w:sz w:val="16"/>
                <w:szCs w:val="16"/>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(49,268 )</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(49,268 )</w:t>
            </w:r>
          </w:p>
        </w:tc>
        <w:tc>
          <w:tcPr>
            <w:tcW w:w="0" w:type="dxa"/>
            <w:vAlign w:val="bottom"/>
          </w:tcPr>
          <w:p>
            <w:pPr>
              <w:spacing w:after="0"/>
              <w:rPr>
                <w:sz w:val="1"/>
                <w:szCs w:val="1"/>
                <w:color w:val="auto"/>
              </w:rPr>
            </w:pPr>
          </w:p>
        </w:tc>
      </w:tr>
      <w:tr>
        <w:trPr>
          <w:trHeight w:val="15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8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(10,45</w:t>
            </w: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92,121,556</w:t>
            </w: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928</w:t>
            </w:r>
          </w:p>
        </w:tc>
        <w:tc>
          <w:tcPr>
            <w:tcW w:w="220" w:type="dxa"/>
            <w:vAlign w:val="bottom"/>
            <w:tcBorders>
              <w:right w:val="single" w:sz="8" w:color="CFF0FC"/>
            </w:tcBorders>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664,250</w:t>
            </w:r>
          </w:p>
        </w:tc>
        <w:tc>
          <w:tcPr>
            <w:tcW w:w="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right w:val="single" w:sz="8" w:color="CFF0FC"/>
            </w:tcBorders>
            <w:gridSpan w:val="2"/>
            <w:shd w:val="clear" w:color="auto" w:fill="CFF0FC"/>
          </w:tcPr>
          <w:p>
            <w:pPr>
              <w:jc w:val="right"/>
              <w:ind w:right="160"/>
              <w:spacing w:after="0" w:line="182" w:lineRule="exact"/>
              <w:rPr>
                <w:sz w:val="20"/>
                <w:szCs w:val="20"/>
                <w:color w:val="auto"/>
              </w:rPr>
            </w:pPr>
            <w:r>
              <w:rPr>
                <w:rFonts w:ascii="Times New Roman" w:cs="Times New Roman" w:eastAsia="Times New Roman" w:hAnsi="Times New Roman"/>
                <w:sz w:val="11"/>
                <w:szCs w:val="11"/>
                <w:b w:val="1"/>
                <w:bCs w:val="1"/>
                <w:color w:val="auto"/>
              </w:rPr>
              <w:t xml:space="preserve">9 </w:t>
            </w:r>
            <w:r>
              <w:rPr>
                <w:rFonts w:ascii="Times New Roman" w:cs="Times New Roman" w:eastAsia="Times New Roman" w:hAnsi="Times New Roman"/>
                <w:sz w:val="21"/>
                <w:szCs w:val="21"/>
                <w:b w:val="1"/>
                <w:bCs w:val="1"/>
                <w:color w:val="auto"/>
                <w:vertAlign w:val="subscript"/>
              </w:rPr>
              <w:t>)</w:t>
            </w:r>
          </w:p>
        </w:tc>
        <w:tc>
          <w:tcPr>
            <w:tcW w:w="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1,492,511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99,026</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1,582,006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80" w:type="dxa"/>
            <w:vAlign w:val="bottom"/>
          </w:tcPr>
          <w:p>
            <w:pPr>
              <w:spacing w:after="0"/>
              <w:rPr>
                <w:sz w:val="24"/>
                <w:szCs w:val="24"/>
                <w:color w:val="auto"/>
              </w:rPr>
            </w:pPr>
          </w:p>
        </w:tc>
        <w:tc>
          <w:tcPr>
            <w:tcW w:w="13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156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 in Capital</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Distributa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140" w:type="dxa"/>
            <w:vAlign w:val="bottom"/>
          </w:tcPr>
          <w:p>
            <w:pPr>
              <w:spacing w:after="0"/>
              <w:rPr>
                <w:sz w:val="13"/>
                <w:szCs w:val="13"/>
                <w:color w:val="auto"/>
              </w:rPr>
            </w:pPr>
          </w:p>
        </w:tc>
        <w:tc>
          <w:tcPr>
            <w:tcW w:w="7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ble</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nt</w:t>
            </w:r>
          </w:p>
        </w:tc>
        <w:tc>
          <w:tcPr>
            <w:tcW w:w="220" w:type="dxa"/>
            <w:vAlign w:val="bottom"/>
          </w:tcPr>
          <w:p>
            <w:pPr>
              <w:spacing w:after="0"/>
              <w:rPr>
                <w:sz w:val="15"/>
                <w:szCs w:val="15"/>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Excess of Par</w:t>
            </w: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81,389,287</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8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664,250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FF0FC"/>
            </w:tcBorders>
            <w:gridSpan w:val="2"/>
            <w:shd w:val="clear" w:color="auto" w:fill="CFF0FC"/>
          </w:tcPr>
          <w:p>
            <w:pPr>
              <w:jc w:val="right"/>
              <w:ind w:right="180"/>
              <w:spacing w:after="0" w:line="175" w:lineRule="exact"/>
              <w:rPr>
                <w:sz w:val="20"/>
                <w:szCs w:val="20"/>
                <w:color w:val="auto"/>
              </w:rPr>
            </w:pPr>
            <w:r>
              <w:rPr>
                <w:rFonts w:ascii="Times New Roman" w:cs="Times New Roman" w:eastAsia="Times New Roman" w:hAnsi="Times New Roman"/>
                <w:sz w:val="11"/>
                <w:szCs w:val="11"/>
                <w:color w:val="auto"/>
              </w:rPr>
              <w:t xml:space="preserve">(10,45 </w:t>
            </w:r>
            <w:r>
              <w:rPr>
                <w:rFonts w:ascii="Times New Roman" w:cs="Times New Roman" w:eastAsia="Times New Roman" w:hAnsi="Times New Roman"/>
                <w:sz w:val="20"/>
                <w:szCs w:val="20"/>
                <w:color w:val="auto"/>
                <w:vertAlign w:val="subscript"/>
              </w:rPr>
              <w:t>)</w:t>
            </w:r>
          </w:p>
        </w:tc>
        <w:tc>
          <w:tcPr>
            <w:tcW w:w="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1,294,751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1,341,569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42,937</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42,937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78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currency transactions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362,578</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right w:val="single" w:sz="8" w:color="CFF0FC"/>
            </w:tcBorders>
            <w:shd w:val="clear" w:color="auto" w:fill="CFF0FC"/>
          </w:tcPr>
          <w:p>
            <w:pPr>
              <w:spacing w:after="0"/>
              <w:rPr>
                <w:sz w:val="16"/>
                <w:szCs w:val="16"/>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(44,764 )</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(44,764 )</w:t>
            </w:r>
          </w:p>
        </w:tc>
        <w:tc>
          <w:tcPr>
            <w:tcW w:w="0" w:type="dxa"/>
            <w:vAlign w:val="bottom"/>
          </w:tcPr>
          <w:p>
            <w:pPr>
              <w:spacing w:after="0"/>
              <w:rPr>
                <w:sz w:val="1"/>
                <w:szCs w:val="1"/>
                <w:color w:val="auto"/>
              </w:rPr>
            </w:pPr>
          </w:p>
        </w:tc>
      </w:tr>
      <w:tr>
        <w:trPr>
          <w:trHeight w:val="172"/>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 reclassification of stockholders' equity in accordance with</w:t>
            </w: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GAAP</w:t>
            </w: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81,751,865</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664,250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1"/>
                <w:szCs w:val="11"/>
                <w:b w:val="1"/>
                <w:bCs w:val="1"/>
                <w:color w:val="auto"/>
              </w:rPr>
              <w:t xml:space="preserve">9 </w:t>
            </w:r>
            <w:r>
              <w:rPr>
                <w:rFonts w:ascii="Times New Roman" w:cs="Times New Roman" w:eastAsia="Times New Roman" w:hAnsi="Times New Roman"/>
                <w:sz w:val="21"/>
                <w:szCs w:val="21"/>
                <w:b w:val="1"/>
                <w:bCs w:val="1"/>
                <w:color w:val="auto"/>
                <w:vertAlign w:val="subscript"/>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1,300,593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65,047</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1,356,005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changed its tax year end from March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to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gridSpan w:val="5"/>
          </w:tcPr>
          <w:p>
            <w:pPr>
              <w:jc w:val="right"/>
              <w:ind w:right="1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60" w:type="dxa"/>
            <w:vAlign w:val="bottom"/>
          </w:tcPr>
          <w:p>
            <w:pPr>
              <w:spacing w:after="0"/>
              <w:rPr>
                <w:sz w:val="16"/>
                <w:szCs w:val="16"/>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47,518</w:t>
            </w:r>
          </w:p>
        </w:tc>
        <w:tc>
          <w:tcPr>
            <w:tcW w:w="120" w:type="dxa"/>
            <w:vAlign w:val="bottom"/>
          </w:tcPr>
          <w:p>
            <w:pPr>
              <w:spacing w:after="0"/>
              <w:rPr>
                <w:sz w:val="15"/>
                <w:szCs w:val="15"/>
                <w:color w:val="auto"/>
              </w:rPr>
            </w:pP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52,952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 provided by (used in)</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(5,550 )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(4,727 )</w:t>
            </w: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(gains) losses on interest rate swaps</w:t>
            </w:r>
          </w:p>
        </w:tc>
        <w:tc>
          <w:tcPr>
            <w:tcW w:w="22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(231 )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(2,234 )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(4,814 )</w:t>
            </w: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(493 )</w:t>
            </w: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(554 )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(3,962 )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(3,537 )</w:t>
            </w: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(211,348 )</w:t>
            </w: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(176,371 )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26,102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57,543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Paid-in-kind interest</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(7,111 )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(3,300 )</w:t>
            </w: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(2,287 )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(5,784 )</w:t>
            </w: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(997 )</w:t>
            </w: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(523 )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(1,437 )</w:t>
            </w: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(845 )</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Payable to affiliate</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(101 )</w:t>
            </w:r>
          </w:p>
        </w:tc>
        <w:tc>
          <w:tcPr>
            <w:tcW w:w="3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(10,589 )</w:t>
            </w: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(65,538 )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(73,504 )</w:t>
            </w:r>
          </w:p>
        </w:tc>
        <w:tc>
          <w:tcPr>
            <w:tcW w:w="0" w:type="dxa"/>
            <w:vAlign w:val="bottom"/>
          </w:tcPr>
          <w:p>
            <w:pPr>
              <w:spacing w:after="0"/>
              <w:rPr>
                <w:sz w:val="1"/>
                <w:szCs w:val="1"/>
                <w:color w:val="auto"/>
              </w:rPr>
            </w:pPr>
          </w:p>
        </w:tc>
      </w:tr>
      <w:tr>
        <w:trPr>
          <w:trHeight w:val="177"/>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Borrowings on debt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622,000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457,575</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Repayments on debt</w:t>
            </w:r>
          </w:p>
        </w:tc>
        <w:tc>
          <w:tcPr>
            <w:tcW w:w="2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(578,847 )</w:t>
            </w:r>
          </w:p>
        </w:tc>
        <w:tc>
          <w:tcPr>
            <w:tcW w:w="36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(345,465 )</w:t>
            </w:r>
          </w:p>
        </w:tc>
        <w:tc>
          <w:tcPr>
            <w:tcW w:w="0" w:type="dxa"/>
            <w:vAlign w:val="bottom"/>
          </w:tcPr>
          <w:p>
            <w:pPr>
              <w:spacing w:after="0"/>
              <w:rPr>
                <w:sz w:val="1"/>
                <w:szCs w:val="1"/>
                <w:color w:val="auto"/>
              </w:rPr>
            </w:pPr>
          </w:p>
        </w:tc>
      </w:tr>
      <w:tr>
        <w:trPr>
          <w:trHeight w:val="17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financing costs</w:t>
            </w:r>
          </w:p>
        </w:tc>
        <w:tc>
          <w:tcPr>
            <w:tcW w:w="220" w:type="dxa"/>
            <w:vAlign w:val="bottom"/>
            <w:shd w:val="clear" w:color="auto" w:fill="CFF0FC"/>
          </w:tcPr>
          <w:p>
            <w:pPr>
              <w:spacing w:after="0"/>
              <w:rPr>
                <w:sz w:val="15"/>
                <w:szCs w:val="15"/>
                <w:color w:val="auto"/>
              </w:rPr>
            </w:pPr>
          </w:p>
        </w:tc>
        <w:tc>
          <w:tcPr>
            <w:tcW w:w="1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(5,034 )</w:t>
            </w:r>
          </w:p>
        </w:tc>
        <w:tc>
          <w:tcPr>
            <w:tcW w:w="360" w:type="dxa"/>
            <w:vAlign w:val="bottom"/>
            <w:shd w:val="clear" w:color="auto" w:fill="CFF0FC"/>
          </w:tcPr>
          <w:p>
            <w:pPr>
              <w:spacing w:after="0"/>
              <w:rPr>
                <w:sz w:val="15"/>
                <w:szCs w:val="15"/>
                <w:color w:val="auto"/>
              </w:rPr>
            </w:pPr>
          </w:p>
        </w:tc>
        <w:tc>
          <w:tcPr>
            <w:tcW w:w="16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6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40" w:type="dxa"/>
            <w:vAlign w:val="bottom"/>
            <w:gridSpan w:val="2"/>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underwriting costs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(43,344 )</w:t>
            </w:r>
          </w:p>
        </w:tc>
        <w:tc>
          <w:tcPr>
            <w:tcW w:w="3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(38,516 )</w:t>
            </w:r>
          </w:p>
        </w:tc>
        <w:tc>
          <w:tcPr>
            <w:tcW w:w="0" w:type="dxa"/>
            <w:vAlign w:val="bottom"/>
          </w:tcPr>
          <w:p>
            <w:pPr>
              <w:spacing w:after="0"/>
              <w:rPr>
                <w:sz w:val="1"/>
                <w:szCs w:val="1"/>
                <w:color w:val="auto"/>
              </w:rPr>
            </w:pPr>
          </w:p>
        </w:tc>
      </w:tr>
      <w:tr>
        <w:trPr>
          <w:trHeight w:val="177"/>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10,694</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22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35,890</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25,737</w:t>
            </w: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38,362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25,648</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20" w:type="dxa"/>
            <w:vAlign w:val="bottom"/>
          </w:tcPr>
          <w:p>
            <w:pPr>
              <w:spacing w:after="0"/>
              <w:rPr>
                <w:sz w:val="15"/>
                <w:szCs w:val="15"/>
                <w:color w:val="auto"/>
              </w:rPr>
            </w:pP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49,268</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44,764</w:t>
            </w: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120" w:type="dxa"/>
            <w:vAlign w:val="bottom"/>
          </w:tcPr>
          <w:p>
            <w:pPr>
              <w:spacing w:after="0"/>
              <w:rPr>
                <w:sz w:val="14"/>
                <w:szCs w:val="14"/>
                <w:color w:val="auto"/>
              </w:rPr>
            </w:pP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156" w:lineRule="exact"/>
        <w:rPr>
          <w:sz w:val="20"/>
          <w:szCs w:val="20"/>
          <w:color w:val="auto"/>
        </w:rPr>
      </w:pPr>
    </w:p>
    <w:p>
      <w:pPr>
        <w:ind w:right="774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 -owned subsidiary, Sixth Street SL Holding, LLC, a Delaware limited liability company. On December 9, 2020, the Company formed a wholly-owned subsidiary, Sixth Street Specialty Lending Sub, LLC, a Cayman Islands limited liability company.</w:t>
      </w:r>
    </w:p>
    <w:p>
      <w:pPr>
        <w:spacing w:after="0" w:line="173"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28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67"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2023, which was filed with the Securities and Exchange Commission (“SEC”), on February 15, 2024.</w:t>
      </w:r>
    </w:p>
    <w:p>
      <w:pPr>
        <w:spacing w:after="0" w:line="167"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28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40" w:firstLine="228"/>
        <w:spacing w:after="0"/>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59" w:right="740" w:bottom="1440" w:gutter="0" w:footer="0" w:header="0"/>
        </w:sectPr>
      </w:pPr>
    </w:p>
    <w:bookmarkStart w:id="23" w:name="page24"/>
    <w:bookmarkEnd w:id="2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March 31,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113" w:lineRule="exact"/>
        <w:rPr>
          <w:sz w:val="20"/>
          <w:szCs w:val="20"/>
          <w:color w:val="auto"/>
        </w:rPr>
      </w:pPr>
    </w:p>
    <w:p>
      <w:pPr>
        <w:ind w:right="720"/>
        <w:spacing w:after="0" w:line="259" w:lineRule="auto"/>
        <w:rPr>
          <w:sz w:val="20"/>
          <w:szCs w:val="20"/>
          <w:color w:val="auto"/>
        </w:rPr>
      </w:pPr>
      <w:r>
        <w:rPr>
          <w:rFonts w:ascii="Times New Roman" w:cs="Times New Roman" w:eastAsia="Times New Roman" w:hAnsi="Times New Roman"/>
          <w:sz w:val="16"/>
          <w:szCs w:val="16"/>
          <w:color w:val="auto"/>
        </w:rPr>
        <w:t>hierarchy that prioritizes and ranks the level of observability of inputs used in determination of fair value. In accordance with ASC Topic 820, these levels are summarized below:</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80" w:firstLine="228"/>
        <w:spacing w:after="0" w:line="277"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 when, and only when, they are with the same counterparty, the Company has the legal right to offset the recognized amounts, and it intends to either settle on a net basis or realize the asset and settle the liability simultaneously.</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100" w:firstLine="228"/>
        <w:spacing w:after="0" w:line="242"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00" w:firstLine="228"/>
        <w:spacing w:after="0" w:line="284"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69"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jc w:val="both"/>
        <w:ind w:right="2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2024 and 2023, the Company recorded a net expense of $0.8 million and $0.4 million, respectively, for U.S. federal excise tax and other taxes.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changed its tax year end from March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to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80" w:firstLine="228"/>
        <w:spacing w:after="0"/>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1D1C1D"/>
        </w:rPr>
        <w:t>Foreign currency forward contract and interest rate swap receivables or payables pending settlement are offset, and the net amount is included with receivable or payable for foreign currency forward contracts or interest rate swaps in the Consolidated Balance Sheet when, and only when, the Company has the legal right to offset the recognized amounts, and it intends to either settle on a net basis or realize the asset and settle the liability simultaneously.</w:t>
      </w:r>
    </w:p>
    <w:p>
      <w:pPr>
        <w:spacing w:after="0" w:line="200" w:lineRule="exact"/>
        <w:rPr>
          <w:sz w:val="20"/>
          <w:szCs w:val="20"/>
          <w:color w:val="auto"/>
        </w:rPr>
      </w:pPr>
    </w:p>
    <w:p>
      <w:pPr>
        <w:spacing w:after="0" w:line="334" w:lineRule="exact"/>
        <w:rPr>
          <w:sz w:val="20"/>
          <w:szCs w:val="20"/>
          <w:color w:val="auto"/>
        </w:rPr>
      </w:pPr>
    </w:p>
    <w:p>
      <w:pPr>
        <w:ind w:right="742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2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31, 2024 and 2023 the Company incurred expenses of $ 0.9 million and $0.6 million, respectively, for administrative services payable to the Adviser under the terms of the Administration Agreement, which is included in other general and administrative expenses in the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39"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 w:name="page29"/>
    <w:bookmarkEnd w:id="28"/>
    <w:p>
      <w:pPr>
        <w:spacing w:after="0" w:line="113" w:lineRule="exact"/>
        <w:rPr>
          <w:sz w:val="20"/>
          <w:szCs w:val="20"/>
          <w:color w:val="auto"/>
        </w:rPr>
      </w:pPr>
    </w:p>
    <w:p>
      <w:pPr>
        <w:jc w:val="both"/>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months ended March 31, 2024 and 2023 Management Fees (gross of waivers) were $12.6 million and $10.7 million, respectively.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months ended March 31, 2024 and 2023, the Adviser waived Management Fees of $0.4 million and $0.3 million, respectively,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140"/>
        <w:spacing w:after="0" w:line="237" w:lineRule="auto"/>
        <w:rPr>
          <w:sz w:val="20"/>
          <w:szCs w:val="20"/>
          <w:color w:val="auto"/>
        </w:rPr>
      </w:pPr>
      <w:r>
        <w:rPr>
          <w:rFonts w:ascii="Times New Roman" w:cs="Times New Roman" w:eastAsia="Times New Roman" w:hAnsi="Times New Roman"/>
          <w:sz w:val="16"/>
          <w:szCs w:val="16"/>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7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00" w:firstLine="228"/>
        <w:spacing w:after="0" w:line="246"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 w:name="page30"/>
    <w:bookmarkEnd w:id="29"/>
    <w:p>
      <w:pPr>
        <w:spacing w:after="0" w:line="113"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For three months ended March 31, 2024, Incentive Fees were $10.1 million, of which $10.9 million were realized and payable to the Adviser. For the three months ended March 31, 2023, Incentive Fees were $11.2 million, of which $9.5 million were realized and payable to the Adviser. For the three months ended March 31, 2024 and 2023, $ (0.8) million and $1.8 million, respectively, of Incentive Fees was accrued related to Capital Gains Fees. As of March 31, 2024, the Capital Gains Fees accrued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 -controlled,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March 31, 2024 and December 31,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 xml:space="preserve">Amortized Cost </w:t>
            </w:r>
            <w:r>
              <w:rPr>
                <w:rFonts w:ascii="Times New Roman" w:cs="Times New Roman" w:eastAsia="Times New Roman" w:hAnsi="Times New Roman"/>
                <w:sz w:val="16"/>
                <w:szCs w:val="16"/>
                <w:b w:val="1"/>
                <w:bCs w:val="1"/>
                <w:color w:val="auto"/>
                <w:w w:val="98"/>
                <w:vertAlign w:val="superscript"/>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204"/>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3,080,761</w:t>
            </w:r>
          </w:p>
        </w:tc>
        <w:tc>
          <w:tcPr>
            <w:tcW w:w="3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3,117,116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(25,022 )</w:t>
            </w: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39,910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3,359,652</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3"/>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204"/>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2,956,079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(15,448 )</w:t>
            </w: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38,022</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52,865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3,251,012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March 31, 2024 and December 31, 2023 is as follows: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70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Chemicals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Education</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Services</w:t>
            </w:r>
          </w:p>
        </w:tc>
        <w:tc>
          <w:tcPr>
            <w:tcW w:w="1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 Gaming and Leisure</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Human Resource Support Services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Internet Services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Services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Products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Gas and Consumable Fuels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and Consumer Products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color w:val="auto"/>
                <w:w w:val="96"/>
              </w:rPr>
              <w:t>The geographic composition of investments at fair value at March 31, 2024 and December 31, 2023 is as follows: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70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Midwest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Northeast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25.6 %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West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5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Canada</w:t>
            </w:r>
          </w:p>
        </w:tc>
        <w:tc>
          <w:tcPr>
            <w:tcW w:w="156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rPr>
              <w:t>3.3 %</w:t>
            </w:r>
          </w:p>
        </w:tc>
        <w:tc>
          <w:tcPr>
            <w:tcW w:w="1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556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Finland </w:t>
            </w:r>
            <w:r>
              <w:rPr>
                <w:rFonts w:ascii="Times New Roman" w:cs="Times New Roman" w:eastAsia="Times New Roman" w:hAnsi="Times New Roman"/>
                <w:sz w:val="21"/>
                <w:szCs w:val="21"/>
                <w:color w:val="auto"/>
                <w:vertAlign w:val="superscript"/>
              </w:rPr>
              <w:t>(1)</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Sweden</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170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-5022215</wp:posOffset>
            </wp:positionV>
            <wp:extent cx="5563870" cy="129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-4763135</wp:posOffset>
            </wp:positionV>
            <wp:extent cx="5563870"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-4504055</wp:posOffset>
            </wp:positionV>
            <wp:extent cx="5563870" cy="129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-4161155</wp:posOffset>
            </wp:positionV>
            <wp:extent cx="5563870" cy="129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-3902075</wp:posOffset>
            </wp:positionV>
            <wp:extent cx="5563870" cy="129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-3642995</wp:posOffset>
            </wp:positionV>
            <wp:extent cx="5563870" cy="129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-3383280</wp:posOffset>
            </wp:positionV>
            <wp:extent cx="5563870" cy="129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-3124200</wp:posOffset>
            </wp:positionV>
            <wp:extent cx="5563870" cy="129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-2865120</wp:posOffset>
            </wp:positionV>
            <wp:extent cx="5563870" cy="129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-2606040</wp:posOffset>
            </wp:positionV>
            <wp:extent cx="5563870" cy="152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3870" cy="15240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-1706880</wp:posOffset>
            </wp:positionV>
            <wp:extent cx="5563870" cy="129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-1447800</wp:posOffset>
            </wp:positionV>
            <wp:extent cx="5563870" cy="129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-1188720</wp:posOffset>
            </wp:positionV>
            <wp:extent cx="5563870"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-929005</wp:posOffset>
            </wp:positionV>
            <wp:extent cx="5563870" cy="129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-669925</wp:posOffset>
            </wp:positionV>
            <wp:extent cx="5563870" cy="129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3870" cy="12954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-151765</wp:posOffset>
            </wp:positionV>
            <wp:extent cx="5563870" cy="152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3870" cy="15240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Derivatives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94" w:lineRule="exact"/>
        <w:rPr>
          <w:sz w:val="20"/>
          <w:szCs w:val="20"/>
          <w:color w:val="auto"/>
        </w:rPr>
      </w:pPr>
    </w:p>
    <w:p>
      <w:pPr>
        <w:ind w:firstLine="228"/>
        <w:spacing w:after="0" w:line="242"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1" w:name="page32"/>
    <w:bookmarkEnd w:id="31"/>
    <w:p>
      <w:pPr>
        <w:spacing w:after="0" w:line="113" w:lineRule="exact"/>
        <w:rPr>
          <w:sz w:val="20"/>
          <w:szCs w:val="20"/>
          <w:color w:val="auto"/>
        </w:rPr>
      </w:pPr>
    </w:p>
    <w:p>
      <w:pPr>
        <w:ind w:left="20" w:right="60" w:firstLine="228"/>
        <w:spacing w:after="0" w:line="331" w:lineRule="auto"/>
        <w:rPr>
          <w:sz w:val="20"/>
          <w:szCs w:val="20"/>
          <w:color w:val="auto"/>
        </w:rPr>
      </w:pPr>
      <w:r>
        <w:rPr>
          <w:rFonts w:ascii="Times New Roman" w:cs="Times New Roman" w:eastAsia="Times New Roman" w:hAnsi="Times New Roman"/>
          <w:sz w:val="14"/>
          <w:szCs w:val="14"/>
          <w:color w:val="auto"/>
        </w:rPr>
        <w:t>Cash flows related to the Company's derivatives are included within operating activities on the Consolidated Statements of Cash Flows. The following tables present the amounts paid and received on the Company’s interest rate swap transactions, excluding upfront fees, for the three months ended March 31, 2024 and 2023:</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8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140" w:type="dxa"/>
            <w:vAlign w:val="bottom"/>
          </w:tcPr>
          <w:p>
            <w:pPr>
              <w:spacing w:after="0"/>
              <w:rPr>
                <w:sz w:val="17"/>
                <w:szCs w:val="17"/>
                <w:color w:val="auto"/>
              </w:rPr>
            </w:pPr>
          </w:p>
        </w:tc>
        <w:tc>
          <w:tcPr>
            <w:tcW w:w="21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7"/>
                <w:szCs w:val="17"/>
                <w:color w:val="auto"/>
              </w:rPr>
            </w:pPr>
          </w:p>
        </w:tc>
        <w:tc>
          <w:tcPr>
            <w:tcW w:w="13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7"/>
                <w:szCs w:val="17"/>
                <w:color w:val="auto"/>
              </w:rPr>
            </w:pPr>
          </w:p>
        </w:tc>
        <w:tc>
          <w:tcPr>
            <w:tcW w:w="10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5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(5,900 )</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(2,994 )</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(998 )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(514 )</w:t>
            </w: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FF0FC"/>
          </w:tcPr>
          <w:p>
            <w:pPr>
              <w:spacing w:after="0"/>
              <w:rPr>
                <w:sz w:val="17"/>
                <w:szCs w:val="17"/>
                <w:color w:val="auto"/>
              </w:rPr>
            </w:pP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8/1/2026</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(5,580 )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(3,747 )</w:t>
            </w: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8/14/2028</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(6,257 )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(1,044 )</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3/1/2029</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(5,215 )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(1,106 )</w:t>
            </w:r>
          </w:p>
        </w:tc>
      </w:tr>
      <w:tr>
        <w:trPr>
          <w:trHeight w:val="225"/>
        </w:trPr>
        <w:tc>
          <w:tcPr>
            <w:tcW w:w="2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1,302,500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20"/>
              <w:spacing w:after="0" w:line="204" w:lineRule="exact"/>
              <w:rPr>
                <w:sz w:val="20"/>
                <w:szCs w:val="20"/>
                <w:color w:val="auto"/>
              </w:rPr>
            </w:pPr>
            <w:r>
              <w:rPr>
                <w:rFonts w:ascii="Times New Roman" w:cs="Times New Roman" w:eastAsia="Times New Roman" w:hAnsi="Times New Roman"/>
                <w:sz w:val="13"/>
                <w:szCs w:val="13"/>
                <w:color w:val="auto"/>
              </w:rPr>
              <w:t xml:space="preserve">(23,974 </w:t>
            </w:r>
            <w:r>
              <w:rPr>
                <w:rFonts w:ascii="Times New Roman" w:cs="Times New Roman" w:eastAsia="Times New Roman" w:hAnsi="Times New Roman"/>
                <w:sz w:val="23"/>
                <w:szCs w:val="23"/>
                <w:color w:val="auto"/>
                <w:vertAlign w:val="subscript"/>
              </w:rPr>
              <w:t>)</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14,594</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(9,380 </w:t>
            </w:r>
            <w:r>
              <w:rPr>
                <w:rFonts w:ascii="Times New Roman" w:cs="Times New Roman" w:eastAsia="Times New Roman" w:hAnsi="Times New Roman"/>
                <w:sz w:val="23"/>
                <w:szCs w:val="23"/>
                <w:color w:val="auto"/>
                <w:vertAlign w:val="subscript"/>
              </w:rPr>
              <w:t>)</w:t>
            </w:r>
          </w:p>
        </w:tc>
      </w:tr>
      <w:tr>
        <w:trPr>
          <w:trHeight w:val="20"/>
        </w:trPr>
        <w:tc>
          <w:tcPr>
            <w:tcW w:w="214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532"/>
        </w:trPr>
        <w:tc>
          <w:tcPr>
            <w:tcW w:w="2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2023</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2140" w:type="dxa"/>
            <w:vAlign w:val="bottom"/>
          </w:tcPr>
          <w:p>
            <w:pPr>
              <w:spacing w:after="0"/>
              <w:rPr>
                <w:sz w:val="16"/>
                <w:szCs w:val="16"/>
                <w:color w:val="auto"/>
              </w:rPr>
            </w:pPr>
          </w:p>
        </w:tc>
        <w:tc>
          <w:tcPr>
            <w:tcW w:w="212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6"/>
                <w:szCs w:val="16"/>
                <w:color w:val="auto"/>
              </w:rPr>
            </w:pPr>
          </w:p>
        </w:tc>
        <w:tc>
          <w:tcPr>
            <w:tcW w:w="13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6"/>
                <w:szCs w:val="16"/>
                <w:color w:val="auto"/>
              </w:rPr>
            </w:pPr>
          </w:p>
        </w:tc>
        <w:tc>
          <w:tcPr>
            <w:tcW w:w="10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8"/>
        </w:trPr>
        <w:tc>
          <w:tcPr>
            <w:tcW w:w="214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19"/>
                <w:szCs w:val="19"/>
                <w:color w:val="auto"/>
                <w:vertAlign w:val="superscript"/>
              </w:rPr>
              <w:t>(1)</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1/22/2023</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(663 )</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(232 )</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(5,231 )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(2,325 )</w:t>
            </w: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(888 )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(404 )</w:t>
            </w:r>
          </w:p>
        </w:tc>
      </w:tr>
      <w:tr>
        <w:trPr>
          <w:trHeight w:val="20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(24 )</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r>
      <w:tr>
        <w:trPr>
          <w:trHeight w:val="205"/>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8/1/2026</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(4,920 )</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(3,066 )</w:t>
            </w:r>
          </w:p>
        </w:tc>
      </w:tr>
      <w:tr>
        <w:trPr>
          <w:trHeight w:val="204"/>
        </w:trPr>
        <w:tc>
          <w:tcPr>
            <w:tcW w:w="21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652,500</w:t>
            </w:r>
          </w:p>
        </w:tc>
        <w:tc>
          <w:tcPr>
            <w:tcW w:w="5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3"/>
                <w:szCs w:val="13"/>
                <w:color w:val="auto"/>
              </w:rPr>
              <w:t xml:space="preserve">(11,726 </w:t>
            </w:r>
            <w:r>
              <w:rPr>
                <w:rFonts w:ascii="Times New Roman" w:cs="Times New Roman" w:eastAsia="Times New Roman" w:hAnsi="Times New Roman"/>
                <w:sz w:val="23"/>
                <w:szCs w:val="23"/>
                <w:color w:val="auto"/>
                <w:vertAlign w:val="subscript"/>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3"/>
                <w:szCs w:val="13"/>
                <w:color w:val="auto"/>
              </w:rPr>
              <w:t xml:space="preserve">(6,008 </w:t>
            </w:r>
            <w:r>
              <w:rPr>
                <w:rFonts w:ascii="Times New Roman" w:cs="Times New Roman" w:eastAsia="Times New Roman" w:hAnsi="Times New Roman"/>
                <w:sz w:val="23"/>
                <w:szCs w:val="23"/>
                <w:color w:val="auto"/>
                <w:vertAlign w:val="subscript"/>
              </w:rPr>
              <w:t>)</w:t>
            </w:r>
          </w:p>
        </w:tc>
      </w:tr>
      <w:tr>
        <w:trPr>
          <w:trHeight w:val="20"/>
        </w:trPr>
        <w:tc>
          <w:tcPr>
            <w:tcW w:w="2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of March 31, 2023, this interest rate swap had either matured or been terminated due to repayment of the underlying investment or security.</w:t>
      </w:r>
    </w:p>
    <w:p>
      <w:pPr>
        <w:spacing w:after="0" w:line="188" w:lineRule="exact"/>
        <w:rPr>
          <w:sz w:val="20"/>
          <w:szCs w:val="20"/>
          <w:color w:val="auto"/>
        </w:rPr>
      </w:pPr>
    </w:p>
    <w:p>
      <w:pPr>
        <w:ind w:left="20" w:right="20" w:firstLine="228"/>
        <w:spacing w:after="0" w:line="239" w:lineRule="auto"/>
        <w:rPr>
          <w:sz w:val="20"/>
          <w:szCs w:val="20"/>
          <w:color w:val="auto"/>
        </w:rPr>
      </w:pPr>
      <w:r>
        <w:rPr>
          <w:rFonts w:ascii="Times New Roman" w:cs="Times New Roman" w:eastAsia="Times New Roman" w:hAnsi="Times New Roman"/>
          <w:sz w:val="16"/>
          <w:szCs w:val="16"/>
          <w:color w:val="auto"/>
        </w:rPr>
        <w:t>For the three months ended March 31, 2024 and 2023, the Company recognized no net unrealized gains or losses and $0.2 million in net unrealized gains, respectively, on interest rate swaps not designated as hedging instruments in the Consolidated Statements of Operations related to the swap transactions. For the three months ended March 31, 2024 and 2023, the Company recognized $10.4 million in unrealized losses and $7.3 million in unrealized gains, respectively, on interest rate swaps designated as hedging instruments in the Consolidated Statements of Operations. For the three months ended March 31, 2024 and 2023, this amount is offset by an increase of $ 2.2 million and an increase of $3.2 million, respectively, for a change in the carrying value of the 2024 Notes, a decrease of $1.2 million and an increase of $4.1 million, respectively, for a change in carrying value of the 2026 Notes, a decrease of $6.2 million for a change in carrying value of the 2028 Notes and a decrease of $5.2 million for a change in carrying value of the 2029 Notes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2024, the swap transactions had a fair value of $(42.2) million which is netted against cash collateral on the Company’s Consolidated Balance Sheet.</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 of December 31, 2023, the swap transactions had a fair value of $(31.8) million which is netted against cash collateral on the Company’s Consolidated Balance Sheet.</w:t>
      </w:r>
    </w:p>
    <w:p>
      <w:pPr>
        <w:spacing w:after="0" w:line="193" w:lineRule="exact"/>
        <w:rPr>
          <w:sz w:val="20"/>
          <w:szCs w:val="20"/>
          <w:color w:val="auto"/>
        </w:rPr>
      </w:pPr>
    </w:p>
    <w:p>
      <w:pPr>
        <w:jc w:val="both"/>
        <w:ind w:left="20" w:right="10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left="20" w:right="80" w:firstLine="228"/>
        <w:spacing w:after="0" w:line="277" w:lineRule="auto"/>
        <w:rPr>
          <w:sz w:val="20"/>
          <w:szCs w:val="20"/>
          <w:color w:val="auto"/>
        </w:rPr>
      </w:pPr>
      <w:r>
        <w:rPr>
          <w:rFonts w:ascii="Times New Roman" w:cs="Times New Roman" w:eastAsia="Times New Roman" w:hAnsi="Times New Roman"/>
          <w:sz w:val="14"/>
          <w:szCs w:val="14"/>
          <w:color w:val="auto"/>
        </w:rPr>
        <w:t>As of March 31, 2024, $29.1 million of cash was pledged as collateral under the Company’s derivative agreements and is included in restricted cash as a component of cash and cash equivalents on the Company’s Consolidated Balance Sheet. As of December 31, 2023, $24.0 million of cash was pledged as collateral under the Company’s derivative agreements and is included in restricted cash as a component of cash and cash equivalents on the Company’s Consolidated Balance Sheet.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408305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32" w:name="page33"/>
    <w:bookmarkEnd w:id="32"/>
    <w:p>
      <w:pPr>
        <w:spacing w:after="0" w:line="207" w:lineRule="exact"/>
        <w:rPr>
          <w:sz w:val="20"/>
          <w:szCs w:val="20"/>
          <w:color w:val="auto"/>
        </w:rPr>
      </w:pPr>
    </w:p>
    <w:p>
      <w:pPr>
        <w:ind w:right="8020" w:firstLine="6"/>
        <w:spacing w:after="0" w:line="361" w:lineRule="auto"/>
        <w:tabs>
          <w:tab w:leader="none" w:pos="156"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March 31, 2024 and December 31, 2023:</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Fair Value Hierarchy at March 31, 2024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3,114,679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3,117,116</w:t>
            </w:r>
          </w:p>
        </w:tc>
        <w:tc>
          <w:tcPr>
            <w:tcW w:w="80" w:type="dxa"/>
            <w:vAlign w:val="bottom"/>
            <w:shd w:val="clear" w:color="auto" w:fill="CFF0FC"/>
          </w:tcPr>
          <w:p>
            <w:pPr>
              <w:spacing w:after="0"/>
              <w:rPr>
                <w:sz w:val="18"/>
                <w:szCs w:val="18"/>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40,077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41,460</w:t>
            </w:r>
          </w:p>
        </w:tc>
        <w:tc>
          <w:tcPr>
            <w:tcW w:w="80" w:type="dxa"/>
            <w:vAlign w:val="bottom"/>
            <w:shd w:val="clear" w:color="auto" w:fill="CFF0FC"/>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162,173</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30,591</w:t>
            </w:r>
          </w:p>
        </w:tc>
        <w:tc>
          <w:tcPr>
            <w:tcW w:w="80" w:type="dxa"/>
            <w:vAlign w:val="bottom"/>
            <w:shd w:val="clear" w:color="auto" w:fill="CFF0FC"/>
          </w:tcPr>
          <w:p>
            <w:pPr>
              <w:spacing w:after="0"/>
              <w:rPr>
                <w:sz w:val="17"/>
                <w:szCs w:val="17"/>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44,281</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3,330,769</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3,380,009</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(42,205 )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(42,205 )</w:t>
            </w: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3,330,769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3,337,804</w:t>
            </w: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2"/>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2,996,177</w:t>
            </w:r>
          </w:p>
        </w:tc>
        <w:tc>
          <w:tcPr>
            <w:tcW w:w="80" w:type="dxa"/>
            <w:vAlign w:val="bottom"/>
            <w:shd w:val="clear" w:color="auto" w:fill="CFF0FC"/>
          </w:tcPr>
          <w:p>
            <w:pPr>
              <w:spacing w:after="0"/>
              <w:rPr>
                <w:sz w:val="18"/>
                <w:szCs w:val="18"/>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39,471</w:t>
            </w:r>
          </w:p>
        </w:tc>
        <w:tc>
          <w:tcPr>
            <w:tcW w:w="80" w:type="dxa"/>
            <w:vAlign w:val="bottom"/>
            <w:shd w:val="clear" w:color="auto" w:fill="CFF0FC"/>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155,600</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55,842</w:t>
            </w:r>
          </w:p>
        </w:tc>
        <w:tc>
          <w:tcPr>
            <w:tcW w:w="80" w:type="dxa"/>
            <w:vAlign w:val="bottom"/>
            <w:shd w:val="clear" w:color="auto" w:fill="CFF0FC"/>
          </w:tcPr>
          <w:p>
            <w:pPr>
              <w:spacing w:after="0"/>
              <w:rPr>
                <w:sz w:val="17"/>
                <w:szCs w:val="17"/>
                <w:color w:val="auto"/>
              </w:rPr>
            </w:pP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68,928</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3,283,065</w:t>
            </w:r>
          </w:p>
        </w:tc>
        <w:tc>
          <w:tcPr>
            <w:tcW w:w="80" w:type="dxa"/>
            <w:vAlign w:val="bottom"/>
          </w:tcPr>
          <w:p>
            <w:pPr>
              <w:spacing w:after="0"/>
              <w:rPr>
                <w:sz w:val="17"/>
                <w:szCs w:val="17"/>
                <w:color w:val="auto"/>
              </w:rPr>
            </w:pPr>
          </w:p>
        </w:tc>
      </w:tr>
      <w:tr>
        <w:trPr>
          <w:trHeight w:val="205"/>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(31,840 )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(31,840 )</w:t>
            </w:r>
          </w:p>
        </w:tc>
      </w:tr>
      <w:tr>
        <w:trPr>
          <w:trHeight w:val="204"/>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37,088</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2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3,251,225</w:t>
            </w: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changes in the fair value of investments for which Level 3 inputs were used to determine the fair value as of and for the three months ended March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7"/>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Second-lien</w:t>
            </w:r>
          </w:p>
        </w:tc>
        <w:tc>
          <w:tcPr>
            <w:tcW w:w="12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2,993,786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140,331</w:t>
            </w:r>
          </w:p>
        </w:tc>
        <w:tc>
          <w:tcPr>
            <w:tcW w:w="4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3,208,957</w:t>
            </w:r>
          </w:p>
        </w:tc>
        <w:tc>
          <w:tcPr>
            <w:tcW w:w="80" w:type="dxa"/>
            <w:vAlign w:val="bottom"/>
            <w:shd w:val="clear" w:color="auto" w:fill="CFF0FC"/>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203,438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209,570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(87,349 )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(87,349 )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7"/>
                <w:szCs w:val="17"/>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(3,777 )</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(9,574 )</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(10,422 )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(619 )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(619 )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3,114,679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28,669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40,077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147,344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3,330,769</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5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3" w:name="page34"/>
    <w:bookmarkEnd w:id="33"/>
    <w:p>
      <w:pPr>
        <w:spacing w:after="0" w:line="293" w:lineRule="exact"/>
        <w:rPr>
          <w:sz w:val="20"/>
          <w:szCs w:val="20"/>
          <w:color w:val="auto"/>
        </w:rPr>
      </w:pPr>
    </w:p>
    <w:p>
      <w:pPr>
        <w:ind w:right="360" w:firstLine="264"/>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changes in the fair value of investments for which Level 3 inputs were used to determine the fair value as of and for the three months ended March 31, 2023:</w:t>
      </w:r>
    </w:p>
    <w:p>
      <w:pPr>
        <w:spacing w:after="0" w:line="370"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8"/>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Second-lien</w:t>
            </w:r>
          </w:p>
        </w:tc>
        <w:tc>
          <w:tcPr>
            <w:tcW w:w="120" w:type="dxa"/>
            <w:vAlign w:val="bottom"/>
          </w:tcPr>
          <w:p>
            <w:pPr>
              <w:spacing w:after="0"/>
              <w:rPr>
                <w:sz w:val="14"/>
                <w:szCs w:val="14"/>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5"/>
                <w:szCs w:val="15"/>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2,495,959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2,693,938</w:t>
            </w:r>
          </w:p>
        </w:tc>
        <w:tc>
          <w:tcPr>
            <w:tcW w:w="80" w:type="dxa"/>
            <w:vAlign w:val="bottom"/>
            <w:shd w:val="clear" w:color="auto" w:fill="CFF0FC"/>
          </w:tcPr>
          <w:p>
            <w:pPr>
              <w:spacing w:after="0"/>
              <w:rPr>
                <w:sz w:val="18"/>
                <w:szCs w:val="18"/>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174,953</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(57,338 )</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(5,255 )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(62,593 )</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(827 )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(11,100 )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80" w:type="dxa"/>
            <w:vAlign w:val="bottom"/>
            <w:shd w:val="clear" w:color="auto" w:fill="CFF0FC"/>
          </w:tcPr>
          <w:p>
            <w:pPr>
              <w:spacing w:after="0"/>
              <w:rPr>
                <w:sz w:val="17"/>
                <w:szCs w:val="17"/>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80" w:type="dxa"/>
            <w:vAlign w:val="bottom"/>
          </w:tcPr>
          <w:p>
            <w:pPr>
              <w:spacing w:after="0"/>
              <w:rPr>
                <w:sz w:val="17"/>
                <w:szCs w:val="17"/>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shd w:val="clear" w:color="auto" w:fill="CFF0FC"/>
          </w:tcPr>
          <w:p>
            <w:pPr>
              <w:spacing w:after="0"/>
              <w:rPr>
                <w:sz w:val="17"/>
                <w:szCs w:val="17"/>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2,628,849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44,805</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136,769</w:t>
            </w:r>
          </w:p>
        </w:tc>
        <w:tc>
          <w:tcPr>
            <w:tcW w:w="1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2,821,516</w:t>
            </w:r>
          </w:p>
        </w:tc>
        <w:tc>
          <w:tcPr>
            <w:tcW w:w="8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March 31, 2024 and 2023:</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40" w:type="dxa"/>
            <w:vAlign w:val="bottom"/>
          </w:tcPr>
          <w:p>
            <w:pPr>
              <w:spacing w:after="0"/>
              <w:rPr>
                <w:sz w:val="15"/>
                <w:szCs w:val="15"/>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80"/>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140" w:type="dxa"/>
            <w:vAlign w:val="bottom"/>
          </w:tcPr>
          <w:p>
            <w:pPr>
              <w:spacing w:after="0"/>
              <w:rPr>
                <w:sz w:val="15"/>
                <w:szCs w:val="15"/>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Gains or (Losses)</w:t>
            </w:r>
          </w:p>
        </w:tc>
      </w:tr>
      <w:tr>
        <w:trPr>
          <w:trHeight w:val="180"/>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0" w:type="dxa"/>
            <w:vAlign w:val="bottom"/>
          </w:tcPr>
          <w:p>
            <w:pPr>
              <w:spacing w:after="0"/>
              <w:rPr>
                <w:sz w:val="15"/>
                <w:szCs w:val="15"/>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80"/>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March 31, 2024 on</w:t>
            </w:r>
          </w:p>
        </w:tc>
        <w:tc>
          <w:tcPr>
            <w:tcW w:w="140" w:type="dxa"/>
            <w:vAlign w:val="bottom"/>
          </w:tcPr>
          <w:p>
            <w:pPr>
              <w:spacing w:after="0"/>
              <w:rPr>
                <w:sz w:val="15"/>
                <w:szCs w:val="15"/>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March 31, 2023 on</w:t>
            </w:r>
          </w:p>
        </w:tc>
      </w:tr>
      <w:tr>
        <w:trPr>
          <w:trHeight w:val="180"/>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40" w:type="dxa"/>
            <w:vAlign w:val="bottom"/>
          </w:tcPr>
          <w:p>
            <w:pPr>
              <w:spacing w:after="0"/>
              <w:rPr>
                <w:sz w:val="15"/>
                <w:szCs w:val="15"/>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8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March 31, 2024</w:t>
            </w:r>
          </w:p>
        </w:tc>
        <w:tc>
          <w:tcPr>
            <w:tcW w:w="140" w:type="dxa"/>
            <w:vAlign w:val="bottom"/>
          </w:tcPr>
          <w:p>
            <w:pPr>
              <w:spacing w:after="0"/>
              <w:rPr>
                <w:sz w:val="16"/>
                <w:szCs w:val="16"/>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(2,853 )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100" w:type="dxa"/>
            <w:vAlign w:val="bottom"/>
            <w:shd w:val="clear" w:color="auto" w:fill="CFF0FC"/>
          </w:tcPr>
          <w:p>
            <w:pPr>
              <w:spacing w:after="0"/>
              <w:rPr>
                <w:sz w:val="18"/>
                <w:szCs w:val="18"/>
                <w:color w:val="auto"/>
              </w:rPr>
            </w:pPr>
          </w:p>
        </w:tc>
      </w:tr>
      <w:tr>
        <w:trPr>
          <w:trHeight w:val="20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7"/>
                <w:szCs w:val="17"/>
                <w:color w:val="auto"/>
              </w:rPr>
            </w:pP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(9,574 )</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(827 )</w:t>
            </w:r>
          </w:p>
        </w:tc>
      </w:tr>
      <w:tr>
        <w:trPr>
          <w:trHeight w:val="20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FF0FC"/>
          </w:tcPr>
          <w:p>
            <w:pPr>
              <w:spacing w:after="0"/>
              <w:rPr>
                <w:sz w:val="17"/>
                <w:szCs w:val="17"/>
                <w:color w:val="auto"/>
              </w:rPr>
            </w:pPr>
          </w:p>
        </w:tc>
      </w:tr>
      <w:tr>
        <w:trPr>
          <w:trHeight w:val="20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(6,559 )</w:t>
            </w:r>
          </w:p>
        </w:tc>
      </w:tr>
      <w:tr>
        <w:trPr>
          <w:trHeight w:val="225"/>
        </w:trPr>
        <w:tc>
          <w:tcPr>
            <w:tcW w:w="4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gridSpan w:val="2"/>
            <w:shd w:val="clear" w:color="auto" w:fill="CFF0FC"/>
          </w:tcPr>
          <w:p>
            <w:pPr>
              <w:jc w:val="right"/>
              <w:ind w:right="140"/>
              <w:spacing w:after="0" w:line="204" w:lineRule="exact"/>
              <w:rPr>
                <w:sz w:val="20"/>
                <w:szCs w:val="20"/>
                <w:color w:val="auto"/>
              </w:rPr>
            </w:pPr>
            <w:r>
              <w:rPr>
                <w:rFonts w:ascii="Times New Roman" w:cs="Times New Roman" w:eastAsia="Times New Roman" w:hAnsi="Times New Roman"/>
                <w:sz w:val="13"/>
                <w:szCs w:val="13"/>
                <w:color w:val="auto"/>
              </w:rPr>
              <w:t xml:space="preserve">(9,499 </w:t>
            </w:r>
            <w:r>
              <w:rPr>
                <w:rFonts w:ascii="Times New Roman" w:cs="Times New Roman" w:eastAsia="Times New Roman" w:hAnsi="Times New Roman"/>
                <w:sz w:val="23"/>
                <w:szCs w:val="23"/>
                <w:color w:val="auto"/>
                <w:vertAlign w:val="subscript"/>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10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9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presents the fair value of Level 3 Investments at fair value and the significant unobservable inputs used in the valuations as of March 31, 2024 and December 31, 2023. The tables are not intended to be all-inclusive, but instead capture the significant unobservable inputs relevant to the Company’s determination of fair values.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20" w:type="dxa"/>
            <w:vAlign w:val="bottom"/>
          </w:tcPr>
          <w:p>
            <w:pPr>
              <w:ind w:left="10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Impact to Valuation</w:t>
            </w:r>
          </w:p>
        </w:tc>
      </w:tr>
      <w:tr>
        <w:trPr>
          <w:trHeight w:val="174"/>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2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from an</w:t>
            </w:r>
          </w:p>
        </w:tc>
      </w:t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2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72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r>
      <w:tr>
        <w:trPr>
          <w:trHeight w:val="19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3,114,679</w:t>
            </w:r>
          </w:p>
        </w:tc>
        <w:tc>
          <w:tcPr>
            <w:tcW w:w="1640" w:type="dxa"/>
            <w:vAlign w:val="bottom"/>
            <w:shd w:val="clear" w:color="auto" w:fill="CFF0FC"/>
          </w:tcPr>
          <w:p>
            <w:pPr>
              <w:ind w:left="220"/>
              <w:spacing w:after="0" w:line="196"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9.4% — 17.9% (14.0%)</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1640" w:type="dxa"/>
            <w:vAlign w:val="bottom"/>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15.3% — 22.0% (17.6%)</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40,077</w:t>
            </w:r>
          </w:p>
        </w:tc>
        <w:tc>
          <w:tcPr>
            <w:tcW w:w="1640" w:type="dxa"/>
            <w:vAlign w:val="bottom"/>
            <w:shd w:val="clear" w:color="auto" w:fill="CFF0FC"/>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13.7% — 22.5% (14.5%)</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147,344</w:t>
            </w:r>
          </w:p>
        </w:tc>
        <w:tc>
          <w:tcPr>
            <w:tcW w:w="1640" w:type="dxa"/>
            <w:vAlign w:val="bottom"/>
          </w:tcPr>
          <w:p>
            <w:pPr>
              <w:ind w:left="220"/>
              <w:spacing w:after="0" w:line="216"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2.0x — 20.4x (7.4x)</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r>
      <w:tr>
        <w:trPr>
          <w:trHeight w:val="231"/>
        </w:trPr>
        <w:tc>
          <w:tcPr>
            <w:tcW w:w="2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3,330,769</w:t>
            </w:r>
          </w:p>
        </w:tc>
        <w:tc>
          <w:tcPr>
            <w:tcW w:w="164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$114.5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$17.6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6"/>
          <w:szCs w:val="16"/>
          <w:color w:val="auto"/>
        </w:rPr>
        <w:t>(4)Includes $4.3 million of equity investments which were valued using an asset valuation waterfall, $0.4 million of equity investments using a Black-Scholes model, and $15.8 million using discounted cash flow analysis.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34" w:name="page35"/>
    <w:bookmarkEnd w:id="34"/>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8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8"/>
              </w:rPr>
              <w:t>from an</w:t>
            </w:r>
          </w:p>
        </w:tc>
      </w:tr>
      <w:tr>
        <w:trPr>
          <w:trHeight w:val="184"/>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8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2,993,786</w:t>
            </w:r>
          </w:p>
        </w:tc>
        <w:tc>
          <w:tcPr>
            <w:tcW w:w="16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8.7% — 17.9% (14.2%)</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204"/>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35,975</w:t>
            </w:r>
          </w:p>
        </w:tc>
        <w:tc>
          <w:tcPr>
            <w:tcW w:w="1620" w:type="dxa"/>
            <w:vAlign w:val="bottom"/>
          </w:tcPr>
          <w:p>
            <w:pPr>
              <w:ind w:left="200"/>
              <w:spacing w:after="0" w:line="204"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15.3% — 21.7% (17.6%)</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38,865</w:t>
            </w:r>
          </w:p>
        </w:tc>
        <w:tc>
          <w:tcPr>
            <w:tcW w:w="1620" w:type="dxa"/>
            <w:vAlign w:val="bottom"/>
            <w:shd w:val="clear" w:color="auto" w:fill="CFF0FC"/>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14.6% — 22.5% (15.4%)</w:t>
            </w:r>
          </w:p>
        </w:tc>
        <w:tc>
          <w:tcPr>
            <w:tcW w:w="1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r>
      <w:tr>
        <w:trPr>
          <w:trHeight w:val="192"/>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140,331</w:t>
            </w:r>
          </w:p>
        </w:tc>
        <w:tc>
          <w:tcPr>
            <w:tcW w:w="1620" w:type="dxa"/>
            <w:vAlign w:val="bottom"/>
          </w:tcPr>
          <w:p>
            <w:pPr>
              <w:ind w:left="200"/>
              <w:spacing w:after="0" w:line="192"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2.0x — 19.2x (6.7x)</w:t>
            </w:r>
          </w:p>
        </w:tc>
        <w:tc>
          <w:tcPr>
            <w:tcW w:w="1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r>
      <w:tr>
        <w:trPr>
          <w:trHeight w:val="231"/>
        </w:trPr>
        <w:tc>
          <w:tcPr>
            <w:tcW w:w="2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3,208,957</w:t>
            </w:r>
          </w:p>
        </w:tc>
        <w:tc>
          <w:tcPr>
            <w:tcW w:w="1620" w:type="dxa"/>
            <w:vAlign w:val="bottom"/>
            <w:tcBorders>
              <w:bottom w:val="single" w:sz="8" w:color="CFF0FC"/>
            </w:tcBorders>
            <w:shd w:val="clear" w:color="auto" w:fill="CFF0FC"/>
          </w:tcPr>
          <w:p>
            <w:pPr>
              <w:spacing w:after="0"/>
              <w:rPr>
                <w:sz w:val="20"/>
                <w:szCs w:val="20"/>
                <w:color w:val="auto"/>
              </w:rPr>
            </w:pPr>
          </w:p>
        </w:tc>
        <w:tc>
          <w:tcPr>
            <w:tcW w:w="208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$63.4 million of debt investments which were valued using an asset valuation waterfall.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$27.2 million of debt investments which were valued using an asset valuation waterfall.</w:t>
      </w:r>
    </w:p>
    <w:p>
      <w:pPr>
        <w:spacing w:after="0" w:line="234" w:lineRule="auto"/>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(4)Includes $6.4 million of equity investments which were valued using an asset valuation waterfall, $2.4 million of equity investments using a Black-Scholes model,</w:t>
      </w:r>
    </w:p>
    <w:p>
      <w:pPr>
        <w:spacing w:after="0" w:line="1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$15.7 million of equity investments using a discounted cash flow analysis and $6.2 million of equity investments which, due to the proximity of the transactions relative to the measurement dates, we valued using the cost of the investments.</w:t>
      </w:r>
    </w:p>
    <w:p>
      <w:pPr>
        <w:spacing w:after="0" w:line="169"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March 31, 2024 and December 31, 2023, approximates its carrying value as the outstanding balance is callable at carrying value.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presents the fair value of the Company’s 2024 Notes, 2026 Notes, 2028 Notes and 2029 Notes, as of March 31, 2024 and December 31, 2023.</w:t>
      </w: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1"/>
        </w:trPr>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93"/>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16"/>
                <w:szCs w:val="16"/>
                <w:b w:val="1"/>
                <w:bCs w:val="1"/>
                <w:color w:val="auto"/>
                <w:w w:val="95"/>
                <w:vertAlign w:val="superscript"/>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16"/>
                <w:szCs w:val="16"/>
                <w:b w:val="1"/>
                <w:bCs w:val="1"/>
                <w:color w:val="auto"/>
                <w:w w:val="95"/>
                <w:vertAlign w:val="superscript"/>
              </w:rPr>
              <w:t>(1)</w:t>
            </w:r>
          </w:p>
        </w:tc>
      </w:tr>
      <w:tr>
        <w:trPr>
          <w:trHeight w:val="204"/>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6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342,988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340,862</w:t>
            </w:r>
          </w:p>
        </w:tc>
        <w:tc>
          <w:tcPr>
            <w:tcW w:w="100" w:type="dxa"/>
            <w:vAlign w:val="bottom"/>
            <w:shd w:val="clear" w:color="auto" w:fill="CFF0FC"/>
          </w:tcPr>
          <w:p>
            <w:pPr>
              <w:spacing w:after="0"/>
              <w:rPr>
                <w:sz w:val="17"/>
                <w:szCs w:val="17"/>
                <w:color w:val="auto"/>
              </w:rPr>
            </w:pPr>
          </w:p>
        </w:tc>
      </w:tr>
      <w:tr>
        <w:trPr>
          <w:trHeight w:val="204"/>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273,410</w:t>
            </w:r>
          </w:p>
        </w:tc>
        <w:tc>
          <w:tcPr>
            <w:tcW w:w="100" w:type="dxa"/>
            <w:vAlign w:val="bottom"/>
          </w:tcPr>
          <w:p>
            <w:pPr>
              <w:spacing w:after="0"/>
              <w:rPr>
                <w:sz w:val="17"/>
                <w:szCs w:val="17"/>
                <w:color w:val="auto"/>
              </w:rPr>
            </w:pPr>
          </w:p>
        </w:tc>
      </w:tr>
      <w:tr>
        <w:trPr>
          <w:trHeight w:val="20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307,730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309,420</w:t>
            </w:r>
          </w:p>
        </w:tc>
        <w:tc>
          <w:tcPr>
            <w:tcW w:w="100" w:type="dxa"/>
            <w:vAlign w:val="bottom"/>
            <w:shd w:val="clear" w:color="auto" w:fill="CFF0FC"/>
          </w:tcPr>
          <w:p>
            <w:pPr>
              <w:spacing w:after="0"/>
              <w:rPr>
                <w:sz w:val="17"/>
                <w:szCs w:val="17"/>
                <w:color w:val="auto"/>
              </w:rPr>
            </w:pPr>
          </w:p>
        </w:tc>
      </w:tr>
      <w:tr>
        <w:trPr>
          <w:trHeight w:val="204"/>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3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1,297,500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1,274,876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947,500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923,692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carrying amounts of the Company’s assets and liabilities, other than investments at fair value and the 2024 Notes, 2026 Notes, 2028 Notes and 2029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5" w:name="page36"/>
    <w:bookmarkEnd w:id="35"/>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190" w:lineRule="exact"/>
        <w:rPr>
          <w:sz w:val="20"/>
          <w:szCs w:val="20"/>
          <w:color w:val="auto"/>
        </w:rPr>
      </w:pPr>
    </w:p>
    <w:p>
      <w:pPr>
        <w:ind w:right="340" w:firstLine="228"/>
        <w:spacing w:after="0" w:line="331" w:lineRule="auto"/>
        <w:rPr>
          <w:sz w:val="20"/>
          <w:szCs w:val="20"/>
          <w:color w:val="auto"/>
        </w:rPr>
      </w:pPr>
      <w:r>
        <w:rPr>
          <w:rFonts w:ascii="Times New Roman" w:cs="Times New Roman" w:eastAsia="Times New Roman" w:hAnsi="Times New Roman"/>
          <w:sz w:val="14"/>
          <w:szCs w:val="14"/>
          <w:color w:val="auto"/>
        </w:rPr>
        <w:t>In August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As of March 31, 2024, aggregate commitments under the facility were $1.685 billion. The facility includes an uncommitted accordion feature that allows us, under certain circumstances, to increase the size of the facility to up to $2.0 billion.</w:t>
      </w:r>
    </w:p>
    <w:p>
      <w:pPr>
        <w:spacing w:after="0" w:line="155"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Pursuant to the Fourteenth Amendment, with respect to $1.465 billion in commitments, the revolving period, during which period we, subject to certain conditions, may make borrowings under the facility, was extended to June 11, 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28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increased to $1.7 billion. With respect to $ 1.505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March 31, 2024, the Company had outstanding debt denominated in Australian dollars (AUD) of 64.9 million, British pounds (GBP) of 32.8 million, Canadian dollars (CAD) of 42.9 million, Swedish Krona (SEK) of 78.1 million and Euro (EUR) of 56.3 million on its Revolving Credit Facility, included in the Outstanding Principal amount in the table below.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16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March 31, 2024 and December 31, 2023 the Company had $0.1 million and $0.2 million, respectively, of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$500 million plus 25% of the net proceeds of the sale of equity interests after January 31, 2020; and</w:t>
      </w:r>
    </w:p>
    <w:p>
      <w:pPr>
        <w:spacing w:after="0" w:line="92" w:lineRule="exact"/>
        <w:rPr>
          <w:sz w:val="20"/>
          <w:szCs w:val="20"/>
          <w:color w:val="auto"/>
        </w:rPr>
      </w:pPr>
    </w:p>
    <w:p>
      <w:pPr>
        <w:ind w:left="240" w:right="300"/>
        <w:spacing w:after="0" w:line="246" w:lineRule="auto"/>
        <w:rPr>
          <w:sz w:val="20"/>
          <w:szCs w:val="20"/>
          <w:color w:val="auto"/>
        </w:rPr>
      </w:pPr>
      <w:r>
        <w:rPr>
          <w:rFonts w:ascii="Times New Roman" w:cs="Times New Roman" w:eastAsia="Times New Roman" w:hAnsi="Times New Roman"/>
          <w:sz w:val="16"/>
          <w:szCs w:val="16"/>
          <w:color w:val="auto"/>
        </w:rPr>
        <w:t>•a minimum asset coverage ratio of no less than 2 to 1 with respect to (i) the consolidated assets of the Company and the subsidiary guarantors (including certain limitations on the contribution of equity in financing subsidiaries) to (ii) the secured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 w:name="page37"/>
    <w:bookmarkEnd w:id="36"/>
    <w:p>
      <w:pPr>
        <w:spacing w:after="0" w:line="17"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debt of the Company and its subsidiary guarantors plus unsecured senior securities of the Company and its subsidiary guarantors that mature within 90 days of the date of determination (the “Obligor Asset Coverage Ratio”).</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Pursuant to the Fifteenth Amendment dated April 24, 2024, the financial covenants were revised to require stockholders’ equity of at least $650 million plus 25% of the net proceeds of the sale of equity interests after April 24, 2024.</w:t>
      </w:r>
    </w:p>
    <w:p>
      <w:pPr>
        <w:spacing w:after="0" w:line="155"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 in February 2024 and net proceeds received from the issuance of the 2029 Notes were used to pay down borrowings on the Revolving Credit Facility.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March 31, 2024 and December 31, 2023, the Company was in compliance with the terms of the Revolving Credit Facility.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69"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69" w:lineRule="exact"/>
        <w:rPr>
          <w:sz w:val="20"/>
          <w:szCs w:val="20"/>
          <w:color w:val="auto"/>
        </w:rPr>
      </w:pPr>
    </w:p>
    <w:p>
      <w:pPr>
        <w:ind w:right="200" w:firstLine="228"/>
        <w:spacing w:after="0" w:line="278" w:lineRule="auto"/>
        <w:rPr>
          <w:sz w:val="20"/>
          <w:szCs w:val="20"/>
          <w:color w:val="auto"/>
        </w:rPr>
      </w:pPr>
      <w:r>
        <w:rPr>
          <w:rFonts w:ascii="Times New Roman" w:cs="Times New Roman" w:eastAsia="Times New Roman" w:hAnsi="Times New Roman"/>
          <w:sz w:val="14"/>
          <w:szCs w:val="14"/>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March 31, 2024 and December 31, 2023, the effective hedge interest rate swaps had a fair value of $(8.2) million and $(10.4) million, respectively, which is offset within interest expense by an equal, but opposite, fair value change for the hedged risk on the 2024 Notes.</w:t>
      </w:r>
    </w:p>
    <w:p>
      <w:pPr>
        <w:spacing w:after="0" w:line="14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March 31, 2024 and December 31, 2023, the effective hedge interest rate swaps had a fair value of $(27.3) million and $(26.1)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March 31, 2024 and December 31, 2023, the effective hedge interest rate swaps had a fair value of $(1.5) million and $4.7 million, respectively, which is offset within interest expense by an equal, but opposite, fair value change for the hedged risk on the 2028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On January 8,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3"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As of March 31, 2024, the effective hedge interest rate swaps had a fair value of $(5.2) million which is offset within interest expense by an equal, but opposite, fair value change for the hedged risk on the 2029 Notes.</w:t>
      </w:r>
    </w:p>
    <w:p>
      <w:pPr>
        <w:spacing w:after="0" w:line="169"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2024 and 2023, the components of interest expense related to the 2024 Notes, 2026 Notes, 2028 Notes and 2029 Notes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gridSpan w:val="4"/>
          </w:tcPr>
          <w:p>
            <w:pPr>
              <w:jc w:val="right"/>
              <w:ind w:right="94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5,635</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192</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474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6,301</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64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 w:name="page39"/>
    <w:bookmarkEnd w:id="38"/>
    <w:p>
      <w:pPr>
        <w:spacing w:after="0" w:line="12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2024 Notes, 2026 Notes, 2028 Notes and 2029 Notes. During the three months ended March 31, 2024 and 2023, the Company received $14.6 million and $ 5.7 million, respectively, and paid $24.0 million and $ 11.7 million, respectively, related to the settlements of its interest rate swaps, excluding upfront fees, related to the 2024 Notes, 2026 Notes, 2028 Notes and 2029 Notes. These net amounts are reflected in interest expense in the Company’s Consolidated Statements of Operations. See Note 5 for further information about the Company’s interest rate swaps.</w:t>
      </w:r>
    </w:p>
    <w:p>
      <w:pPr>
        <w:spacing w:after="0" w:line="169"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March 31, 2024 and December 31, 2023, the components of the carrying value of the 2024 Notes, 2026 Notes, 2028 Notes and 2029 Notes and the stated interest rate were as follows:</w:t>
      </w:r>
    </w:p>
    <w:p>
      <w:pPr>
        <w:spacing w:after="0" w:line="238"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2028</w:t>
            </w:r>
          </w:p>
        </w:tc>
        <w:tc>
          <w:tcPr>
            <w:tcW w:w="1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8"/>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100" w:type="dxa"/>
            <w:vAlign w:val="bottom"/>
          </w:tcPr>
          <w:p>
            <w:pPr>
              <w:spacing w:after="0"/>
              <w:rPr>
                <w:sz w:val="15"/>
                <w:szCs w:val="15"/>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5"/>
                <w:szCs w:val="15"/>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Notes</w:t>
            </w:r>
          </w:p>
        </w:tc>
      </w:tr>
      <w:tr>
        <w:trPr>
          <w:trHeight w:val="183"/>
        </w:trPr>
        <w:tc>
          <w:tcPr>
            <w:tcW w:w="3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347,50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300,00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300,00</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amount of debt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$300,000</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3"/>
              </w:rPr>
              <w:t>$ 350,000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347,500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Original issue discount, net of accretion</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(235 )</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(972 )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(1,598 )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(3,256 )</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(335 )</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8"/>
              </w:rPr>
              <w:t>(1,072 )</w:t>
            </w:r>
          </w:p>
        </w:tc>
        <w:tc>
          <w:tcPr>
            <w:tcW w:w="1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(1,675 )</w:t>
            </w:r>
          </w:p>
        </w:tc>
        <w:tc>
          <w:tcPr>
            <w:tcW w:w="40" w:type="dxa"/>
            <w:vAlign w:val="bottom"/>
          </w:tcPr>
          <w:p>
            <w:pPr>
              <w:spacing w:after="0"/>
              <w:rPr>
                <w:sz w:val="17"/>
                <w:szCs w:val="17"/>
                <w:color w:val="auto"/>
              </w:rPr>
            </w:pPr>
          </w:p>
        </w:tc>
      </w:tr>
      <w:tr>
        <w:trPr>
          <w:trHeight w:val="20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(599 )</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(1,746 )</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(3,778 )</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(4,832 )</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(852 )</w:t>
            </w: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8"/>
              </w:rPr>
              <w:t>(1,932 )</w:t>
            </w:r>
          </w:p>
        </w:tc>
        <w:tc>
          <w:tcPr>
            <w:tcW w:w="1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(3,994 )</w:t>
            </w:r>
          </w:p>
        </w:tc>
        <w:tc>
          <w:tcPr>
            <w:tcW w:w="40" w:type="dxa"/>
            <w:vAlign w:val="bottom"/>
          </w:tcPr>
          <w:p>
            <w:pPr>
              <w:spacing w:after="0"/>
              <w:rPr>
                <w:sz w:val="17"/>
                <w:szCs w:val="17"/>
                <w:color w:val="auto"/>
              </w:rPr>
            </w:pPr>
          </w:p>
        </w:tc>
      </w:tr>
      <w:tr>
        <w:trPr>
          <w:trHeight w:val="179"/>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(26,11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an effective hedge</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(8,190 )</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(27,338 )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(1,534 )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(5,143 )</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(10,409 )</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3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338,47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270,88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299,01</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45"/>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269,944</w:t>
            </w: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293,090</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 xml:space="preserve"> 336,769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335,904</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1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Stated interest rate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3.88 %</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6.95 %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6.13 %</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6.95 %</w:t>
            </w:r>
          </w:p>
        </w:tc>
      </w:tr>
    </w:tbl>
    <w:p>
      <w:pPr>
        <w:spacing w:after="0" w:line="193"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March 31, 2024, the Company's swap-adjusted interest rate on the 2024 Notes, 2026 Notes, 2028 Notes and 2029 Notes was SOFR plus 2.54% (on a weighted average basis), 2.17%, 2.99% and 2.44%, respectively. As of December 31, 2023, the Company's swap-adjusted interest rate on the 2024 Notes, 2026 Notes and 2028 Notes was SOFR plus 2.54% (on a weighted average basis), 2.17%, and 2.99%, respectively.</w:t>
      </w:r>
    </w:p>
    <w:p>
      <w:pPr>
        <w:spacing w:after="0" w:line="167"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As of March 31, 2024, the Company was in compliance with the terms of the indentures governing the 2024 Notes, 2026 Notes 2028 Notes and 2029 Notes. As of December 31, 2023, the Company was in compliance with the terms of the indentures governing the 2024 Notes, 2026 Notes and 2028 Notes.</w:t>
      </w:r>
    </w:p>
    <w:p>
      <w:pPr>
        <w:spacing w:after="0" w:line="155"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March 31, 2024 and December 31, 2023, the Company’s asset coverage was 184.5% and 181.6%,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March 31, 2024 and December 31,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0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0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1,685,000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580,371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1,104,568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566,068</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338,476</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269,944</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293,090</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336,769</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2,982,500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1,877,871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1,104,568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1,804,347</w:t>
            </w:r>
          </w:p>
        </w:tc>
        <w:tc>
          <w:tcPr>
            <w:tcW w:w="10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2028 Notes and 2029 Notes are presented net of the combination of deferred financing costs and original issue discounts totaling $14.3 million, $0.8 million, $2.7 million, $5.4 million and $8.1 million, respectively.</w:t>
      </w:r>
    </w:p>
    <w:p>
      <w:pPr>
        <w:spacing w:after="0" w:line="1"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6"/>
          <w:szCs w:val="16"/>
          <w:color w:val="auto"/>
        </w:rPr>
        <w:t>(3)The carrying values of the 2024 Notes, 2026 Notes, 2028 Notes and 2029 Notes are presented inclusive of an incremental $ (8.2) million, $(27.3) million, $(1.5) million and $(5.2) million, respectively, which represents an adjustment in the carrying values of the 2024 Notes, 2026 Notes, 2028 Notes and 2029 Notes, each resulting from a hedge accounting relationship.</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9" w:name="page40"/>
    <w:bookmarkEnd w:id="39"/>
    <w:p>
      <w:pPr>
        <w:spacing w:after="0" w:line="65"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0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0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889,659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38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874,507</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335,904</w:t>
            </w:r>
          </w:p>
        </w:tc>
        <w:tc>
          <w:tcPr>
            <w:tcW w:w="10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270,885</w:t>
            </w:r>
          </w:p>
        </w:tc>
        <w:tc>
          <w:tcPr>
            <w:tcW w:w="100" w:type="dxa"/>
            <w:vAlign w:val="bottom"/>
            <w:shd w:val="clear" w:color="auto" w:fill="CFF0FC"/>
          </w:tcPr>
          <w:p>
            <w:pPr>
              <w:spacing w:after="0"/>
              <w:rPr>
                <w:sz w:val="17"/>
                <w:szCs w:val="17"/>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299,011</w:t>
            </w:r>
          </w:p>
        </w:tc>
        <w:tc>
          <w:tcPr>
            <w:tcW w:w="100" w:type="dxa"/>
            <w:vAlign w:val="bottom"/>
          </w:tcPr>
          <w:p>
            <w:pPr>
              <w:spacing w:after="0"/>
              <w:rPr>
                <w:sz w:val="17"/>
                <w:szCs w:val="17"/>
                <w:color w:val="auto"/>
              </w:rPr>
            </w:pPr>
          </w:p>
        </w:tc>
      </w:tr>
      <w:tr>
        <w:trPr>
          <w:trHeight w:val="245"/>
        </w:trPr>
        <w:tc>
          <w:tcPr>
            <w:tcW w:w="3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2,657,500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1,837,159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4"/>
          <w:szCs w:val="14"/>
          <w:color w:val="auto"/>
        </w:rPr>
        <w:t>(3)The carrying values of the 2024 Notes, 2026 Notes and 2028 Notes are presented inclusive of an incremental $(10.4) million, $ (26.1) million and $4.7 million, respectively, which represents an adjustment in the carrying values of the 2024 Notes, 2026 Notes and 2028 Notes, each resulting from a hedge accounting relationship.</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months ended March 31, 2024 and 2023, the components of interest expense were as follows:</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6"/>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84"/>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20" w:type="dxa"/>
            <w:vAlign w:val="bottom"/>
          </w:tcPr>
          <w:p>
            <w:pPr>
              <w:spacing w:after="0"/>
              <w:rPr>
                <w:sz w:val="16"/>
                <w:szCs w:val="16"/>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 fees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Swap settlement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39,032</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50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1,883.9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1,569.4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7.6 %</w:t>
            </w: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286" w:lineRule="exact"/>
        <w:rPr>
          <w:sz w:val="20"/>
          <w:szCs w:val="20"/>
          <w:color w:val="auto"/>
        </w:rPr>
      </w:pPr>
    </w:p>
    <w:p>
      <w:pPr>
        <w:ind w:right="8120" w:firstLine="6"/>
        <w:spacing w:after="0" w:line="413" w:lineRule="auto"/>
        <w:tabs>
          <w:tab w:leader="none" w:pos="15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right="200" w:firstLine="228"/>
        <w:spacing w:after="0" w:line="239"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40" w:name="page41"/>
    <w:bookmarkEnd w:id="40"/>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March 31, 2024 and December 31, 2023, the Company had the following commitments to fund investments in current portfolio companies:</w:t>
      </w:r>
    </w:p>
    <w:p>
      <w:pPr>
        <w:spacing w:after="0" w:line="12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Alaska Bidco Oy - Delayed Draw &amp; Revolver</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Aptean, Inc. - Delayed Draw &amp; Revolver</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Arrow Buyer, Inc. - Delayed Draw</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Artisan Bidco, Inc.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ASG II, LLC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Avalara, Inc.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Axonify, Inc.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Azurite Intermediate Holdings, Inc. - Delayed Draw, Revolver &amp; Equity</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Babylon Finco Limited - Delayed Draw</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Banyan Software Holdings, LLC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24,236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BCTO Bluebill Buyer, Inc.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Ben Nevis Midco Limited - Delayed Draw</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BlueSnap, Inc.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Cordance Operations, LLC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Coupa Holdings, LLC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Crewline Buyer, Inc. - Revolver &amp; Equity</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Disco Parent, Inc.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Dye &amp; Durham Corp.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9,833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7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Edge Bidco B.V.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EMS Linq, Inc.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ExtraHop Networks, Inc.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Fullsteam Operations, LLC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12,430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Galileo Parent, Inc.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Heritage Environmental Services, Inc. - Revolver</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Hippo XPA Bidco AB - Delayed Draw &amp; Revolver</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Hirevue, Inc. - Revolver</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Kangaroo Bidco AS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Kyriba Corp.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Laramie Energy, LLC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Lucidworks, Inc. - Delayed Draw</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Marcura Equities LTD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Passport Labs, Inc.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PDI TA Holdings, Inc. - Delayed Draw &amp; Revolver</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PrimeRevenue, Inc. -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Rapid Data GmbH Unternehmensberatung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ReliaQuest Holdings, LLC - Delayed Draw &amp; Equity</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SkyLark UK DebtCo Limited - Delayed Draw</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SL Buyer Corp.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12,775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TRP Assets, LLC - Delayed Draw</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Truck-Lite Co., LLC - Delayed Draw &amp; Revolver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Wrangler TopCo, LLC - Revolver</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80"/>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(1)(2)</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363,895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(2)The Company’s estimate of the fair value of the current investments in these portfolio companies includes an analysis of the fair value of any unfunded commitments.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Commitments and Contingencies</w:t>
      </w:r>
    </w:p>
    <w:p>
      <w:pPr>
        <w:spacing w:after="0" w:line="9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As of March 31, 2024 and December 31, 2023, we did not have any unfunded commitments to fund investments to new borrowers that were not current portfolio companies as of such date.</w:t>
      </w:r>
    </w:p>
    <w:p>
      <w:pPr>
        <w:spacing w:after="0" w:line="155" w:lineRule="exact"/>
        <w:rPr>
          <w:sz w:val="20"/>
          <w:szCs w:val="20"/>
          <w:color w:val="auto"/>
        </w:rPr>
      </w:pPr>
    </w:p>
    <w:p>
      <w:pPr>
        <w:jc w:val="both"/>
        <w:ind w:right="62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March 31, 2024 and December 31, 2023, management is not aware of any material pending or threatened litigation that would require accounting recognition or financial statement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pacing w:after="0" w:line="16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underwriting fees, additional total cash proceeds of $12.0 million.</w:t>
      </w:r>
    </w:p>
    <w:p>
      <w:pPr>
        <w:spacing w:after="0" w:line="16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3" w:lineRule="exact"/>
        <w:rPr>
          <w:sz w:val="20"/>
          <w:szCs w:val="20"/>
          <w:color w:val="auto"/>
        </w:rPr>
      </w:pPr>
    </w:p>
    <w:p>
      <w:pPr>
        <w:ind w:right="120" w:firstLine="228"/>
        <w:spacing w:after="0" w:line="331" w:lineRule="auto"/>
        <w:rPr>
          <w:sz w:val="20"/>
          <w:szCs w:val="20"/>
          <w:color w:val="auto"/>
        </w:rPr>
      </w:pPr>
      <w:r>
        <w:rPr>
          <w:rFonts w:ascii="Times New Roman" w:cs="Times New Roman" w:eastAsia="Times New Roman" w:hAnsi="Times New Roman"/>
          <w:sz w:val="14"/>
          <w:szCs w:val="14"/>
          <w:color w:val="auto"/>
        </w:rPr>
        <w:t>Pursuant to the Company’s dividend reinvestment plan, the following tables summarize the shares issued to stockholders who have not opted out of the Company’s dividend reinvestment plan during the three months ended March 31, 2024 and 2023. All shares issued to stockholders in the tables below are newly issued shares.</w:t>
      </w:r>
    </w:p>
    <w:p>
      <w:pPr>
        <w:spacing w:after="0" w:line="131"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0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March 31, 2024</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1900" w:type="dxa"/>
            <w:vAlign w:val="bottom"/>
          </w:tcPr>
          <w:p>
            <w:pPr>
              <w:spacing w:after="0"/>
              <w:rPr>
                <w:sz w:val="15"/>
                <w:szCs w:val="15"/>
                <w:color w:val="auto"/>
              </w:rPr>
            </w:pPr>
          </w:p>
        </w:tc>
        <w:tc>
          <w:tcPr>
            <w:tcW w:w="160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580" w:type="dxa"/>
            <w:vAlign w:val="bottom"/>
            <w:vMerge w:val="continue"/>
          </w:tcPr>
          <w:p>
            <w:pPr>
              <w:spacing w:after="0"/>
              <w:rPr>
                <w:sz w:val="16"/>
                <w:szCs w:val="16"/>
                <w:color w:val="auto"/>
              </w:rPr>
            </w:pPr>
          </w:p>
        </w:tc>
        <w:tc>
          <w:tcPr>
            <w:tcW w:w="1900" w:type="dxa"/>
            <w:vAlign w:val="bottom"/>
          </w:tcPr>
          <w:p>
            <w:pPr>
              <w:jc w:val="right"/>
              <w:ind w:right="769"/>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0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204"/>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190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6"/>
                <w:szCs w:val="16"/>
                <w:color w:val="auto"/>
              </w:rPr>
              <w:t>February 29, 2024</w:t>
            </w:r>
          </w:p>
        </w:tc>
        <w:tc>
          <w:tcPr>
            <w:tcW w:w="1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March 20,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Base</w:t>
            </w:r>
          </w:p>
        </w:tc>
        <w:tc>
          <w:tcPr>
            <w:tcW w:w="1900" w:type="dxa"/>
            <w:vAlign w:val="bottom"/>
          </w:tcPr>
          <w:p>
            <w:pPr>
              <w:jc w:val="right"/>
              <w:ind w:right="209"/>
              <w:spacing w:after="0"/>
              <w:rPr>
                <w:sz w:val="20"/>
                <w:szCs w:val="20"/>
                <w:color w:val="auto"/>
              </w:rPr>
            </w:pPr>
            <w:r>
              <w:rPr>
                <w:rFonts w:ascii="Times New Roman" w:cs="Times New Roman" w:eastAsia="Times New Roman" w:hAnsi="Times New Roman"/>
                <w:sz w:val="16"/>
                <w:szCs w:val="16"/>
                <w:color w:val="auto"/>
              </w:rPr>
              <w:t>March 15, 2024</w:t>
            </w:r>
          </w:p>
        </w:tc>
        <w:tc>
          <w:tcPr>
            <w:tcW w:w="1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March 28,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58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0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0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March 31, 2023</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1900" w:type="dxa"/>
            <w:vAlign w:val="bottom"/>
          </w:tcPr>
          <w:p>
            <w:pPr>
              <w:spacing w:after="0"/>
              <w:rPr>
                <w:sz w:val="15"/>
                <w:szCs w:val="15"/>
                <w:color w:val="auto"/>
              </w:rPr>
            </w:pPr>
          </w:p>
        </w:tc>
        <w:tc>
          <w:tcPr>
            <w:tcW w:w="160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580" w:type="dxa"/>
            <w:vAlign w:val="bottom"/>
            <w:vMerge w:val="continue"/>
          </w:tcPr>
          <w:p>
            <w:pPr>
              <w:spacing w:after="0"/>
              <w:rPr>
                <w:sz w:val="16"/>
                <w:szCs w:val="16"/>
                <w:color w:val="auto"/>
              </w:rPr>
            </w:pPr>
          </w:p>
        </w:tc>
        <w:tc>
          <w:tcPr>
            <w:tcW w:w="1900" w:type="dxa"/>
            <w:vAlign w:val="bottom"/>
          </w:tcPr>
          <w:p>
            <w:pPr>
              <w:jc w:val="right"/>
              <w:ind w:right="769"/>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0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204"/>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190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6"/>
                <w:szCs w:val="16"/>
                <w:color w:val="auto"/>
              </w:rPr>
              <w:t>February 28, 2023</w:t>
            </w:r>
          </w:p>
        </w:tc>
        <w:tc>
          <w:tcPr>
            <w:tcW w:w="1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March 20,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Base</w:t>
            </w:r>
          </w:p>
        </w:tc>
        <w:tc>
          <w:tcPr>
            <w:tcW w:w="1900" w:type="dxa"/>
            <w:vAlign w:val="bottom"/>
          </w:tcPr>
          <w:p>
            <w:pPr>
              <w:jc w:val="right"/>
              <w:ind w:right="209"/>
              <w:spacing w:after="0"/>
              <w:rPr>
                <w:sz w:val="20"/>
                <w:szCs w:val="20"/>
                <w:color w:val="auto"/>
              </w:rPr>
            </w:pPr>
            <w:r>
              <w:rPr>
                <w:rFonts w:ascii="Times New Roman" w:cs="Times New Roman" w:eastAsia="Times New Roman" w:hAnsi="Times New Roman"/>
                <w:sz w:val="16"/>
                <w:szCs w:val="16"/>
                <w:color w:val="auto"/>
              </w:rPr>
              <w:t>March 15, 2023</w:t>
            </w:r>
          </w:p>
        </w:tc>
        <w:tc>
          <w:tcPr>
            <w:tcW w:w="1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March 31,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Shares Issued</w:t>
            </w:r>
          </w:p>
        </w:tc>
        <w:tc>
          <w:tcPr>
            <w:tcW w:w="158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188"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42" w:name="page43"/>
    <w:bookmarkEnd w:id="42"/>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during the three months ended March 31, 2024 and 2023.</w:t>
      </w:r>
    </w:p>
    <w:p>
      <w:pPr>
        <w:spacing w:after="0" w:line="282" w:lineRule="exact"/>
        <w:rPr>
          <w:sz w:val="20"/>
          <w:szCs w:val="20"/>
          <w:color w:val="auto"/>
        </w:rPr>
      </w:pPr>
    </w:p>
    <w:p>
      <w:pPr>
        <w:ind w:left="240" w:hanging="234"/>
        <w:spacing w:after="0"/>
        <w:tabs>
          <w:tab w:leader="none" w:pos="2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 for the three months ended March 31, 2024 and 2023:</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84"/>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27"/>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47,518</w:t>
            </w:r>
          </w:p>
        </w:tc>
        <w:tc>
          <w:tcPr>
            <w:tcW w:w="4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52,952</w:t>
            </w:r>
          </w:p>
        </w:tc>
        <w:tc>
          <w:tcPr>
            <w:tcW w:w="80" w:type="dxa"/>
            <w:vAlign w:val="bottom"/>
            <w:shd w:val="clear" w:color="auto" w:fill="CFF0FC"/>
          </w:tcPr>
          <w:p>
            <w:pPr>
              <w:spacing w:after="0"/>
              <w:rPr>
                <w:sz w:val="18"/>
                <w:szCs w:val="18"/>
                <w:color w:val="auto"/>
              </w:rPr>
            </w:pPr>
          </w:p>
        </w:tc>
      </w:tr>
      <w:tr>
        <w:trPr>
          <w:trHeight w:val="20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outstanding—basic and diluted</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89,032,381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81,400,843</w:t>
            </w:r>
          </w:p>
        </w:tc>
        <w:tc>
          <w:tcPr>
            <w:tcW w:w="80" w:type="dxa"/>
            <w:vAlign w:val="bottom"/>
          </w:tcPr>
          <w:p>
            <w:pPr>
              <w:spacing w:after="0"/>
              <w:rPr>
                <w:sz w:val="17"/>
                <w:szCs w:val="17"/>
                <w:color w:val="auto"/>
              </w:rPr>
            </w:pPr>
          </w:p>
        </w:tc>
      </w:tr>
      <w:tr>
        <w:trPr>
          <w:trHeight w:val="25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common share—basic and diluted</w:t>
            </w: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three months ended March 31, 2024 and 2023:</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80" w:type="dxa"/>
            <w:vAlign w:val="bottom"/>
            <w:gridSpan w:val="2"/>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80" w:type="dxa"/>
            <w:vAlign w:val="bottom"/>
            <w:gridSpan w:val="2"/>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420" w:type="dxa"/>
            <w:vAlign w:val="bottom"/>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1780" w:type="dxa"/>
            <w:vAlign w:val="bottom"/>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420" w:type="dxa"/>
            <w:vAlign w:val="bottom"/>
            <w:shd w:val="clear" w:color="auto" w:fill="CFF0FC"/>
          </w:tcPr>
          <w:p>
            <w:pPr>
              <w:jc w:val="center"/>
              <w:ind w:left="85"/>
              <w:spacing w:after="0"/>
              <w:rPr>
                <w:sz w:val="20"/>
                <w:szCs w:val="20"/>
                <w:color w:val="auto"/>
              </w:rPr>
            </w:pPr>
            <w:r>
              <w:rPr>
                <w:rFonts w:ascii="Times New Roman" w:cs="Times New Roman" w:eastAsia="Times New Roman" w:hAnsi="Times New Roman"/>
                <w:sz w:val="16"/>
                <w:szCs w:val="16"/>
                <w:color w:val="auto"/>
                <w:w w:val="96"/>
              </w:rPr>
              <w:t>Suppleme</w:t>
            </w:r>
          </w:p>
        </w:tc>
        <w:tc>
          <w:tcPr>
            <w:tcW w:w="178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shd w:val="clear" w:color="auto" w:fill="CFF0FC"/>
          </w:tcPr>
          <w:p>
            <w:pPr>
              <w:spacing w:after="0"/>
              <w:rPr>
                <w:sz w:val="17"/>
                <w:szCs w:val="17"/>
                <w:color w:val="auto"/>
              </w:rPr>
            </w:pPr>
          </w:p>
        </w:tc>
        <w:tc>
          <w:tcPr>
            <w:tcW w:w="1420" w:type="dxa"/>
            <w:vAlign w:val="bottom"/>
            <w:shd w:val="clear" w:color="auto" w:fill="CFF0FC"/>
          </w:tcPr>
          <w:p>
            <w:pPr>
              <w:jc w:val="center"/>
              <w:ind w:left="105"/>
              <w:spacing w:after="0"/>
              <w:rPr>
                <w:sz w:val="20"/>
                <w:szCs w:val="20"/>
                <w:color w:val="auto"/>
              </w:rPr>
            </w:pPr>
            <w:r>
              <w:rPr>
                <w:rFonts w:ascii="Times New Roman" w:cs="Times New Roman" w:eastAsia="Times New Roman" w:hAnsi="Times New Roman"/>
                <w:sz w:val="16"/>
                <w:szCs w:val="16"/>
                <w:color w:val="auto"/>
                <w:w w:val="99"/>
              </w:rPr>
              <w:t>ntal</w:t>
            </w:r>
          </w:p>
        </w:tc>
        <w:tc>
          <w:tcPr>
            <w:tcW w:w="178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6"/>
                <w:szCs w:val="16"/>
                <w:color w:val="auto"/>
              </w:rPr>
              <w:t>February 29, 2024</w:t>
            </w:r>
          </w:p>
        </w:tc>
        <w:tc>
          <w:tcPr>
            <w:tcW w:w="1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March 20, 2024</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15, 2024</w:t>
            </w:r>
          </w:p>
        </w:tc>
        <w:tc>
          <w:tcPr>
            <w:tcW w:w="1420" w:type="dxa"/>
            <w:vAlign w:val="bottom"/>
          </w:tcPr>
          <w:p>
            <w:pPr>
              <w:jc w:val="center"/>
              <w:ind w:left="85"/>
              <w:spacing w:after="0"/>
              <w:rPr>
                <w:sz w:val="20"/>
                <w:szCs w:val="20"/>
                <w:color w:val="auto"/>
              </w:rPr>
            </w:pPr>
            <w:r>
              <w:rPr>
                <w:rFonts w:ascii="Times New Roman" w:cs="Times New Roman" w:eastAsia="Times New Roman" w:hAnsi="Times New Roman"/>
                <w:sz w:val="16"/>
                <w:szCs w:val="16"/>
                <w:color w:val="auto"/>
                <w:w w:val="96"/>
              </w:rPr>
              <w:t>Base</w:t>
            </w:r>
          </w:p>
        </w:tc>
        <w:tc>
          <w:tcPr>
            <w:tcW w:w="17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auto"/>
              </w:rPr>
              <w:t>March 15, 2024</w:t>
            </w:r>
          </w:p>
        </w:tc>
        <w:tc>
          <w:tcPr>
            <w:tcW w:w="1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March 28, 2024</w:t>
            </w:r>
          </w:p>
        </w:tc>
        <w:tc>
          <w:tcPr>
            <w:tcW w:w="4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4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2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gridSpan w:val="2"/>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80" w:type="dxa"/>
            <w:vAlign w:val="bottom"/>
            <w:gridSpan w:val="2"/>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420" w:type="dxa"/>
            <w:vAlign w:val="bottom"/>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1780" w:type="dxa"/>
            <w:vAlign w:val="bottom"/>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7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420" w:type="dxa"/>
            <w:vAlign w:val="bottom"/>
            <w:shd w:val="clear" w:color="auto" w:fill="CFF0FC"/>
          </w:tcPr>
          <w:p>
            <w:pPr>
              <w:jc w:val="center"/>
              <w:ind w:left="85"/>
              <w:spacing w:after="0"/>
              <w:rPr>
                <w:sz w:val="20"/>
                <w:szCs w:val="20"/>
                <w:color w:val="auto"/>
              </w:rPr>
            </w:pPr>
            <w:r>
              <w:rPr>
                <w:rFonts w:ascii="Times New Roman" w:cs="Times New Roman" w:eastAsia="Times New Roman" w:hAnsi="Times New Roman"/>
                <w:sz w:val="16"/>
                <w:szCs w:val="16"/>
                <w:color w:val="auto"/>
                <w:w w:val="96"/>
              </w:rPr>
              <w:t>Suppleme</w:t>
            </w:r>
          </w:p>
        </w:tc>
        <w:tc>
          <w:tcPr>
            <w:tcW w:w="178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shd w:val="clear" w:color="auto" w:fill="CFF0FC"/>
          </w:tcPr>
          <w:p>
            <w:pPr>
              <w:spacing w:after="0"/>
              <w:rPr>
                <w:sz w:val="17"/>
                <w:szCs w:val="17"/>
                <w:color w:val="auto"/>
              </w:rPr>
            </w:pPr>
          </w:p>
        </w:tc>
        <w:tc>
          <w:tcPr>
            <w:tcW w:w="1420" w:type="dxa"/>
            <w:vAlign w:val="bottom"/>
            <w:shd w:val="clear" w:color="auto" w:fill="CFF0FC"/>
          </w:tcPr>
          <w:p>
            <w:pPr>
              <w:jc w:val="center"/>
              <w:ind w:left="105"/>
              <w:spacing w:after="0"/>
              <w:rPr>
                <w:sz w:val="20"/>
                <w:szCs w:val="20"/>
                <w:color w:val="auto"/>
              </w:rPr>
            </w:pPr>
            <w:r>
              <w:rPr>
                <w:rFonts w:ascii="Times New Roman" w:cs="Times New Roman" w:eastAsia="Times New Roman" w:hAnsi="Times New Roman"/>
                <w:sz w:val="16"/>
                <w:szCs w:val="16"/>
                <w:color w:val="auto"/>
                <w:w w:val="99"/>
              </w:rPr>
              <w:t>ntal</w:t>
            </w:r>
          </w:p>
        </w:tc>
        <w:tc>
          <w:tcPr>
            <w:tcW w:w="178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6"/>
                <w:szCs w:val="16"/>
                <w:color w:val="auto"/>
              </w:rPr>
              <w:t>February 28, 2023</w:t>
            </w:r>
          </w:p>
        </w:tc>
        <w:tc>
          <w:tcPr>
            <w:tcW w:w="1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March 20, 2023</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16, 2023</w:t>
            </w:r>
          </w:p>
        </w:tc>
        <w:tc>
          <w:tcPr>
            <w:tcW w:w="1420" w:type="dxa"/>
            <w:vAlign w:val="bottom"/>
          </w:tcPr>
          <w:p>
            <w:pPr>
              <w:jc w:val="center"/>
              <w:ind w:left="85"/>
              <w:spacing w:after="0"/>
              <w:rPr>
                <w:sz w:val="20"/>
                <w:szCs w:val="20"/>
                <w:color w:val="auto"/>
              </w:rPr>
            </w:pPr>
            <w:r>
              <w:rPr>
                <w:rFonts w:ascii="Times New Roman" w:cs="Times New Roman" w:eastAsia="Times New Roman" w:hAnsi="Times New Roman"/>
                <w:sz w:val="16"/>
                <w:szCs w:val="16"/>
                <w:color w:val="auto"/>
                <w:w w:val="96"/>
              </w:rPr>
              <w:t>Base</w:t>
            </w:r>
          </w:p>
        </w:tc>
        <w:tc>
          <w:tcPr>
            <w:tcW w:w="17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auto"/>
              </w:rPr>
              <w:t>March 15, 2023</w:t>
            </w:r>
          </w:p>
        </w:tc>
        <w:tc>
          <w:tcPr>
            <w:tcW w:w="1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March 31, 2023</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4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200" w:right="460" w:hanging="4974"/>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three months ended March 31, 2024 and 2023 were derived from net investment income, determined on a tax basis.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660" w:top="1440" w:right="116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Financial Highlights</w:t>
      </w:r>
    </w:p>
    <w:p>
      <w:pPr>
        <w:spacing w:after="0" w:line="94"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The following per share data and ratios have been derived from information provided in the consolidated financial statements. The following are the financial highlights for one share of common stock outstanding during the three months ended March 31, 2024 and 2023.</w:t>
      </w:r>
    </w:p>
    <w:p>
      <w:pPr>
        <w:spacing w:after="0" w:line="238"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20" w:type="dxa"/>
            <w:vAlign w:val="bottom"/>
            <w:gridSpan w:val="4"/>
          </w:tcPr>
          <w:p>
            <w:pPr>
              <w:jc w:val="right"/>
              <w:ind w:right="1203"/>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00" w:type="dxa"/>
            <w:vAlign w:val="bottom"/>
          </w:tcPr>
          <w:p>
            <w:pPr>
              <w:spacing w:after="0"/>
              <w:rPr>
                <w:sz w:val="21"/>
                <w:szCs w:val="21"/>
                <w:color w:val="auto"/>
              </w:rPr>
            </w:pPr>
          </w:p>
        </w:tc>
        <w:tc>
          <w:tcPr>
            <w:tcW w:w="160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Per Share Data </w:t>
            </w:r>
            <w:r>
              <w:rPr>
                <w:rFonts w:ascii="Times New Roman" w:cs="Times New Roman" w:eastAsia="Times New Roman" w:hAnsi="Times New Roman"/>
                <w:sz w:val="21"/>
                <w:szCs w:val="21"/>
                <w:b w:val="1"/>
                <w:bCs w:val="1"/>
                <w:color w:val="auto"/>
                <w:vertAlign w:val="superscript"/>
              </w:rPr>
              <w:t>(8)</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beginning of period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360" w:type="dxa"/>
            <w:vAlign w:val="bottom"/>
          </w:tcPr>
          <w:p>
            <w:pPr>
              <w:spacing w:after="0"/>
              <w:rPr>
                <w:sz w:val="18"/>
                <w:szCs w:val="18"/>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2"/>
        </w:trPr>
        <w:tc>
          <w:tcPr>
            <w:tcW w:w="49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56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9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realized and unrealized gains</w:t>
            </w:r>
          </w:p>
        </w:tc>
        <w:tc>
          <w:tcPr>
            <w:tcW w:w="300" w:type="dxa"/>
            <w:vAlign w:val="bottom"/>
            <w:shd w:val="clear" w:color="auto" w:fill="CFF0FC"/>
          </w:tcPr>
          <w:p>
            <w:pPr>
              <w:spacing w:after="0"/>
              <w:rPr>
                <w:sz w:val="13"/>
                <w:szCs w:val="13"/>
                <w:color w:val="auto"/>
              </w:rPr>
            </w:pPr>
          </w:p>
        </w:tc>
        <w:tc>
          <w:tcPr>
            <w:tcW w:w="19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(0.06 )</w:t>
            </w:r>
          </w:p>
        </w:tc>
        <w:tc>
          <w:tcPr>
            <w:tcW w:w="300" w:type="dxa"/>
            <w:vAlign w:val="bottom"/>
            <w:shd w:val="clear" w:color="auto" w:fill="CFF0FC"/>
          </w:tcPr>
          <w:p>
            <w:pPr>
              <w:spacing w:after="0"/>
              <w:rPr>
                <w:sz w:val="13"/>
                <w:szCs w:val="13"/>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FF0FC"/>
          </w:tcPr>
          <w:p>
            <w:pPr>
              <w:ind w:left="40"/>
              <w:spacing w:after="0" w:line="228"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FF0FC"/>
          </w:tcPr>
          <w:p>
            <w:pPr>
              <w:spacing w:after="0"/>
              <w:rPr>
                <w:sz w:val="19"/>
                <w:szCs w:val="19"/>
                <w:color w:val="auto"/>
              </w:rPr>
            </w:pPr>
          </w:p>
        </w:tc>
        <w:tc>
          <w:tcPr>
            <w:tcW w:w="192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Total from operations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60" w:type="dxa"/>
            <w:vAlign w:val="bottom"/>
            <w:shd w:val="clear" w:color="auto" w:fill="CFF0FC"/>
          </w:tcPr>
          <w:p>
            <w:pPr>
              <w:spacing w:after="0" w:line="240" w:lineRule="exact"/>
              <w:rPr>
                <w:sz w:val="20"/>
                <w:szCs w:val="20"/>
                <w:color w:val="auto"/>
              </w:rPr>
            </w:pPr>
            <w:r>
              <w:rPr>
                <w:rFonts w:ascii="Times New Roman" w:cs="Times New Roman" w:eastAsia="Times New Roman" w:hAnsi="Times New Roman"/>
                <w:sz w:val="16"/>
                <w:szCs w:val="16"/>
                <w:color w:val="auto"/>
              </w:rPr>
              <w:t xml:space="preserve">Issuance of common stock, net of offering costs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Dividends declared from net investment income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(0.54 )</w:t>
            </w:r>
          </w:p>
        </w:tc>
        <w:tc>
          <w:tcPr>
            <w:tcW w:w="3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increase/(decrease) in net assets</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 Value, End of Period</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6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market value with reinvestment of dividends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1.87 %</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9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(4)</w:t>
            </w:r>
          </w:p>
        </w:tc>
        <w:tc>
          <w:tcPr>
            <w:tcW w:w="30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1.71 %</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(5)</w:t>
            </w:r>
          </w:p>
        </w:tc>
        <w:tc>
          <w:tcPr>
            <w:tcW w:w="30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3.93 %</w:t>
            </w:r>
          </w:p>
        </w:tc>
        <w:tc>
          <w:tcPr>
            <w:tcW w:w="3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Outstanding, End of Period</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92,121,556</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81,751,865</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60" w:type="dxa"/>
            <w:vAlign w:val="bottom"/>
          </w:tcPr>
          <w:p>
            <w:pPr>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Ratios / Supplemental Data </w:t>
            </w:r>
            <w:r>
              <w:rPr>
                <w:rFonts w:ascii="Times New Roman" w:cs="Times New Roman" w:eastAsia="Times New Roman" w:hAnsi="Times New Roman"/>
                <w:sz w:val="21"/>
                <w:szCs w:val="21"/>
                <w:b w:val="1"/>
                <w:bCs w:val="1"/>
                <w:color w:val="auto"/>
                <w:vertAlign w:val="superscript"/>
              </w:rPr>
              <w:t>(6)(7)</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Ratio of net expenses to average net assets</w:t>
            </w:r>
          </w:p>
        </w:tc>
        <w:tc>
          <w:tcPr>
            <w:tcW w:w="30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17.00 %</w:t>
            </w:r>
          </w:p>
        </w:tc>
        <w:tc>
          <w:tcPr>
            <w:tcW w:w="30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15.89 %</w:t>
            </w:r>
          </w:p>
        </w:tc>
        <w:tc>
          <w:tcPr>
            <w:tcW w:w="0" w:type="dxa"/>
            <w:vAlign w:val="bottom"/>
          </w:tcPr>
          <w:p>
            <w:pPr>
              <w:spacing w:after="0"/>
              <w:rPr>
                <w:sz w:val="1"/>
                <w:szCs w:val="1"/>
                <w:color w:val="auto"/>
              </w:rPr>
            </w:pPr>
          </w:p>
        </w:tc>
      </w:tr>
      <w:tr>
        <w:trPr>
          <w:trHeight w:val="24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Ratio of net investment income to average net assets</w:t>
            </w:r>
          </w:p>
        </w:tc>
        <w:tc>
          <w:tcPr>
            <w:tcW w:w="30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13.61 %</w:t>
            </w:r>
          </w:p>
        </w:tc>
        <w:tc>
          <w:tcPr>
            <w:tcW w:w="30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12.73 %</w:t>
            </w:r>
          </w:p>
        </w:tc>
        <w:tc>
          <w:tcPr>
            <w:tcW w:w="0" w:type="dxa"/>
            <w:vAlign w:val="bottom"/>
          </w:tcPr>
          <w:p>
            <w:pPr>
              <w:spacing w:after="0"/>
              <w:rPr>
                <w:sz w:val="1"/>
                <w:szCs w:val="1"/>
                <w:color w:val="auto"/>
              </w:rPr>
            </w:pPr>
          </w:p>
        </w:tc>
      </w:tr>
      <w:tr>
        <w:trPr>
          <w:trHeight w:val="24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Portfolio turnover</w:t>
            </w:r>
          </w:p>
        </w:tc>
        <w:tc>
          <w:tcPr>
            <w:tcW w:w="30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13.86 %</w:t>
            </w:r>
          </w:p>
        </w:tc>
        <w:tc>
          <w:tcPr>
            <w:tcW w:w="30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8.81 %</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assets, end of period</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1,582,006</w:t>
            </w:r>
          </w:p>
        </w:tc>
        <w:tc>
          <w:tcPr>
            <w:tcW w:w="36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1,356,005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-1219200</wp:posOffset>
            </wp:positionV>
            <wp:extent cx="5831205" cy="152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1205" cy="15240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-608965</wp:posOffset>
            </wp:positionV>
            <wp:extent cx="5831205" cy="152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1205" cy="15240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-304165</wp:posOffset>
            </wp:positionV>
            <wp:extent cx="5831205" cy="152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31205" cy="1524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spacing w:after="0" w:line="234" w:lineRule="auto"/>
        <w:rPr>
          <w:sz w:val="20"/>
          <w:szCs w:val="20"/>
          <w:color w:val="auto"/>
        </w:rPr>
      </w:pPr>
      <w:r>
        <w:rPr>
          <w:rFonts w:ascii="Times New Roman" w:cs="Times New Roman" w:eastAsia="Times New Roman" w:hAnsi="Times New Roman"/>
          <w:sz w:val="16"/>
          <w:szCs w:val="16"/>
          <w:color w:val="auto"/>
        </w:rPr>
        <w:t>(3)Total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236" w:lineRule="auto"/>
        <w:rPr>
          <w:sz w:val="20"/>
          <w:szCs w:val="20"/>
          <w:color w:val="auto"/>
        </w:rPr>
      </w:pPr>
      <w:r>
        <w:rPr>
          <w:rFonts w:ascii="Times New Roman" w:cs="Times New Roman" w:eastAsia="Times New Roman" w:hAnsi="Times New Roman"/>
          <w:sz w:val="16"/>
          <w:szCs w:val="16"/>
          <w:color w:val="auto"/>
        </w:rPr>
        <w:t>(6)The ratios reflect an annualized amount.</w:t>
      </w:r>
    </w:p>
    <w:p>
      <w:pPr>
        <w:ind w:right="60"/>
        <w:spacing w:after="0" w:line="234" w:lineRule="auto"/>
        <w:rPr>
          <w:sz w:val="20"/>
          <w:szCs w:val="20"/>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three months ended March 31, 2024 and 2023. Excluding the effects of the waivers, the ratio of net expenses to average net assets would have been 17.10% and 15.96%, respectively, for the three months ended March 31,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(8)Table may not sum due to rounding.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Subsequent Events</w:t>
      </w:r>
    </w:p>
    <w:p>
      <w:pPr>
        <w:spacing w:after="0" w:line="94" w:lineRule="exact"/>
        <w:rPr>
          <w:sz w:val="20"/>
          <w:szCs w:val="20"/>
          <w:color w:val="auto"/>
        </w:rPr>
      </w:pPr>
    </w:p>
    <w:p>
      <w:pPr>
        <w:ind w:right="40" w:firstLine="228"/>
        <w:spacing w:after="0" w:line="242"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92" w:lineRule="exact"/>
        <w:rPr>
          <w:sz w:val="20"/>
          <w:szCs w:val="20"/>
          <w:color w:val="auto"/>
        </w:rPr>
      </w:pPr>
    </w:p>
    <w:p>
      <w:pPr>
        <w:ind w:right="2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 -market companies. Since we began our investment activities in July 2011, through March 31, 2024, we have originated more than $36.0 billion aggregate principal amount of investments and retained approximately $10.2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69" w:lineRule="exact"/>
        <w:rPr>
          <w:sz w:val="20"/>
          <w:szCs w:val="20"/>
          <w:color w:val="auto"/>
        </w:rPr>
      </w:pPr>
    </w:p>
    <w:p>
      <w:pPr>
        <w:jc w:val="both"/>
        <w:ind w:right="180" w:firstLine="228"/>
        <w:spacing w:after="0" w:line="243"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March 31, 2024, our core portfolio companies, which exclude certain investments that fall outside of our typical borrower profile and represent 96.3% of our total investments based on fair value, had weighted average annual revenue of $275.5 million and weighted average annual EBITDA of $92.5 million.</w:t>
      </w:r>
    </w:p>
    <w:p>
      <w:pPr>
        <w:spacing w:after="0" w:line="167"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use our capital to support organic growth, acquisitions, market or product expansion and recapitalizations (including restructurings). As of March 31, 2024, the largest single investment based on fair value represented 2.6% of our total investment portfolio.</w:t>
      </w:r>
    </w:p>
    <w:p>
      <w:pPr>
        <w:spacing w:after="0" w:line="155" w:lineRule="exact"/>
        <w:rPr>
          <w:sz w:val="20"/>
          <w:szCs w:val="20"/>
          <w:color w:val="auto"/>
        </w:rPr>
      </w:pPr>
    </w:p>
    <w:p>
      <w:pPr>
        <w:jc w:val="both"/>
        <w:ind w:right="200" w:firstLine="228"/>
        <w:spacing w:after="0" w:line="277" w:lineRule="auto"/>
        <w:rPr>
          <w:sz w:val="20"/>
          <w:szCs w:val="20"/>
          <w:color w:val="auto"/>
        </w:rPr>
      </w:pPr>
      <w:r>
        <w:rPr>
          <w:rFonts w:ascii="Times New Roman" w:cs="Times New Roman" w:eastAsia="Times New Roman" w:hAnsi="Times New Roman"/>
          <w:sz w:val="14"/>
          <w:szCs w:val="14"/>
          <w:color w:val="auto"/>
        </w:rPr>
        <w:t>As of March 31, 2024, the average investment size in each of our portfolio companies was approximately $27.3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$33.5 million as of March 31, 2024.</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59" w:right="720" w:bottom="1440" w:gutter="0" w:footer="0" w:header="0"/>
        </w:sectPr>
      </w:pPr>
    </w:p>
    <w:bookmarkStart w:id="45" w:name="page46"/>
    <w:bookmarkEnd w:id="45"/>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March 31, 2024, the largest industry represented 17.0% of our total investment portfolio based on fair value.</w:t>
      </w:r>
    </w:p>
    <w:p>
      <w:pPr>
        <w:spacing w:after="0" w:line="186" w:lineRule="exact"/>
        <w:rPr>
          <w:sz w:val="20"/>
          <w:szCs w:val="20"/>
          <w:color w:val="auto"/>
        </w:rPr>
      </w:pPr>
    </w:p>
    <w:p>
      <w:pPr>
        <w:ind w:right="240" w:firstLine="22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Investment Structuring. </w:t>
      </w:r>
      <w:r>
        <w:rPr>
          <w:rFonts w:ascii="Times New Roman" w:cs="Times New Roman" w:eastAsia="Times New Roman" w:hAnsi="Times New Roman"/>
          <w:sz w:val="16"/>
          <w:szCs w:val="16"/>
          <w:color w:val="auto"/>
        </w:rPr>
        <w:t>We focus on investing at the top of the capital structure and protecting that position. As of March 31, 2024, approximately 93.1%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was invested in secured debt, including 92.3%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March 31, 2024, the weighted average term on new investment commitments in new portfolio companies was 6.4 years.</w:t>
      </w:r>
    </w:p>
    <w:p>
      <w:pPr>
        <w:spacing w:after="0" w:line="170"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2024, we had call protection on 78.1% of our debt investments based on fair value, with weighted average call prices of 106.7% for the first year, 103.3% for the second year and 101.1% for the third year, in each case from the date of the initial investment. As of March 31, 2024, 99.6% of our debt investments based on fair value bore interest at floating rates, with 100%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4"/>
          <w:szCs w:val="14"/>
          <w:color w:val="auto"/>
        </w:rPr>
        <w:t>Sixth Street is a global investment business with over $77 billion of assets under management as of March 31, 2024.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600 investment and operating professionals. As of March 31, 2024, sixty-seven (67) of these personnel are dedicated to direct lending, including fifty-three (53) investment professionals.</w:t>
      </w:r>
    </w:p>
    <w:p>
      <w:pPr>
        <w:spacing w:after="0" w:line="332" w:lineRule="exact"/>
        <w:rPr>
          <w:sz w:val="20"/>
          <w:szCs w:val="20"/>
          <w:color w:val="auto"/>
        </w:rPr>
      </w:pPr>
    </w:p>
    <w:p>
      <w:pPr>
        <w:ind w:right="100" w:firstLine="228"/>
        <w:spacing w:after="0" w:line="242"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6" w:name="page47"/>
    <w:bookmarkEnd w:id="46"/>
    <w:p>
      <w:pPr>
        <w:spacing w:after="0" w:line="11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3"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March 31, 2024, 99.6%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months ended March 31, 2024 and 2023, 6.9% and 3.1%, respectively, of our total investment income was comprised of PIK interest.</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2026 Notes, 2028 Notes and 2029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11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rate of new investments made during that period—often are idiosyncratic, and reflect the characteristics of the particular portfolio companies that we invested in or exited during the period and not necessarily any trends in our business.</w:t>
      </w:r>
    </w:p>
    <w:p>
      <w:pPr>
        <w:spacing w:after="0" w:line="155"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8" w:name="page49"/>
    <w:bookmarkEnd w:id="48"/>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As of March 31, 2024, our portfolio based on fair value consisted of 92.3% first-lien debt investments, 0.8% second-lien investments, 1.2% mezzanine debt investments, 4.8% equity and other investments and 0.9% structured credit investments. As of December 31, 2023, our portfolio based on fair value consisted of 91.3% first-lien debt investments, 1.1% second-lien debt investments, 1.2% mezzanine debt investments, 4.7% equity and other investments and 1.7% structured credit investments.</w:t>
      </w:r>
    </w:p>
    <w:p>
      <w:pPr>
        <w:spacing w:after="0" w:line="167" w:lineRule="exact"/>
        <w:rPr>
          <w:sz w:val="20"/>
          <w:szCs w:val="20"/>
          <w:color w:val="auto"/>
        </w:rPr>
      </w:pPr>
    </w:p>
    <w:p>
      <w:pPr>
        <w:ind w:right="520" w:firstLine="228"/>
        <w:spacing w:after="0" w:line="246" w:lineRule="auto"/>
        <w:rPr>
          <w:sz w:val="20"/>
          <w:szCs w:val="20"/>
          <w:color w:val="auto"/>
        </w:rPr>
      </w:pPr>
      <w:r>
        <w:rPr>
          <w:rFonts w:ascii="Times New Roman" w:cs="Times New Roman" w:eastAsia="Times New Roman" w:hAnsi="Times New Roman"/>
          <w:sz w:val="16"/>
          <w:szCs w:val="16"/>
          <w:color w:val="auto"/>
        </w:rPr>
        <w:t>As of March 31, 2024 and December 31, 2023, our weighted average total yield of debt and income producing securities at fair value (which includes interest income and amortization of fees and discounts) was 13.8% and 14.1%, respectively, and our weighted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 w:name="page50"/>
    <w:bookmarkEnd w:id="49"/>
    <w:p>
      <w:pPr>
        <w:spacing w:after="0" w:line="11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average total yield of debt and income-producing securities at amortized cost (which includes interest income and amortization of fees and discounts) was 14.0% and 14.2%, respectively.</w:t>
      </w:r>
    </w:p>
    <w:p>
      <w:pPr>
        <w:spacing w:after="0" w:line="155" w:lineRule="exact"/>
        <w:rPr>
          <w:sz w:val="20"/>
          <w:szCs w:val="20"/>
          <w:color w:val="auto"/>
        </w:rPr>
      </w:pPr>
    </w:p>
    <w:p>
      <w:pPr>
        <w:jc w:val="both"/>
        <w:ind w:right="340" w:firstLine="228"/>
        <w:spacing w:after="0" w:line="243" w:lineRule="auto"/>
        <w:rPr>
          <w:sz w:val="20"/>
          <w:szCs w:val="20"/>
          <w:color w:val="auto"/>
        </w:rPr>
      </w:pPr>
      <w:r>
        <w:rPr>
          <w:rFonts w:ascii="Times New Roman" w:cs="Times New Roman" w:eastAsia="Times New Roman" w:hAnsi="Times New Roman"/>
          <w:sz w:val="16"/>
          <w:szCs w:val="16"/>
          <w:color w:val="auto"/>
        </w:rPr>
        <w:t>As of March 31, 2024 and December 31, 2023, we had investments in 124 portfolio companies (including 24 structured credit investments, which include each series of collateralized loan obligation as a separate portfolio company investment) and 136 portfolio companies (including 42 structured credit investments, which include each series of collateralized loan obligation as a separate portfolio company investment), respectively, with an aggregate fair value of $3,380.0 million and $3,283.1 million, respectively.</w:t>
      </w:r>
    </w:p>
    <w:p>
      <w:pPr>
        <w:spacing w:after="0" w:line="167"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2024 the principal amount of new investments funded was $162.8 million in nine new portfolio companies and five existing portfolio companies. For this period, we had $108.6 million aggregate principal amount in exits and repayments.</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2023, the principal amount of new investments funded was $138.9 million in seven new portfolio companies and five existing portfolio companies. For this period, we had $50.8 million aggregate principal amount in exits and repayments.</w:t>
      </w:r>
    </w:p>
    <w:p>
      <w:pPr>
        <w:spacing w:after="0" w:line="155"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three months ended March 31, 2024 and 2023 is presented below (information presented herein is at par value unless otherwise indicated).</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0" w:type="dxa"/>
            <w:vAlign w:val="bottom"/>
            <w:gridSpan w:val="4"/>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84"/>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320" w:type="dxa"/>
            <w:vAlign w:val="bottom"/>
          </w:tcPr>
          <w:p>
            <w:pPr>
              <w:spacing w:after="0"/>
              <w:rPr>
                <w:sz w:val="16"/>
                <w:szCs w:val="16"/>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6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4"/>
        </w:trPr>
        <w:tc>
          <w:tcPr>
            <w:tcW w:w="4680" w:type="dxa"/>
            <w:vAlign w:val="bottom"/>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Gross originations </w:t>
            </w:r>
            <w:r>
              <w:rPr>
                <w:rFonts w:ascii="Times New Roman" w:cs="Times New Roman" w:eastAsia="Times New Roman" w:hAnsi="Times New Roman"/>
                <w:sz w:val="21"/>
                <w:szCs w:val="21"/>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5,128.5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1,079.4</w:t>
            </w:r>
          </w:p>
        </w:tc>
        <w:tc>
          <w:tcPr>
            <w:tcW w:w="60" w:type="dxa"/>
            <w:vAlign w:val="bottom"/>
          </w:tcPr>
          <w:p>
            <w:pPr>
              <w:spacing w:after="0"/>
              <w:rPr>
                <w:sz w:val="17"/>
                <w:szCs w:val="17"/>
                <w:color w:val="auto"/>
              </w:rPr>
            </w:pPr>
          </w:p>
        </w:tc>
      </w:tr>
      <w:tr>
        <w:trPr>
          <w:trHeight w:val="204"/>
        </w:trPr>
        <w:tc>
          <w:tcPr>
            <w:tcW w:w="4680" w:type="dxa"/>
            <w:vAlign w:val="bottom"/>
            <w:shd w:val="clear" w:color="auto" w:fill="CFF0FC"/>
          </w:tcPr>
          <w:p>
            <w:pPr>
              <w:ind w:left="160"/>
              <w:spacing w:after="0" w:line="204" w:lineRule="exact"/>
              <w:rPr>
                <w:sz w:val="20"/>
                <w:szCs w:val="20"/>
                <w:color w:val="auto"/>
              </w:rPr>
            </w:pPr>
            <w:r>
              <w:rPr>
                <w:rFonts w:ascii="Times New Roman" w:cs="Times New Roman" w:eastAsia="Times New Roman" w:hAnsi="Times New Roman"/>
                <w:sz w:val="16"/>
                <w:szCs w:val="16"/>
                <w:color w:val="auto"/>
              </w:rPr>
              <w:t xml:space="preserve">Less: Syndications/sell downs </w:t>
            </w:r>
            <w:r>
              <w:rPr>
                <w:rFonts w:ascii="Times New Roman" w:cs="Times New Roman" w:eastAsia="Times New Roman" w:hAnsi="Times New Roman"/>
                <w:sz w:val="21"/>
                <w:szCs w:val="21"/>
                <w:color w:val="auto"/>
                <w:vertAlign w:val="superscript"/>
              </w:rPr>
              <w:t>(1)</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4,864.9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903.3</w:t>
            </w:r>
          </w:p>
        </w:tc>
        <w:tc>
          <w:tcPr>
            <w:tcW w:w="60" w:type="dxa"/>
            <w:vAlign w:val="bottom"/>
          </w:tcPr>
          <w:p>
            <w:pPr>
              <w:spacing w:after="0"/>
              <w:rPr>
                <w:sz w:val="17"/>
                <w:szCs w:val="17"/>
                <w:color w:val="auto"/>
              </w:rPr>
            </w:pPr>
          </w:p>
        </w:tc>
      </w:tr>
      <w:tr>
        <w:trPr>
          <w:trHeight w:val="204"/>
        </w:trPr>
        <w:tc>
          <w:tcPr>
            <w:tcW w:w="4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new investment commitments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263.6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176.1</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154.5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130.2</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32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7"/>
                <w:szCs w:val="17"/>
                <w:color w:val="auto"/>
              </w:rPr>
            </w:pPr>
          </w:p>
        </w:tc>
      </w:tr>
      <w:tr>
        <w:trPr>
          <w:trHeight w:val="204"/>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32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162.8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138.9</w:t>
            </w:r>
          </w:p>
        </w:tc>
        <w:tc>
          <w:tcPr>
            <w:tcW w:w="60" w:type="dxa"/>
            <w:vAlign w:val="bottom"/>
          </w:tcPr>
          <w:p>
            <w:pPr>
              <w:spacing w:after="0"/>
              <w:rPr>
                <w:sz w:val="17"/>
                <w:szCs w:val="17"/>
                <w:color w:val="auto"/>
              </w:rPr>
            </w:pPr>
          </w:p>
        </w:tc>
      </w:tr>
      <w:tr>
        <w:trPr>
          <w:trHeight w:val="204"/>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80.4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tcPr>
          <w:p>
            <w:pPr>
              <w:spacing w:after="0"/>
              <w:rPr>
                <w:sz w:val="17"/>
                <w:szCs w:val="17"/>
                <w:color w:val="auto"/>
              </w:rPr>
            </w:pPr>
          </w:p>
        </w:tc>
      </w:tr>
      <w:tr>
        <w:trPr>
          <w:trHeight w:val="203"/>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Second-lien</w:t>
            </w:r>
          </w:p>
        </w:tc>
        <w:tc>
          <w:tcPr>
            <w:tcW w:w="132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Mezzanine</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and other</w:t>
            </w:r>
          </w:p>
        </w:tc>
        <w:tc>
          <w:tcPr>
            <w:tcW w:w="1320" w:type="dxa"/>
            <w:vAlign w:val="bottom"/>
          </w:tcPr>
          <w:p>
            <w:pPr>
              <w:spacing w:after="0"/>
              <w:rPr>
                <w:sz w:val="17"/>
                <w:szCs w:val="17"/>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7"/>
                <w:szCs w:val="17"/>
                <w:color w:val="auto"/>
              </w:rPr>
            </w:pPr>
          </w:p>
        </w:tc>
      </w:tr>
      <w:tr>
        <w:trPr>
          <w:trHeight w:val="205"/>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Structured Credit</w:t>
            </w:r>
          </w:p>
        </w:tc>
        <w:tc>
          <w:tcPr>
            <w:tcW w:w="1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27.9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4"/>
        </w:trPr>
        <w:tc>
          <w:tcPr>
            <w:tcW w:w="4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108.6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50.8</w:t>
            </w:r>
          </w:p>
        </w:tc>
        <w:tc>
          <w:tcPr>
            <w:tcW w:w="60" w:type="dxa"/>
            <w:vAlign w:val="bottom"/>
          </w:tcPr>
          <w:p>
            <w:pPr>
              <w:spacing w:after="0"/>
              <w:rPr>
                <w:sz w:val="17"/>
                <w:szCs w:val="17"/>
                <w:color w:val="auto"/>
              </w:rPr>
            </w:pPr>
          </w:p>
        </w:tc>
      </w:tr>
      <w:tr>
        <w:trPr>
          <w:trHeight w:val="178"/>
        </w:trPr>
        <w:tc>
          <w:tcPr>
            <w:tcW w:w="46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r>
      <w:tr>
        <w:trPr>
          <w:trHeight w:val="177"/>
        </w:trPr>
        <w:tc>
          <w:tcPr>
            <w:tcW w:w="46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24.4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21.6</w:t>
            </w:r>
          </w:p>
        </w:tc>
        <w:tc>
          <w:tcPr>
            <w:tcW w:w="60" w:type="dxa"/>
            <w:vAlign w:val="bottom"/>
          </w:tcPr>
          <w:p>
            <w:pPr>
              <w:spacing w:after="0"/>
              <w:rPr>
                <w:sz w:val="17"/>
                <w:szCs w:val="17"/>
                <w:color w:val="auto"/>
              </w:rPr>
            </w:pPr>
          </w:p>
        </w:tc>
      </w:tr>
      <w:tr>
        <w:trPr>
          <w:trHeight w:val="178"/>
        </w:trPr>
        <w:tc>
          <w:tcPr>
            <w:tcW w:w="46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6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18"/>
                <w:szCs w:val="18"/>
                <w:color w:val="auto"/>
              </w:rPr>
            </w:pPr>
          </w:p>
        </w:tc>
      </w:tr>
      <w:tr>
        <w:trPr>
          <w:trHeight w:val="177"/>
        </w:trPr>
        <w:tc>
          <w:tcPr>
            <w:tcW w:w="468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1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179"/>
        </w:trPr>
        <w:tc>
          <w:tcPr>
            <w:tcW w:w="46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-729615</wp:posOffset>
            </wp:positionV>
            <wp:extent cx="5426710" cy="2438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26710" cy="24384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-241935</wp:posOffset>
            </wp:positionV>
            <wp:extent cx="5426710" cy="2438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26710" cy="243840"/>
                    </a:xfrm>
                    <a:prstGeom prst="rect">
                      <a:avLst/>
                    </a:prstGeom>
                    <a:noFill/>
                  </pic:spPr>
                </pic:pic>
              </a:graphicData>
            </a:graphic>
          </wp:anchor>
        </w:drawing>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affiliates of Sixth Street</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0" w:name="page51"/>
    <w:bookmarkEnd w:id="50"/>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March 31, 2024 and December 31, 2023, our investments consisted of the following:</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4"/>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08"/>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100" w:type="dxa"/>
            <w:vAlign w:val="bottom"/>
            <w:shd w:val="clear" w:color="auto" w:fill="CFF0FC"/>
          </w:tcPr>
          <w:p>
            <w:pPr>
              <w:spacing w:after="0"/>
              <w:rPr>
                <w:sz w:val="18"/>
                <w:szCs w:val="18"/>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FF0FC"/>
          </w:tcPr>
          <w:p>
            <w:pPr>
              <w:spacing w:after="0"/>
              <w:rPr>
                <w:sz w:val="17"/>
                <w:szCs w:val="17"/>
                <w:color w:val="auto"/>
              </w:rPr>
            </w:pP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7"/>
                <w:szCs w:val="17"/>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FF0FC"/>
          </w:tcPr>
          <w:p>
            <w:pPr>
              <w:spacing w:after="0"/>
              <w:rPr>
                <w:sz w:val="17"/>
                <w:szCs w:val="17"/>
                <w:color w:val="auto"/>
              </w:rPr>
            </w:pPr>
          </w:p>
        </w:tc>
      </w:tr>
      <w:tr>
        <w:trPr>
          <w:trHeight w:val="204"/>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0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March 31, 2024 and December 31, 2023:</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2"/>
          <w:szCs w:val="12"/>
          <w:color w:val="auto"/>
        </w:rPr>
        <w:t>($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31" w:lineRule="exact"/>
        <w:rPr>
          <w:sz w:val="20"/>
          <w:szCs w:val="20"/>
          <w:color w:val="auto"/>
        </w:rPr>
      </w:pPr>
    </w:p>
    <w:p>
      <w:pPr>
        <w:jc w:val="center"/>
        <w:spacing w:after="0"/>
        <w:tabs>
          <w:tab w:leader="none" w:pos="64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31" w:lineRule="exact"/>
        <w:rPr>
          <w:sz w:val="20"/>
          <w:szCs w:val="20"/>
          <w:color w:val="auto"/>
        </w:rPr>
      </w:pPr>
    </w:p>
    <w:p>
      <w:pPr>
        <w:jc w:val="center"/>
        <w:ind w:right="1380"/>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8" w:lineRule="exact"/>
        <w:rPr>
          <w:sz w:val="20"/>
          <w:szCs w:val="20"/>
          <w:color w:val="auto"/>
        </w:rPr>
      </w:pPr>
    </w:p>
    <w:p>
      <w:pPr>
        <w:sectPr>
          <w:pgSz w:w="11900" w:h="16840" w:orient="portrait"/>
          <w:cols w:equalWidth="0" w:num="3">
            <w:col w:w="4040" w:space="720"/>
            <w:col w:w="1880" w:space="680"/>
            <w:col w:w="3240"/>
          </w:cols>
          <w:pgMar w:left="660" w:top="1440" w:right="680" w:bottom="1440" w:gutter="0" w:footer="0" w:header="0"/>
          <w:type w:val="continuous"/>
        </w:sectPr>
      </w:pPr>
    </w:p>
    <w:tbl>
      <w:tblPr>
        <w:tblLayout w:type="fixed"/>
        <w:tblInd w:w="1060" w:type="dxa"/>
        <w:tblCellMar>
          <w:top w:w="0" w:type="dxa"/>
          <w:left w:w="0" w:type="dxa"/>
          <w:bottom w:w="0" w:type="dxa"/>
          <w:right w:w="0" w:type="dxa"/>
        </w:tblCellMar>
      </w:tblPr>
      <w:tr>
        <w:trPr>
          <w:trHeight w:val="18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3,341.6</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98.9 %</w:t>
            </w: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99.4 %</w:t>
            </w:r>
          </w:p>
        </w:tc>
      </w:tr>
      <w:tr>
        <w:trPr>
          <w:trHeight w:val="228"/>
        </w:trPr>
        <w:tc>
          <w:tcPr>
            <w:tcW w:w="344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9"/>
                <w:szCs w:val="19"/>
                <w:color w:val="auto"/>
              </w:rPr>
            </w:pPr>
          </w:p>
        </w:tc>
      </w:tr>
      <w:tr>
        <w:trPr>
          <w:trHeight w:val="204"/>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2"/>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4"/>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80" w:type="dxa"/>
            <w:vAlign w:val="bottom"/>
          </w:tcPr>
          <w:p>
            <w:pPr>
              <w:spacing w:after="0"/>
              <w:rPr>
                <w:sz w:val="24"/>
                <w:szCs w:val="24"/>
                <w:color w:val="auto"/>
              </w:rPr>
            </w:pPr>
          </w:p>
        </w:tc>
        <w:tc>
          <w:tcPr>
            <w:tcW w:w="2100" w:type="dxa"/>
            <w:vAlign w:val="bottom"/>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8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8"/>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3,285.5</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97.8 %</w:t>
            </w: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99.1 %</w:t>
            </w:r>
          </w:p>
        </w:tc>
      </w:tr>
      <w:tr>
        <w:trPr>
          <w:trHeight w:val="228"/>
        </w:trPr>
        <w:tc>
          <w:tcPr>
            <w:tcW w:w="344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Non-accrual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9"/>
                <w:szCs w:val="19"/>
                <w:color w:val="auto"/>
              </w:rPr>
            </w:pPr>
          </w:p>
        </w:tc>
      </w:tr>
      <w:tr>
        <w:trPr>
          <w:trHeight w:val="204"/>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3,359.7</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-1181100</wp:posOffset>
            </wp:positionV>
            <wp:extent cx="5365750" cy="1295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-921385</wp:posOffset>
            </wp:positionV>
            <wp:extent cx="5365750" cy="152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65750" cy="15240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-410845</wp:posOffset>
            </wp:positionV>
            <wp:extent cx="5365750" cy="129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65750" cy="12954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-151765</wp:posOffset>
            </wp:positionV>
            <wp:extent cx="5365750" cy="152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65750" cy="152400"/>
                    </a:xfrm>
                    <a:prstGeom prst="rect">
                      <a:avLst/>
                    </a:prstGeom>
                    <a:noFill/>
                  </pic:spPr>
                </pic:pic>
              </a:graphicData>
            </a:graphic>
          </wp:anchor>
        </w:drawing>
      </w:r>
    </w:p>
    <w:p>
      <w:pPr>
        <w:spacing w:after="0" w:line="14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March 31, 2024 and December 31, 2023 were as follows: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36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62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4"/>
        </w:trPr>
        <w:tc>
          <w:tcPr>
            <w:tcW w:w="46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4620" w:type="dxa"/>
            <w:vAlign w:val="bottom"/>
          </w:tcPr>
          <w:p>
            <w:pPr>
              <w:ind w:left="120"/>
              <w:spacing w:after="0" w:line="228"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36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13.8 %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179"/>
        </w:trPr>
        <w:tc>
          <w:tcPr>
            <w:tcW w:w="46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3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3"/>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securities</w:t>
            </w:r>
          </w:p>
        </w:tc>
        <w:tc>
          <w:tcPr>
            <w:tcW w:w="236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13.5 %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181"/>
        </w:trPr>
        <w:tc>
          <w:tcPr>
            <w:tcW w:w="4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23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3"/>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rate investments</w:t>
            </w:r>
          </w:p>
        </w:tc>
        <w:tc>
          <w:tcPr>
            <w:tcW w:w="236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8.3 %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-729615</wp:posOffset>
            </wp:positionV>
            <wp:extent cx="5426710" cy="2438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26710" cy="24384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-241935</wp:posOffset>
            </wp:positionV>
            <wp:extent cx="5426710" cy="2438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26710" cy="24384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13.1% at March 31, 2024 and 13.4% at December 31, 2023.</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51" w:name="page52"/>
    <w:bookmarkEnd w:id="51"/>
    <w:p>
      <w:pPr>
        <w:spacing w:after="0" w:line="11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380"/>
        <w:spacing w:after="0" w:line="243"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67"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March 31, 2024 and December 31, 2023. Investment performance ratings are accurate only as of those dates and may change due to subsequent developments relating to a portfolio company’s business or financial condition, market conditions or developments, and other factors.</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gridSpan w:val="5"/>
          </w:tcPr>
          <w:p>
            <w:pPr>
              <w:jc w:val="right"/>
              <w:ind w:right="14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5"/>
                <w:szCs w:val="15"/>
                <w:color w:val="auto"/>
              </w:rPr>
            </w:pPr>
          </w:p>
        </w:tc>
        <w:tc>
          <w:tcPr>
            <w:tcW w:w="204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40" w:type="dxa"/>
            <w:vAlign w:val="bottom"/>
          </w:tcPr>
          <w:p>
            <w:pPr>
              <w:spacing w:after="0"/>
              <w:rPr>
                <w:sz w:val="15"/>
                <w:szCs w:val="15"/>
                <w:color w:val="auto"/>
              </w:rPr>
            </w:pPr>
          </w:p>
        </w:tc>
        <w:tc>
          <w:tcPr>
            <w:tcW w:w="2040" w:type="dxa"/>
            <w:vAlign w:val="bottom"/>
            <w:gridSpan w:val="3"/>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80"/>
        </w:trPr>
        <w:tc>
          <w:tcPr>
            <w:tcW w:w="196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5"/>
                <w:szCs w:val="15"/>
                <w:color w:val="auto"/>
              </w:rPr>
            </w:pPr>
          </w:p>
        </w:tc>
        <w:tc>
          <w:tcPr>
            <w:tcW w:w="204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5"/>
                <w:szCs w:val="15"/>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210"/>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90.8 %</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89.5 %</w:t>
            </w:r>
          </w:p>
        </w:tc>
      </w:tr>
      <w:tr>
        <w:trPr>
          <w:trHeight w:val="205"/>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7"/>
                <w:szCs w:val="17"/>
                <w:color w:val="auto"/>
              </w:rPr>
            </w:pPr>
          </w:p>
        </w:tc>
        <w:tc>
          <w:tcPr>
            <w:tcW w:w="204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1960" w:type="dxa"/>
            <w:vAlign w:val="bottom"/>
            <w:shd w:val="clear" w:color="auto" w:fill="CFF0FC"/>
          </w:tcPr>
          <w:p>
            <w:pPr>
              <w:jc w:val="center"/>
              <w:ind w:right="126"/>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160"/>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204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3"/>
                <w:szCs w:val="13"/>
                <w:color w:val="auto"/>
              </w:rPr>
              <w:t xml:space="preserve">100.0 </w:t>
            </w:r>
            <w:r>
              <w:rPr>
                <w:rFonts w:ascii="Times New Roman" w:cs="Times New Roman" w:eastAsia="Times New Roman" w:hAnsi="Times New Roman"/>
                <w:sz w:val="23"/>
                <w:szCs w:val="23"/>
                <w:color w:val="auto"/>
                <w:vertAlign w:val="subscript"/>
              </w:rPr>
              <w:t>%</w:t>
            </w:r>
          </w:p>
        </w:tc>
      </w:tr>
      <w:tr>
        <w:trPr>
          <w:trHeight w:val="20"/>
        </w:trPr>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-799465</wp:posOffset>
            </wp:positionV>
            <wp:extent cx="6036945" cy="129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three months ended March 31, 2024 and 2023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84"/>
        </w:trPr>
        <w:tc>
          <w:tcPr>
            <w:tcW w:w="65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6"/>
                <w:szCs w:val="16"/>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FF0FC"/>
          </w:tcPr>
          <w:p>
            <w:pPr>
              <w:spacing w:after="0"/>
              <w:rPr>
                <w:sz w:val="18"/>
                <w:szCs w:val="18"/>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Less: Net expenses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7"/>
                <w:szCs w:val="17"/>
                <w:color w:val="auto"/>
              </w:rPr>
            </w:pPr>
          </w:p>
        </w:tc>
      </w:tr>
      <w:tr>
        <w:trPr>
          <w:trHeight w:val="205"/>
        </w:trPr>
        <w:tc>
          <w:tcPr>
            <w:tcW w:w="6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 before income taxes</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Income taxes, including excise taxes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7"/>
                <w:szCs w:val="17"/>
                <w:color w:val="auto"/>
              </w:rPr>
            </w:pPr>
          </w:p>
        </w:tc>
      </w:tr>
      <w:tr>
        <w:trPr>
          <w:trHeight w:val="205"/>
        </w:trPr>
        <w:tc>
          <w:tcPr>
            <w:tcW w:w="6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realized gains (losses)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7"/>
                <w:szCs w:val="17"/>
                <w:color w:val="auto"/>
              </w:rPr>
            </w:pPr>
          </w:p>
        </w:tc>
      </w:tr>
      <w:tr>
        <w:trPr>
          <w:trHeight w:val="204"/>
        </w:trPr>
        <w:tc>
          <w:tcPr>
            <w:tcW w:w="652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Net change in unrealized gains (losses)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(7.0 )</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foreign exchange hedging activity.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2" w:name="page53"/>
    <w:bookmarkEnd w:id="52"/>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84"/>
        </w:trPr>
        <w:tc>
          <w:tcPr>
            <w:tcW w:w="65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6"/>
                <w:szCs w:val="16"/>
                <w:color w:val="auto"/>
              </w:rPr>
            </w:pPr>
          </w:p>
        </w:tc>
        <w:tc>
          <w:tcPr>
            <w:tcW w:w="118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shd w:val="clear" w:color="auto" w:fill="CFF0FC"/>
          </w:tcPr>
          <w:p>
            <w:pPr>
              <w:spacing w:after="0"/>
              <w:rPr>
                <w:sz w:val="18"/>
                <w:szCs w:val="18"/>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r>
      <w:tr>
        <w:trPr>
          <w:trHeight w:val="205"/>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r>
      <w:tr>
        <w:trPr>
          <w:trHeight w:val="245"/>
        </w:trPr>
        <w:tc>
          <w:tcPr>
            <w:tcW w:w="6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91"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$90.1 million for the three months ended March 31, 2023 to $ 104.6 million for the three months ended March 31, 2024. The increase in interest from investments was primarily the result of an increase in interest earned due to an increase in reference rates for the period ended March 31, 2024 compared to the same period in 2023 and a larger average portfolio size for the period ended March 31, 2024 compared to the same period in 2023. Paid-in-kind interest income increased from $3.0 million for the three months ended March 31, 2023 to $8.1 million for the three months ended March 31, 2024 due to increased PIK election. Dividend income increased from $0.6 million for the three months ended March 31, 2023 to $0.8 million for the three months ended March 31, 2024 due to increased investments in dividend yielding securities compared to the same period in 2023. Other income increased from $2.8 million for the three months ended March 31, 2023 to $ 4.3 million for the three months ended March 31, 2024, primarily due to increased miscellaneous fee income during the three months ended March 31, 2024 compared to the same period in 2023.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three months ended March 31, 2024 and 2023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84"/>
        </w:trPr>
        <w:tc>
          <w:tcPr>
            <w:tcW w:w="65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2023</w:t>
            </w:r>
          </w:p>
        </w:tc>
      </w:tr>
      <w:tr>
        <w:trPr>
          <w:trHeight w:val="208"/>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 (net of waivers)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r>
      <w:tr>
        <w:trPr>
          <w:trHeight w:val="211"/>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 fees on net investment income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FF0FC"/>
          </w:tcPr>
          <w:p>
            <w:pPr>
              <w:spacing w:after="0"/>
              <w:rPr>
                <w:sz w:val="18"/>
                <w:szCs w:val="18"/>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fees on net capital gains</w:t>
            </w:r>
          </w:p>
        </w:tc>
        <w:tc>
          <w:tcPr>
            <w:tcW w:w="1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(0.8 )</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r>
      <w:tr>
        <w:trPr>
          <w:trHeight w:val="205"/>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r>
      <w:tr>
        <w:trPr>
          <w:trHeight w:val="205"/>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9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$28.5 million for the three months ended March 31, 2023 to $39.0 million for the three months ended March 31, 2024. This increase was primarily due to an increase in the average interest rate on our debt outstanding and an increase in the average debt outstanding from $1,569.4 million for the three months ended March 31, 2023 to $1,883.9 million for the three months ended March 31, 2024. The average interest rate on our debt outstanding increased from 6.7% for the three months ended March 31, 2023 to 7.6% for the three months ended March 31, 2024.</w:t>
      </w:r>
    </w:p>
    <w:p>
      <w:pPr>
        <w:spacing w:after="0" w:line="2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Management Fees (gross of waivers) increased from $10.7 million for the three months ended March 31, 2023 to $12.6 million for the three months ended March 31, 2024 due to an increase in average assets for the three months ended March 31, 2024 compared to the same period in 2023. Management Fees (net of waivers) increased from $10.5 million for the three months ended March 31, 2023 to $12.2 million for the three months ended March 31, 2024. The Adviser waived Management Fees of $0.4 million for the three months ended March 31, 2024 and $0.3 million for the three months ended March 31, 2023 pursuant to the Leverage Waiver.</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2024 and 2023, Incentive Fees were $10.1 million and $11.3 million, respectively, of which $10.9 million and $9.5 million, respectively, were realized and payable to the Adviser. The increase in Incentive Fees was primarily due to higher net investment income for the three months ended March 31, 2024 compared to the same period in 2023. For the three months ended March 31, 2024 and 2023, $(0.8) million and $1.8 million, respectively, of Incentive Fees were accrued related to Capital Gains Fees. As of March 31, 2024, these accrued Incentive Fees are not contractually payable to the Adviser.</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120" w:firstLine="228"/>
        <w:spacing w:after="0" w:line="331" w:lineRule="auto"/>
        <w:rPr>
          <w:sz w:val="20"/>
          <w:szCs w:val="20"/>
          <w:color w:val="auto"/>
        </w:rPr>
      </w:pPr>
      <w:r>
        <w:rPr>
          <w:rFonts w:ascii="Times New Roman" w:cs="Times New Roman" w:eastAsia="Times New Roman" w:hAnsi="Times New Roman"/>
          <w:sz w:val="14"/>
          <w:szCs w:val="14"/>
          <w:color w:val="auto"/>
        </w:rPr>
        <w:t>Professional fees increased from $1.7 million for the three months ended March 31, 2023 to $1.8 million for the three months ended March 31, 2024. Other general and administrative expenses increased from $1.0 million for the three months ended March 31, 2023 to $1.3 million for the three months ended March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67"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2024 and 2023, we recorded a net expense of $0.8 million and $0.4 million, respectively, for U.S. federal excise tax and other taxes.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changed our tax year end from March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to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net realized and unrealized gains (losses) for the three and three months ended March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transactions</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investments</w:t>
            </w:r>
          </w:p>
        </w:tc>
        <w:tc>
          <w:tcPr>
            <w:tcW w:w="1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1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FF0FC"/>
            </w:tcBorders>
            <w:shd w:val="clear" w:color="auto" w:fill="CFF0FC"/>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unrealized gains on investments</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FF0FC"/>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unrealized (losses) on investments</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(27.1 )</w:t>
            </w:r>
          </w:p>
        </w:tc>
        <w:tc>
          <w:tcPr>
            <w:tcW w:w="1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(18.4 )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39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1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1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foreign currency cash</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gains (losses) on interest rate swaps</w:t>
            </w:r>
          </w:p>
        </w:tc>
        <w:tc>
          <w:tcPr>
            <w:tcW w:w="1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Interest Rate Swaps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394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spacing w:after="0"/>
              <w:rPr>
                <w:sz w:val="17"/>
                <w:szCs w:val="17"/>
                <w:color w:val="auto"/>
              </w:rPr>
            </w:pPr>
          </w:p>
        </w:tc>
        <w:tc>
          <w:tcPr>
            <w:tcW w:w="128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60"/>
              <w:spacing w:after="0" w:line="204" w:lineRule="exact"/>
              <w:rPr>
                <w:sz w:val="20"/>
                <w:szCs w:val="20"/>
                <w:color w:val="auto"/>
              </w:rPr>
            </w:pPr>
            <w:r>
              <w:rPr>
                <w:rFonts w:ascii="Times New Roman" w:cs="Times New Roman" w:eastAsia="Times New Roman" w:hAnsi="Times New Roman"/>
                <w:sz w:val="13"/>
                <w:szCs w:val="13"/>
                <w:color w:val="auto"/>
              </w:rPr>
              <w:t xml:space="preserve">(7.0 </w:t>
            </w:r>
            <w:r>
              <w:rPr>
                <w:rFonts w:ascii="Times New Roman" w:cs="Times New Roman" w:eastAsia="Times New Roman" w:hAnsi="Times New Roman"/>
                <w:sz w:val="23"/>
                <w:szCs w:val="23"/>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940" w:type="dxa"/>
            <w:vAlign w:val="bottom"/>
            <w:vMerge w:val="restart"/>
          </w:tcPr>
          <w:p>
            <w:pPr>
              <w:jc w:val="right"/>
              <w:ind w:right="1462"/>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394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125"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For the three months ended March 31, 2024 and 2023, we had net realized gains on investments of $2.2 million and $4.8 million, respectively. For the three months ended March 31, 2024 and 2023, we had $0.6 net realized losses and net realized gains of $0.2 million, respectively, on foreign currency transactions, primarily as a result of translating foreign currency related to our non- USD denominated investments. For the three months ended March 31, 2024 and 2023, we had net realized losses of $0.6 million and no net gain or loss, respectively, on foreign currency investments. For the three months ended March 31, 2024 and 2023, we had net realized gains of $1.1 million and $0.2 million, respectively, on foreign currency borrowings, primarily as a result of payments on our revolving credit facility.</w:t>
      </w:r>
    </w:p>
    <w:p>
      <w:pPr>
        <w:spacing w:after="0" w:line="140" w:lineRule="exact"/>
        <w:rPr>
          <w:sz w:val="20"/>
          <w:szCs w:val="20"/>
          <w:color w:val="auto"/>
        </w:rPr>
      </w:pPr>
    </w:p>
    <w:p>
      <w:pPr>
        <w:jc w:val="both"/>
        <w:ind w:right="160" w:firstLine="228"/>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2024, we had $15.4 million in unrealized gains on 75 portfolio company investments, which was offset by $27.1 million in unrealized losses on 69 portfolio company investments. Unrealized gains for the three months ended March 31, 2024 resulted from an increase in fair value, primarily due to positive valuation adjustments, unwind of prior period unrealized losses, and changes in credit spreads. Unrealized losses for the three months ended March 31, 2024 resulted from the reversal of prior period unrealized gains due to realizations, negative credit-related adjustments and changes in credit spreads.</w:t>
      </w:r>
    </w:p>
    <w:p>
      <w:pPr>
        <w:spacing w:after="0" w:line="137" w:lineRule="exact"/>
        <w:rPr>
          <w:sz w:val="20"/>
          <w:szCs w:val="20"/>
          <w:color w:val="auto"/>
        </w:rPr>
      </w:pPr>
    </w:p>
    <w:p>
      <w:pPr>
        <w:ind w:right="180" w:firstLine="195"/>
        <w:spacing w:after="0" w:line="241" w:lineRule="auto"/>
        <w:rPr>
          <w:sz w:val="20"/>
          <w:szCs w:val="20"/>
          <w:color w:val="auto"/>
        </w:rPr>
      </w:pPr>
      <w:r>
        <w:rPr>
          <w:rFonts w:ascii="Times New Roman" w:cs="Times New Roman" w:eastAsia="Times New Roman" w:hAnsi="Times New Roman"/>
          <w:sz w:val="16"/>
          <w:szCs w:val="16"/>
          <w:color w:val="auto"/>
        </w:rPr>
        <w:t>For the three months ended March 31, 2024, we had unrealized gains on foreign currency borrowings of $4.7 million, and for the three months ended March 31, 2023, we had unrealized losses of $0.7 million on foreign currency borrowings, as a result of fluctuations in the AUD, CAD, EUR, SEK and GBP exchange rates. For the three months ended March 31, 2024 and 2023, we had unrealized gains on foreign currency cash of less than $0.1 million and unrealized losses of $0.3 million, respectively. For the three months ended March 31, 2024 and 2023, we had no net unrealized gains on interest rate swaps and net unrealized gains of $0.2 million, respectively, due to fluctuations in interest rates and the periodic settlement of interest rate swaps.</w:t>
      </w:r>
    </w:p>
    <w:p>
      <w:pPr>
        <w:spacing w:after="0" w:line="169" w:lineRule="exact"/>
        <w:rPr>
          <w:sz w:val="20"/>
          <w:szCs w:val="20"/>
          <w:color w:val="auto"/>
        </w:rPr>
      </w:pPr>
    </w:p>
    <w:p>
      <w:pPr>
        <w:jc w:val="both"/>
        <w:ind w:right="160" w:firstLine="228"/>
        <w:spacing w:after="0" w:line="289" w:lineRule="auto"/>
        <w:rPr>
          <w:sz w:val="20"/>
          <w:szCs w:val="20"/>
          <w:color w:val="auto"/>
        </w:rPr>
      </w:pPr>
      <w:r>
        <w:rPr>
          <w:rFonts w:ascii="Times New Roman" w:cs="Times New Roman" w:eastAsia="Times New Roman" w:hAnsi="Times New Roman"/>
          <w:sz w:val="14"/>
          <w:szCs w:val="14"/>
          <w:color w:val="auto"/>
        </w:rPr>
        <w:t>For the three months ended March 31, 2023, we had $24.0 million in unrealized gains on 99 portfolio company investments, which was offset by $18.4 million in unrealized losses on 29 portfolio company investments. Unrealized gains for the three months ended March 31, 2023 resulted from an increase in fair value, primarily due to positive valuation adjustments, unwind of prior period unrealized losses, and changes in credit spreads. Unrealized losses for the three months ended March 31, 2023 resulted from the reversal of prior period unrealized gains due to realizations, negative credit-related adjustments and changes in credit spreads.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March 31, 2024, weighted by capital invested, our exited investments have generated an average realized gross internal rate of return to us of 17.4% (based on total capital invested of $7.1 billion and total proceeds from these exited investments of $9.1 billion). Ninety-one percent of these exited investments resulted in a realized gross internal rate of return to us of 10% or greater.</w:t>
      </w:r>
    </w:p>
    <w:p>
      <w:pPr>
        <w:spacing w:after="0" w:line="164"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firstLine="228"/>
        <w:spacing w:after="0" w:line="242"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13"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167"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months ended March 31, 2024 and 2023, we had $4.7 million of unrealized gains and $0.7 million of unrealized losses, respectively, on the translation of our non-U.S. dollar denominated debt into U.S. dollars; such amounts approximate the corresponding unrealized gains and losses on the translation of our non-U.S. dollar denominated investments into U.S. dollars for the three months ended March 31, 2024 and 2023. See Note 2 for additional disclosure regarding our accounting for foreign currency. See Note 7 for additional disclosure regarding the amounts of outstanding debt denominated in each foreign currency at March 31, 2024. See our Consolidated Schedule of Investments for additional disclosure regarding the foreign currency amounts (in both par and fair value) of our non-U.S. dollar denominated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March 31, 2024 and December 31, 2023, our asset coverage ratio was 184.5% and 181.6%,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March 31, 2024, taken together with cash available under our credit facilities, is expected to be sufficient for our investing activities and to conduct our operations in the near term. As of March 31, 2024, we had approximately $1.1 billion of availability on our Revolving Credit Facility, subject to asset coverage limitations.</w:t>
      </w:r>
    </w:p>
    <w:p>
      <w:pPr>
        <w:spacing w:after="0" w:line="164" w:lineRule="exact"/>
        <w:rPr>
          <w:sz w:val="20"/>
          <w:szCs w:val="20"/>
          <w:color w:val="auto"/>
        </w:rPr>
      </w:pPr>
    </w:p>
    <w:p>
      <w:pPr>
        <w:ind w:right="80" w:firstLine="117"/>
        <w:spacing w:after="0" w:line="273" w:lineRule="auto"/>
        <w:rPr>
          <w:sz w:val="20"/>
          <w:szCs w:val="20"/>
          <w:color w:val="auto"/>
        </w:rPr>
      </w:pPr>
      <w:r>
        <w:rPr>
          <w:rFonts w:ascii="Times New Roman" w:cs="Times New Roman" w:eastAsia="Times New Roman" w:hAnsi="Times New Roman"/>
          <w:sz w:val="14"/>
          <w:szCs w:val="14"/>
          <w:color w:val="auto"/>
        </w:rPr>
        <w:t>As of March 31, 2024, we had $35.9 million in cash and cash equivalents, including $29.1 million of restricted cash. During the three months ended March 31, 2024, cash used in operating activities was $65.5 million, primarily attributable to funding portfolio investments of $211.3 million and other operating activities of $17.1 million, which was offset by repayments and proceeds from investments of $115.4 million and an increase in net assets resulting from operations of $ 47.5 million. Cash provided by financing activities was $76.2 million during the period due to borrowings of $621.9 million and proceeds from the issuance of common stock $81.5 million, which was offset by paydowns on our debt of $578.9 million, dividends paid to stockholders of $43.3 million and deferred financing costs of $5.0 million.</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 w:name="page57"/>
    <w:bookmarkEnd w:id="56"/>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In August 2022, we issued a total of 4,360,125 shares of common stock, or $77.6 million as settlement for the conversion of $79.2 million principal amount of the 2022 Convertible Notes.</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May 2023, we issued a total of 4,500,000 shares of common stock at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additional total cash proceeds of $11.7 million.</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underwriting fees, additional total cash proceeds of $12.0 million.</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During the three months ended March 31, 2024 and 2023, we also issued 292,057 and 362,578 shares of our common stock, respectively, to investors who have not opted out of our dividend reinvestment plan for proceeds of $5.9 million and $6.2 million, respectively.</w:t>
      </w:r>
    </w:p>
    <w:p>
      <w:pPr>
        <w:spacing w:after="0" w:line="155"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for the three months ended March 31,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190"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In August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55"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As of March 31, 2024, aggregate commitments under the facility were $1.685 billion. The facility includes an uncommitted accordion feature that allows us, under certain circumstances, to increase the size of the facility to up to $2.0 billion.</w:t>
      </w:r>
    </w:p>
    <w:p>
      <w:pPr>
        <w:spacing w:after="0" w:line="155"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Pursuant to the Fourteenth Amendment, with respect to $1.465 billion in commitments, the revolving period, during which period we, subject to certain conditions, may make borrowings under the facility, was extended to June 11, 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26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increased to $1.7 billion. With respect to $ 1.505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200" w:firstLine="228"/>
        <w:spacing w:after="0" w:line="239"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March 31, 2024, we had outstanding debt denominated in Australian dollars (AUD) of 64.9 million, British pounds (GBP) of 32.8 million, Canadian dollars (CAD) of 42.9 million, Swedish Krona (SEK) of 78.1 million and Euro (EUR) of 56.3 million on its Revolving Credit Facility, included in the Outstanding Principal amount in the table below. As of December 31, 2023, we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13"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March 31, 2024 and December 31, 2023 the Company had $0.1 million and $0.2 million, respectively,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1.5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$500 million plus 25% of the net proceeds of the sale of equity interests after January 31, 2020; and</w:t>
      </w:r>
    </w:p>
    <w:p>
      <w:pPr>
        <w:spacing w:after="0" w:line="92" w:lineRule="exact"/>
        <w:rPr>
          <w:sz w:val="20"/>
          <w:szCs w:val="20"/>
          <w:color w:val="auto"/>
        </w:rPr>
      </w:pPr>
    </w:p>
    <w:p>
      <w:pPr>
        <w:ind w:left="240" w:right="340"/>
        <w:spacing w:after="0" w:line="299" w:lineRule="auto"/>
        <w:rPr>
          <w:sz w:val="20"/>
          <w:szCs w:val="20"/>
          <w:color w:val="auto"/>
        </w:rPr>
      </w:pPr>
      <w:r>
        <w:rPr>
          <w:rFonts w:ascii="Times New Roman" w:cs="Times New Roman" w:eastAsia="Times New Roman" w:hAnsi="Times New Roman"/>
          <w:sz w:val="14"/>
          <w:szCs w:val="14"/>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1"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Pursuant to the Fifteenth Amendment dated April 24, 2024, the financial covenants were revised to require stockholders’ equity of at least $650 million plus 25% of the net proceeds of the sale of equity interests after April 24, 2024.</w:t>
      </w:r>
    </w:p>
    <w:p>
      <w:pPr>
        <w:spacing w:after="0" w:line="15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Net proceeds received from the Company’s common stock issuance in March 2024 and net proceeds received from the issuance of the 2029 Notes were used to pay down borrowings on the Revolving Credit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 -annually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58" w:name="page59"/>
    <w:bookmarkEnd w:id="58"/>
    <w:p>
      <w:pPr>
        <w:spacing w:after="0" w:line="113"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3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SOFR plus 2.54% (on a weighted average basis). As of March 31, 2024 and December 31, 2023, the effective hedge interest rate swaps had a fair value of $(8.2) million and $(10.4) million, respectively, which is offset within interest expense by an equal, but opposite, fair value change for the hedged risk on the 2024 Notes.</w:t>
      </w:r>
    </w:p>
    <w:p>
      <w:pPr>
        <w:spacing w:after="0" w:line="173"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SOFR plus 2.54% (on a weighted average basis).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69"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SOFR plus 2.17%. The interest expense related to the 2026 Notes is offset by proceeds received from the interest rate swaps designated as a hedge. The swap adjusted interest expense is included as a component of interest expense on our Consolidated Statements of Operations. As of March 31, 2024 and December 31, 2023, the effective hedge interest rate swaps had a fair value of $(27.3) million and $(26.1) million, respectively, which is offset within interest expense by an equal, but opposite, fair value change for the hedged risk on the 2026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On August 14, 2023, we issued $ 300.0 million aggregate principal amount of unsecured notes that mature on August 14, 2028 (the “2028 Notes”). The principal amount of the 2028 Notes is payable at maturity. The 2028 Notes bear interest at a rate of 6.95% per year, payable semi -annually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69"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As of March 31, 2024 and December 31, 2023, the effective hedge interest rate swaps had a fair value of $(1.5) million and $4.7 million, respectively, which is offset within interest expense by an equal, but opposite, fair value change for the hedged risk on the 2028 Notes.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9" w:name="page60"/>
    <w:bookmarkEnd w:id="5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spacing w:after="0" w:line="169"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connection with the issuance of the 2029 Notes, we entered into an interest rate swap to align the interest rates of our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As of March 31, 2024, the effective hedge interest rate swaps had a fair value of $(5.2) million which is offset within interest expense by an equal, but opposite, fair value change for the hedged risk on the 2029 Notes.</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Debt obligations consisted of the following as of March 31, 2024 and December 31, 2023:</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6"/>
                <w:szCs w:val="16"/>
                <w:color w:val="auto"/>
              </w:rPr>
            </w:pPr>
          </w:p>
        </w:tc>
        <w:tc>
          <w:tcPr>
            <w:tcW w:w="13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1,685.0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tcPr>
          <w:p>
            <w:pPr>
              <w:spacing w:after="0"/>
              <w:rPr>
                <w:sz w:val="17"/>
                <w:szCs w:val="17"/>
                <w:color w:val="auto"/>
              </w:rPr>
            </w:pP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80" w:type="dxa"/>
            <w:vAlign w:val="bottom"/>
          </w:tcPr>
          <w:p>
            <w:pPr>
              <w:spacing w:after="0"/>
              <w:rPr>
                <w:sz w:val="17"/>
                <w:szCs w:val="17"/>
                <w:color w:val="auto"/>
              </w:rPr>
            </w:pP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shd w:val="clear" w:color="auto" w:fill="CFF0FC"/>
          </w:tcPr>
          <w:p>
            <w:pPr>
              <w:spacing w:after="0"/>
              <w:rPr>
                <w:sz w:val="17"/>
                <w:szCs w:val="17"/>
                <w:color w:val="auto"/>
              </w:rPr>
            </w:pPr>
          </w:p>
        </w:tc>
      </w:tr>
      <w:tr>
        <w:trPr>
          <w:trHeight w:val="204"/>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1,804.3</w:t>
            </w:r>
          </w:p>
        </w:tc>
        <w:tc>
          <w:tcPr>
            <w:tcW w:w="8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2028 Notes and 2029 Notes are presented net of the combination of deferred financing costs and original issue discounts totaling $14.3 million, $0.8 million, $2.7 million, $5.4 million and $8.1 million, respectively.</w:t>
      </w:r>
    </w:p>
    <w:p>
      <w:pPr>
        <w:spacing w:after="0" w:line="1"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6"/>
          <w:szCs w:val="16"/>
          <w:color w:val="auto"/>
        </w:rPr>
        <w:t>(3)The carrying values of the 2024 Notes, 2026 Notes, 2028 Notes and 2029 Notes are presented inclusive of an incremental $ (8.2) million, $(27.3) million, $(1.5) million and $(5.2) million, respectively, which represents an adjustment in the carrying values of the 2024 Notes, 2026 Notes, 2028 Notes and 2029 Notes, each resulting from a hedge accounting relationship.</w:t>
      </w:r>
    </w:p>
    <w:p>
      <w:pPr>
        <w:spacing w:after="0" w:line="193" w:lineRule="exact"/>
        <w:rPr>
          <w:sz w:val="20"/>
          <w:szCs w:val="20"/>
          <w:color w:val="auto"/>
        </w:rPr>
      </w:pPr>
    </w:p>
    <w:tbl>
      <w:tblPr>
        <w:tblLayout w:type="fixed"/>
        <w:tblInd w:w="84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6"/>
                <w:szCs w:val="16"/>
                <w:color w:val="auto"/>
              </w:rPr>
            </w:pPr>
          </w:p>
        </w:tc>
        <w:tc>
          <w:tcPr>
            <w:tcW w:w="150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r>
      <w:tr>
        <w:trPr>
          <w:trHeight w:val="20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3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80" w:type="dxa"/>
            <w:vAlign w:val="bottom"/>
            <w:shd w:val="clear" w:color="auto" w:fill="CFF0FC"/>
          </w:tcPr>
          <w:p>
            <w:pPr>
              <w:spacing w:after="0"/>
              <w:rPr>
                <w:sz w:val="17"/>
                <w:szCs w:val="17"/>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7"/>
                <w:szCs w:val="17"/>
                <w:color w:val="auto"/>
              </w:rPr>
            </w:pPr>
          </w:p>
        </w:tc>
      </w:tr>
      <w:tr>
        <w:trPr>
          <w:trHeight w:val="205"/>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80" w:type="dxa"/>
            <w:vAlign w:val="bottom"/>
            <w:shd w:val="clear" w:color="auto" w:fill="CFF0FC"/>
          </w:tcPr>
          <w:p>
            <w:pPr>
              <w:spacing w:after="0"/>
              <w:rPr>
                <w:sz w:val="17"/>
                <w:szCs w:val="17"/>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tcPr>
          <w:p>
            <w:pPr>
              <w:spacing w:after="0"/>
              <w:rPr>
                <w:sz w:val="17"/>
                <w:szCs w:val="17"/>
                <w:color w:val="auto"/>
              </w:rPr>
            </w:pPr>
          </w:p>
        </w:tc>
      </w:tr>
      <w:tr>
        <w:trPr>
          <w:trHeight w:val="245"/>
        </w:trPr>
        <w:tc>
          <w:tcPr>
            <w:tcW w:w="2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0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56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2024 Notes, 2026 Notes and 2028 Notes are presented net of deferred financing costs and original issue discounts totaling $15.2 million, $1.2 million, $3.0 million, and $5.7 million, respectively.</w:t>
      </w:r>
    </w:p>
    <w:p>
      <w:pPr>
        <w:spacing w:after="0" w:line="1"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(3)The carrying value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pacing w:after="0" w:line="126" w:lineRule="exact"/>
        <w:rPr>
          <w:sz w:val="20"/>
          <w:szCs w:val="20"/>
          <w:color w:val="auto"/>
        </w:rPr>
      </w:pPr>
    </w:p>
    <w:p>
      <w:pPr>
        <w:ind w:right="100" w:firstLine="228"/>
        <w:spacing w:after="0" w:line="246" w:lineRule="auto"/>
        <w:rPr>
          <w:sz w:val="20"/>
          <w:szCs w:val="20"/>
          <w:color w:val="auto"/>
        </w:rPr>
      </w:pPr>
      <w:r>
        <w:rPr>
          <w:rFonts w:ascii="Times New Roman" w:cs="Times New Roman" w:eastAsia="Times New Roman" w:hAnsi="Times New Roman"/>
          <w:sz w:val="16"/>
          <w:szCs w:val="16"/>
          <w:color w:val="auto"/>
        </w:rPr>
        <w:t>As of March 31, 2024 and December 31, 2023, we were in compliance with the terms of our debt arrangements. We intend to continue to utilize our credit facilities to fund investments and for other general corporate purposes.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0" w:name="page61"/>
    <w:bookmarkEnd w:id="60"/>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73"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2024 and December 31, 2023, we had the following commitments to fund investments in current portfolio companies: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1" w:name="page62"/>
    <w:bookmarkEnd w:id="61"/>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17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200" w:type="dxa"/>
            <w:vAlign w:val="bottom"/>
          </w:tcPr>
          <w:p>
            <w:pPr>
              <w:spacing w:after="0"/>
              <w:rPr>
                <w:sz w:val="15"/>
                <w:szCs w:val="15"/>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Alaska Bidco Oy - Delayed Draw &amp; Revolver</w:t>
            </w: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Alpha Midco, Inc.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American Achievement, Corp.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Aptean, Inc.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Arrow Buyer, Inc.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Artisan Bidco, Inc.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ASG II, LLC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Avalara, Inc.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Axonify, Inc.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Azurite Intermediate Holdings, Inc. - Delayed Draw, Revolver &amp; Equity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Babylon Finco Limited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Banyan Software Holdings, LLC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Bayshore Intermediate #2, L.P.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BCTO Ace Purchaser, Inc.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BCTO Bluebill Buyer, Inc.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Bear OpCo, LLC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Ben Nevis Midco Limited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BlueSnap, Inc.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BTRS Holdings, Inc.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Cordance Operations, LLC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Coupa Holdings, LLC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Crewline Buyer, Inc. - Revolver &amp; Equity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Disco Parent, Inc.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Dye &amp; Durham Corp.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EDB Parent, LLC - Delayed Draw</w:t>
            </w:r>
          </w:p>
        </w:tc>
        <w:tc>
          <w:tcPr>
            <w:tcW w:w="20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18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0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Edge Bidco B.V.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Elysian Finco Ltd.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Employment Hero Holdings Pty Ltd.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EMS Linq, Inc.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Erling Lux Bidco SARL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ExtraHop Networks, Inc.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ForeScout Technologies, Inc.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Fullsteam Operations, LLC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Galileo Parent, Inc.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Heritage Environmental Services, Inc.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Hippo XPA Bidco AB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Hirevue, Inc.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Hornetsecurity Holding GmbH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Ibis Intermediate Co.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IRGSE Holding Corp.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Kangaroo Bidco AS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Kyriba Corp.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Laramie Energy, LLC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LeanTaaS Holdings, Inc.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Lucidworks, Inc.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Marcura Equities LTD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Netwrix Corp. - Delayed Draw &amp;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OutSystems Luxco SARL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Passport Labs, Inc.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PDI TA Holdings, Inc.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Ping Identity Holding Corp.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PrimeRevenue, Inc. -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Project44, Inc.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Rapid Data GmbH Unternehmensberatung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ReliaQuest Holdings, LLC - Delayed Draw &amp; Equity</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SkyLark UK DebtCo Limited - Delayed Draw</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SL Buyer Corp.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Tango Management Consulting, LLC - Delayed Draw &amp; Revolver</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TRP Assets, LLC - Delayed Draw</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Truck-Lite Co., LLC - Delayed Draw &amp; Revolver</w:t>
            </w: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8"/>
        </w:trPr>
        <w:tc>
          <w:tcPr>
            <w:tcW w:w="51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Wrangler TopCo, LLC - Revolver</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80"/>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Total Portfolio Company Commitments </w:t>
            </w:r>
            <w:r>
              <w:rPr>
                <w:rFonts w:ascii="Times New Roman" w:cs="Times New Roman" w:eastAsia="Times New Roman" w:hAnsi="Times New Roman"/>
                <w:sz w:val="16"/>
                <w:szCs w:val="16"/>
                <w:b w:val="1"/>
                <w:bCs w:val="1"/>
                <w:color w:val="auto"/>
                <w:vertAlign w:val="superscript"/>
              </w:rPr>
              <w:t>(1)(2)</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62" w:name="page63"/>
    <w:bookmarkEnd w:id="62"/>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As of March 31, 2024 and December 31, 2023, we did not have any unfunded commitments to fund investments to new borrowers that were not current portfolio companies as of such date.</w:t>
      </w:r>
    </w:p>
    <w:p>
      <w:pPr>
        <w:spacing w:after="0" w:line="15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March 31, 2024, management is not aware of any material pending or threatened litigation that would require accounting recognition or financial statement disclosure.</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March 31, 2024 is as follows:</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w w:val="97"/>
              </w:rPr>
              <w:t>Less than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After 5</w:t>
            </w:r>
          </w:p>
        </w:tc>
        <w:tc>
          <w:tcPr>
            <w:tcW w:w="0" w:type="dxa"/>
            <w:vAlign w:val="bottom"/>
          </w:tcPr>
          <w:p>
            <w:pPr>
              <w:spacing w:after="0"/>
              <w:rPr>
                <w:sz w:val="1"/>
                <w:szCs w:val="1"/>
                <w:color w:val="auto"/>
              </w:rPr>
            </w:pPr>
          </w:p>
        </w:tc>
      </w:tr>
      <w:tr>
        <w:trPr>
          <w:trHeight w:val="90"/>
        </w:trPr>
        <w:tc>
          <w:tcPr>
            <w:tcW w:w="3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restart"/>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9"/>
              </w:rPr>
              <w:t>3-5 years</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2024 Notes</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Notes</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2028 Notes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96"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tax-exempt interest income over certain disallowed deductions) for such taxable year.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40" w:firstLine="228"/>
        <w:spacing w:after="0" w:line="242"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3" w:name="page64"/>
    <w:bookmarkEnd w:id="63"/>
    <w:p>
      <w:pPr>
        <w:spacing w:after="0" w:line="113"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14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64" w:lineRule="exact"/>
        <w:rPr>
          <w:sz w:val="20"/>
          <w:szCs w:val="20"/>
          <w:color w:val="auto"/>
        </w:rPr>
      </w:pPr>
    </w:p>
    <w:p>
      <w:pPr>
        <w:jc w:val="both"/>
        <w:ind w:right="20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7"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Our critical accounting policies and estimates, including those relating to the valuation of our investment portfolio, are described in our Annual Report on Form 10-K for the fiscal year ended December 31, 2023, filed with the SEC on February 15, 2024, and elsewhere in our filings with the SEC. The critical accounting policies and estimates should be read in connection with our risk factors discussed in Part I, “Item 1A. Risk Factors” in our Annual Report on Form 10-K for the fiscal year ended December 31,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4" w:name="page65"/>
    <w:bookmarkEnd w:id="64"/>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As of March 31, 2024, 99.6% of our debt investments based on fair value in our portfolio bore interest at floating rates, with 100.0% of these subject to interest rate floors. Our credit facilities also bear interest at floating rates, and in connection with our 2024 Notes, 2026 Notes, 2028 Notes and 2029 Notes, which bear interest at fixed rates, we entered into fixed-to-floating interest rate swaps in order to align the interest rates of our liabilities with our investment portfolio.</w:t>
      </w:r>
    </w:p>
    <w:p>
      <w:pPr>
        <w:spacing w:after="0" w:line="164" w:lineRule="exact"/>
        <w:rPr>
          <w:sz w:val="20"/>
          <w:szCs w:val="20"/>
          <w:color w:val="auto"/>
        </w:rPr>
      </w:pPr>
    </w:p>
    <w:p>
      <w:pPr>
        <w:ind w:right="20" w:firstLine="228"/>
        <w:spacing w:after="0" w:line="331" w:lineRule="auto"/>
        <w:rPr>
          <w:sz w:val="20"/>
          <w:szCs w:val="20"/>
          <w:color w:val="auto"/>
        </w:rPr>
      </w:pPr>
      <w:r>
        <w:rPr>
          <w:rFonts w:ascii="Times New Roman" w:cs="Times New Roman" w:eastAsia="Times New Roman" w:hAnsi="Times New Roman"/>
          <w:sz w:val="14"/>
          <w:szCs w:val="14"/>
          <w:color w:val="auto"/>
        </w:rPr>
        <w:t>Assuming that our Consolidated Balance Sheet as of March 31,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33"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84"/>
        </w:trPr>
        <w:tc>
          <w:tcPr>
            <w:tcW w:w="226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580" w:type="dxa"/>
            <w:vAlign w:val="bottom"/>
          </w:tcPr>
          <w:p>
            <w:pPr>
              <w:spacing w:after="0"/>
              <w:rPr>
                <w:sz w:val="16"/>
                <w:szCs w:val="16"/>
                <w:color w:val="auto"/>
              </w:rPr>
            </w:pPr>
          </w:p>
        </w:tc>
        <w:tc>
          <w:tcPr>
            <w:tcW w:w="134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240" w:type="dxa"/>
            <w:vAlign w:val="bottom"/>
          </w:tcPr>
          <w:p>
            <w:pPr>
              <w:spacing w:after="0"/>
              <w:rPr>
                <w:sz w:val="16"/>
                <w:szCs w:val="16"/>
                <w:color w:val="auto"/>
              </w:rPr>
            </w:pPr>
          </w:p>
        </w:tc>
        <w:tc>
          <w:tcPr>
            <w:tcW w:w="13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400" w:type="dxa"/>
            <w:vAlign w:val="bottom"/>
          </w:tcPr>
          <w:p>
            <w:pPr>
              <w:spacing w:after="0"/>
              <w:rPr>
                <w:sz w:val="16"/>
                <w:szCs w:val="16"/>
                <w:color w:val="auto"/>
              </w:rPr>
            </w:pPr>
          </w:p>
        </w:tc>
        <w:tc>
          <w:tcPr>
            <w:tcW w:w="196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208"/>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300 basis points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94.5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56.3</w:t>
            </w:r>
          </w:p>
        </w:tc>
        <w:tc>
          <w:tcPr>
            <w:tcW w:w="4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38.2</w:t>
            </w:r>
          </w:p>
        </w:tc>
      </w:tr>
      <w:tr>
        <w:trPr>
          <w:trHeight w:val="204"/>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200 basis points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63.0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37.5</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25.5</w:t>
            </w:r>
          </w:p>
        </w:tc>
      </w:tr>
      <w:tr>
        <w:trPr>
          <w:trHeight w:val="20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100 basis points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12.7</w:t>
            </w:r>
          </w:p>
        </w:tc>
      </w:tr>
      <w:tr>
        <w:trPr>
          <w:trHeight w:val="204"/>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Down 25 basis points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(7.9 )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(4.7 )</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Down 50 basis points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(15.8 )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(9.4 )</w:t>
            </w:r>
          </w:p>
        </w:tc>
        <w:tc>
          <w:tcPr>
            <w:tcW w:w="4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19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0" w:lineRule="exact"/>
        <w:rPr>
          <w:sz w:val="20"/>
          <w:szCs w:val="20"/>
          <w:color w:val="auto"/>
        </w:rPr>
      </w:pPr>
    </w:p>
    <w:p>
      <w:pPr>
        <w:ind w:right="12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report, we carried out an evaluation, under the supervision and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5" w:lineRule="exact"/>
        <w:rPr>
          <w:sz w:val="20"/>
          <w:szCs w:val="20"/>
          <w:color w:val="auto"/>
        </w:rPr>
      </w:pPr>
    </w:p>
    <w:p>
      <w:pPr>
        <w:ind w:right="22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jc w:val="center"/>
        <w:ind w:right="4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5" w:name="page66"/>
    <w:bookmarkEnd w:id="6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risk factors discussed in Part I, “Item 1A. Risk Factors” in our Annual Report on Form 10-K for the fiscal year ended December 31, 2023,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Rule 10b5-1 Trading Plans</w:t>
      </w:r>
    </w:p>
    <w:p>
      <w:pPr>
        <w:spacing w:after="0" w:line="96" w:lineRule="exact"/>
        <w:rPr>
          <w:sz w:val="20"/>
          <w:szCs w:val="20"/>
          <w:color w:val="auto"/>
        </w:rPr>
      </w:pPr>
    </w:p>
    <w:p>
      <w:pPr>
        <w:ind w:right="540" w:firstLine="195"/>
        <w:spacing w:after="0" w:line="281" w:lineRule="auto"/>
        <w:rPr>
          <w:sz w:val="20"/>
          <w:szCs w:val="20"/>
          <w:color w:val="auto"/>
        </w:rPr>
      </w:pPr>
      <w:r>
        <w:rPr>
          <w:rFonts w:ascii="Times New Roman" w:cs="Times New Roman" w:eastAsia="Times New Roman" w:hAnsi="Times New Roman"/>
          <w:sz w:val="14"/>
          <w:szCs w:val="14"/>
          <w:color w:val="auto"/>
        </w:rPr>
        <w:t>During the three months ended March 31, 2024, none of our directors or officers (as defined in Rule 16a-1(f) under the Exchange Act) adopted, modified or terminated any Rule 10b5-1 trading arrangement or non-Rule 10b5-1 trading arrangement (as such terms are defined in Item 408 of Regulation S-K).</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66" w:name="page67"/>
    <w:bookmarkEnd w:id="6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420" w:type="dxa"/>
            <w:vAlign w:val="bottom"/>
            <w:gridSpan w:val="12"/>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Restated Certificate of Incorporation (incorporated by reference to Exhibit 3.2 to Amendment No. 1 to the Company’s</w:t>
              </w:r>
            </w:hyperlink>
          </w:p>
        </w:tc>
      </w:tr>
      <w:tr>
        <w:trPr>
          <w:trHeight w:val="160"/>
        </w:trPr>
        <w:tc>
          <w:tcPr>
            <w:tcW w:w="940" w:type="dxa"/>
            <w:vAlign w:val="bottom"/>
          </w:tcPr>
          <w:p>
            <w:pPr>
              <w:spacing w:after="0"/>
              <w:rPr>
                <w:sz w:val="13"/>
                <w:szCs w:val="13"/>
                <w:color w:val="auto"/>
              </w:rPr>
            </w:pPr>
          </w:p>
        </w:tc>
        <w:tc>
          <w:tcPr>
            <w:tcW w:w="328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7"/>
              </w:rPr>
            </w:pPr>
            <w:hyperlink r:id="rId132">
              <w:r>
                <w:rPr>
                  <w:rFonts w:ascii="Times New Roman" w:cs="Times New Roman" w:eastAsia="Times New Roman" w:hAnsi="Times New Roman"/>
                  <w:sz w:val="16"/>
                  <w:szCs w:val="16"/>
                  <w:color w:val="0000FF"/>
                  <w:w w:val="97"/>
                </w:rPr>
                <w:t>Current Report on Form 8-K filed on June 19, 2020)</w:t>
              </w:r>
            </w:hyperlink>
          </w:p>
        </w:tc>
        <w:tc>
          <w:tcPr>
            <w:tcW w:w="41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420" w:type="dxa"/>
            <w:vAlign w:val="bottom"/>
            <w:gridSpan w:val="12"/>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Second Amended and Restated Bylaws dated July 10, 2023 (incorporated by reference to Exhibit 3.1 to the Company’s</w:t>
              </w:r>
            </w:hyperlink>
          </w:p>
        </w:tc>
      </w:tr>
      <w:tr>
        <w:trPr>
          <w:trHeight w:val="160"/>
        </w:trPr>
        <w:tc>
          <w:tcPr>
            <w:tcW w:w="94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2"/>
          </w:tcPr>
          <w:p>
            <w:pPr>
              <w:spacing w:after="0" w:line="160" w:lineRule="exact"/>
              <w:rPr>
                <w:rFonts w:ascii="Times New Roman" w:cs="Times New Roman" w:eastAsia="Times New Roman" w:hAnsi="Times New Roman"/>
                <w:sz w:val="16"/>
                <w:szCs w:val="16"/>
                <w:color w:val="0000FF"/>
                <w:w w:val="96"/>
              </w:rPr>
            </w:pPr>
            <w:hyperlink r:id="rId133">
              <w:r>
                <w:rPr>
                  <w:rFonts w:ascii="Times New Roman" w:cs="Times New Roman" w:eastAsia="Times New Roman" w:hAnsi="Times New Roman"/>
                  <w:sz w:val="16"/>
                  <w:szCs w:val="16"/>
                  <w:color w:val="0000FF"/>
                  <w:w w:val="96"/>
                </w:rPr>
                <w:t>Current Report on Form 8-K/A filed on July 17, 2023)</w:t>
              </w:r>
            </w:hyperlink>
          </w:p>
        </w:tc>
        <w:tc>
          <w:tcPr>
            <w:tcW w:w="4040" w:type="dxa"/>
            <w:vAlign w:val="bottom"/>
            <w:tcBorders>
              <w:top w:val="single" w:sz="8" w:color="0000FF"/>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4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r:id="rId134">
              <w:r>
                <w:rPr>
                  <w:rFonts w:ascii="Times New Roman" w:cs="Times New Roman" w:eastAsia="Times New Roman" w:hAnsi="Times New Roman"/>
                  <w:sz w:val="16"/>
                  <w:szCs w:val="16"/>
                  <w:color w:val="0000FF"/>
                  <w:w w:val="97"/>
                </w:rPr>
                <w:t>Indenture, dated as of January 16, 2024, between Sixth Street Specialty Lending, Inc. and U.S. Bank Trust Company, National Association, as Trustee</w:t>
              </w:r>
            </w:hyperlink>
          </w:p>
        </w:tc>
      </w:tr>
      <w:tr>
        <w:trPr>
          <w:trHeight w:val="160"/>
        </w:trPr>
        <w:tc>
          <w:tcPr>
            <w:tcW w:w="940" w:type="dxa"/>
            <w:vAlign w:val="bottom"/>
          </w:tcPr>
          <w:p>
            <w:pPr>
              <w:spacing w:after="0"/>
              <w:rPr>
                <w:sz w:val="13"/>
                <w:szCs w:val="13"/>
                <w:color w:val="auto"/>
              </w:rPr>
            </w:pPr>
          </w:p>
        </w:tc>
        <w:tc>
          <w:tcPr>
            <w:tcW w:w="9420" w:type="dxa"/>
            <w:vAlign w:val="bottom"/>
            <w:gridSpan w:val="12"/>
          </w:tcPr>
          <w:p>
            <w:pPr>
              <w:spacing w:after="0" w:line="160"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(incorporated by reference to Exhibit 4.1 to the Company’s Current Report on Form 8-K filed on January 16, 2024)</w:t>
              </w:r>
            </w:hyperlink>
          </w:p>
        </w:tc>
      </w:tr>
      <w:tr>
        <w:trPr>
          <w:trHeight w:val="20"/>
        </w:trPr>
        <w:tc>
          <w:tcPr>
            <w:tcW w:w="940" w:type="dxa"/>
            <w:vAlign w:val="bottom"/>
          </w:tcPr>
          <w:p>
            <w:pPr>
              <w:spacing w:after="0" w:line="20" w:lineRule="exact"/>
              <w:rPr>
                <w:sz w:val="1"/>
                <w:szCs w:val="1"/>
                <w:color w:val="auto"/>
              </w:rPr>
            </w:pPr>
          </w:p>
        </w:tc>
        <w:tc>
          <w:tcPr>
            <w:tcW w:w="720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9420" w:type="dxa"/>
            <w:vAlign w:val="bottom"/>
            <w:gridSpan w:val="12"/>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First Supplemental Indenture, dated as of January 16, 2024, between Sixth Street Specialty Lending, Inc. and U.S. Bank Trust Company, National</w:t>
              </w:r>
            </w:hyperlink>
          </w:p>
        </w:tc>
      </w:tr>
      <w:tr>
        <w:trPr>
          <w:trHeight w:val="160"/>
        </w:trPr>
        <w:tc>
          <w:tcPr>
            <w:tcW w:w="9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r:id="rId135">
              <w:r>
                <w:rPr>
                  <w:rFonts w:ascii="Times New Roman" w:cs="Times New Roman" w:eastAsia="Times New Roman" w:hAnsi="Times New Roman"/>
                  <w:sz w:val="16"/>
                  <w:szCs w:val="16"/>
                  <w:color w:val="0000FF"/>
                  <w:w w:val="97"/>
                </w:rPr>
                <w:t>Association, as Trustee (incorporated by reference to Exhibit 4.2 to the Company's Current Report on Form 8-K filed on January 16, 2024)</w:t>
              </w:r>
            </w:hyperlink>
          </w:p>
        </w:tc>
        <w:tc>
          <w:tcPr>
            <w:tcW w:w="5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82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7"/>
              </w:rPr>
            </w:pPr>
            <w:hyperlink r:id="rId135">
              <w:r>
                <w:rPr>
                  <w:rFonts w:ascii="Times New Roman" w:cs="Times New Roman" w:eastAsia="Times New Roman" w:hAnsi="Times New Roman"/>
                  <w:sz w:val="16"/>
                  <w:szCs w:val="16"/>
                  <w:color w:val="0000FF"/>
                  <w:w w:val="97"/>
                </w:rPr>
                <w:t>Form of 6.125% Note Due 2029 (included in Exhibit 4.2 to the Company’s Current Report on Form 8-K filed on January 16, 2024)</w:t>
              </w:r>
            </w:hyperlink>
          </w:p>
        </w:tc>
        <w:tc>
          <w:tcPr>
            <w:tcW w:w="1220" w:type="dxa"/>
            <w:vAlign w:val="bottom"/>
            <w:gridSpan w:val="6"/>
          </w:tcPr>
          <w:p>
            <w:pPr>
              <w:spacing w:after="0"/>
              <w:rPr>
                <w:sz w:val="24"/>
                <w:szCs w:val="24"/>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420" w:type="dxa"/>
            <w:vAlign w:val="bottom"/>
            <w:gridSpan w:val="12"/>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Fifteenth Amendment to Second Amended and Restated Senior Secured Revolving Credit Agreement, dated as of April 24, 2024, among Sixth Street</w:t>
              </w:r>
            </w:hyperlink>
          </w:p>
        </w:tc>
      </w:tr>
      <w:tr>
        <w:trPr>
          <w:trHeight w:val="160"/>
        </w:trPr>
        <w:tc>
          <w:tcPr>
            <w:tcW w:w="940" w:type="dxa"/>
            <w:vAlign w:val="bottom"/>
          </w:tcPr>
          <w:p>
            <w:pPr>
              <w:spacing w:after="0"/>
              <w:rPr>
                <w:sz w:val="13"/>
                <w:szCs w:val="13"/>
                <w:color w:val="auto"/>
              </w:rPr>
            </w:pPr>
          </w:p>
        </w:tc>
        <w:tc>
          <w:tcPr>
            <w:tcW w:w="9360" w:type="dxa"/>
            <w:vAlign w:val="bottom"/>
            <w:tcBorders>
              <w:top w:val="single" w:sz="8" w:color="0000FF"/>
            </w:tcBorders>
            <w:gridSpan w:val="11"/>
          </w:tcPr>
          <w:p>
            <w:pPr>
              <w:spacing w:after="0" w:line="160"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60" w:type="dxa"/>
            <w:vAlign w:val="bottom"/>
          </w:tcPr>
          <w:p>
            <w:pPr>
              <w:spacing w:after="0"/>
              <w:rPr>
                <w:sz w:val="13"/>
                <w:szCs w:val="13"/>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2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c>
          <w:tcPr>
            <w:tcW w:w="20" w:type="dxa"/>
            <w:vAlign w:val="bottom"/>
            <w:tcBorders>
              <w:top w:val="single" w:sz="8" w:color="0000FF"/>
            </w:tcBorders>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420" w:type="dxa"/>
            <w:vAlign w:val="bottom"/>
            <w:gridSpan w:val="12"/>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Chief Financial Officer Pursuant to 18 U.S.C. Section 1350, as 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960" w:hanging="942"/>
        <w:spacing w:after="0"/>
        <w:tabs>
          <w:tab w:leader="none" w:pos="960" w:val="left"/>
        </w:tabs>
        <w:numPr>
          <w:ilvl w:val="0"/>
          <w:numId w:val="10"/>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Certification of CEO and CFO Pursuant to 18 U.S.C. Section 1350, as Adopted Pursuant to Section 906 of the Sarbanes-Oxley Act of 2002</w:t>
        </w:r>
      </w:hyperlink>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203"/>
        </w:trPr>
        <w:tc>
          <w:tcPr>
            <w:tcW w:w="760" w:type="dxa"/>
            <w:vAlign w:val="bottom"/>
          </w:tcPr>
          <w:p>
            <w:pPr>
              <w:spacing w:after="0"/>
              <w:rPr>
                <w:sz w:val="17"/>
                <w:szCs w:val="17"/>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document.</w:t>
            </w:r>
          </w:p>
        </w:tc>
      </w:tr>
      <w:tr>
        <w:trPr>
          <w:trHeight w:val="30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97" w:lineRule="exact"/>
        <w:rPr>
          <w:sz w:val="20"/>
          <w:szCs w:val="20"/>
          <w:color w:val="auto"/>
        </w:rPr>
      </w:pPr>
    </w:p>
    <w:p>
      <w:pPr>
        <w:ind w:left="960" w:hanging="942"/>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4" w:lineRule="exact"/>
        <w:rPr>
          <w:rFonts w:ascii="Times New Roman" w:cs="Times New Roman" w:eastAsia="Times New Roman" w:hAnsi="Times New Roman"/>
          <w:sz w:val="16"/>
          <w:szCs w:val="16"/>
          <w:color w:val="auto"/>
        </w:rPr>
      </w:pPr>
    </w:p>
    <w:p>
      <w:pPr>
        <w:ind w:left="5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7360" w:type="dxa"/>
            <w:vAlign w:val="bottom"/>
            <w:gridSpan w:val="2"/>
          </w:tcPr>
          <w:p>
            <w:pPr>
              <w:ind w:left="3060"/>
              <w:spacing w:after="0"/>
              <w:rPr>
                <w:sz w:val="20"/>
                <w:szCs w:val="20"/>
                <w:color w:val="auto"/>
              </w:rPr>
            </w:pPr>
            <w:r>
              <w:rPr>
                <w:rFonts w:ascii="Times New Roman" w:cs="Times New Roman" w:eastAsia="Times New Roman" w:hAnsi="Times New Roman"/>
                <w:sz w:val="16"/>
                <w:szCs w:val="16"/>
                <w:color w:val="auto"/>
              </w:rPr>
              <w:t>SIXTH STREET SPECIALTY LENDING, INC.</w:t>
            </w:r>
          </w:p>
        </w:tc>
      </w:tr>
      <w:tr>
        <w:trPr>
          <w:trHeight w:val="45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1, 2024</w:t>
            </w:r>
          </w:p>
        </w:tc>
        <w:tc>
          <w:tcPr>
            <w:tcW w:w="340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Joshua Easterly</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Joshua Easterly</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5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May 1, 2024</w:t>
            </w:r>
          </w:p>
        </w:tc>
        <w:tc>
          <w:tcPr>
            <w:tcW w:w="340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Ian Simmonds</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Ian Simmonds</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4"/>
        </w:trPr>
        <w:tc>
          <w:tcPr>
            <w:tcW w:w="3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372"/>
        </w:trPr>
        <w:tc>
          <w:tcPr>
            <w:tcW w:w="3200" w:type="dxa"/>
            <w:vAlign w:val="bottom"/>
          </w:tcPr>
          <w:p>
            <w:pPr>
              <w:spacing w:after="0"/>
              <w:rPr>
                <w:sz w:val="24"/>
                <w:szCs w:val="24"/>
                <w:color w:val="auto"/>
              </w:rPr>
            </w:pPr>
          </w:p>
        </w:tc>
        <w:tc>
          <w:tcPr>
            <w:tcW w:w="340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rPr>
              <w:t>68</w:t>
            </w:r>
          </w:p>
        </w:tc>
        <w:tc>
          <w:tcPr>
            <w:tcW w:w="3960" w:type="dxa"/>
            <w:vAlign w:val="bottom"/>
          </w:tcPr>
          <w:p>
            <w:pPr>
              <w:spacing w:after="0"/>
              <w:rPr>
                <w:sz w:val="24"/>
                <w:szCs w:val="24"/>
                <w:color w:val="auto"/>
              </w:rPr>
            </w:pPr>
          </w:p>
        </w:tc>
      </w:tr>
      <w:tr>
        <w:trPr>
          <w:trHeight w:val="674"/>
        </w:trPr>
        <w:tc>
          <w:tcPr>
            <w:tcW w:w="3200" w:type="dxa"/>
            <w:vAlign w:val="bottom"/>
            <w:tcBorders>
              <w:bottom w:val="single" w:sz="8" w:color="EEEEEE"/>
            </w:tcBorders>
          </w:tcPr>
          <w:p>
            <w:pPr>
              <w:spacing w:after="0"/>
              <w:rPr>
                <w:sz w:val="24"/>
                <w:szCs w:val="24"/>
                <w:color w:val="auto"/>
              </w:rPr>
            </w:pPr>
          </w:p>
        </w:tc>
        <w:tc>
          <w:tcPr>
            <w:tcW w:w="3400" w:type="dxa"/>
            <w:vAlign w:val="bottom"/>
            <w:tcBorders>
              <w:bottom w:val="single" w:sz="8" w:color="EEEEEE"/>
            </w:tcBorders>
          </w:tcPr>
          <w:p>
            <w:pPr>
              <w:spacing w:after="0"/>
              <w:rPr>
                <w:sz w:val="24"/>
                <w:szCs w:val="24"/>
                <w:color w:val="auto"/>
              </w:rPr>
            </w:pPr>
          </w:p>
        </w:tc>
        <w:tc>
          <w:tcPr>
            <w:tcW w:w="3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68" w:name="page69"/>
    <w:bookmarkEnd w:id="68"/>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FIFTEENTH AMENDMENT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TO SECOND AMENDED AND RESTATED SENIOR SECURED REVOLVING CREDIT AGREEMENT</w:t>
      </w:r>
    </w:p>
    <w:p>
      <w:pPr>
        <w:spacing w:after="0" w:line="180"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color w:val="auto"/>
        </w:rPr>
        <w:t>THIS FIFTEENTH AMENDMENT TO SECOND AMENDED AND RESTATED SENIOR SECURED REVOLVING CREDIT AGREEMENT, dated as of April 24, 2024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 is among SIXTH STREET SPECIALTY LENDING,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LENDERS and ISSUING BANKS party hereto and TRUIST BANK,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W I T N E S S E T 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96"/>
        <w:spacing w:after="0" w:line="252" w:lineRule="auto"/>
        <w:rPr>
          <w:sz w:val="20"/>
          <w:szCs w:val="20"/>
          <w:color w:val="auto"/>
        </w:rPr>
      </w:pPr>
      <w:r>
        <w:rPr>
          <w:rFonts w:ascii="Times New Roman" w:cs="Times New Roman" w:eastAsia="Times New Roman" w:hAnsi="Times New Roman"/>
          <w:sz w:val="19"/>
          <w:szCs w:val="19"/>
          <w:color w:val="auto"/>
        </w:rPr>
        <w:t xml:space="preserve">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and the Fourteenth Amendment to Second Amended and Restated Senior Secured Revolving Credit Agreement, dated as of June 12, 2023 (the “ </w:t>
      </w:r>
      <w:r>
        <w:rPr>
          <w:rFonts w:ascii="Times New Roman" w:cs="Times New Roman" w:eastAsia="Times New Roman" w:hAnsi="Times New Roman"/>
          <w:sz w:val="19"/>
          <w:szCs w:val="19"/>
          <w:u w:val="single" w:color="auto"/>
          <w:color w:val="auto"/>
        </w:rPr>
        <w:t>Existing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by this Amendment and as the same may be further amended, supplemented, amended and restated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and</w:t>
      </w:r>
    </w:p>
    <w:p>
      <w:pPr>
        <w:spacing w:after="0" w:line="168"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9" w:name="page70"/>
    <w:bookmarkEnd w:id="69"/>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NOW, THEREFORE, the parties hereto hereby covenant and agree as follows:</w:t>
      </w: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DEFINITIONS</w:t>
      </w:r>
    </w:p>
    <w:p>
      <w:pPr>
        <w:spacing w:after="0" w:line="202" w:lineRule="exact"/>
        <w:rPr>
          <w:sz w:val="20"/>
          <w:szCs w:val="20"/>
          <w:color w:val="auto"/>
        </w:rPr>
      </w:pPr>
    </w:p>
    <w:p>
      <w:pPr>
        <w:ind w:right="1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 The following terms when used in this Amendment shall have the following meanings (such meanings to be equally applicable to the singular and plural forms thereof):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is defined in the </w:t>
      </w:r>
      <w:r>
        <w:rPr>
          <w:rFonts w:ascii="Times New Roman" w:cs="Times New Roman" w:eastAsia="Times New Roman" w:hAnsi="Times New Roman"/>
          <w:sz w:val="19"/>
          <w:szCs w:val="19"/>
          <w:u w:val="single" w:color="auto"/>
          <w:color w:val="auto"/>
        </w:rPr>
        <w:t>first recital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Fifteenth Amendment Effective Date</w:t>
      </w:r>
      <w:r>
        <w:rPr>
          <w:rFonts w:ascii="Times New Roman" w:cs="Times New Roman" w:eastAsia="Times New Roman" w:hAnsi="Times New Roman"/>
          <w:sz w:val="19"/>
          <w:szCs w:val="19"/>
          <w:color w:val="auto"/>
        </w:rPr>
        <w:t xml:space="preserve">” is defined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1.2. </w:t>
      </w:r>
      <w:r>
        <w:rPr>
          <w:rFonts w:ascii="Times New Roman" w:cs="Times New Roman" w:eastAsia="Times New Roman" w:hAnsi="Times New Roman"/>
          <w:sz w:val="19"/>
          <w:szCs w:val="19"/>
          <w:u w:val="single" w:color="auto"/>
          <w:color w:val="auto"/>
        </w:rPr>
        <w:t>Other Definitions</w:t>
      </w:r>
      <w:r>
        <w:rPr>
          <w:rFonts w:ascii="Times New Roman" w:cs="Times New Roman" w:eastAsia="Times New Roman" w:hAnsi="Times New Roman"/>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ARTICLE II</w:t>
      </w: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ARTICLE III</w:t>
      </w: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AMENDMENTS TO EXISTING CREDIT AGREEMENT</w:t>
      </w:r>
    </w:p>
    <w:p>
      <w:pPr>
        <w:spacing w:after="0" w:line="202"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Subject to the occurrence of the Fifteenth Amendment Effective Date (as hereinafter defined), the parties hereby agree that:</w:t>
      </w:r>
    </w:p>
    <w:p>
      <w:pPr>
        <w:spacing w:after="0" w:line="127" w:lineRule="exact"/>
        <w:rPr>
          <w:sz w:val="20"/>
          <w:szCs w:val="20"/>
          <w:color w:val="auto"/>
        </w:rPr>
      </w:pPr>
    </w:p>
    <w:p>
      <w:pPr>
        <w:jc w:val="both"/>
        <w:ind w:right="80" w:firstLine="1458"/>
        <w:spacing w:after="0" w:line="268" w:lineRule="auto"/>
        <w:tabs>
          <w:tab w:leader="none" w:pos="1714"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Existing Credit Agreement (excluding the Exhibits and Schedules thereto) is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9"/>
          <w:szCs w:val="19"/>
          <w:color w:val="auto"/>
        </w:rPr>
        <w:t xml:space="preserve">) as set forth in the pages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w:t>
      </w:r>
    </w:p>
    <w:p>
      <w:pPr>
        <w:spacing w:after="0" w:line="144"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Schedule 1.01(b) of the Existing Credit Agreement is amended in its entirety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hereto.</w:t>
      </w:r>
    </w:p>
    <w:p>
      <w:pPr>
        <w:spacing w:after="0" w:line="1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440" w:right="900" w:bottom="1440" w:gutter="0" w:footer="0" w:header="0"/>
        </w:sectPr>
      </w:pPr>
    </w:p>
    <w:bookmarkStart w:id="70" w:name="page71"/>
    <w:bookmarkEnd w:id="70"/>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IV</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CONDITIONS TO EFFECTIVENESS</w:t>
      </w:r>
    </w:p>
    <w:p>
      <w:pPr>
        <w:spacing w:after="0" w:line="202"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This Amendment shall become effective on the date (the “</w:t>
      </w:r>
      <w:r>
        <w:rPr>
          <w:rFonts w:ascii="Times New Roman" w:cs="Times New Roman" w:eastAsia="Times New Roman" w:hAnsi="Times New Roman"/>
          <w:sz w:val="19"/>
          <w:szCs w:val="19"/>
          <w:u w:val="single" w:color="auto"/>
          <w:color w:val="auto"/>
        </w:rPr>
        <w:t>Fifteenth Amendment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V</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60" w:lineRule="exact"/>
        <w:rPr>
          <w:sz w:val="20"/>
          <w:szCs w:val="20"/>
          <w:color w:val="auto"/>
        </w:rPr>
      </w:pPr>
    </w:p>
    <w:p>
      <w:pPr>
        <w:ind w:right="12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5.2. </w:t>
      </w:r>
      <w:r>
        <w:rPr>
          <w:rFonts w:ascii="Times New Roman" w:cs="Times New Roman" w:eastAsia="Times New Roman" w:hAnsi="Times New Roman"/>
          <w:sz w:val="19"/>
          <w:szCs w:val="19"/>
          <w:u w:val="single" w:color="auto"/>
          <w:color w:val="auto"/>
        </w:rPr>
        <w:t>Cross-References</w:t>
      </w:r>
      <w:r>
        <w:rPr>
          <w:rFonts w:ascii="Times New Roman" w:cs="Times New Roman" w:eastAsia="Times New Roman" w:hAnsi="Times New Roman"/>
          <w:sz w:val="19"/>
          <w:szCs w:val="19"/>
          <w:color w:val="auto"/>
        </w:rPr>
        <w:t>. References in this Amendment to any Article or Section are, unless otherwise specified, to such Article or Section of this Amendment.</w:t>
      </w:r>
    </w:p>
    <w:p>
      <w:pPr>
        <w:spacing w:after="0" w:line="127" w:lineRule="exact"/>
        <w:rPr>
          <w:sz w:val="20"/>
          <w:szCs w:val="20"/>
          <w:color w:val="auto"/>
        </w:rPr>
      </w:pPr>
    </w:p>
    <w:p>
      <w:pPr>
        <w:ind w:right="24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5.3. </w:t>
      </w:r>
      <w:r>
        <w:rPr>
          <w:rFonts w:ascii="Times New Roman" w:cs="Times New Roman" w:eastAsia="Times New Roman" w:hAnsi="Times New Roman"/>
          <w:sz w:val="19"/>
          <w:szCs w:val="19"/>
          <w:u w:val="single" w:color="auto"/>
          <w:color w:val="auto"/>
        </w:rPr>
        <w:t>Loan Document Pursuant to Existing Credit Agreement</w:t>
      </w:r>
      <w:r>
        <w:rPr>
          <w:rFonts w:ascii="Times New Roman" w:cs="Times New Roman" w:eastAsia="Times New Roman" w:hAnsi="Times New Roman"/>
          <w:sz w:val="19"/>
          <w:szCs w:val="19"/>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71" w:name="page72"/>
    <w:bookmarkEnd w:id="71"/>
    <w:p>
      <w:pPr>
        <w:spacing w:after="0" w:line="200" w:lineRule="exact"/>
        <w:rPr>
          <w:sz w:val="20"/>
          <w:szCs w:val="20"/>
          <w:color w:val="auto"/>
        </w:rPr>
      </w:pPr>
    </w:p>
    <w:p>
      <w:pPr>
        <w:spacing w:after="0" w:line="261"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 The provisions of this Amendment shall be binding upon and inure to the benefit of the parties hereto and their respective successors and assigns.</w:t>
      </w:r>
    </w:p>
    <w:p>
      <w:pPr>
        <w:spacing w:after="0" w:line="127"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5.5.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50"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shall be governed by and construed in accordance with the laws of the State of New York.</w:t>
      </w:r>
    </w:p>
    <w:p>
      <w:pPr>
        <w:spacing w:after="0" w:line="127"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5.7. </w:t>
      </w:r>
      <w:r>
        <w:rPr>
          <w:rFonts w:ascii="Times New Roman" w:cs="Times New Roman" w:eastAsia="Times New Roman" w:hAnsi="Times New Roman"/>
          <w:sz w:val="19"/>
          <w:szCs w:val="19"/>
          <w:u w:val="single" w:color="auto"/>
          <w:color w:val="auto"/>
        </w:rPr>
        <w:t>Full Force and Effect; Limited Amendment</w:t>
      </w:r>
      <w:r>
        <w:rPr>
          <w:rFonts w:ascii="Times New Roman" w:cs="Times New Roman" w:eastAsia="Times New Roman" w:hAnsi="Times New Roman"/>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5" w:lineRule="exact"/>
        <w:rPr>
          <w:sz w:val="20"/>
          <w:szCs w:val="20"/>
          <w:color w:val="auto"/>
        </w:rPr>
      </w:pPr>
    </w:p>
    <w:p>
      <w:pPr>
        <w:ind w:firstLine="696"/>
        <w:spacing w:after="0" w:line="265" w:lineRule="auto"/>
        <w:rPr>
          <w:sz w:val="20"/>
          <w:szCs w:val="20"/>
          <w:color w:val="auto"/>
        </w:rPr>
      </w:pPr>
      <w:r>
        <w:rPr>
          <w:rFonts w:ascii="Times New Roman" w:cs="Times New Roman" w:eastAsia="Times New Roman" w:hAnsi="Times New Roman"/>
          <w:sz w:val="19"/>
          <w:szCs w:val="19"/>
          <w:color w:val="auto"/>
        </w:rPr>
        <w:t xml:space="preserve">SECTION 5.8. </w:t>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5.9. </w:t>
      </w:r>
      <w:r>
        <w:rPr>
          <w:rFonts w:ascii="Times New Roman" w:cs="Times New Roman" w:eastAsia="Times New Roman" w:hAnsi="Times New Roman"/>
          <w:sz w:val="19"/>
          <w:szCs w:val="19"/>
          <w:u w:val="single" w:color="auto"/>
          <w:color w:val="auto"/>
        </w:rPr>
        <w:t>Assignment and Reallocation of Existing Commitments and Existing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00" w:firstLine="1410"/>
        <w:spacing w:after="0" w:line="257" w:lineRule="auto"/>
        <w:tabs>
          <w:tab w:leader="none" w:pos="1665"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Fifteenth Amendment Effective Date, the Borrower shall (A) prepay the outstanding Loans and (B) simultaneously borrow new Loans in an amount equal to such prepayment; provided that with respect to subclauses (A) and (B), (x) the prepayment to, and borrowing from, any Lender shall be effected by book entry to the extent that any portion of the amount prepaid to such Lender will be subsequently borrowed from such Lender, (y) the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2" w:name="page73"/>
    <w:bookmarkEnd w:id="72"/>
    <w:p>
      <w:pPr>
        <w:spacing w:after="0" w:line="200" w:lineRule="exact"/>
        <w:rPr>
          <w:sz w:val="20"/>
          <w:szCs w:val="20"/>
          <w:color w:val="auto"/>
        </w:rPr>
      </w:pPr>
    </w:p>
    <w:p>
      <w:pPr>
        <w:spacing w:after="0" w:line="26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color w:val="auto"/>
        </w:rPr>
        <w:t>giving effect to this Amendment), which, for the purposes of the Credit Agreement and each other Loan Document, will be as set forth opposite such Person’s name on Schedule 1.01(b) to the Credit Agreement (as amended by this Amendment) and (z) 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57" w:lineRule="exact"/>
        <w:rPr>
          <w:sz w:val="20"/>
          <w:szCs w:val="20"/>
          <w:color w:val="auto"/>
        </w:rPr>
      </w:pPr>
    </w:p>
    <w:p>
      <w:pPr>
        <w:ind w:firstLine="1410"/>
        <w:spacing w:after="0" w:line="255" w:lineRule="auto"/>
        <w:tabs>
          <w:tab w:leader="none" w:pos="167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388"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Outstanding Term Benchmark Loans Denominated in Canadian Dollars</w:t>
      </w:r>
      <w:r>
        <w:rPr>
          <w:rFonts w:ascii="Times New Roman" w:cs="Times New Roman" w:eastAsia="Times New Roman" w:hAnsi="Times New Roman"/>
          <w:sz w:val="19"/>
          <w:szCs w:val="19"/>
          <w:color w:val="auto"/>
        </w:rPr>
        <w:t>. Notwithstanding anything to the contrary in the Credit Agreement, as amended by this Amendment, all outstanding Term Benchmark Loans denominated in Canadian Dollars as of the Fifteenth Amendment Effective Date shall remain outstanding, with interest being calculated based on the Term Benchmark Rate as in effect under the Existing Credit Agreement, until the end of the Interest Period applicable thereto and thereafter, if continued, interest on such Term Benchmark Loans shall be calculated in accordance with the terms of the Credit Agreement, as amended by this Amendment.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IN WITNESS WHEREOF, the parties hereto have executed and delivered this Amendment as of the date first above</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written.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PECIALTY LENDING, INC.</w:t>
      </w:r>
    </w:p>
    <w:p>
      <w:pPr>
        <w:spacing w:after="0" w:line="200" w:lineRule="exact"/>
        <w:rPr>
          <w:sz w:val="20"/>
          <w:szCs w:val="20"/>
          <w:color w:val="auto"/>
        </w:rPr>
      </w:pPr>
    </w:p>
    <w:p>
      <w:pPr>
        <w:spacing w:after="0" w:line="2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-7620</wp:posOffset>
            </wp:positionV>
            <wp:extent cx="3048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656590</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00" w:top="1440" w:right="88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as Administrative Agent, Swingline Lender, Issuing Bank and as a Lender</w:t>
      </w:r>
    </w:p>
    <w:p>
      <w:pPr>
        <w:spacing w:after="0" w:line="200" w:lineRule="exact"/>
        <w:rPr>
          <w:sz w:val="20"/>
          <w:szCs w:val="20"/>
          <w:color w:val="auto"/>
        </w:rPr>
      </w:pPr>
    </w:p>
    <w:p>
      <w:pPr>
        <w:spacing w:after="0" w:line="2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760" w:top="1440" w:right="1300" w:bottom="1440" w:gutter="0" w:footer="0" w:header="0"/>
        </w:sectPr>
      </w:pPr>
    </w:p>
    <w:bookmarkStart w:id="75" w:name="page76"/>
    <w:bookmarkEnd w:id="75"/>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Issuing Bank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6" w:name="page77"/>
    <w:bookmarkEnd w:id="76"/>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MUFG BANK, LTD.,</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7" w:name="page78"/>
    <w:bookmarkEnd w:id="77"/>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STATE STREET BANK AND TRUST COMPANY,</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8" w:name="page79"/>
    <w:bookmarkEnd w:id="78"/>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Swingline Lender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79" w:name="page80"/>
    <w:bookmarkEnd w:id="79"/>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0" w:name="page81"/>
    <w:bookmarkEnd w:id="80"/>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INDUSTRIAL AND COMMERCIAL BANK OF CHINA LIMITED, NEW</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YORK BRANCH,</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760" w:top="1440" w:right="840" w:bottom="1440" w:gutter="0" w:footer="0" w:header="0"/>
        </w:sectPr>
      </w:pPr>
    </w:p>
    <w:bookmarkStart w:id="81" w:name="page82"/>
    <w:bookmarkEnd w:id="81"/>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MIZUHO BANK, LTD.,</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656590</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82" w:name="page83"/>
    <w:bookmarkEnd w:id="82"/>
    <w:p>
      <w:pPr>
        <w:ind w:left="414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3" w:name="page84"/>
    <w:bookmarkEnd w:id="83"/>
    <w:p>
      <w:pPr>
        <w:ind w:left="4140"/>
        <w:spacing w:after="0"/>
        <w:rPr>
          <w:sz w:val="20"/>
          <w:szCs w:val="20"/>
          <w:color w:val="auto"/>
        </w:rPr>
      </w:pPr>
      <w:r>
        <w:rPr>
          <w:rFonts w:ascii="Times New Roman" w:cs="Times New Roman" w:eastAsia="Times New Roman" w:hAnsi="Times New Roman"/>
          <w:sz w:val="19"/>
          <w:szCs w:val="19"/>
          <w:b w:val="1"/>
          <w:bCs w:val="1"/>
          <w:color w:val="auto"/>
        </w:rPr>
        <w:t>HSBC BANK USA,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4" w:name="page85"/>
    <w:bookmarkEnd w:id="84"/>
    <w:p>
      <w:pPr>
        <w:ind w:left="4140"/>
        <w:spacing w:after="0"/>
        <w:rPr>
          <w:sz w:val="20"/>
          <w:szCs w:val="20"/>
          <w:color w:val="auto"/>
        </w:rPr>
      </w:pPr>
      <w:r>
        <w:rPr>
          <w:rFonts w:ascii="Times New Roman" w:cs="Times New Roman" w:eastAsia="Times New Roman" w:hAnsi="Times New Roman"/>
          <w:sz w:val="19"/>
          <w:szCs w:val="19"/>
          <w:b w:val="1"/>
          <w:bCs w:val="1"/>
          <w:color w:val="auto"/>
        </w:rPr>
        <w:t>APPLE BANK,</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5" w:name="page86"/>
    <w:bookmarkEnd w:id="85"/>
    <w:p>
      <w:pPr>
        <w:ind w:left="4140"/>
        <w:spacing w:after="0"/>
        <w:rPr>
          <w:sz w:val="20"/>
          <w:szCs w:val="20"/>
          <w:color w:val="auto"/>
        </w:rPr>
      </w:pPr>
      <w:r>
        <w:rPr>
          <w:rFonts w:ascii="Times New Roman" w:cs="Times New Roman" w:eastAsia="Times New Roman" w:hAnsi="Times New Roman"/>
          <w:sz w:val="19"/>
          <w:szCs w:val="19"/>
          <w:b w:val="1"/>
          <w:bCs w:val="1"/>
          <w:color w:val="auto"/>
        </w:rPr>
        <w:t>CITIBANK,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6" w:name="page87"/>
    <w:bookmarkEnd w:id="86"/>
    <w:p>
      <w:pPr>
        <w:ind w:left="4140"/>
        <w:spacing w:after="0"/>
        <w:rPr>
          <w:sz w:val="20"/>
          <w:szCs w:val="20"/>
          <w:color w:val="auto"/>
        </w:rPr>
      </w:pPr>
      <w:r>
        <w:rPr>
          <w:rFonts w:ascii="Times New Roman" w:cs="Times New Roman" w:eastAsia="Times New Roman" w:hAnsi="Times New Roman"/>
          <w:sz w:val="19"/>
          <w:szCs w:val="19"/>
          <w:b w:val="1"/>
          <w:bCs w:val="1"/>
          <w:color w:val="auto"/>
        </w:rPr>
        <w:t>FIRST-CITIZENS BANK &amp; TRUST COMPANY,</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7" w:name="page88"/>
    <w:bookmarkEnd w:id="87"/>
    <w:p>
      <w:pPr>
        <w:ind w:left="4140"/>
        <w:spacing w:after="0"/>
        <w:rPr>
          <w:sz w:val="20"/>
          <w:szCs w:val="20"/>
          <w:color w:val="auto"/>
        </w:rPr>
      </w:pPr>
      <w:r>
        <w:rPr>
          <w:rFonts w:ascii="Times New Roman" w:cs="Times New Roman" w:eastAsia="Times New Roman" w:hAnsi="Times New Roman"/>
          <w:sz w:val="19"/>
          <w:szCs w:val="19"/>
          <w:b w:val="1"/>
          <w:bCs w:val="1"/>
          <w:color w:val="auto"/>
        </w:rPr>
        <w:t>GOLDMAN SACHS BANK USA,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8" w:name="page89"/>
    <w:bookmarkEnd w:id="88"/>
    <w:p>
      <w:pPr>
        <w:ind w:left="4140"/>
        <w:spacing w:after="0"/>
        <w:rPr>
          <w:sz w:val="20"/>
          <w:szCs w:val="20"/>
          <w:color w:val="auto"/>
        </w:rPr>
      </w:pPr>
      <w:r>
        <w:rPr>
          <w:rFonts w:ascii="Times New Roman" w:cs="Times New Roman" w:eastAsia="Times New Roman" w:hAnsi="Times New Roman"/>
          <w:sz w:val="19"/>
          <w:szCs w:val="19"/>
          <w:b w:val="1"/>
          <w:bCs w:val="1"/>
          <w:color w:val="auto"/>
        </w:rPr>
        <w:t>MORGAN STANLEY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89" w:name="page90"/>
    <w:bookmarkEnd w:id="89"/>
    <w:p>
      <w:pPr>
        <w:ind w:left="4140"/>
        <w:spacing w:after="0"/>
        <w:rPr>
          <w:sz w:val="20"/>
          <w:szCs w:val="20"/>
          <w:color w:val="auto"/>
        </w:rPr>
      </w:pPr>
      <w:r>
        <w:rPr>
          <w:rFonts w:ascii="Times New Roman" w:cs="Times New Roman" w:eastAsia="Times New Roman" w:hAnsi="Times New Roman"/>
          <w:sz w:val="19"/>
          <w:szCs w:val="19"/>
          <w:b w:val="1"/>
          <w:bCs w:val="1"/>
          <w:color w:val="auto"/>
        </w:rPr>
        <w:t>ROYAL BANK OF CANADA,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0" w:name="page91"/>
    <w:bookmarkEnd w:id="90"/>
    <w:p>
      <w:pPr>
        <w:ind w:left="4140"/>
        <w:spacing w:after="0"/>
        <w:rPr>
          <w:sz w:val="20"/>
          <w:szCs w:val="20"/>
          <w:color w:val="auto"/>
        </w:rPr>
      </w:pPr>
      <w:r>
        <w:rPr>
          <w:rFonts w:ascii="Times New Roman" w:cs="Times New Roman" w:eastAsia="Times New Roman" w:hAnsi="Times New Roman"/>
          <w:sz w:val="19"/>
          <w:szCs w:val="19"/>
          <w:b w:val="1"/>
          <w:bCs w:val="1"/>
          <w:color w:val="auto"/>
        </w:rPr>
        <w:t>CITIZENS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1" w:name="page92"/>
    <w:bookmarkEnd w:id="91"/>
    <w:p>
      <w:pPr>
        <w:ind w:left="4140"/>
        <w:spacing w:after="0"/>
        <w:rPr>
          <w:sz w:val="20"/>
          <w:szCs w:val="20"/>
          <w:color w:val="auto"/>
        </w:rPr>
      </w:pPr>
      <w:r>
        <w:rPr>
          <w:rFonts w:ascii="Times New Roman" w:cs="Times New Roman" w:eastAsia="Times New Roman" w:hAnsi="Times New Roman"/>
          <w:sz w:val="19"/>
          <w:szCs w:val="19"/>
          <w:b w:val="1"/>
          <w:bCs w:val="1"/>
          <w:color w:val="auto"/>
        </w:rPr>
        <w:t>STIFEL BANK &amp; TRUST,</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2" w:name="page93"/>
    <w:bookmarkEnd w:id="92"/>
    <w:p>
      <w:pPr>
        <w:ind w:left="4140"/>
        <w:spacing w:after="0"/>
        <w:rPr>
          <w:sz w:val="20"/>
          <w:szCs w:val="20"/>
          <w:color w:val="auto"/>
        </w:rPr>
      </w:pPr>
      <w:r>
        <w:rPr>
          <w:rFonts w:ascii="Times New Roman" w:cs="Times New Roman" w:eastAsia="Times New Roman" w:hAnsi="Times New Roman"/>
          <w:sz w:val="19"/>
          <w:szCs w:val="19"/>
          <w:b w:val="1"/>
          <w:bCs w:val="1"/>
          <w:color w:val="auto"/>
        </w:rPr>
        <w:t>SANTANDER BANK, N.A.,</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3" w:name="page94"/>
    <w:bookmarkEnd w:id="93"/>
    <w:p>
      <w:pPr>
        <w:ind w:left="4140"/>
        <w:spacing w:after="0"/>
        <w:rPr>
          <w:sz w:val="20"/>
          <w:szCs w:val="20"/>
          <w:color w:val="auto"/>
        </w:rPr>
      </w:pPr>
      <w:r>
        <w:rPr>
          <w:rFonts w:ascii="Times New Roman" w:cs="Times New Roman" w:eastAsia="Times New Roman" w:hAnsi="Times New Roman"/>
          <w:sz w:val="18"/>
          <w:szCs w:val="18"/>
          <w:b w:val="1"/>
          <w:bCs w:val="1"/>
          <w:color w:val="auto"/>
        </w:rPr>
        <w:t>COMERICA BANK,</w:t>
      </w:r>
    </w:p>
    <w:p>
      <w:pPr>
        <w:spacing w:after="0" w:line="4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122555</wp:posOffset>
            </wp:positionV>
            <wp:extent cx="304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59" w:right="1440" w:bottom="1440" w:gutter="0" w:footer="0" w:header="0"/>
        </w:sectPr>
      </w:pPr>
    </w:p>
    <w:bookmarkStart w:id="94" w:name="page95"/>
    <w:bookmarkEnd w:id="94"/>
    <w:p>
      <w:pPr>
        <w:spacing w:after="0" w:line="37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 xml:space="preserve">Agreed and acknowledged solely with respect to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TC LENDING, LLC</w:t>
      </w:r>
    </w:p>
    <w:p>
      <w:pPr>
        <w:spacing w:after="0" w:line="200" w:lineRule="exact"/>
        <w:rPr>
          <w:sz w:val="20"/>
          <w:szCs w:val="20"/>
          <w:color w:val="auto"/>
        </w:rPr>
      </w:pPr>
    </w:p>
    <w:p>
      <w:pPr>
        <w:spacing w:after="0" w:line="2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267335</wp:posOffset>
            </wp:positionV>
            <wp:extent cx="304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SIXTH STREET SL HOLDING, LLC</w:t>
      </w:r>
    </w:p>
    <w:p>
      <w:pPr>
        <w:spacing w:after="0" w:line="200" w:lineRule="exact"/>
        <w:rPr>
          <w:sz w:val="20"/>
          <w:szCs w:val="20"/>
          <w:color w:val="auto"/>
        </w:rPr>
      </w:pPr>
    </w:p>
    <w:p>
      <w:pPr>
        <w:spacing w:after="0" w:line="2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3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SIXTH STREET SL SPV, LLC</w:t>
      </w:r>
    </w:p>
    <w:p>
      <w:pPr>
        <w:spacing w:after="0" w:line="200" w:lineRule="exact"/>
        <w:rPr>
          <w:sz w:val="20"/>
          <w:szCs w:val="20"/>
          <w:color w:val="auto"/>
        </w:rPr>
      </w:pPr>
    </w:p>
    <w:p>
      <w:pPr>
        <w:spacing w:after="0" w:line="2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304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Title: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FIFTEENTH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40" w:right="1440" w:bottom="1440" w:gutter="0" w:footer="0" w:header="0"/>
        </w:sectPr>
      </w:pPr>
    </w:p>
    <w:bookmarkStart w:id="95" w:name="page96"/>
    <w:bookmarkEnd w:id="95"/>
    <w:p>
      <w:pPr>
        <w:ind w:left="5480"/>
        <w:spacing w:after="0"/>
        <w:rPr>
          <w:sz w:val="20"/>
          <w:szCs w:val="20"/>
          <w:color w:val="auto"/>
        </w:rPr>
      </w:pPr>
      <w:r>
        <w:rPr>
          <w:rFonts w:ascii="Times New Roman" w:cs="Times New Roman" w:eastAsia="Times New Roman" w:hAnsi="Times New Roman"/>
          <w:sz w:val="19"/>
          <w:szCs w:val="19"/>
          <w:b w:val="1"/>
          <w:bCs w:val="1"/>
          <w:color w:val="auto"/>
        </w:rPr>
        <w:t>Exhibit A to Fifteenth Amendment, dated as of April 24, 2024</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CONFORMED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137795</wp:posOffset>
            </wp:positionV>
            <wp:extent cx="67075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153035</wp:posOffset>
            </wp:positionV>
            <wp:extent cx="67075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SECOND AMENDED AND RESTATED</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SENIOR SECURED</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REVOLVING CREDIT AGREEMENT</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dated as of</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February 27, 2014</w:t>
      </w:r>
    </w:p>
    <w:p>
      <w:pPr>
        <w:spacing w:after="0" w:line="202" w:lineRule="exact"/>
        <w:rPr>
          <w:sz w:val="20"/>
          <w:szCs w:val="20"/>
          <w:color w:val="auto"/>
        </w:rPr>
      </w:pPr>
    </w:p>
    <w:p>
      <w:pPr>
        <w:jc w:val="center"/>
        <w:ind w:right="40"/>
        <w:spacing w:after="0" w:line="253" w:lineRule="auto"/>
        <w:rPr>
          <w:sz w:val="20"/>
          <w:szCs w:val="20"/>
          <w:color w:val="auto"/>
        </w:rPr>
      </w:pPr>
      <w:r>
        <w:rPr>
          <w:rFonts w:ascii="Times New Roman" w:cs="Times New Roman" w:eastAsia="Times New Roman" w:hAnsi="Times New Roman"/>
          <w:sz w:val="19"/>
          <w:szCs w:val="19"/>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the Fourteenth Amendment to Second Amended and Restated Senior Secured Revolving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DOCVARIABLE #DNDocID \* MERGEFORMAT 763630265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692150</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700" w:top="782" w:right="660" w:bottom="1440" w:gutter="0" w:footer="0" w:header="0"/>
        </w:sectPr>
      </w:pPr>
    </w:p>
    <w:bookmarkStart w:id="96" w:name="page97"/>
    <w:bookmarkEnd w:id="96"/>
    <w:p>
      <w:pPr>
        <w:jc w:val="center"/>
        <w:spacing w:after="0" w:line="286" w:lineRule="auto"/>
        <w:rPr>
          <w:sz w:val="20"/>
          <w:szCs w:val="20"/>
          <w:color w:val="auto"/>
        </w:rPr>
      </w:pPr>
      <w:r>
        <w:rPr>
          <w:rFonts w:ascii="Times New Roman" w:cs="Times New Roman" w:eastAsia="Times New Roman" w:hAnsi="Times New Roman"/>
          <w:sz w:val="19"/>
          <w:szCs w:val="19"/>
          <w:color w:val="auto"/>
        </w:rPr>
        <w:t>dated as of June 12, 2023, and the Fifteenth Amendment to Second Amended and Restated Senior Secured Revolving Credit Agreement dated as of April 24, 2024</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among</w:t>
      </w:r>
    </w:p>
    <w:p>
      <w:pPr>
        <w:spacing w:after="0" w:line="20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color w:val="auto"/>
        </w:rPr>
        <w:t>SIXTH STREET SPECIALTY LENDING, INC.</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auto"/>
        </w:rPr>
        <w:t>as Borrower</w:t>
      </w:r>
    </w:p>
    <w:p>
      <w:pPr>
        <w:spacing w:after="0" w:line="18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The LENDERS and ISSUING BANKS Party Hereto</w:t>
      </w:r>
    </w:p>
    <w:p>
      <w:pPr>
        <w:spacing w:after="0" w:line="2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and</w:t>
      </w:r>
    </w:p>
    <w:p>
      <w:pPr>
        <w:spacing w:after="0" w:line="20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8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Syndication Agent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$1,700,000,000</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__________________</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 Joint Lead Arrangers and Joint Book Runners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MUFG BANK,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SUMITOMO MITSUI BANKING CORPORATION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STATE STREET BANK AND TRUST COMPANY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0750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434975</wp:posOffset>
            </wp:positionV>
            <wp:extent cx="670750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DOCVARIABLE #DNDocID \* MERGEFORMAT 763630265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692150</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700" w:top="1013" w:right="72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53"/>
        </w:trPr>
        <w:tc>
          <w:tcPr>
            <w:tcW w:w="8780" w:type="dxa"/>
            <w:vAlign w:val="bottom"/>
          </w:tcPr>
          <w:p>
            <w:pPr>
              <w:ind w:left="426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780" w:type="dxa"/>
            <w:vAlign w:val="bottom"/>
          </w:tcPr>
          <w:p>
            <w:pPr>
              <w:spacing w:after="0"/>
              <w:rPr>
                <w:sz w:val="22"/>
                <w:szCs w:val="22"/>
                <w:color w:val="auto"/>
              </w:rPr>
            </w:pPr>
          </w:p>
        </w:tc>
      </w:tr>
      <w:tr>
        <w:trPr>
          <w:trHeight w:val="456"/>
        </w:trPr>
        <w:tc>
          <w:tcPr>
            <w:tcW w:w="87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420"/>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I DEFINITIONS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1.01. Defined Terms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1.02. Classification of Loans and Borrowings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48</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1.03. Terms Generally</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48</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1.04. Accounting Terms; GAAP</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49</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1.05. Currencies; Currency Equivalents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50</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1.06. Letter of Credit Amounts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516"/>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1.07. Rates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78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II THE CREDITS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2.01. The Commitments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51</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2.02. Loans and Borrowings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52</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2.03. Requests for Syndicated Borrowings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53</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2.04. Swingline Loans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54</w:t>
            </w:r>
          </w:p>
        </w:tc>
      </w:tr>
      <w:tr>
        <w:trPr>
          <w:trHeight w:val="40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2.05. Letters of Credit</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57</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2.06. Funding of Borrowings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62</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2.07. Interest Elections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63</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2.08. Termination, Reduction or Increase of the Commitments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64</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2.09. Repayment of Loans; Evidence of Debt</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67</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2.10. Prepayment of Loans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69</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2.11. Fees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73</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2.12. Interest</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74</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2.13. Inability to Determine Interest Rates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75</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2.14. Increased Costs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77</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2.15. Break Funding Payments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78</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2.16. Taxes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79</w:t>
            </w:r>
          </w:p>
        </w:tc>
      </w:tr>
      <w:tr>
        <w:trPr>
          <w:trHeight w:val="384"/>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2.17. Payments Generally; Pro Rata Treatment: Sharing of Set-offs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83</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2.18. Mitigation Obligations; Replacement of Lenders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85</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2.19. Defaulting Lenders</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86</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2.20. Reallocation Following a Non-Extended Commitment Termination Date</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90</w:t>
            </w:r>
          </w:p>
        </w:tc>
      </w:tr>
      <w:tr>
        <w:trPr>
          <w:trHeight w:val="348"/>
        </w:trPr>
        <w:tc>
          <w:tcPr>
            <w:tcW w:w="878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2.21. Illegality</w:t>
            </w:r>
          </w:p>
        </w:tc>
        <w:tc>
          <w:tcPr>
            <w:tcW w:w="1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92</w:t>
            </w:r>
          </w:p>
        </w:tc>
      </w:tr>
      <w:tr>
        <w:trPr>
          <w:trHeight w:val="314"/>
        </w:trPr>
        <w:tc>
          <w:tcPr>
            <w:tcW w:w="8780" w:type="dxa"/>
            <w:vAlign w:val="bottom"/>
          </w:tcPr>
          <w:p>
            <w:pPr>
              <w:ind w:left="5200"/>
              <w:spacing w:after="0"/>
              <w:rPr>
                <w:sz w:val="20"/>
                <w:szCs w:val="20"/>
                <w:color w:val="auto"/>
              </w:rPr>
            </w:pPr>
            <w:r>
              <w:rPr>
                <w:rFonts w:ascii="Times New Roman" w:cs="Times New Roman" w:eastAsia="Times New Roman" w:hAnsi="Times New Roman"/>
                <w:sz w:val="19"/>
                <w:szCs w:val="19"/>
                <w:color w:val="auto"/>
              </w:rPr>
              <w:t>-i-</w:t>
            </w:r>
          </w:p>
        </w:tc>
        <w:tc>
          <w:tcPr>
            <w:tcW w:w="1780" w:type="dxa"/>
            <w:vAlign w:val="bottom"/>
          </w:tcPr>
          <w:p>
            <w:pPr>
              <w:spacing w:after="0"/>
              <w:rPr>
                <w:sz w:val="24"/>
                <w:szCs w:val="24"/>
                <w:color w:val="auto"/>
              </w:rPr>
            </w:pPr>
          </w:p>
        </w:tc>
      </w:tr>
      <w:tr>
        <w:trPr>
          <w:trHeight w:val="172"/>
        </w:trPr>
        <w:tc>
          <w:tcPr>
            <w:tcW w:w="87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DOCVARIABLE #DNDocID \* MERGEFORMAT 763630265</w:t>
            </w:r>
          </w:p>
        </w:tc>
        <w:tc>
          <w:tcPr>
            <w:tcW w:w="1780" w:type="dxa"/>
            <w:vAlign w:val="bottom"/>
          </w:tcPr>
          <w:p>
            <w:pPr>
              <w:spacing w:after="0"/>
              <w:rPr>
                <w:sz w:val="14"/>
                <w:szCs w:val="14"/>
                <w:color w:val="auto"/>
              </w:rPr>
            </w:pPr>
          </w:p>
        </w:tc>
      </w:tr>
      <w:tr>
        <w:trPr>
          <w:trHeight w:val="872"/>
        </w:trPr>
        <w:tc>
          <w:tcPr>
            <w:tcW w:w="878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396"/>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2.22. Effect of Benchmark Transition Event</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r>
      <w:tr>
        <w:trPr>
          <w:trHeight w:val="348"/>
        </w:trPr>
        <w:tc>
          <w:tcPr>
            <w:tcW w:w="794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III REPRESENTATIONS AND WARRANTIES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3.01. Organization; Powers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3.02. Authorization; Enforceability</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3.03. Governmental Approvals; No Conflicts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96</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3.04. Financial Condition; No Material Adverse Change</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3.05. Litigation</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3.06. Compliance with Laws and Agreements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3.07. Taxes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3.08. ERISA</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3.09. Disclosure</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3.10. Investment Company Act; Margin Regulations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3.11. Material Agreements and Liens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3.12. Subsidiaries and Investments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3.13. Properties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3.14. Affiliate Agreements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3.15. Sanctions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3.16. Patriot Act</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3.17. Collateral Documents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3.18. EEA Financial Institutions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101</w:t>
            </w:r>
          </w:p>
        </w:tc>
      </w:tr>
      <w:tr>
        <w:trPr>
          <w:trHeight w:val="348"/>
        </w:trPr>
        <w:tc>
          <w:tcPr>
            <w:tcW w:w="794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IV CONDITIONS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101</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4.01. Effective Date</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101</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4.02. Each Credit Event</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4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V AFFIRMATIVE COVENANTS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5.01. Financial Statements and Other Information</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5.02. Notices of Material Events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5.03. Existence: Conduct of Business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5.04. Payment of Obligations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5.05. Maintenance of Properties; Insurance</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5.06. Books and Records; Inspection and Audit Rights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106</w:t>
            </w:r>
          </w:p>
        </w:tc>
      </w:tr>
      <w:tr>
        <w:trPr>
          <w:trHeight w:val="348"/>
        </w:trPr>
        <w:tc>
          <w:tcPr>
            <w:tcW w:w="794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5.07. Compliance with Laws</w:t>
            </w:r>
          </w:p>
        </w:tc>
        <w:tc>
          <w:tcPr>
            <w:tcW w:w="26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106</w:t>
            </w:r>
          </w:p>
        </w:tc>
      </w:tr>
      <w:tr>
        <w:trPr>
          <w:trHeight w:val="314"/>
        </w:trPr>
        <w:tc>
          <w:tcPr>
            <w:tcW w:w="7940" w:type="dxa"/>
            <w:vAlign w:val="bottom"/>
          </w:tcPr>
          <w:p>
            <w:pPr>
              <w:ind w:left="5180"/>
              <w:spacing w:after="0"/>
              <w:rPr>
                <w:sz w:val="20"/>
                <w:szCs w:val="20"/>
                <w:color w:val="auto"/>
              </w:rPr>
            </w:pPr>
            <w:r>
              <w:rPr>
                <w:rFonts w:ascii="Times New Roman" w:cs="Times New Roman" w:eastAsia="Times New Roman" w:hAnsi="Times New Roman"/>
                <w:sz w:val="19"/>
                <w:szCs w:val="19"/>
                <w:color w:val="auto"/>
              </w:rPr>
              <w:t>-ii-</w:t>
            </w:r>
          </w:p>
        </w:tc>
        <w:tc>
          <w:tcPr>
            <w:tcW w:w="2620" w:type="dxa"/>
            <w:vAlign w:val="bottom"/>
          </w:tcPr>
          <w:p>
            <w:pPr>
              <w:spacing w:after="0"/>
              <w:rPr>
                <w:sz w:val="24"/>
                <w:szCs w:val="24"/>
                <w:color w:val="auto"/>
              </w:rPr>
            </w:pPr>
          </w:p>
        </w:tc>
      </w:tr>
      <w:tr>
        <w:trPr>
          <w:trHeight w:val="172"/>
        </w:trPr>
        <w:tc>
          <w:tcPr>
            <w:tcW w:w="7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DOCVARIABLE #DNDocID \* MERGEFORMAT 763630265</w:t>
            </w:r>
          </w:p>
        </w:tc>
        <w:tc>
          <w:tcPr>
            <w:tcW w:w="2620" w:type="dxa"/>
            <w:vAlign w:val="bottom"/>
          </w:tcPr>
          <w:p>
            <w:pPr>
              <w:spacing w:after="0"/>
              <w:rPr>
                <w:sz w:val="14"/>
                <w:szCs w:val="14"/>
                <w:color w:val="auto"/>
              </w:rPr>
            </w:pPr>
          </w:p>
        </w:tc>
      </w:tr>
      <w:tr>
        <w:trPr>
          <w:trHeight w:val="872"/>
        </w:trPr>
        <w:tc>
          <w:tcPr>
            <w:tcW w:w="794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20" w:type="dxa"/>
            <w:vAlign w:val="bottom"/>
          </w:tcPr>
          <w:p>
            <w:pPr>
              <w:spacing w:after="0"/>
              <w:rPr>
                <w:sz w:val="22"/>
                <w:szCs w:val="22"/>
                <w:color w:val="auto"/>
              </w:rPr>
            </w:pPr>
          </w:p>
        </w:tc>
        <w:tc>
          <w:tcPr>
            <w:tcW w:w="54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396"/>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5.08. Certain Obligations Respecting Subsidiaries; Further Assurances.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5.09. Use of Proceeds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107</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5.10. Status of RIC and BDC</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5.11. Investment Policies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5.12. Portfolio Valuation and Diversification Etc.</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5.13. Calculation of Borrowing Base</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111</w:t>
            </w:r>
          </w:p>
        </w:tc>
        <w:tc>
          <w:tcPr>
            <w:tcW w:w="0" w:type="dxa"/>
            <w:vAlign w:val="bottom"/>
          </w:tcPr>
          <w:p>
            <w:pPr>
              <w:spacing w:after="0"/>
              <w:rPr>
                <w:sz w:val="1"/>
                <w:szCs w:val="1"/>
                <w:color w:val="auto"/>
              </w:rPr>
            </w:pPr>
          </w:p>
        </w:tc>
      </w:tr>
      <w:tr>
        <w:trPr>
          <w:trHeight w:val="348"/>
        </w:trPr>
        <w:tc>
          <w:tcPr>
            <w:tcW w:w="9920" w:type="dxa"/>
            <w:vAlign w:val="bottom"/>
          </w:tcPr>
          <w:p>
            <w:pPr>
              <w:spacing w:after="0"/>
              <w:rPr>
                <w:sz w:val="20"/>
                <w:szCs w:val="20"/>
                <w:color w:val="auto"/>
              </w:rPr>
            </w:pPr>
            <w:r>
              <w:rPr>
                <w:rFonts w:ascii="Times New Roman" w:cs="Times New Roman" w:eastAsia="Times New Roman" w:hAnsi="Times New Roman"/>
                <w:sz w:val="19"/>
                <w:szCs w:val="19"/>
                <w:color w:val="0000FF"/>
              </w:rPr>
              <w:t>ARTICLE VI NEGATIVE COVENANTS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116</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6.01. Indebtedness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116</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6.02. Liens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118</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6.03. Fundamental Changes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119</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6.04. Investments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121</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6.05. Restricted Payments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122</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6.06. Certain Restrictions on Subsidiaries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122</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6.07. Certain Financial Covenants.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123</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6.08. Transactions with Affiliates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123</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6.09. Lines of Business</w:t>
            </w:r>
          </w:p>
        </w:tc>
        <w:tc>
          <w:tcPr>
            <w:tcW w:w="54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color w:val="auto"/>
                <w:w w:val="98"/>
              </w:rPr>
              <w:t>123</w:t>
            </w:r>
          </w:p>
        </w:tc>
        <w:tc>
          <w:tcPr>
            <w:tcW w:w="0" w:type="dxa"/>
            <w:vAlign w:val="bottom"/>
          </w:tcPr>
          <w:p>
            <w:pPr>
              <w:spacing w:after="0"/>
              <w:rPr>
                <w:sz w:val="1"/>
                <w:szCs w:val="1"/>
                <w:color w:val="auto"/>
              </w:rPr>
            </w:pPr>
          </w:p>
        </w:tc>
      </w:tr>
      <w:tr>
        <w:trPr>
          <w:trHeight w:val="84"/>
        </w:trPr>
        <w:tc>
          <w:tcPr>
            <w:tcW w:w="99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6.10. No Further Negative Pledge</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124</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6.11. Modifications of Longer-Term Indebtedness Documents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124</w:t>
            </w:r>
          </w:p>
        </w:tc>
        <w:tc>
          <w:tcPr>
            <w:tcW w:w="0" w:type="dxa"/>
            <w:vAlign w:val="bottom"/>
          </w:tcPr>
          <w:p>
            <w:pPr>
              <w:spacing w:after="0"/>
              <w:rPr>
                <w:sz w:val="1"/>
                <w:szCs w:val="1"/>
                <w:color w:val="auto"/>
              </w:rPr>
            </w:pPr>
          </w:p>
        </w:tc>
      </w:tr>
      <w:tr>
        <w:trPr>
          <w:trHeight w:val="325"/>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6.12. Payments of Longer-Term Indebtedness, the 2024 Notes, the 2026 Notes, the 2028 Notes and the 2029</w:t>
            </w:r>
          </w:p>
        </w:tc>
        <w:tc>
          <w:tcPr>
            <w:tcW w:w="54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color w:val="auto"/>
                <w:w w:val="98"/>
              </w:rPr>
              <w:t>124</w:t>
            </w:r>
          </w:p>
        </w:tc>
        <w:tc>
          <w:tcPr>
            <w:tcW w:w="0" w:type="dxa"/>
            <w:vAlign w:val="bottom"/>
          </w:tcPr>
          <w:p>
            <w:pPr>
              <w:spacing w:after="0"/>
              <w:rPr>
                <w:sz w:val="1"/>
                <w:szCs w:val="1"/>
                <w:color w:val="auto"/>
              </w:rPr>
            </w:pPr>
          </w:p>
        </w:tc>
      </w:tr>
      <w:tr>
        <w:trPr>
          <w:trHeight w:val="179"/>
        </w:trPr>
        <w:tc>
          <w:tcPr>
            <w:tcW w:w="9920" w:type="dxa"/>
            <w:vAlign w:val="bottom"/>
            <w:vMerge w:val="restart"/>
          </w:tcPr>
          <w:p>
            <w:pPr>
              <w:ind w:left="1160"/>
              <w:spacing w:after="0"/>
              <w:rPr>
                <w:sz w:val="20"/>
                <w:szCs w:val="20"/>
                <w:color w:val="auto"/>
              </w:rPr>
            </w:pPr>
            <w:r>
              <w:rPr>
                <w:rFonts w:ascii="Times New Roman" w:cs="Times New Roman" w:eastAsia="Times New Roman" w:hAnsi="Times New Roman"/>
                <w:sz w:val="19"/>
                <w:szCs w:val="19"/>
                <w:color w:val="0000FF"/>
              </w:rPr>
              <w:t>Notes</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99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6.13. Accounting Changes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125</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6.14. SBIC Guarantee</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126</w:t>
            </w:r>
          </w:p>
        </w:tc>
        <w:tc>
          <w:tcPr>
            <w:tcW w:w="0" w:type="dxa"/>
            <w:vAlign w:val="bottom"/>
          </w:tcPr>
          <w:p>
            <w:pPr>
              <w:spacing w:after="0"/>
              <w:rPr>
                <w:sz w:val="1"/>
                <w:szCs w:val="1"/>
                <w:color w:val="auto"/>
              </w:rPr>
            </w:pPr>
          </w:p>
        </w:tc>
      </w:tr>
      <w:tr>
        <w:trPr>
          <w:trHeight w:val="348"/>
        </w:trPr>
        <w:tc>
          <w:tcPr>
            <w:tcW w:w="9920" w:type="dxa"/>
            <w:vAlign w:val="bottom"/>
          </w:tcPr>
          <w:p>
            <w:pPr>
              <w:spacing w:after="0"/>
              <w:rPr>
                <w:sz w:val="20"/>
                <w:szCs w:val="20"/>
                <w:color w:val="auto"/>
              </w:rPr>
            </w:pPr>
            <w:r>
              <w:rPr>
                <w:rFonts w:ascii="Times New Roman" w:cs="Times New Roman" w:eastAsia="Times New Roman" w:hAnsi="Times New Roman"/>
                <w:sz w:val="19"/>
                <w:szCs w:val="19"/>
                <w:color w:val="0000FF"/>
              </w:rPr>
              <w:t>ARTICLE VII EVENTS OF DEFAULT</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126</w:t>
            </w:r>
          </w:p>
        </w:tc>
        <w:tc>
          <w:tcPr>
            <w:tcW w:w="0" w:type="dxa"/>
            <w:vAlign w:val="bottom"/>
          </w:tcPr>
          <w:p>
            <w:pPr>
              <w:spacing w:after="0"/>
              <w:rPr>
                <w:sz w:val="1"/>
                <w:szCs w:val="1"/>
                <w:color w:val="auto"/>
              </w:rPr>
            </w:pPr>
          </w:p>
        </w:tc>
      </w:tr>
      <w:tr>
        <w:trPr>
          <w:trHeight w:val="360"/>
        </w:trPr>
        <w:tc>
          <w:tcPr>
            <w:tcW w:w="9920" w:type="dxa"/>
            <w:vAlign w:val="bottom"/>
          </w:tcPr>
          <w:p>
            <w:pPr>
              <w:spacing w:after="0"/>
              <w:rPr>
                <w:sz w:val="20"/>
                <w:szCs w:val="20"/>
                <w:color w:val="auto"/>
              </w:rPr>
            </w:pPr>
            <w:r>
              <w:rPr>
                <w:rFonts w:ascii="Times New Roman" w:cs="Times New Roman" w:eastAsia="Times New Roman" w:hAnsi="Times New Roman"/>
                <w:sz w:val="19"/>
                <w:szCs w:val="19"/>
                <w:color w:val="0000FF"/>
              </w:rPr>
              <w:t>ARTICLE VIII THE ADMINISTRATIVE AGENT</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130</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8.01. Appointment of the Administrative Agent</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130</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8.02. Capacity as Lender</w:t>
            </w:r>
          </w:p>
        </w:tc>
        <w:tc>
          <w:tcPr>
            <w:tcW w:w="54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color w:val="auto"/>
                <w:w w:val="98"/>
              </w:rPr>
              <w:t>130</w:t>
            </w:r>
          </w:p>
        </w:tc>
        <w:tc>
          <w:tcPr>
            <w:tcW w:w="0" w:type="dxa"/>
            <w:vAlign w:val="bottom"/>
          </w:tcPr>
          <w:p>
            <w:pPr>
              <w:spacing w:after="0"/>
              <w:rPr>
                <w:sz w:val="1"/>
                <w:szCs w:val="1"/>
                <w:color w:val="auto"/>
              </w:rPr>
            </w:pPr>
          </w:p>
        </w:tc>
      </w:tr>
      <w:tr>
        <w:trPr>
          <w:trHeight w:val="192"/>
        </w:trPr>
        <w:tc>
          <w:tcPr>
            <w:tcW w:w="99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8.03. Limitation of Duties; Exculpation</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130</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8.04. Reliance</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131</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8.05. Sub-Agents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131</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8.06. Resignation; Successor Administrative Agent</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131</w:t>
            </w:r>
          </w:p>
        </w:tc>
        <w:tc>
          <w:tcPr>
            <w:tcW w:w="0" w:type="dxa"/>
            <w:vAlign w:val="bottom"/>
          </w:tcPr>
          <w:p>
            <w:pPr>
              <w:spacing w:after="0"/>
              <w:rPr>
                <w:sz w:val="1"/>
                <w:szCs w:val="1"/>
                <w:color w:val="auto"/>
              </w:rPr>
            </w:pPr>
          </w:p>
        </w:tc>
      </w:tr>
      <w:tr>
        <w:trPr>
          <w:trHeight w:val="348"/>
        </w:trPr>
        <w:tc>
          <w:tcPr>
            <w:tcW w:w="9920" w:type="dxa"/>
            <w:vAlign w:val="bottom"/>
          </w:tcPr>
          <w:p>
            <w:pPr>
              <w:ind w:left="580"/>
              <w:spacing w:after="0"/>
              <w:rPr>
                <w:sz w:val="20"/>
                <w:szCs w:val="20"/>
                <w:color w:val="auto"/>
              </w:rPr>
            </w:pPr>
            <w:r>
              <w:rPr>
                <w:rFonts w:ascii="Times New Roman" w:cs="Times New Roman" w:eastAsia="Times New Roman" w:hAnsi="Times New Roman"/>
                <w:sz w:val="19"/>
                <w:szCs w:val="19"/>
                <w:color w:val="0000FF"/>
              </w:rPr>
              <w:t>SECTION 8.07. Reliance by Lenders</w:t>
            </w:r>
          </w:p>
        </w:tc>
        <w:tc>
          <w:tcPr>
            <w:tcW w:w="54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8"/>
              </w:rPr>
              <w:t>132</w:t>
            </w:r>
          </w:p>
        </w:tc>
        <w:tc>
          <w:tcPr>
            <w:tcW w:w="0" w:type="dxa"/>
            <w:vAlign w:val="bottom"/>
          </w:tcPr>
          <w:p>
            <w:pPr>
              <w:spacing w:after="0"/>
              <w:rPr>
                <w:sz w:val="1"/>
                <w:szCs w:val="1"/>
                <w:color w:val="auto"/>
              </w:rPr>
            </w:pPr>
          </w:p>
        </w:tc>
      </w:tr>
      <w:tr>
        <w:trPr>
          <w:trHeight w:val="328"/>
        </w:trPr>
        <w:tc>
          <w:tcPr>
            <w:tcW w:w="9920" w:type="dxa"/>
            <w:vAlign w:val="bottom"/>
          </w:tcPr>
          <w:p>
            <w:pPr>
              <w:ind w:left="5120"/>
              <w:spacing w:after="0"/>
              <w:rPr>
                <w:sz w:val="20"/>
                <w:szCs w:val="20"/>
                <w:color w:val="auto"/>
              </w:rPr>
            </w:pPr>
            <w:r>
              <w:rPr>
                <w:rFonts w:ascii="Times New Roman" w:cs="Times New Roman" w:eastAsia="Times New Roman" w:hAnsi="Times New Roman"/>
                <w:sz w:val="19"/>
                <w:szCs w:val="19"/>
                <w:color w:val="auto"/>
              </w:rPr>
              <w:t>-iii-</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460"/>
          </w:cols>
          <w:pgMar w:left="680" w:top="1419" w:right="760"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DOCVARIABLE #DNDocID \* MERGEFORMAT 763630265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538480</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80" w:top="1419" w:right="760" w:bottom="1440"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920" w:type="dxa"/>
            <w:vAlign w:val="bottom"/>
          </w:tcPr>
          <w:p>
            <w:pPr>
              <w:spacing w:after="0"/>
              <w:rPr>
                <w:sz w:val="22"/>
                <w:szCs w:val="22"/>
                <w:color w:val="auto"/>
              </w:rPr>
            </w:pPr>
          </w:p>
        </w:tc>
        <w:tc>
          <w:tcPr>
            <w:tcW w:w="1640" w:type="dxa"/>
            <w:vAlign w:val="bottom"/>
          </w:tcPr>
          <w:p>
            <w:pPr>
              <w:jc w:val="center"/>
              <w:ind w:left="98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396"/>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8.08. Modifications to Loan Documents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132</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8.09. Erroneous Payments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133</w:t>
            </w:r>
          </w:p>
        </w:tc>
      </w:tr>
      <w:tr>
        <w:trPr>
          <w:trHeight w:val="504"/>
        </w:trPr>
        <w:tc>
          <w:tcPr>
            <w:tcW w:w="892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ARTICLE IX MISCELLANEOUS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136</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9.01. Notices; Electronic Communications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136</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9.02. Waivers; Amendments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138</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9.03. Expenses; Indemnity; Damage Waiver</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141</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9.04. Successors and Assigns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143</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9.05. Survival</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148</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9.06. Counterparts; Integration; Effectiveness; Electronic Execution</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148</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9.07. Severability</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149</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9.08. Right of Setoff</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149</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9.09. Governing Law; Jurisdiction; Etc.</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149</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9.10. WAIVER OF JURY TRIAL</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150</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9.11. Judgment Currency</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150</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9.12. Headings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151</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9.13. Treatment of Certain Information; No Fiduciary Duty; Confidentiality</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151</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9.14. USA PATRIOT Act</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153</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9.15. Effect of Amendment and Restatement of the Existing Credit Agreement</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153</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9.16. [Reserved]</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153</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9.17. Acknowledgement and Consent to Bail-In of Affected Financial Institutions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153</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9.18. Certain ERISA Matters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154</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SECTION 9.19. Acknowledgement Regarding Any Supported QFCs</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155</w:t>
            </w:r>
          </w:p>
        </w:tc>
      </w:tr>
      <w:tr>
        <w:trPr>
          <w:trHeight w:val="348"/>
        </w:trPr>
        <w:tc>
          <w:tcPr>
            <w:tcW w:w="8920" w:type="dxa"/>
            <w:vAlign w:val="bottom"/>
          </w:tcPr>
          <w:p>
            <w:pPr>
              <w:ind w:left="600"/>
              <w:spacing w:after="0"/>
              <w:rPr>
                <w:sz w:val="20"/>
                <w:szCs w:val="20"/>
                <w:color w:val="auto"/>
              </w:rPr>
            </w:pPr>
            <w:r>
              <w:rPr>
                <w:rFonts w:ascii="Times New Roman" w:cs="Times New Roman" w:eastAsia="Times New Roman" w:hAnsi="Times New Roman"/>
                <w:sz w:val="19"/>
                <w:szCs w:val="19"/>
                <w:color w:val="0000FF"/>
              </w:rPr>
              <w:t xml:space="preserve">SECTION 9.20. </w:t>
            </w:r>
            <w:r>
              <w:rPr>
                <w:rFonts w:ascii="Times New Roman" w:cs="Times New Roman" w:eastAsia="Times New Roman" w:hAnsi="Times New Roman"/>
                <w:sz w:val="19"/>
                <w:szCs w:val="19"/>
                <w:color w:val="000000"/>
              </w:rPr>
              <w:t>Interest Rate Limitation</w:t>
            </w:r>
          </w:p>
        </w:tc>
        <w:tc>
          <w:tcPr>
            <w:tcW w:w="1640" w:type="dxa"/>
            <w:vAlign w:val="bottom"/>
          </w:tcPr>
          <w:p>
            <w:pPr>
              <w:jc w:val="center"/>
              <w:ind w:left="1024"/>
              <w:spacing w:after="0"/>
              <w:rPr>
                <w:sz w:val="20"/>
                <w:szCs w:val="20"/>
                <w:color w:val="auto"/>
              </w:rPr>
            </w:pPr>
            <w:r>
              <w:rPr>
                <w:rFonts w:ascii="Times New Roman" w:cs="Times New Roman" w:eastAsia="Times New Roman" w:hAnsi="Times New Roman"/>
                <w:sz w:val="19"/>
                <w:szCs w:val="19"/>
                <w:color w:val="auto"/>
                <w:w w:val="98"/>
              </w:rPr>
              <w:t>156</w:t>
            </w:r>
          </w:p>
        </w:tc>
      </w:tr>
      <w:tr>
        <w:trPr>
          <w:trHeight w:val="314"/>
        </w:trPr>
        <w:tc>
          <w:tcPr>
            <w:tcW w:w="8920" w:type="dxa"/>
            <w:vAlign w:val="bottom"/>
          </w:tcPr>
          <w:p>
            <w:pPr>
              <w:ind w:left="5160"/>
              <w:spacing w:after="0"/>
              <w:rPr>
                <w:sz w:val="20"/>
                <w:szCs w:val="20"/>
                <w:color w:val="auto"/>
              </w:rPr>
            </w:pPr>
            <w:r>
              <w:rPr>
                <w:rFonts w:ascii="Times New Roman" w:cs="Times New Roman" w:eastAsia="Times New Roman" w:hAnsi="Times New Roman"/>
                <w:sz w:val="19"/>
                <w:szCs w:val="19"/>
                <w:color w:val="auto"/>
              </w:rPr>
              <w:t>-iv-</w:t>
            </w:r>
          </w:p>
        </w:tc>
        <w:tc>
          <w:tcPr>
            <w:tcW w:w="1640" w:type="dxa"/>
            <w:vAlign w:val="bottom"/>
          </w:tcPr>
          <w:p>
            <w:pPr>
              <w:spacing w:after="0"/>
              <w:rPr>
                <w:sz w:val="24"/>
                <w:szCs w:val="24"/>
                <w:color w:val="auto"/>
              </w:rPr>
            </w:pPr>
          </w:p>
        </w:tc>
      </w:tr>
      <w:tr>
        <w:trPr>
          <w:trHeight w:val="172"/>
        </w:trPr>
        <w:tc>
          <w:tcPr>
            <w:tcW w:w="8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DOCVARIABLE #DNDocID \* MERGEFORMAT 763630265</w:t>
            </w:r>
          </w:p>
        </w:tc>
        <w:tc>
          <w:tcPr>
            <w:tcW w:w="1640" w:type="dxa"/>
            <w:vAlign w:val="bottom"/>
          </w:tcPr>
          <w:p>
            <w:pPr>
              <w:spacing w:after="0"/>
              <w:rPr>
                <w:sz w:val="14"/>
                <w:szCs w:val="14"/>
                <w:color w:val="auto"/>
              </w:rPr>
            </w:pPr>
          </w:p>
        </w:tc>
      </w:tr>
      <w:tr>
        <w:trPr>
          <w:trHeight w:val="872"/>
        </w:trPr>
        <w:tc>
          <w:tcPr>
            <w:tcW w:w="89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0"/>
        <w:spacing w:after="0" w:line="262" w:lineRule="auto"/>
        <w:rPr>
          <w:sz w:val="20"/>
          <w:szCs w:val="20"/>
          <w:color w:val="auto"/>
        </w:rPr>
      </w:pPr>
      <w:r>
        <w:rPr>
          <w:rFonts w:ascii="Times New Roman" w:cs="Times New Roman" w:eastAsia="Times New Roman" w:hAnsi="Times New Roman"/>
          <w:sz w:val="19"/>
          <w:szCs w:val="19"/>
          <w:color w:val="auto"/>
        </w:rPr>
        <w:t>SCHEDULE 1.01(a) - Approved Dealers and Approved Pricing Services SCHEDULE 1.01(b) -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1.01(c) - Industry Classification Group List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2.04 - Swingline Lender Swingline Sublimit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2.05 - Issuing Bank LC Exposure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3.11 - Material Agreements and Liens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3.12(a) -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3.12(b) - Investments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6.08 -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Assignment and Assumption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 - Form of Borrowing Base Certificate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 - Form of Borrowing Request</w:t>
      </w:r>
    </w:p>
    <w:p>
      <w:pPr>
        <w:spacing w:after="0" w:line="16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-v-</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DOCVARIABLE #DNDocID \* MERGEFORMAT 763630265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02" w:name="page103"/>
    <w:bookmarkEnd w:id="102"/>
    <w:p>
      <w:pPr>
        <w:spacing w:after="0" w:line="269" w:lineRule="exact"/>
        <w:rPr>
          <w:sz w:val="20"/>
          <w:szCs w:val="20"/>
          <w:color w:val="auto"/>
        </w:rPr>
      </w:pPr>
    </w:p>
    <w:p>
      <w:pPr>
        <w:ind w:right="160" w:firstLine="1404"/>
        <w:spacing w:after="0" w:line="257" w:lineRule="auto"/>
        <w:rPr>
          <w:sz w:val="20"/>
          <w:szCs w:val="20"/>
          <w:color w:val="auto"/>
        </w:rPr>
      </w:pPr>
      <w:r>
        <w:rPr>
          <w:rFonts w:ascii="Times New Roman" w:cs="Times New Roman" w:eastAsia="Times New Roman" w:hAnsi="Times New Roman"/>
          <w:sz w:val="19"/>
          <w:szCs w:val="19"/>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as of January 31, 2020, February 5, 2021, December 14, 2021, April 25, 2022, May 19, 2022, June 12, 2023, and April 24, 2024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SIXTH STREET SPECIALTY LENDING, INC. (F/K/A TPG Specialty Lending,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LENDERS party hereto, and TRUIST BANK, as Administrative Agent.</w:t>
      </w:r>
    </w:p>
    <w:p>
      <w:pPr>
        <w:spacing w:after="0" w:line="157" w:lineRule="exact"/>
        <w:rPr>
          <w:sz w:val="20"/>
          <w:szCs w:val="20"/>
          <w:color w:val="auto"/>
        </w:rPr>
      </w:pPr>
    </w:p>
    <w:p>
      <w:pPr>
        <w:ind w:right="320" w:firstLine="1404"/>
        <w:spacing w:after="0" w:line="259" w:lineRule="auto"/>
        <w:rPr>
          <w:sz w:val="20"/>
          <w:szCs w:val="20"/>
          <w:color w:val="auto"/>
        </w:rPr>
      </w:pPr>
      <w:r>
        <w:rPr>
          <w:rFonts w:ascii="Times New Roman" w:cs="Times New Roman" w:eastAsia="Times New Roman" w:hAnsi="Times New Roman"/>
          <w:sz w:val="19"/>
          <w:szCs w:val="19"/>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among the Borrower, the lenders party thereto (collectively, the “</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to the Borrower.</w:t>
      </w:r>
    </w:p>
    <w:p>
      <w:pPr>
        <w:spacing w:after="0" w:line="154"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395" w:lineRule="exact"/>
        <w:rPr>
          <w:sz w:val="20"/>
          <w:szCs w:val="20"/>
          <w:color w:val="auto"/>
        </w:rPr>
      </w:pPr>
    </w:p>
    <w:p>
      <w:pPr>
        <w:ind w:right="780" w:firstLine="1404"/>
        <w:spacing w:after="0" w:line="286" w:lineRule="auto"/>
        <w:rPr>
          <w:sz w:val="20"/>
          <w:szCs w:val="20"/>
          <w:color w:val="auto"/>
        </w:rPr>
      </w:pPr>
      <w:r>
        <w:rPr>
          <w:rFonts w:ascii="Times New Roman" w:cs="Times New Roman" w:eastAsia="Times New Roman" w:hAnsi="Times New Roman"/>
          <w:sz w:val="19"/>
          <w:szCs w:val="19"/>
          <w:color w:val="auto"/>
        </w:rPr>
        <w:t>The parties hereto hereby agree to amend and restate the Existing Credit Agreement, and the Existing Credit Agreement is hereby amended and restated in its entirety as follows: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2024 Notes</w:t>
      </w:r>
      <w:r>
        <w:rPr>
          <w:rFonts w:ascii="Times New Roman" w:cs="Times New Roman" w:eastAsia="Times New Roman" w:hAnsi="Times New Roman"/>
          <w:sz w:val="19"/>
          <w:szCs w:val="19"/>
          <w:color w:val="auto"/>
        </w:rPr>
        <w:t>” means the Borrower’s $350,000,000 aggregate principal amount notes due November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03" w:name="page104"/>
    <w:bookmarkEnd w:id="10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Notes</w:t>
      </w:r>
      <w:r>
        <w:rPr>
          <w:rFonts w:ascii="Times New Roman" w:cs="Times New Roman" w:eastAsia="Times New Roman" w:hAnsi="Times New Roman"/>
          <w:sz w:val="19"/>
          <w:szCs w:val="19"/>
          <w:color w:val="auto"/>
        </w:rPr>
        <w:t>” means the Borrower’s $300,000,000 aggregate principal amount notes due August 2026.</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2028 Notes</w:t>
      </w:r>
      <w:r>
        <w:rPr>
          <w:rFonts w:ascii="Times New Roman" w:cs="Times New Roman" w:eastAsia="Times New Roman" w:hAnsi="Times New Roman"/>
          <w:sz w:val="19"/>
          <w:szCs w:val="19"/>
          <w:color w:val="auto"/>
        </w:rPr>
        <w:t>” means the Borrower’s $300,000,000 aggregate principal amount notes due August 2028.</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2029 Notes</w:t>
      </w:r>
      <w:r>
        <w:rPr>
          <w:rFonts w:ascii="Times New Roman" w:cs="Times New Roman" w:eastAsia="Times New Roman" w:hAnsi="Times New Roman"/>
          <w:sz w:val="19"/>
          <w:szCs w:val="19"/>
          <w:color w:val="auto"/>
        </w:rPr>
        <w:t>” means the Borrower’s $350,000,000 aggregate principal amount notes due March 2029.</w:t>
      </w:r>
    </w:p>
    <w:p>
      <w:pPr>
        <w:spacing w:after="0" w:line="202"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27" w:lineRule="exact"/>
        <w:rPr>
          <w:sz w:val="20"/>
          <w:szCs w:val="20"/>
          <w:color w:val="auto"/>
        </w:rPr>
      </w:pPr>
    </w:p>
    <w:p>
      <w:pPr>
        <w:ind w:right="2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Covered Debt Balance</w:t>
      </w:r>
      <w:r>
        <w:rPr>
          <w:rFonts w:ascii="Times New Roman" w:cs="Times New Roman" w:eastAsia="Times New Roman" w:hAnsi="Times New Roman"/>
          <w:sz w:val="19"/>
          <w:szCs w:val="19"/>
          <w:color w:val="auto"/>
        </w:rPr>
        <w:t xml:space="preserve">” means, on any date, the aggregate Covered Debt Amount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4"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Benchmark Rate</w:t>
      </w:r>
      <w:r>
        <w:rPr>
          <w:rFonts w:ascii="Times New Roman" w:cs="Times New Roman" w:eastAsia="Times New Roman" w:hAnsi="Times New Roman"/>
          <w:sz w:val="19"/>
          <w:szCs w:val="19"/>
          <w:color w:val="auto"/>
        </w:rPr>
        <w:t>” means an interest rate per annum (rounded upwards, if necessary, to the next 1/100 of 1%) equal to the Term Benchmark Rate for such Interest Period for such Currency.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Truist, in its capacity as administrative agent for the Lenders hereunder.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 Appraisal Testing Period</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5.12(b)(ii)(E)(y)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Account</w:t>
      </w:r>
      <w:r>
        <w:rPr>
          <w:rFonts w:ascii="Times New Roman" w:cs="Times New Roman" w:eastAsia="Times New Roman" w:hAnsi="Times New Roman"/>
          <w:sz w:val="19"/>
          <w:szCs w:val="19"/>
          <w:color w:val="auto"/>
        </w:rPr>
        <w:t>” means, for each Currency, an account in respect of such Currency designated by the Administrative Agent in a notice to the Borrower and the Lenders.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269"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50"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Agreed Foreign Currency</w:t>
      </w:r>
      <w:r>
        <w:rPr>
          <w:rFonts w:ascii="Times New Roman" w:cs="Times New Roman" w:eastAsia="Times New Roman" w:hAnsi="Times New Roman"/>
          <w:sz w:val="19"/>
          <w:szCs w:val="19"/>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preamble</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xml:space="preserve">” means, for any day, a rate per annum equal to the greater of (a) zero and (b) the highest of (i) the Prime Rate in effect on such day, (ii) the Federal Funds Effective Rate for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1/2 of 1% and (iii) the rate per annum equal to 1%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Term SOFR on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spacing w:after="0" w:line="155" w:lineRule="exact"/>
        <w:rPr>
          <w:sz w:val="20"/>
          <w:szCs w:val="20"/>
          <w:color w:val="auto"/>
        </w:rPr>
      </w:pPr>
    </w:p>
    <w:p>
      <w:pPr>
        <w:ind w:right="3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Dollar Percentage</w:t>
      </w:r>
      <w:r>
        <w:rPr>
          <w:rFonts w:ascii="Times New Roman" w:cs="Times New Roman" w:eastAsia="Times New Roman" w:hAnsi="Times New Roman"/>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54"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Financial Statements</w:t>
      </w:r>
      <w:r>
        <w:rPr>
          <w:rFonts w:ascii="Times New Roman" w:cs="Times New Roman" w:eastAsia="Times New Roman" w:hAnsi="Times New Roman"/>
          <w:sz w:val="19"/>
          <w:szCs w:val="19"/>
          <w:color w:val="auto"/>
        </w:rPr>
        <w:t xml:space="preserve">” means, as at any date, the most-recent audited financial statements of the Borrower delivered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19"/>
          <w:szCs w:val="19"/>
          <w:u w:val="single" w:color="auto"/>
          <w:color w:val="auto"/>
        </w:rPr>
        <w:t>Pre-existing MAC</w:t>
      </w:r>
      <w:r>
        <w:rPr>
          <w:rFonts w:ascii="Times New Roman" w:cs="Times New Roman" w:eastAsia="Times New Roman" w:hAnsi="Times New Roman"/>
          <w:sz w:val="19"/>
          <w:szCs w:val="19"/>
          <w:color w:val="auto"/>
        </w:rPr>
        <w:t>”) shall exist (regardless of when it occurred),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5" w:name="page106"/>
    <w:bookmarkEnd w:id="105"/>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“Applicable Financial Statements” as at said date means the Applicable Financial Statements in effect immediately prior to such delivery until such time as the Pre-existing MAC shall no longer exist.</w:t>
      </w:r>
    </w:p>
    <w:p>
      <w:pPr>
        <w:spacing w:after="0" w:line="127"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Multicurrency Percentage</w:t>
      </w:r>
      <w:r>
        <w:rPr>
          <w:rFonts w:ascii="Times New Roman" w:cs="Times New Roman" w:eastAsia="Times New Roman" w:hAnsi="Times New Roman"/>
          <w:sz w:val="19"/>
          <w:szCs w:val="19"/>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57"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on and after the Non-Extended Commitment Termination Date for any Non-Extending Lender, the Applicable Percentage of such Non-Extending Lender shall be 0%.</w:t>
      </w:r>
    </w:p>
    <w:p>
      <w:pPr>
        <w:spacing w:after="0" w:line="15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Dealer</w:t>
      </w:r>
      <w:r>
        <w:rPr>
          <w:rFonts w:ascii="Times New Roman" w:cs="Times New Roman" w:eastAsia="Times New Roman" w:hAnsi="Times New Roman"/>
          <w:sz w:val="19"/>
          <w:szCs w:val="19"/>
          <w:color w:val="auto"/>
        </w:rPr>
        <w:t xml:space="preserve">” means (a) in the case of any Portfolio Investment that is not a U.S. Government Security, a bank or a broker -dealer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as set forth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any other bank or broker-dealer or Affiliate thereof acceptable to the Administrative Agent in its reasonable determination.</w:t>
      </w:r>
    </w:p>
    <w:p>
      <w:pPr>
        <w:spacing w:after="0" w:line="15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Pricing Service</w:t>
      </w:r>
      <w:r>
        <w:rPr>
          <w:rFonts w:ascii="Times New Roman" w:cs="Times New Roman" w:eastAsia="Times New Roman" w:hAnsi="Times New Roman"/>
          <w:sz w:val="19"/>
          <w:szCs w:val="19"/>
          <w:color w:val="auto"/>
        </w:rPr>
        <w:t xml:space="preserve">” means a pricing or quotation service as set forth in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50"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Third-Party Appraiser</w:t>
      </w:r>
      <w:r>
        <w:rPr>
          <w:rFonts w:ascii="Times New Roman" w:cs="Times New Roman" w:eastAsia="Times New Roman" w:hAnsi="Times New Roman"/>
          <w:sz w:val="19"/>
          <w:szCs w:val="19"/>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Kroll, LLC, Murray, Devine and Company, Lincoln International LLC (formerly known as Lincoln Partners LLC) and Valuation Research Corporation are acceptable to the Administrative Agent. As used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 an “Approved Third-Party Appraiser selected by the Administrative Agent” shall mean any of the firms identified in the preceding sentence and any other Independent nationally recognized third-party appraisal firm identified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Administrative Agent and consented to by the Borrower (such consent not to be unreasonably withheld).</w:t>
      </w:r>
    </w:p>
    <w:p>
      <w:pPr>
        <w:spacing w:after="0" w:line="202" w:lineRule="exact"/>
        <w:rPr>
          <w:sz w:val="20"/>
          <w:szCs w:val="20"/>
          <w:color w:val="auto"/>
        </w:rPr>
      </w:pPr>
    </w:p>
    <w:p>
      <w:pPr>
        <w:jc w:val="both"/>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(with adjustments thereto to reflect the Classes of Commitments and/or Loans being assigned or outstanding at the time of the respective assignment) or any other form approved by the Administrative Agent and, so long as no Event of Default has occurred and is continuing, the Borrower.</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1.04.</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Australian Dollars</w:t>
      </w:r>
      <w:r>
        <w:rPr>
          <w:rFonts w:ascii="Times New Roman" w:cs="Times New Roman" w:eastAsia="Times New Roman" w:hAnsi="Times New Roman"/>
          <w:sz w:val="19"/>
          <w:szCs w:val="19"/>
          <w:color w:val="auto"/>
        </w:rPr>
        <w:t>” means the lawful currency of The Commonwealth of Australia.</w:t>
      </w:r>
    </w:p>
    <w:p>
      <w:pPr>
        <w:spacing w:after="0" w:line="202"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44" w:lineRule="exact"/>
        <w:rPr>
          <w:sz w:val="20"/>
          <w:szCs w:val="20"/>
          <w:color w:val="auto"/>
        </w:rPr>
      </w:pPr>
    </w:p>
    <w:p>
      <w:pPr>
        <w:ind w:right="26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6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27" w:lineRule="exact"/>
        <w:rPr>
          <w:sz w:val="20"/>
          <w:szCs w:val="20"/>
          <w:color w:val="auto"/>
        </w:rPr>
      </w:pPr>
    </w:p>
    <w:p>
      <w:pPr>
        <w:ind w:right="2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07" w:name="page108"/>
    <w:bookmarkEnd w:id="107"/>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means, initially, with respect to any Loans denominated in (a) Dollars, the Term SOFR Reference Rate,</w:t>
      </w:r>
    </w:p>
    <w:p>
      <w:pPr>
        <w:spacing w:after="0" w:line="32" w:lineRule="exact"/>
        <w:rPr>
          <w:sz w:val="20"/>
          <w:szCs w:val="20"/>
          <w:color w:val="auto"/>
        </w:rPr>
      </w:pPr>
    </w:p>
    <w:p>
      <w:pPr>
        <w:ind w:right="40" w:firstLine="6"/>
        <w:spacing w:after="0" w:line="252" w:lineRule="auto"/>
        <w:tabs>
          <w:tab w:leader="none" w:pos="272"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Canadian Dollars, the Term CORRA Reference Rate, (c) Sterling or Swiss Francs, the Daily Simple RFR for such Currency, and (d) any other Agreed Foreign Currency, the Adjusted Term Benchmark Rate for such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spacing w:after="0" w:line="154" w:lineRule="exact"/>
        <w:rPr>
          <w:sz w:val="20"/>
          <w:szCs w:val="20"/>
          <w:color w:val="auto"/>
        </w:rPr>
      </w:pPr>
    </w:p>
    <w:p>
      <w:pPr>
        <w:ind w:left="1680" w:hanging="270"/>
        <w:spacing w:after="0"/>
        <w:tabs>
          <w:tab w:leader="none" w:pos="168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Daily Simple SOFR and (ii) 0.10%; and</w:t>
      </w:r>
    </w:p>
    <w:p>
      <w:pPr>
        <w:spacing w:after="0" w:line="201" w:lineRule="exact"/>
        <w:rPr>
          <w:rFonts w:ascii="Times New Roman" w:cs="Times New Roman" w:eastAsia="Times New Roman" w:hAnsi="Times New Roman"/>
          <w:sz w:val="19"/>
          <w:szCs w:val="19"/>
          <w:color w:val="auto"/>
        </w:rPr>
      </w:pPr>
    </w:p>
    <w:p>
      <w:pPr>
        <w:ind w:right="80" w:firstLine="1410"/>
        <w:spacing w:after="0" w:line="258" w:lineRule="auto"/>
        <w:tabs>
          <w:tab w:leader="none" w:pos="1676"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w:t>
      </w:r>
    </w:p>
    <w:p>
      <w:pPr>
        <w:spacing w:after="0" w:line="1" w:lineRule="exact"/>
        <w:rPr>
          <w:rFonts w:ascii="Times New Roman" w:cs="Times New Roman" w:eastAsia="Times New Roman" w:hAnsi="Times New Roman"/>
          <w:sz w:val="19"/>
          <w:szCs w:val="19"/>
          <w:color w:val="auto"/>
        </w:rPr>
      </w:pPr>
    </w:p>
    <w:p>
      <w:pPr>
        <w:ind w:right="300" w:firstLine="6"/>
        <w:spacing w:after="0" w:line="256" w:lineRule="auto"/>
        <w:tabs>
          <w:tab w:leader="none" w:pos="28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p>
    <w:p>
      <w:pPr>
        <w:spacing w:after="0" w:line="155"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8" w:name="page109"/>
    <w:bookmarkEnd w:id="108"/>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a date and time determined by the Administrative Agent, which date shall be no later than the earliest to occur of the following events with respect to the then-current Benchmark:</w:t>
      </w:r>
    </w:p>
    <w:p>
      <w:pPr>
        <w:spacing w:after="0" w:line="127" w:lineRule="exact"/>
        <w:rPr>
          <w:sz w:val="20"/>
          <w:szCs w:val="20"/>
          <w:color w:val="auto"/>
        </w:rPr>
      </w:pPr>
    </w:p>
    <w:p>
      <w:pPr>
        <w:ind w:left="1680" w:hanging="270"/>
        <w:spacing w:after="0"/>
        <w:tabs>
          <w:tab w:leader="none" w:pos="16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w:t>
      </w:r>
    </w:p>
    <w:p>
      <w:pPr>
        <w:spacing w:after="0" w:line="201" w:lineRule="exact"/>
        <w:rPr>
          <w:rFonts w:ascii="Times New Roman" w:cs="Times New Roman" w:eastAsia="Times New Roman" w:hAnsi="Times New Roman"/>
          <w:sz w:val="19"/>
          <w:szCs w:val="19"/>
          <w:color w:val="auto"/>
        </w:rPr>
      </w:pPr>
    </w:p>
    <w:p>
      <w:pPr>
        <w:ind w:left="1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date of the public statement or publication of information referenced therein; and</w:t>
      </w:r>
    </w:p>
    <w:p>
      <w:pPr>
        <w:spacing w:after="0" w:line="202" w:lineRule="exact"/>
        <w:rPr>
          <w:sz w:val="20"/>
          <w:szCs w:val="20"/>
          <w:color w:val="auto"/>
        </w:rPr>
      </w:pPr>
    </w:p>
    <w:p>
      <w:pPr>
        <w:ind w:right="620" w:firstLine="1410"/>
        <w:spacing w:after="0" w:line="286" w:lineRule="auto"/>
        <w:tabs>
          <w:tab w:leader="none" w:pos="167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27" w:lineRule="exact"/>
        <w:rPr>
          <w:sz w:val="20"/>
          <w:szCs w:val="20"/>
          <w:color w:val="auto"/>
        </w:rPr>
      </w:pPr>
    </w:p>
    <w:p>
      <w:pPr>
        <w:ind w:right="40" w:firstLine="1410"/>
        <w:spacing w:after="0" w:line="257" w:lineRule="auto"/>
        <w:tabs>
          <w:tab w:leader="none" w:pos="172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56" w:lineRule="exact"/>
        <w:rPr>
          <w:rFonts w:ascii="Times New Roman" w:cs="Times New Roman" w:eastAsia="Times New Roman" w:hAnsi="Times New Roman"/>
          <w:sz w:val="19"/>
          <w:szCs w:val="19"/>
          <w:color w:val="auto"/>
        </w:rPr>
      </w:pPr>
    </w:p>
    <w:p>
      <w:pPr>
        <w:jc w:val="both"/>
        <w:ind w:right="160" w:firstLine="1410"/>
        <w:spacing w:after="0" w:line="268" w:lineRule="auto"/>
        <w:tabs>
          <w:tab w:leader="none" w:pos="172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w:t>
      </w:r>
    </w:p>
    <w:p>
      <w:pPr>
        <w:spacing w:after="0" w:line="32" w:lineRule="exact"/>
        <w:rPr>
          <w:sz w:val="20"/>
          <w:szCs w:val="20"/>
          <w:color w:val="auto"/>
        </w:rPr>
      </w:pPr>
    </w:p>
    <w:p>
      <w:pPr>
        <w:ind w:right="320" w:firstLine="6"/>
        <w:spacing w:after="0" w:line="262" w:lineRule="auto"/>
        <w:tabs>
          <w:tab w:leader="none" w:pos="272"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49"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then-current Benchmark, the occurrence of one or more of the following events with respect to such Benchmark:</w:t>
      </w:r>
    </w:p>
    <w:p>
      <w:pPr>
        <w:spacing w:after="0" w:line="127" w:lineRule="exact"/>
        <w:rPr>
          <w:sz w:val="20"/>
          <w:szCs w:val="20"/>
          <w:color w:val="auto"/>
        </w:rPr>
      </w:pPr>
    </w:p>
    <w:p>
      <w:pPr>
        <w:ind w:firstLine="1410"/>
        <w:spacing w:after="0" w:line="259" w:lineRule="auto"/>
        <w:tabs>
          <w:tab w:leader="none" w:pos="167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3" w:lineRule="exact"/>
        <w:rPr>
          <w:rFonts w:ascii="Times New Roman" w:cs="Times New Roman" w:eastAsia="Times New Roman" w:hAnsi="Times New Roman"/>
          <w:sz w:val="19"/>
          <w:szCs w:val="19"/>
          <w:color w:val="auto"/>
        </w:rPr>
      </w:pPr>
    </w:p>
    <w:p>
      <w:pPr>
        <w:ind w:right="80" w:firstLine="1410"/>
        <w:spacing w:after="0" w:line="268" w:lineRule="auto"/>
        <w:tabs>
          <w:tab w:leader="none" w:pos="167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Board, the Federal Reserve Bank of New York or the Bank of Canada,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9" w:name="page110"/>
    <w:bookmarkEnd w:id="109"/>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57" w:lineRule="exact"/>
        <w:rPr>
          <w:sz w:val="20"/>
          <w:szCs w:val="20"/>
          <w:color w:val="auto"/>
        </w:rPr>
      </w:pPr>
    </w:p>
    <w:p>
      <w:pPr>
        <w:ind w:right="320" w:firstLine="1410"/>
        <w:spacing w:after="0" w:line="262" w:lineRule="auto"/>
        <w:tabs>
          <w:tab w:leader="none" w:pos="167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0"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other Loan Document in accordance with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w:t>
      </w:r>
    </w:p>
    <w:p>
      <w:pPr>
        <w:spacing w:after="0" w:line="32" w:lineRule="exact"/>
        <w:rPr>
          <w:sz w:val="20"/>
          <w:szCs w:val="20"/>
          <w:color w:val="auto"/>
        </w:rPr>
      </w:pPr>
    </w:p>
    <w:p>
      <w:pPr>
        <w:ind w:firstLine="6"/>
        <w:spacing w:after="0" w:line="256" w:lineRule="auto"/>
        <w:tabs>
          <w:tab w:leader="none" w:pos="27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5"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Governors of the Federal Reserve System of the United States of America (or any successor thereof).</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has the meaning assigned to such term in the preamble to this Agreement.</w:t>
      </w:r>
    </w:p>
    <w:p>
      <w:pPr>
        <w:spacing w:after="0" w:line="202"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Asset Coverage Ratio</w:t>
      </w:r>
      <w:r>
        <w:rPr>
          <w:rFonts w:ascii="Times New Roman" w:cs="Times New Roman" w:eastAsia="Times New Roman" w:hAnsi="Times New Roman"/>
          <w:sz w:val="19"/>
          <w:szCs w:val="19"/>
          <w:color w:val="auto"/>
        </w:rPr>
        <w:t>” means the ratio, determined for the Obligors, without duplication, of (a) (i) Total Assets minus (ii) Total Assets Concentration Limitation to (b) Total Secured Debt.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(a) all Syndicated ABR Loans of the same Class made, converted or continued on the same date,</w:t>
      </w:r>
    </w:p>
    <w:p>
      <w:pPr>
        <w:spacing w:after="0" w:line="32" w:lineRule="exact"/>
        <w:rPr>
          <w:sz w:val="20"/>
          <w:szCs w:val="20"/>
          <w:color w:val="auto"/>
        </w:rPr>
      </w:pPr>
    </w:p>
    <w:p>
      <w:pPr>
        <w:ind w:right="460" w:firstLine="6"/>
        <w:spacing w:after="0" w:line="262" w:lineRule="auto"/>
        <w:tabs>
          <w:tab w:leader="none" w:pos="27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 Benchmark Loans of the same Class denominated in the same Currency that have the same Interest Period, (c) all RFR Loans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883285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0" w:name="page111"/>
    <w:bookmarkEnd w:id="11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same Class and Type denominated in the same Currency that have the same Interest Period or (d) a Swingline Loan.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Certificate</w:t>
      </w:r>
      <w:r>
        <w:rPr>
          <w:rFonts w:ascii="Times New Roman" w:cs="Times New Roman" w:eastAsia="Times New Roman" w:hAnsi="Times New Roman"/>
          <w:sz w:val="19"/>
          <w:szCs w:val="19"/>
          <w:color w:val="auto"/>
        </w:rPr>
        <w:t xml:space="preserve">” means a certificate of a Financial Officer of the Borrower,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such other form as shall be reasonably satisfactory to the Administrative Agent) and appropriately completed.</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Base Deficiency</w:t>
      </w:r>
      <w:r>
        <w:rPr>
          <w:rFonts w:ascii="Times New Roman" w:cs="Times New Roman" w:eastAsia="Times New Roman" w:hAnsi="Times New Roman"/>
          <w:sz w:val="19"/>
          <w:szCs w:val="19"/>
          <w:color w:val="auto"/>
        </w:rPr>
        <w:t>” means, at any date on which the same is determined, the amount, if any, that (a) the aggregate Covered Debt Amount as of such date exceeds (b) the Borrowing Base as of such date.</w:t>
      </w:r>
    </w:p>
    <w:p>
      <w:pPr>
        <w:spacing w:after="0" w:line="12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Syndicated Borrowing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which, if in writing, shall be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57"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Calculation Amount</w:t>
      </w:r>
      <w:r>
        <w:rPr>
          <w:rFonts w:ascii="Times New Roman" w:cs="Times New Roman" w:eastAsia="Times New Roman" w:hAnsi="Times New Roman"/>
          <w:sz w:val="19"/>
          <w:szCs w:val="19"/>
          <w:color w:val="auto"/>
        </w:rPr>
        <w:t xml:space="preserve">” shall mean, as of the end of any Testing Period, an amount equal to the greater of: (a) (i) 125% of the Adjusted Covered Debt Balance (as of the end of such Testing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more than 25% (or, if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applies, 10%, or as near thereto as reasonably practicable) of the aggregate Value of the Unquoted Investments in the Borrowing Base be tested in respect of any applicable Testing Period.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Dollars</w:t>
      </w:r>
      <w:r>
        <w:rPr>
          <w:rFonts w:ascii="Times New Roman" w:cs="Times New Roman" w:eastAsia="Times New Roman" w:hAnsi="Times New Roman"/>
          <w:sz w:val="19"/>
          <w:szCs w:val="19"/>
          <w:color w:val="auto"/>
        </w:rPr>
        <w:t>” means the lawful currency of Canada.</w:t>
      </w:r>
    </w:p>
    <w:p>
      <w:pPr>
        <w:spacing w:after="0" w:line="202" w:lineRule="exact"/>
        <w:rPr>
          <w:sz w:val="20"/>
          <w:szCs w:val="20"/>
          <w:color w:val="auto"/>
        </w:rPr>
      </w:pPr>
    </w:p>
    <w:p>
      <w:pPr>
        <w:ind w:right="10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Prime Rate</w:t>
      </w:r>
      <w:r>
        <w:rPr>
          <w:rFonts w:ascii="Times New Roman" w:cs="Times New Roman" w:eastAsia="Times New Roman" w:hAnsi="Times New Roman"/>
          <w:sz w:val="19"/>
          <w:szCs w:val="19"/>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any of the above rates shall be less than 0%, such rate shall be deemed to be 0% for purposes of this Agreement. Any change in the Canadian Prime Rate due to a change in the PRIMCAN Index or Term CORRA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effective from and including the effective date of such change in the PRIMCAN Index or Term CORRA, respectively.</w:t>
      </w:r>
    </w:p>
    <w:p>
      <w:pPr>
        <w:spacing w:after="0" w:line="202"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0"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means any immediately available funds in Dollars or in any currency other than Dollars (measured in terms of the Dollar Equivalent thereof) which is a freely convertible currency.</w:t>
      </w:r>
    </w:p>
    <w:p>
      <w:pPr>
        <w:spacing w:after="0" w:line="12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xml:space="preserve"> ” means, in respect of a Letter of Credit or any obligation hereunder, to provide and pledge cash collateral pursuant to </w:t>
      </w:r>
      <w:r>
        <w:rPr>
          <w:rFonts w:ascii="Times New Roman" w:cs="Times New Roman" w:eastAsia="Times New Roman" w:hAnsi="Times New Roman"/>
          <w:sz w:val="19"/>
          <w:szCs w:val="19"/>
          <w:u w:val="single" w:color="auto"/>
          <w:color w:val="auto"/>
        </w:rPr>
        <w:t>Section 2. 05(k)</w:t>
      </w:r>
      <w:r>
        <w:rPr>
          <w:rFonts w:ascii="Times New Roman" w:cs="Times New Roman" w:eastAsia="Times New Roman" w:hAnsi="Times New Roman"/>
          <w:sz w:val="19"/>
          <w:szCs w:val="19"/>
          <w:color w:val="auto"/>
        </w:rPr>
        <w:t>, at a location and pursuant to documentation in form and substance reasonably satisfactory to Administrative Agent and each Issuing Bank. “</w:t>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Cash Collateralized</w:t>
      </w:r>
      <w:r>
        <w:rPr>
          <w:rFonts w:ascii="Times New Roman" w:cs="Times New Roman" w:eastAsia="Times New Roman" w:hAnsi="Times New Roman"/>
          <w:sz w:val="19"/>
          <w:szCs w:val="19"/>
          <w:color w:val="auto"/>
        </w:rPr>
        <w:t xml:space="preserve"> ” and “</w:t>
      </w: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shall have meanings correlative to the foregoing and shall include the proceeds of such cash collateral and other credit support.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investments (other than Cash) that are one or more of the following obligations:</w:t>
      </w:r>
    </w:p>
    <w:p>
      <w:pPr>
        <w:spacing w:after="0" w:line="202" w:lineRule="exact"/>
        <w:rPr>
          <w:sz w:val="20"/>
          <w:szCs w:val="20"/>
          <w:color w:val="auto"/>
        </w:rPr>
      </w:pPr>
    </w:p>
    <w:p>
      <w:pPr>
        <w:ind w:left="1700" w:hanging="254"/>
        <w:spacing w:after="0"/>
        <w:tabs>
          <w:tab w:leader="none" w:pos="170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Government Securities, in each case maturing within one year from the date of acquisition thereof;</w:t>
      </w:r>
    </w:p>
    <w:p>
      <w:pPr>
        <w:spacing w:after="0" w:line="201" w:lineRule="exact"/>
        <w:rPr>
          <w:rFonts w:ascii="Times New Roman" w:cs="Times New Roman" w:eastAsia="Times New Roman" w:hAnsi="Times New Roman"/>
          <w:sz w:val="19"/>
          <w:szCs w:val="19"/>
          <w:color w:val="auto"/>
        </w:rPr>
      </w:pPr>
    </w:p>
    <w:p>
      <w:pPr>
        <w:ind w:left="700" w:right="20" w:firstLine="746"/>
        <w:spacing w:after="0" w:line="234" w:lineRule="exact"/>
        <w:tabs>
          <w:tab w:leader="none" w:pos="1716"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or other short-term corporate obligations maturing within 270 days from the date of acquisition thereof and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2" w:lineRule="exact"/>
        <w:rPr>
          <w:rFonts w:ascii="Times New Roman" w:cs="Times New Roman" w:eastAsia="Times New Roman" w:hAnsi="Times New Roman"/>
          <w:sz w:val="19"/>
          <w:szCs w:val="19"/>
          <w:color w:val="auto"/>
        </w:rPr>
      </w:pPr>
    </w:p>
    <w:p>
      <w:pPr>
        <w:ind w:left="700" w:right="40" w:firstLine="746"/>
        <w:spacing w:after="0" w:line="231" w:lineRule="exact"/>
        <w:tabs>
          <w:tab w:leader="none" w:pos="1705"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4" w:lineRule="exact"/>
        <w:rPr>
          <w:rFonts w:ascii="Times New Roman" w:cs="Times New Roman" w:eastAsia="Times New Roman" w:hAnsi="Times New Roman"/>
          <w:sz w:val="19"/>
          <w:szCs w:val="19"/>
          <w:color w:val="auto"/>
        </w:rPr>
      </w:pPr>
    </w:p>
    <w:p>
      <w:pPr>
        <w:ind w:left="700" w:right="60" w:firstLine="746"/>
        <w:spacing w:after="0" w:line="262" w:lineRule="auto"/>
        <w:tabs>
          <w:tab w:leader="none" w:pos="1716"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902335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2" w:name="page113"/>
    <w:bookmarkEnd w:id="112"/>
    <w:p>
      <w:pPr>
        <w:spacing w:after="0" w:line="269" w:lineRule="exact"/>
        <w:rPr>
          <w:sz w:val="20"/>
          <w:szCs w:val="20"/>
          <w:color w:val="auto"/>
        </w:rPr>
      </w:pPr>
    </w:p>
    <w:p>
      <w:pPr>
        <w:jc w:val="both"/>
        <w:ind w:left="700" w:right="160"/>
        <w:spacing w:after="0" w:line="235" w:lineRule="exact"/>
        <w:rPr>
          <w:sz w:val="20"/>
          <w:szCs w:val="20"/>
          <w:color w:val="auto"/>
        </w:rPr>
      </w:pPr>
      <w:r>
        <w:rPr>
          <w:rFonts w:ascii="Times New Roman" w:cs="Times New Roman" w:eastAsia="Times New Roman" w:hAnsi="Times New Roman"/>
          <w:sz w:val="19"/>
          <w:szCs w:val="19"/>
          <w:color w:val="auto"/>
        </w:rPr>
        <w:t>definition or (ii) an Approved Dealer having (or being a member of a consolidated group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2" w:lineRule="exact"/>
        <w:rPr>
          <w:sz w:val="20"/>
          <w:szCs w:val="20"/>
          <w:color w:val="auto"/>
        </w:rPr>
      </w:pPr>
    </w:p>
    <w:p>
      <w:pPr>
        <w:ind w:left="700" w:firstLine="746"/>
        <w:spacing w:after="0" w:line="268" w:lineRule="auto"/>
        <w:tabs>
          <w:tab w:leader="none" w:pos="170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(including as to credit quality and maturity);</w:t>
      </w:r>
    </w:p>
    <w:p>
      <w:pPr>
        <w:spacing w:after="0" w:line="144" w:lineRule="exact"/>
        <w:rPr>
          <w:rFonts w:ascii="Times New Roman" w:cs="Times New Roman" w:eastAsia="Times New Roman" w:hAnsi="Times New Roman"/>
          <w:sz w:val="19"/>
          <w:szCs w:val="19"/>
          <w:color w:val="auto"/>
        </w:rPr>
      </w:pPr>
    </w:p>
    <w:p>
      <w:pPr>
        <w:ind w:right="460" w:firstLine="1410"/>
        <w:spacing w:after="0" w:line="286" w:lineRule="auto"/>
        <w:tabs>
          <w:tab w:leader="none" w:pos="164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have, at all times, credit ratings of “Aaa” and “MR1+” by Moody’s and “AAAm” or “Aam-G” by S&amp;P, respectively; and</w:t>
      </w:r>
    </w:p>
    <w:p>
      <w:pPr>
        <w:spacing w:after="0" w:line="127" w:lineRule="exact"/>
        <w:rPr>
          <w:rFonts w:ascii="Times New Roman" w:cs="Times New Roman" w:eastAsia="Times New Roman" w:hAnsi="Times New Roman"/>
          <w:sz w:val="19"/>
          <w:szCs w:val="19"/>
          <w:color w:val="auto"/>
        </w:rPr>
      </w:pPr>
    </w:p>
    <w:p>
      <w:pPr>
        <w:ind w:right="160" w:firstLine="1410"/>
        <w:spacing w:after="0" w:line="262" w:lineRule="auto"/>
        <w:tabs>
          <w:tab w:leader="none" w:pos="167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spacing w:after="0" w:line="1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no event shall Cash Equivalents include any obligation that provides for the payment of interest alone (for example, interest- 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57"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w:t>
      </w:r>
      <w:r>
        <w:rPr>
          <w:rFonts w:ascii="Times New Roman" w:cs="Times New Roman" w:eastAsia="Times New Roman" w:hAnsi="Times New Roman"/>
          <w:sz w:val="19"/>
          <w:szCs w:val="19"/>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60"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 Adjustment</w:t>
      </w:r>
      <w:r>
        <w:rPr>
          <w:rFonts w:ascii="Times New Roman" w:cs="Times New Roman" w:eastAsia="Times New Roman" w:hAnsi="Times New Roman"/>
          <w:sz w:val="19"/>
          <w:szCs w:val="19"/>
          <w:color w:val="auto"/>
        </w:rPr>
        <w:t>” means, for any date, for any Loan denominated in (A) Sterling, a rate equal to the difference (which may be a positive or negative value or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2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 Days for Euro preceding such day for which the EURIBOR Screen Rate was available (excluding, from such averaging, the highest and the lowest EURIBOR Screen Rate applicable during such period of five Term Benchmark Bank Days for Euro) minus (ii) the Central Bank Rate in respect of Euro in effect on the last Term Benchmark Bank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65"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spacing w:after="0" w:line="155"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893445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4" w:name="page115"/>
    <w:bookmarkEnd w:id="114"/>
    <w:p>
      <w:pPr>
        <w:spacing w:after="0" w:line="26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9"/>
          <w:szCs w:val="19"/>
          <w:color w:val="auto"/>
        </w:rPr>
        <w:t>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 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57" w:lineRule="exact"/>
        <w:rPr>
          <w:sz w:val="20"/>
          <w:szCs w:val="20"/>
          <w:color w:val="auto"/>
        </w:rPr>
      </w:pPr>
    </w:p>
    <w:p>
      <w:pPr>
        <w:ind w:right="10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 -Extending Lender; and, when used in reference to any Commitment, refers to whether such Commitment is a Dollar Commitment or a Multicurrency Commitment. The “</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of a Letter of Credit refers to whether such Letter of Credit is a Dollar Letter of Credit or a Multicurrency Letter of Credit.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has the meaning assigned to such term in the Guarantee and Security Agreement.</w:t>
      </w:r>
    </w:p>
    <w:p>
      <w:pPr>
        <w:spacing w:after="0" w:line="202"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means Truist in its capacity as Collateral Agent under the Guarantee and Security Agreement and the other Security Documents, and includes any successor Collateral Agent thereunder.</w:t>
      </w:r>
    </w:p>
    <w:p>
      <w:pPr>
        <w:spacing w:after="0" w:line="12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Pool</w:t>
      </w:r>
      <w:r>
        <w:rPr>
          <w:rFonts w:ascii="Times New Roman" w:cs="Times New Roman" w:eastAsia="Times New Roman" w:hAnsi="Times New Roman"/>
          <w:sz w:val="19"/>
          <w:szCs w:val="19"/>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 priority perfected Lien as security for the Secured Obligations (as such term is defined in the Guarantee and Security Agreement) (subject to any Lien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hereof with respect to such Portfolio Investment);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spacing w:after="0" w:line="160" w:lineRule="exact"/>
        <w:rPr>
          <w:sz w:val="20"/>
          <w:szCs w:val="20"/>
          <w:color w:val="auto"/>
        </w:rPr>
      </w:pPr>
    </w:p>
    <w:p>
      <w:pPr>
        <w:ind w:right="4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Combined Debt Amount</w:t>
      </w:r>
      <w:r>
        <w:rPr>
          <w:rFonts w:ascii="Times New Roman" w:cs="Times New Roman" w:eastAsia="Times New Roman" w:hAnsi="Times New Roman"/>
          <w:sz w:val="19"/>
          <w:szCs w:val="19"/>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5" w:name="page116"/>
    <w:bookmarkEnd w:id="11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unused commitments under any Designated Indebtedness (as such term is defined in the Guarantee and Security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Increase Supplement</w:t>
      </w:r>
      <w:r>
        <w:rPr>
          <w:rFonts w:ascii="Times New Roman" w:cs="Times New Roman" w:eastAsia="Times New Roman" w:hAnsi="Times New Roman"/>
          <w:sz w:val="19"/>
          <w:szCs w:val="19"/>
          <w:color w:val="auto"/>
        </w:rPr>
        <w:t xml:space="preserve">” has the meaning assigned in </w:t>
      </w:r>
      <w:r>
        <w:rPr>
          <w:rFonts w:ascii="Times New Roman" w:cs="Times New Roman" w:eastAsia="Times New Roman" w:hAnsi="Times New Roman"/>
          <w:sz w:val="19"/>
          <w:szCs w:val="19"/>
          <w:u w:val="single" w:color="auto"/>
          <w:color w:val="auto"/>
        </w:rPr>
        <w:t>Section 2.08(e)(ii)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Termination Date</w:t>
      </w:r>
      <w:r>
        <w:rPr>
          <w:rFonts w:ascii="Times New Roman" w:cs="Times New Roman" w:eastAsia="Times New Roman" w:hAnsi="Times New Roman"/>
          <w:sz w:val="19"/>
          <w:szCs w:val="19"/>
          <w:color w:val="auto"/>
        </w:rPr>
        <w:t>” means the Extended Commitment Termination Date or the relevant Non-Extended Commitment Termination Date, as applicable.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means, collectively, the Dollar Commitments and the Multicurrency Commitments.</w:t>
      </w:r>
    </w:p>
    <w:p>
      <w:pPr>
        <w:spacing w:after="0" w:line="202"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158"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Asset Coverage Ratio</w:t>
      </w:r>
      <w:r>
        <w:rPr>
          <w:rFonts w:ascii="Times New Roman" w:cs="Times New Roman" w:eastAsia="Times New Roman" w:hAnsi="Times New Roman"/>
          <w:sz w:val="19"/>
          <w:szCs w:val="19"/>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16" w:name="page117"/>
    <w:bookmarkEnd w:id="116"/>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xml:space="preserve">” has a meaning correlative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“Control” shall not include “negative” control or “blocking” rights that constitute “protective rights” whereby action cannot be taken without the vote or consent of any Person.</w:t>
      </w:r>
    </w:p>
    <w:p>
      <w:pPr>
        <w:spacing w:after="0" w:line="150"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CORRA</w:t>
      </w:r>
      <w:r>
        <w:rPr>
          <w:rFonts w:ascii="Times New Roman" w:cs="Times New Roman" w:eastAsia="Times New Roman" w:hAnsi="Times New Roman"/>
          <w:sz w:val="19"/>
          <w:szCs w:val="19"/>
          <w:color w:val="auto"/>
        </w:rPr>
        <w:t>” means the Canadian Overnight Repo Rate Average administered and published by the Bank of Canada (or any successor administrator of the Canadian Overnight Repo Rate Average).</w:t>
      </w:r>
    </w:p>
    <w:p>
      <w:pPr>
        <w:spacing w:after="0" w:line="12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Debt Amount</w:t>
      </w:r>
      <w:r>
        <w:rPr>
          <w:rFonts w:ascii="Times New Roman" w:cs="Times New Roman" w:eastAsia="Times New Roman" w:hAnsi="Times New Roman"/>
          <w:sz w:val="19"/>
          <w:szCs w:val="19"/>
          <w:color w:val="auto"/>
        </w:rPr>
        <w:t xml:space="preserve">” means, on any date, the sum of (x) all of the Revolving Credit Exposures of all Lenders on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(y) the aggregate amount of Other Covered Indebtedness, the 2024 Notes, the 2026 Notes, the 2028 Notes, the 2029 Notes, Special Unsecured Indebtedness and Unsecured Longer-Term Indebtedness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(z) the LC Exposures fully Cash Collateralized on such date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and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2024 Notes, the 2026 Notes, the 2028 Notes, the 2029 Notes, Special Unsecured Indebtedness and Unsecured Longer-Term Indebtedness shall be excluded from the calculation of the Covered Debt Amount, in each case, until the date that is nine (9) months prior to the scheduled maturity date of the 2024 Notes, the 2026 Notes, the 2028 Notes, the 2029 Notes, Special Unsecured Indebtedness or such Unsecured Longer-Term Indebtedness, as applicable (provided that, to the extent, but only to the extent, any portion of the 2024 Notes, the 2026 Notes, the 2028 Notes, the 2029 Notes, Special Unsecured Indebtedness or Unsecured Longer-Term Indebtedness is subject to a contractually scheduled amortization payment or other principal payment or mandatory redemption earlier than six (6) months after the Final Maturity Date (in the case of the 2024 Notes, the 2026 Notes, the 2028 Notes, the 2029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means Dollars or any Foreign Currency.</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an interest rate per annum equal to (a) for any RFR Loan denominated in Sterling, the greater of (i) SONIA for the day (the “</w:t>
      </w:r>
      <w:r>
        <w:rPr>
          <w:rFonts w:ascii="Times New Roman" w:cs="Times New Roman" w:eastAsia="Times New Roman" w:hAnsi="Times New Roman"/>
          <w:sz w:val="19"/>
          <w:szCs w:val="19"/>
          <w:u w:val="single" w:color="auto"/>
          <w:color w:val="auto"/>
        </w:rPr>
        <w:t>RFR Reference Day</w:t>
      </w:r>
      <w:r>
        <w:rPr>
          <w:rFonts w:ascii="Times New Roman" w:cs="Times New Roman" w:eastAsia="Times New Roman" w:hAnsi="Times New Roman"/>
          <w:sz w:val="19"/>
          <w:szCs w:val="19"/>
          <w:color w:val="auto"/>
        </w:rPr>
        <w:t>”)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Business Days prior to (A) if such RFR Interest Day is an RFR Business Day, such RFR Interest Day or (B) if such RFR Interest Day is not an RFR Business Day, the RFR Business Day immediately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p>
    <w:p>
      <w:pPr>
        <w:spacing w:after="0" w:line="155"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Daily Simple SOFR Interest Day</w:t>
      </w:r>
      <w:r>
        <w:rPr>
          <w:rFonts w:ascii="Times New Roman" w:cs="Times New Roman" w:eastAsia="Times New Roman" w:hAnsi="Times New Roman"/>
          <w:sz w:val="19"/>
          <w:szCs w:val="19"/>
          <w:color w:val="auto"/>
        </w:rPr>
        <w:t>”)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spacing w:after="0" w:line="150"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any Lender that, as determined by the Administrative Agent,</w:t>
      </w:r>
    </w:p>
    <w:p>
      <w:pPr>
        <w:spacing w:after="0" w:line="32" w:lineRule="exact"/>
        <w:rPr>
          <w:sz w:val="20"/>
          <w:szCs w:val="20"/>
          <w:color w:val="auto"/>
        </w:rPr>
      </w:pPr>
    </w:p>
    <w:p>
      <w:pPr>
        <w:ind w:right="100" w:firstLine="6"/>
        <w:spacing w:after="0" w:line="251" w:lineRule="auto"/>
        <w:tabs>
          <w:tab w:leader="none" w:pos="26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has failed to (i) 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Administrative Agent and Borrower), or (d) Administrative Agent has received notification that such Lender has become, or has a direct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892175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2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 xml:space="preserve">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upon such determination (and the Administrative Agent shall deliver written notice of such determination to the Borrower, each Issuing Bank and each Lender and each Swingline Lender).</w:t>
      </w:r>
    </w:p>
    <w:p>
      <w:pPr>
        <w:spacing w:after="0" w:line="161"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Equity Interest</w:t>
      </w:r>
      <w:r>
        <w:rPr>
          <w:rFonts w:ascii="Times New Roman" w:cs="Times New Roman" w:eastAsia="Times New Roman" w:hAnsi="Times New Roman"/>
          <w:sz w:val="19"/>
          <w:szCs w:val="19"/>
          <w:color w:val="auto"/>
        </w:rPr>
        <w:t>” means any Equity Interest of the Borrower that is not a Permitted Equity Interest.</w:t>
      </w:r>
    </w:p>
    <w:p>
      <w:pPr>
        <w:spacing w:after="0" w:line="202" w:lineRule="exact"/>
        <w:rPr>
          <w:sz w:val="20"/>
          <w:szCs w:val="20"/>
          <w:color w:val="auto"/>
        </w:rPr>
      </w:pPr>
    </w:p>
    <w:p>
      <w:pPr>
        <w:ind w:right="6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Commitment</w:t>
      </w:r>
      <w:r>
        <w:rPr>
          <w:rFonts w:ascii="Times New Roman" w:cs="Times New Roman" w:eastAsia="Times New Roman" w:hAnsi="Times New Roman"/>
          <w:sz w:val="19"/>
          <w:szCs w:val="19"/>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right="60" w:firstLine="6"/>
        <w:spacing w:after="0" w:line="254" w:lineRule="auto"/>
        <w:tabs>
          <w:tab w:leader="none" w:pos="27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initial amount of each Lender’s Dollar Commitment is set forth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or in a Commitment Increase Supplement or Assignment and Assumption pursuant to which such Lender shall have assumed its Dollar Commitment, as applicable. The aggregate amount of the Lenders’ Dollar Commitments as of the Fifteenth Amendment Effective Date is $550,000,000.</w:t>
      </w:r>
    </w:p>
    <w:p>
      <w:pPr>
        <w:spacing w:after="0" w:line="157"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on any date of determination, with respect to an amount denominated in any Foreign Currency, the amount of Dollars that would be required to purchase such amount of such Foreign Currency on the date two (2) Business Days prior to such date,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9" w:name="page120"/>
    <w:bookmarkEnd w:id="119"/>
    <w:p>
      <w:pPr>
        <w:spacing w:after="0" w:line="26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spacing w:after="0" w:line="144"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LC Exposure</w:t>
      </w:r>
      <w:r>
        <w:rPr>
          <w:rFonts w:ascii="Times New Roman" w:cs="Times New Roman" w:eastAsia="Times New Roman" w:hAnsi="Times New Roman"/>
          <w:sz w:val="19"/>
          <w:szCs w:val="19"/>
          <w:color w:val="auto"/>
        </w:rPr>
        <w:t xml:space="preserve">” means, at any time, the sum of (a) the aggregate undrawn amount of all outstanding Dollar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50"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Letters of Credit</w:t>
      </w:r>
      <w:r>
        <w:rPr>
          <w:rFonts w:ascii="Times New Roman" w:cs="Times New Roman" w:eastAsia="Times New Roman" w:hAnsi="Times New Roman"/>
          <w:sz w:val="19"/>
          <w:szCs w:val="19"/>
          <w:color w:val="auto"/>
        </w:rPr>
        <w:t>” means Letters of Credit that utilize the Dollar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Loan</w:t>
      </w:r>
      <w:r>
        <w:rPr>
          <w:rFonts w:ascii="Times New Roman" w:cs="Times New Roman" w:eastAsia="Times New Roman" w:hAnsi="Times New Roman"/>
          <w:sz w:val="19"/>
          <w:szCs w:val="19"/>
          <w:color w:val="auto"/>
        </w:rPr>
        <w:t>” means a Loan denominated in Dollars.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United States of America.</w:t>
      </w:r>
    </w:p>
    <w:p>
      <w:pPr>
        <w:spacing w:after="0" w:line="202" w:lineRule="exact"/>
        <w:rPr>
          <w:sz w:val="20"/>
          <w:szCs w:val="20"/>
          <w:color w:val="auto"/>
        </w:rPr>
      </w:pPr>
    </w:p>
    <w:p>
      <w:pPr>
        <w:ind w:right="100" w:firstLine="145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02" w:lineRule="exact"/>
        <w:rPr>
          <w:sz w:val="20"/>
          <w:szCs w:val="20"/>
          <w:color w:val="auto"/>
        </w:rPr>
      </w:pPr>
    </w:p>
    <w:p>
      <w:pPr>
        <w:ind w:right="5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xml:space="preserve"> ”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ind w:right="8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means the date on which the conditions specified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are satisfied (or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which date is February 27, 2014.</w:t>
      </w:r>
    </w:p>
    <w:p>
      <w:pPr>
        <w:spacing w:after="0" w:line="12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0" w:name="page121"/>
    <w:bookmarkEnd w:id="120"/>
    <w:p>
      <w:pPr>
        <w:spacing w:after="0" w:line="269"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xml:space="preserve"> ”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8.09(a)</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8.09(d)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7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 has the meaning set forth in the definition of “Term Benchmark Rate”.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means a single currency of the Participating Member States.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1" w:name="page122"/>
    <w:bookmarkEnd w:id="121"/>
    <w:p>
      <w:pPr>
        <w:spacing w:after="0" w:line="269"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 at the time of such assignment or designation, or (ii) that is attributable to such Lender’s failure or inability to comply with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(c) any U.S. federal, state or local backup withholding Taxes imposed on payments made under any Loan Document, and (d) any Taxes that are imposed under FATCA.</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Loans</w:t>
      </w:r>
      <w:r>
        <w:rPr>
          <w:rFonts w:ascii="Times New Roman" w:cs="Times New Roman" w:eastAsia="Times New Roman" w:hAnsi="Times New Roman"/>
          <w:sz w:val="19"/>
          <w:szCs w:val="19"/>
          <w:color w:val="auto"/>
        </w:rPr>
        <w:t xml:space="preserve">” has the meaning assigned to such term in the </w:t>
      </w:r>
      <w:r>
        <w:rPr>
          <w:rFonts w:ascii="Times New Roman" w:cs="Times New Roman" w:eastAsia="Times New Roman" w:hAnsi="Times New Roman"/>
          <w:sz w:val="19"/>
          <w:szCs w:val="19"/>
          <w:u w:val="single" w:color="auto"/>
          <w:color w:val="auto"/>
        </w:rPr>
        <w:t>recitals</w:t>
      </w:r>
      <w:r>
        <w:rPr>
          <w:rFonts w:ascii="Times New Roman" w:cs="Times New Roman" w:eastAsia="Times New Roman" w:hAnsi="Times New Roman"/>
          <w:sz w:val="19"/>
          <w:szCs w:val="19"/>
          <w:color w:val="auto"/>
        </w:rPr>
        <w:t xml:space="preserve"> to this Agreement.</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Applicable Margin</w:t>
      </w:r>
      <w:r>
        <w:rPr>
          <w:rFonts w:ascii="Times New Roman" w:cs="Times New Roman" w:eastAsia="Times New Roman" w:hAnsi="Times New Roman"/>
          <w:sz w:val="19"/>
          <w:szCs w:val="19"/>
          <w:color w:val="auto"/>
        </w:rPr>
        <w:t>” means, with respect to any Extending Lender: (a) if the Borrowing Base (as of the most recently delivered Borrowing Base Certificate) is equal to or greater than 1.60 times the Combined Debt Amount, (i) with respect to any ABR Loan, 0.75% per annum; (ii) with respect to any Term Benchmark Loan, 1.75% per annum; and (iii) with respect to any RFR Loan 1.75% per annum; and (b) if the Borrowing Base (as of the most recently delivered Borrowing Base Certificate) is less than 1.60 times the Combined Debt Amount (i) with respect to any ABR Loan, 0.875% per annum; (ii) with respect to any Term Benchmark Loan,</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1.875% per annum; and (iii) with respect to any RFR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Borrowing Base Certificate has not been delivered in accordance with </w:t>
      </w:r>
      <w:r>
        <w:rPr>
          <w:rFonts w:ascii="Times New Roman" w:cs="Times New Roman" w:eastAsia="Times New Roman" w:hAnsi="Times New Roman"/>
          <w:sz w:val="19"/>
          <w:szCs w:val="19"/>
          <w:u w:val="single" w:color="auto"/>
          <w:color w:val="auto"/>
        </w:rPr>
        <w:t>Section 5.01(d)</w:t>
      </w:r>
      <w:r>
        <w:rPr>
          <w:rFonts w:ascii="Times New Roman" w:cs="Times New Roman" w:eastAsia="Times New Roman" w:hAnsi="Times New Roman"/>
          <w:sz w:val="19"/>
          <w:szCs w:val="19"/>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to and including the date on which the required Borrowing Base Certificate is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269" w:lineRule="exact"/>
        <w:rPr>
          <w:sz w:val="20"/>
          <w:szCs w:val="20"/>
          <w:color w:val="auto"/>
        </w:rPr>
      </w:pPr>
    </w:p>
    <w:p>
      <w:pPr>
        <w:ind w:right="5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Availability Period</w:t>
      </w:r>
      <w:r>
        <w:rPr>
          <w:rFonts w:ascii="Times New Roman" w:cs="Times New Roman" w:eastAsia="Times New Roman" w:hAnsi="Times New Roman"/>
          <w:sz w:val="19"/>
          <w:szCs w:val="19"/>
          <w:color w:val="auto"/>
        </w:rPr>
        <w:t xml:space="preserve"> ” means, with respect to any Extending Lender, the period from and including the Effective Date to but excluding the earlier of the Extended Commitment Termination Date and the date of termination of the Commitments.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Commitment Termination Date</w:t>
      </w:r>
      <w:r>
        <w:rPr>
          <w:rFonts w:ascii="Times New Roman" w:cs="Times New Roman" w:eastAsia="Times New Roman" w:hAnsi="Times New Roman"/>
          <w:sz w:val="19"/>
          <w:szCs w:val="19"/>
          <w:color w:val="auto"/>
        </w:rPr>
        <w:t>” means, with respect to each Extending Lender, April 24, 2028.</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Final Maturity Date</w:t>
      </w:r>
      <w:r>
        <w:rPr>
          <w:rFonts w:ascii="Times New Roman" w:cs="Times New Roman" w:eastAsia="Times New Roman" w:hAnsi="Times New Roman"/>
          <w:sz w:val="19"/>
          <w:szCs w:val="19"/>
          <w:color w:val="auto"/>
        </w:rPr>
        <w:t>” means, with respect to each Extending Lender, April 24, 2029.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Loans</w:t>
      </w:r>
      <w:r>
        <w:rPr>
          <w:rFonts w:ascii="Times New Roman" w:cs="Times New Roman" w:eastAsia="Times New Roman" w:hAnsi="Times New Roman"/>
          <w:sz w:val="19"/>
          <w:szCs w:val="19"/>
          <w:color w:val="auto"/>
        </w:rPr>
        <w:t>” means Loans or Borrowings of any Extending Lender maturing on the Extended Final Maturity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xml:space="preserve">” means each Lender designated as an “Extending Lender”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External Manager</w:t>
      </w:r>
      <w:r>
        <w:rPr>
          <w:rFonts w:ascii="Times New Roman" w:cs="Times New Roman" w:eastAsia="Times New Roman" w:hAnsi="Times New Roman"/>
          <w:sz w:val="19"/>
          <w:szCs w:val="19"/>
          <w:color w:val="auto"/>
        </w:rPr>
        <w:t>” means Sixth Street Specialty Lending Advisers, LLC.</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Extraordinary Receipts</w:t>
      </w:r>
      <w:r>
        <w:rPr>
          <w:rFonts w:ascii="Times New Roman" w:cs="Times New Roman" w:eastAsia="Times New Roman" w:hAnsi="Times New Roman"/>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19"/>
          <w:szCs w:val="19"/>
          <w:u w:val="single" w:color="auto"/>
          <w:color w:val="auto"/>
        </w:rPr>
        <w:t>Section 2.16(f)</w:t>
      </w:r>
      <w:r>
        <w:rPr>
          <w:rFonts w:ascii="Times New Roman" w:cs="Times New Roman" w:eastAsia="Times New Roman" w:hAnsi="Times New Roman"/>
          <w:sz w:val="19"/>
          <w:szCs w:val="19"/>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57" w:lineRule="exact"/>
        <w:rPr>
          <w:sz w:val="20"/>
          <w:szCs w:val="20"/>
          <w:color w:val="auto"/>
        </w:rPr>
      </w:pPr>
    </w:p>
    <w:p>
      <w:pPr>
        <w:ind w:right="3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50"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3" w:name="page124"/>
    <w:bookmarkEnd w:id="12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Fifteenth Amendment Effective Date</w:t>
      </w:r>
      <w:r>
        <w:rPr>
          <w:rFonts w:ascii="Times New Roman" w:cs="Times New Roman" w:eastAsia="Times New Roman" w:hAnsi="Times New Roman"/>
          <w:sz w:val="19"/>
          <w:szCs w:val="19"/>
          <w:color w:val="auto"/>
        </w:rPr>
        <w:t>” means April 24, 2024.</w:t>
      </w:r>
    </w:p>
    <w:p>
      <w:pPr>
        <w:spacing w:after="0" w:line="202"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Final Maturity Date</w:t>
      </w:r>
      <w:r>
        <w:rPr>
          <w:rFonts w:ascii="Times New Roman" w:cs="Times New Roman" w:eastAsia="Times New Roman" w:hAnsi="Times New Roman"/>
          <w:sz w:val="19"/>
          <w:szCs w:val="19"/>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Subsidiary</w:t>
      </w:r>
      <w:r>
        <w:rPr>
          <w:rFonts w:ascii="Times New Roman" w:cs="Times New Roman" w:eastAsia="Times New Roman" w:hAnsi="Times New Roman"/>
          <w:sz w:val="19"/>
          <w:szCs w:val="19"/>
          <w:color w:val="auto"/>
        </w:rPr>
        <w:t>” means an SPE Subsidiary or an SBIC Subsidiary.</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a rate of interest equal to zero percent (0.00%)</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w:t>
      </w:r>
      <w:r>
        <w:rPr>
          <w:rFonts w:ascii="Times New Roman" w:cs="Times New Roman" w:eastAsia="Times New Roman" w:hAnsi="Times New Roman"/>
          <w:sz w:val="19"/>
          <w:szCs w:val="19"/>
          <w:color w:val="auto"/>
        </w:rPr>
        <w:t>” means at any time any Currency other than Dollars.</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Currency Equivalent</w:t>
      </w:r>
      <w:r>
        <w:rPr>
          <w:rFonts w:ascii="Times New Roman" w:cs="Times New Roman" w:eastAsia="Times New Roman" w:hAnsi="Times New Roman"/>
          <w:sz w:val="19"/>
          <w:szCs w:val="19"/>
          <w:color w:val="auto"/>
        </w:rPr>
        <w:t xml:space="preserve"> ”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any Lender that is not a “United States person” as defined under Section 7701(a)(30)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0"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54" w:lineRule="exact"/>
        <w:rPr>
          <w:sz w:val="20"/>
          <w:szCs w:val="20"/>
          <w:color w:val="auto"/>
        </w:rPr>
      </w:pPr>
    </w:p>
    <w:p>
      <w:pPr>
        <w:ind w:right="2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Fronting Exposure</w:t>
      </w:r>
      <w:r>
        <w:rPr>
          <w:rFonts w:ascii="Times New Roman" w:cs="Times New Roman" w:eastAsia="Times New Roman" w:hAnsi="Times New Roman"/>
          <w:sz w:val="19"/>
          <w:szCs w:val="19"/>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w:t>
      </w:r>
    </w:p>
    <w:p>
      <w:pPr>
        <w:spacing w:after="0" w:line="202"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4" w:name="page125"/>
    <w:bookmarkEnd w:id="124"/>
    <w:p>
      <w:pPr>
        <w:spacing w:after="0" w:line="269"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xml:space="preserve"> ” of, or “</w:t>
      </w:r>
      <w:r>
        <w:rPr>
          <w:rFonts w:ascii="Times New Roman" w:cs="Times New Roman" w:eastAsia="Times New Roman" w:hAnsi="Times New Roman"/>
          <w:sz w:val="19"/>
          <w:szCs w:val="19"/>
          <w:u w:val="single" w:color="auto"/>
          <w:color w:val="auto"/>
        </w:rPr>
        <w:t>Guaranteed</w:t>
      </w:r>
      <w:r>
        <w:rPr>
          <w:rFonts w:ascii="Times New Roman" w:cs="Times New Roman" w:eastAsia="Times New Roman" w:hAnsi="Times New Roman"/>
          <w:sz w:val="19"/>
          <w:szCs w:val="19"/>
          <w:color w:val="auto"/>
        </w:rPr>
        <w:t>”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65"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and Security Agreement</w:t>
      </w:r>
      <w:r>
        <w:rPr>
          <w:rFonts w:ascii="Times New Roman" w:cs="Times New Roman" w:eastAsia="Times New Roman" w:hAnsi="Times New Roman"/>
          <w:sz w:val="19"/>
          <w:szCs w:val="19"/>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spacing w:after="0" w:line="154"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Assumption Agreement</w:t>
      </w:r>
      <w:r>
        <w:rPr>
          <w:rFonts w:ascii="Times New Roman" w:cs="Times New Roman" w:eastAsia="Times New Roman" w:hAnsi="Times New Roman"/>
          <w:sz w:val="19"/>
          <w:szCs w:val="19"/>
          <w:color w:val="auto"/>
        </w:rPr>
        <w:t xml:space="preserve"> ”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19"/>
          <w:szCs w:val="19"/>
          <w:u w:val="single" w:color="auto"/>
          <w:color w:val="auto"/>
        </w:rPr>
        <w:t>Section 5.08</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Agreement</w:t>
      </w:r>
      <w:r>
        <w:rPr>
          <w:rFonts w:ascii="Times New Roman" w:cs="Times New Roman" w:eastAsia="Times New Roman" w:hAnsi="Times New Roman"/>
          <w:sz w:val="19"/>
          <w:szCs w:val="19"/>
          <w:color w:val="auto"/>
        </w:rPr>
        <w:t>” means any interest rate protection agreement, foreign currency exchange protection agreement, commodity price protection agreement or other interest or currency exchange rate or commodity price hedging arrangement.</w:t>
      </w:r>
    </w:p>
    <w:p>
      <w:pPr>
        <w:spacing w:after="0" w:line="127"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Subsidiaries</w:t>
      </w:r>
      <w:r>
        <w:rPr>
          <w:rFonts w:ascii="Times New Roman" w:cs="Times New Roman" w:eastAsia="Times New Roman" w:hAnsi="Times New Roman"/>
          <w:sz w:val="19"/>
          <w:szCs w:val="19"/>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2.08(e)(i)</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5" w:name="page126"/>
    <w:bookmarkEnd w:id="125"/>
    <w:p>
      <w:pPr>
        <w:spacing w:after="0" w:line="269" w:lineRule="exact"/>
        <w:rPr>
          <w:sz w:val="20"/>
          <w:szCs w:val="20"/>
          <w:color w:val="auto"/>
        </w:rPr>
      </w:pPr>
    </w:p>
    <w:p>
      <w:pPr>
        <w:ind w:right="40" w:firstLine="1404"/>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Taxes, other than Excluded Taxes, imposed on or with respect to any payment made by or on account of any obligation of the Borrower under this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w:t>
      </w:r>
      <w:r>
        <w:rPr>
          <w:rFonts w:ascii="Times New Roman" w:cs="Times New Roman" w:eastAsia="Times New Roman" w:hAnsi="Times New Roman"/>
          <w:sz w:val="19"/>
          <w:szCs w:val="19"/>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54" w:lineRule="exact"/>
        <w:rPr>
          <w:sz w:val="20"/>
          <w:szCs w:val="20"/>
          <w:color w:val="auto"/>
        </w:rPr>
      </w:pPr>
    </w:p>
    <w:p>
      <w:pPr>
        <w:ind w:right="4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Industry Classification Group</w:t>
      </w:r>
      <w:r>
        <w:rPr>
          <w:rFonts w:ascii="Times New Roman" w:cs="Times New Roman" w:eastAsia="Times New Roman" w:hAnsi="Times New Roman"/>
          <w:sz w:val="19"/>
          <w:szCs w:val="19"/>
          <w:color w:val="auto"/>
        </w:rPr>
        <w:t xml:space="preserve">” means (a) any of the classification groups set forth in </w:t>
      </w:r>
      <w:r>
        <w:rPr>
          <w:rFonts w:ascii="Times New Roman" w:cs="Times New Roman" w:eastAsia="Times New Roman" w:hAnsi="Times New Roman"/>
          <w:sz w:val="19"/>
          <w:szCs w:val="19"/>
          <w:u w:val="single" w:color="auto"/>
          <w:color w:val="auto"/>
        </w:rPr>
        <w:t>Schedule 1.01(c)</w:t>
      </w:r>
      <w:r>
        <w:rPr>
          <w:rFonts w:ascii="Times New Roman" w:cs="Times New Roman" w:eastAsia="Times New Roman" w:hAnsi="Times New Roman"/>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6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Syndicated Borrowing in accordance with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6" w:name="page127"/>
    <w:bookmarkEnd w:id="126"/>
    <w:p>
      <w:pPr>
        <w:spacing w:after="0" w:line="269"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 month intervals after the first day of such Interest Period and (c) with respect to any Swingline Loan, the day that such Loan is required to be repaid.</w:t>
      </w:r>
    </w:p>
    <w:p>
      <w:pPr>
        <w:spacing w:after="0" w:line="154" w:lineRule="exact"/>
        <w:rPr>
          <w:sz w:val="20"/>
          <w:szCs w:val="20"/>
          <w:color w:val="auto"/>
        </w:rPr>
      </w:pPr>
    </w:p>
    <w:p>
      <w:pPr>
        <w:ind w:right="40" w:firstLine="1404"/>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 xml:space="preserve"> shall be available for specification in such Borrowing Request or notice of conversion or continuation unless or until it is reinstated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8"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means the Investment Company Act of 1940,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7" w:name="page128"/>
    <w:bookmarkEnd w:id="127"/>
    <w:p>
      <w:pPr>
        <w:spacing w:after="0" w:line="269"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44"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xml:space="preserve">” means Truist, JPMorgan Chase Bank, N.A. and any other Issuing Bank designated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2.05(l)</w:t>
      </w:r>
      <w:r>
        <w:rPr>
          <w:rFonts w:ascii="Times New Roman" w:cs="Times New Roman" w:eastAsia="Times New Roman" w:hAnsi="Times New Roman"/>
          <w:sz w:val="19"/>
          <w:szCs w:val="19"/>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19"/>
          <w:szCs w:val="19"/>
          <w:u w:val="single" w:color="auto"/>
          <w:color w:val="auto"/>
        </w:rPr>
        <w:t>Section 2.05(j)</w:t>
      </w:r>
      <w:r>
        <w:rPr>
          <w:rFonts w:ascii="Times New Roman" w:cs="Times New Roman" w:eastAsia="Times New Roman" w:hAnsi="Times New Roman"/>
          <w:sz w:val="19"/>
          <w:szCs w:val="19"/>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Japanese Yen</w:t>
      </w:r>
      <w:r>
        <w:rPr>
          <w:rFonts w:ascii="Times New Roman" w:cs="Times New Roman" w:eastAsia="Times New Roman" w:hAnsi="Times New Roman"/>
          <w:sz w:val="19"/>
          <w:szCs w:val="19"/>
          <w:color w:val="auto"/>
        </w:rPr>
        <w:t>” means the lawful currency of Japan.</w:t>
      </w:r>
    </w:p>
    <w:p>
      <w:pPr>
        <w:spacing w:after="0" w:line="202" w:lineRule="exact"/>
        <w:rPr>
          <w:sz w:val="20"/>
          <w:szCs w:val="20"/>
          <w:color w:val="auto"/>
        </w:rPr>
      </w:pPr>
    </w:p>
    <w:p>
      <w:pPr>
        <w:ind w:right="6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Lead Arrangers</w:t>
      </w:r>
      <w:r>
        <w:rPr>
          <w:rFonts w:ascii="Times New Roman" w:cs="Times New Roman" w:eastAsia="Times New Roman" w:hAnsi="Times New Roman"/>
          <w:sz w:val="19"/>
          <w:szCs w:val="19"/>
          <w:color w:val="auto"/>
        </w:rPr>
        <w:t>” means Truist Securities, Inc., JPMorgan Chase Bank, N.A., MUFG Union Bank, N.A., Sumitomo Mitsui Banking Corporation and State Street Bank and Trust Company.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means a payment made by any Issuing Bank pursuant to a Letter of Credit.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means, at any time, the sum of the Dollar LC Exposure and the Multicurrency LC Exposure.</w:t>
      </w:r>
    </w:p>
    <w:p>
      <w:pPr>
        <w:spacing w:after="0" w:line="202" w:lineRule="exact"/>
        <w:rPr>
          <w:sz w:val="20"/>
          <w:szCs w:val="20"/>
          <w:color w:val="auto"/>
        </w:rPr>
      </w:pPr>
    </w:p>
    <w:p>
      <w:pPr>
        <w:ind w:right="5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means, collectively, the Dollar Lenders and the Multicurrency Lenders. Unless the context otherwise requires, the term “Lenders” includes each Swingline Lender.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letter of credit issued pursuant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Documents</w:t>
      </w:r>
      <w:r>
        <w:rPr>
          <w:rFonts w:ascii="Times New Roman" w:cs="Times New Roman" w:eastAsia="Times New Roman" w:hAnsi="Times New Roman"/>
          <w:sz w:val="19"/>
          <w:szCs w:val="19"/>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w:t>
      </w:r>
    </w:p>
    <w:p>
      <w:pPr>
        <w:spacing w:after="0" w:line="2" w:lineRule="exact"/>
        <w:rPr>
          <w:sz w:val="20"/>
          <w:szCs w:val="20"/>
          <w:color w:val="auto"/>
        </w:rPr>
      </w:pPr>
    </w:p>
    <w:p>
      <w:pPr>
        <w:ind w:right="280" w:firstLine="6"/>
        <w:spacing w:after="0" w:line="262" w:lineRule="auto"/>
        <w:tabs>
          <w:tab w:leader="none" w:pos="27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collateral security for any of such obligations, each as the same may be modified and supplemented and in effect from time to time.</w:t>
      </w:r>
    </w:p>
    <w:p>
      <w:pPr>
        <w:spacing w:after="0" w:line="149"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8" w:name="page129"/>
    <w:bookmarkEnd w:id="128"/>
    <w:p>
      <w:pPr>
        <w:spacing w:after="0" w:line="269" w:lineRule="exact"/>
        <w:rPr>
          <w:sz w:val="20"/>
          <w:szCs w:val="20"/>
          <w:color w:val="auto"/>
        </w:rPr>
      </w:pPr>
    </w:p>
    <w:p>
      <w:pPr>
        <w:ind w:right="2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the Twelfth Amendment to this Agreement dated as of April 25, 2022, the Thirteenth Amendment to this Agreement dated as of May 19, 2022, the Fourteenth Amendment to this Agreement dated as of June 12, 2023, and the Fifteenth Amendment to this Agreement dated as of April 24, 2024.</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Borrower pursuant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means “margin stock” within the meaning of Regulations T, U and X.</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3.04(b)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spacing w:after="0" w:line="154"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or any successor thereto.</w:t>
      </w:r>
    </w:p>
    <w:p>
      <w:pPr>
        <w:spacing w:after="0" w:line="202"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Commitment</w:t>
      </w:r>
      <w:r>
        <w:rPr>
          <w:rFonts w:ascii="Times New Roman" w:cs="Times New Roman" w:eastAsia="Times New Roman" w:hAnsi="Times New Roman"/>
          <w:sz w:val="19"/>
          <w:szCs w:val="19"/>
          <w:color w:val="auto"/>
        </w:rPr>
        <w:t>” means, with respect to each Multicurrency Lender during such Multicurrency Lender’s Availability Period, the commitment of such Multicurrency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29" w:name="page130"/>
    <w:bookmarkEnd w:id="129"/>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(b)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initial amount of each Lender’s Multicurrency Commitment is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1.01(b)</w:t>
      </w:r>
      <w:r>
        <w:rPr>
          <w:rFonts w:ascii="Times New Roman" w:cs="Times New Roman" w:eastAsia="Times New Roman" w:hAnsi="Times New Roman"/>
          <w:sz w:val="19"/>
          <w:szCs w:val="19"/>
          <w:color w:val="auto"/>
        </w:rPr>
        <w:t xml:space="preserve"> or in a Commitment Increase Supplement or Assignment and Assumption pursuant to which such Lender shall have assumed its Multicurrency commitment, as applicable. The aggregate amount of the Lenders’ Multicurrency Commitments as of the Fifteenth Amendment Effective Date is $1,150,000,000.</w:t>
      </w:r>
    </w:p>
    <w:p>
      <w:pPr>
        <w:spacing w:after="0" w:line="160"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LC Exposure</w:t>
      </w:r>
      <w:r>
        <w:rPr>
          <w:rFonts w:ascii="Times New Roman" w:cs="Times New Roman" w:eastAsia="Times New Roman" w:hAnsi="Times New Roman"/>
          <w:sz w:val="19"/>
          <w:szCs w:val="19"/>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5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Lender</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xml:space="preserve"> as having Multicurrency Commitments and any other Person that shall have become a party hereto pursuant to a Commitment Increase Supplement or Assignment and Assumption that provides for it to assume a Multicurrency Commitment or to acquire Revolving Multicurrency Credit Exposure, other than any such Person that ceases to be a party hereto pursuant to an Assignment and Assumption.</w:t>
      </w:r>
    </w:p>
    <w:p>
      <w:pPr>
        <w:spacing w:after="0" w:line="150" w:lineRule="exact"/>
        <w:rPr>
          <w:sz w:val="20"/>
          <w:szCs w:val="20"/>
          <w:color w:val="auto"/>
        </w:rPr>
      </w:pPr>
    </w:p>
    <w:p>
      <w:pPr>
        <w:ind w:left="1420" w:right="1180"/>
        <w:spacing w:after="0" w:line="4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Letters of Credit</w:t>
      </w:r>
      <w:r>
        <w:rPr>
          <w:rFonts w:ascii="Times New Roman" w:cs="Times New Roman" w:eastAsia="Times New Roman" w:hAnsi="Times New Roman"/>
          <w:sz w:val="19"/>
          <w:szCs w:val="19"/>
          <w:color w:val="auto"/>
        </w:rPr>
        <w:t>” means Letters of Credit that utilize the Multicurrency Commitments. “</w:t>
      </w:r>
      <w:r>
        <w:rPr>
          <w:rFonts w:ascii="Times New Roman" w:cs="Times New Roman" w:eastAsia="Times New Roman" w:hAnsi="Times New Roman"/>
          <w:sz w:val="19"/>
          <w:szCs w:val="19"/>
          <w:u w:val="single" w:color="auto"/>
          <w:color w:val="auto"/>
        </w:rPr>
        <w:t>Multicurrency Loan</w:t>
      </w:r>
      <w:r>
        <w:rPr>
          <w:rFonts w:ascii="Times New Roman" w:cs="Times New Roman" w:eastAsia="Times New Roman" w:hAnsi="Times New Roman"/>
          <w:sz w:val="19"/>
          <w:szCs w:val="19"/>
          <w:color w:val="auto"/>
        </w:rPr>
        <w:t>” means a Loan denominated in Dollars or an Agreed Foreign Currency. “</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 “</w:t>
      </w:r>
      <w:r>
        <w:rPr>
          <w:rFonts w:ascii="Times New Roman" w:cs="Times New Roman" w:eastAsia="Times New Roman" w:hAnsi="Times New Roman"/>
          <w:sz w:val="19"/>
          <w:szCs w:val="19"/>
          <w:u w:val="single" w:color="auto"/>
          <w:color w:val="auto"/>
        </w:rPr>
        <w:t>National Currency</w:t>
      </w:r>
      <w:r>
        <w:rPr>
          <w:rFonts w:ascii="Times New Roman" w:cs="Times New Roman" w:eastAsia="Times New Roman" w:hAnsi="Times New Roman"/>
          <w:sz w:val="19"/>
          <w:szCs w:val="19"/>
          <w:color w:val="auto"/>
        </w:rPr>
        <w:t>” means the currency, other than the Euro, of a Participating Member State. “</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means:</w:t>
      </w:r>
    </w:p>
    <w:p>
      <w:pPr>
        <w:spacing w:after="0" w:line="2" w:lineRule="exact"/>
        <w:rPr>
          <w:sz w:val="20"/>
          <w:szCs w:val="20"/>
          <w:color w:val="auto"/>
        </w:rPr>
      </w:pPr>
    </w:p>
    <w:p>
      <w:pPr>
        <w:ind w:right="60" w:firstLine="1410"/>
        <w:spacing w:after="0" w:line="257" w:lineRule="auto"/>
        <w:tabs>
          <w:tab w:leader="none" w:pos="166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(i) the principal amount of any Indebtedness that is secured by the applicable asset and that is required to be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30" w:name="page131"/>
    <w:bookmarkEnd w:id="130"/>
    <w:p>
      <w:pPr>
        <w:spacing w:after="0" w:line="26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9"/>
          <w:szCs w:val="19"/>
          <w:color w:val="auto"/>
        </w:rPr>
        <w:t xml:space="preserve">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any estimated taxes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57" w:lineRule="exact"/>
        <w:rPr>
          <w:sz w:val="20"/>
          <w:szCs w:val="20"/>
          <w:color w:val="auto"/>
        </w:rPr>
      </w:pPr>
    </w:p>
    <w:p>
      <w:pPr>
        <w:ind w:firstLine="1410"/>
        <w:spacing w:after="0" w:line="254" w:lineRule="auto"/>
        <w:tabs>
          <w:tab w:leader="none" w:pos="167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an amount equal to (i) the sum of the cash and Cash Equivalents received in connection with such transaction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Zealand Dollars</w:t>
      </w:r>
      <w:r>
        <w:rPr>
          <w:rFonts w:ascii="Times New Roman" w:cs="Times New Roman" w:eastAsia="Times New Roman" w:hAnsi="Times New Roman"/>
          <w:sz w:val="19"/>
          <w:szCs w:val="19"/>
          <w:color w:val="auto"/>
        </w:rPr>
        <w:t>” means the lawful currency of New Zealand.</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a Lender that is not a Defaulting Lender at such time.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Applicable Margin</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jc w:val="both"/>
        <w:ind w:right="40" w:firstLine="1410"/>
        <w:spacing w:after="0" w:line="258" w:lineRule="auto"/>
        <w:tabs>
          <w:tab w:leader="none" w:pos="1665"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 (B) with respect to any Term Benchmark Loan,</w:t>
      </w:r>
    </w:p>
    <w:p>
      <w:pPr>
        <w:spacing w:after="0" w:line="1" w:lineRule="exact"/>
        <w:rPr>
          <w:rFonts w:ascii="Times New Roman" w:cs="Times New Roman" w:eastAsia="Times New Roman" w:hAnsi="Times New Roman"/>
          <w:sz w:val="19"/>
          <w:szCs w:val="19"/>
          <w:color w:val="auto"/>
        </w:rPr>
      </w:pPr>
    </w:p>
    <w:p>
      <w:pPr>
        <w:jc w:val="both"/>
        <w:ind w:right="2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1.75% per annum; and (C) with respect to any RFR Loan, 1.75% per annum plus the RFR Applicable Credit Adjustment Spread; and (ii) if the Borrowing Base (as of the most recently delivered Borrowing Base Certificate) is less than 1.85 times the Combined Debt Amount</w:t>
      </w:r>
    </w:p>
    <w:p>
      <w:pPr>
        <w:ind w:firstLine="6"/>
        <w:spacing w:after="0" w:line="262" w:lineRule="auto"/>
        <w:tabs>
          <w:tab w:leader="none" w:pos="31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ABR Loan, 0.875% per annum; (B) with respect to any Term Benchmark Loan, 1.875% per annum; and (C) with respect to any RFR Loan, 1.875% per annum plus the RFR Applicable Credit Adjustment Spread;</w:t>
      </w:r>
    </w:p>
    <w:p>
      <w:pPr>
        <w:spacing w:after="0" w:line="149" w:lineRule="exact"/>
        <w:rPr>
          <w:rFonts w:ascii="Times New Roman" w:cs="Times New Roman" w:eastAsia="Times New Roman" w:hAnsi="Times New Roman"/>
          <w:sz w:val="19"/>
          <w:szCs w:val="19"/>
          <w:color w:val="auto"/>
        </w:rPr>
      </w:pPr>
    </w:p>
    <w:p>
      <w:pPr>
        <w:ind w:right="20" w:firstLine="1410"/>
        <w:spacing w:after="0" w:line="286" w:lineRule="auto"/>
        <w:tabs>
          <w:tab w:leader="none" w:pos="1676"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Non-Extending Lender to which the Non-Extended Final Maturity Date of February 4, 2026 is applicable, (i) if the Borrowing Base (as of the most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1" w:name="page132"/>
    <w:bookmarkEnd w:id="131"/>
    <w:p>
      <w:pPr>
        <w:spacing w:after="0" w:line="26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delivered Borrowing Base Certificate) is equal to or greater than 1.85 times the Combined Debt Amount, (A) with respect to any ABR Loan, 0.75% per annum; (B) with respect to any Term Benchmark Loan, 1.75% per annum; and (C) with respect to any RFR Loan,</w:t>
      </w:r>
    </w:p>
    <w:p>
      <w:pPr>
        <w:spacing w:after="0" w:line="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9"/>
          <w:szCs w:val="19"/>
          <w:color w:val="auto"/>
        </w:rPr>
        <w:t>1.75% per annum plus the RFR Applicable Credit Adjustment Spread; and (ii) if the Borrowing Base (as of the most recently delivered Borrowing Base Certificate) is less than 1.85 times the Combined Debt Amount (A) with respect to any ABR Loan, 0.875% per annum;</w:t>
      </w:r>
    </w:p>
    <w:p>
      <w:pPr>
        <w:spacing w:after="0" w:line="1" w:lineRule="exact"/>
        <w:rPr>
          <w:sz w:val="20"/>
          <w:szCs w:val="20"/>
          <w:color w:val="auto"/>
        </w:rPr>
      </w:pPr>
    </w:p>
    <w:p>
      <w:pPr>
        <w:ind w:right="100" w:firstLine="6"/>
        <w:spacing w:after="0" w:line="262" w:lineRule="auto"/>
        <w:tabs>
          <w:tab w:leader="none" w:pos="30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Term Benchmark Loan, 1.875% per annum; and (C) with respect to any RFR Loan, 1.875% per annum plus the RFR Applicable Credit Adjustment Spread; and</w:t>
      </w:r>
    </w:p>
    <w:p>
      <w:pPr>
        <w:spacing w:after="0" w:line="149" w:lineRule="exact"/>
        <w:rPr>
          <w:rFonts w:ascii="Times New Roman" w:cs="Times New Roman" w:eastAsia="Times New Roman" w:hAnsi="Times New Roman"/>
          <w:sz w:val="19"/>
          <w:szCs w:val="19"/>
          <w:color w:val="auto"/>
        </w:rPr>
      </w:pPr>
    </w:p>
    <w:p>
      <w:pPr>
        <w:ind w:firstLine="1410"/>
        <w:spacing w:after="0" w:line="256" w:lineRule="auto"/>
        <w:tabs>
          <w:tab w:leader="none" w:pos="166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Non-Extending Lender to which the Non-Extended Final Maturity Date of April 23, 2027 is applicable, (i) if the Borrowing Base (as of the most recently delivered Borrowing Base Certificate) is equal to or greater than 1.60 times the Combined Debt Amount, (A) with respect to any ABR Loan, 0.75% per annum; (B) with respect to any Term Benchmark Loan, 1.75% per annum; and (C) with respect to any RFR Loan 1.75% per annum; and (ii) if the Borrowing Base (as of the most recently delivered Borrowing Base Certificate) is less than 1.60 times the Combined Debt Amount (A) with respect to any ABR Loan, 0.875% per annum; (B) with respect to any Term Benchmark Loan, 1.875% per annum; and (C) with respect to any RFR Loan 1.875% per annum.</w:t>
      </w:r>
    </w:p>
    <w:p>
      <w:pPr>
        <w:spacing w:after="0" w:line="390" w:lineRule="exact"/>
        <w:rPr>
          <w:sz w:val="20"/>
          <w:szCs w:val="20"/>
          <w:color w:val="auto"/>
        </w:rPr>
      </w:pPr>
    </w:p>
    <w:p>
      <w:pPr>
        <w:ind w:right="180" w:firstLine="1404"/>
        <w:spacing w:after="0" w:line="256" w:lineRule="auto"/>
        <w:rPr>
          <w:sz w:val="20"/>
          <w:szCs w:val="20"/>
          <w:color w:val="auto"/>
        </w:rPr>
      </w:pPr>
      <w:r>
        <w:rPr>
          <w:rFonts w:ascii="Times New Roman" w:cs="Times New Roman" w:eastAsia="Times New Roman" w:hAnsi="Times New Roman"/>
          <w:sz w:val="19"/>
          <w:szCs w:val="19"/>
          <w:color w:val="auto"/>
        </w:rPr>
        <w:t>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Non-Extended Applicable Margin shall be the Non -Extended Applicable Margin set forth in clause (a)(ii), clause (b)(ii) or clause (c)(ii) above, as applicable, to and including the date on which the required Borrowing Base Certificate is delivered.</w:t>
      </w:r>
    </w:p>
    <w:p>
      <w:pPr>
        <w:spacing w:after="0" w:line="157" w:lineRule="exact"/>
        <w:rPr>
          <w:sz w:val="20"/>
          <w:szCs w:val="20"/>
          <w:color w:val="auto"/>
        </w:rPr>
      </w:pPr>
    </w:p>
    <w:p>
      <w:pPr>
        <w:jc w:val="both"/>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Non-Extended Availability Period</w:t>
      </w:r>
      <w:r>
        <w:rPr>
          <w:rFonts w:ascii="Times New Roman" w:cs="Times New Roman" w:eastAsia="Times New Roman" w:hAnsi="Times New Roman"/>
          <w:sz w:val="19"/>
          <w:szCs w:val="19"/>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44"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Commitment Termination Date</w:t>
      </w:r>
      <w:r>
        <w:rPr>
          <w:rFonts w:ascii="Times New Roman" w:cs="Times New Roman" w:eastAsia="Times New Roman" w:hAnsi="Times New Roman"/>
          <w:sz w:val="19"/>
          <w:szCs w:val="19"/>
          <w:color w:val="auto"/>
        </w:rPr>
        <w:t xml:space="preserve">” means, with respect to each Non-Extending Lender, the “Non-Extended Commitment Termination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Final Maturity Date</w:t>
      </w:r>
      <w:r>
        <w:rPr>
          <w:rFonts w:ascii="Times New Roman" w:cs="Times New Roman" w:eastAsia="Times New Roman" w:hAnsi="Times New Roman"/>
          <w:sz w:val="19"/>
          <w:szCs w:val="19"/>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-Extended Loans</w:t>
      </w:r>
      <w:r>
        <w:rPr>
          <w:rFonts w:ascii="Times New Roman" w:cs="Times New Roman" w:eastAsia="Times New Roman" w:hAnsi="Times New Roman"/>
          <w:sz w:val="19"/>
          <w:szCs w:val="19"/>
          <w:color w:val="auto"/>
        </w:rPr>
        <w:t>” means Loans or Borrowings of any Non-Extending Lender maturing on the Non-Extended Final Maturity Date for such Non-Extending Lender.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Non-Extending Lender</w:t>
      </w:r>
      <w:r>
        <w:rPr>
          <w:rFonts w:ascii="Times New Roman" w:cs="Times New Roman" w:eastAsia="Times New Roman" w:hAnsi="Times New Roman"/>
          <w:sz w:val="19"/>
          <w:szCs w:val="19"/>
          <w:color w:val="auto"/>
        </w:rPr>
        <w:t xml:space="preserve">” means each Lender designated as a “Non-Extending Lender”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32" w:name="page133"/>
    <w:bookmarkEnd w:id="132"/>
    <w:p>
      <w:pPr>
        <w:spacing w:after="0" w:line="269"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Non-Public Information</w:t>
      </w:r>
      <w:r>
        <w:rPr>
          <w:rFonts w:ascii="Times New Roman" w:cs="Times New Roman" w:eastAsia="Times New Roman" w:hAnsi="Times New Roman"/>
          <w:sz w:val="19"/>
          <w:szCs w:val="19"/>
          <w:color w:val="auto"/>
        </w:rPr>
        <w:t>” means material non-public information (within the meaning of United States federal, state or other applicable securities laws) with respect to Borrower or its Affiliates or their Securities.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Obligor</w:t>
      </w:r>
      <w:r>
        <w:rPr>
          <w:rFonts w:ascii="Times New Roman" w:cs="Times New Roman" w:eastAsia="Times New Roman" w:hAnsi="Times New Roman"/>
          <w:sz w:val="19"/>
          <w:szCs w:val="19"/>
          <w:color w:val="auto"/>
        </w:rPr>
        <w:t>” means, collectively, the Borrower and the Subsidiary Guarantors.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Effective Date</w:t>
      </w:r>
      <w:r>
        <w:rPr>
          <w:rFonts w:ascii="Times New Roman" w:cs="Times New Roman" w:eastAsia="Times New Roman" w:hAnsi="Times New Roman"/>
          <w:sz w:val="19"/>
          <w:szCs w:val="19"/>
          <w:color w:val="auto"/>
        </w:rPr>
        <w:t>” means July 3, 2013.</w:t>
      </w:r>
    </w:p>
    <w:p>
      <w:pPr>
        <w:spacing w:after="0" w:line="202" w:lineRule="exact"/>
        <w:rPr>
          <w:sz w:val="20"/>
          <w:szCs w:val="20"/>
          <w:color w:val="auto"/>
        </w:rPr>
      </w:pPr>
    </w:p>
    <w:p>
      <w:pPr>
        <w:ind w:right="2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Benchmark Rate Election</w:t>
      </w:r>
      <w:r>
        <w:rPr>
          <w:rFonts w:ascii="Times New Roman" w:cs="Times New Roman" w:eastAsia="Times New Roman" w:hAnsi="Times New Roman"/>
          <w:sz w:val="19"/>
          <w:szCs w:val="19"/>
          <w:color w:val="auto"/>
        </w:rPr>
        <w:t>”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spacing w:after="0" w:line="150"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Covered Indebtedness</w:t>
      </w:r>
      <w:r>
        <w:rPr>
          <w:rFonts w:ascii="Times New Roman" w:cs="Times New Roman" w:eastAsia="Times New Roman" w:hAnsi="Times New Roman"/>
          <w:sz w:val="19"/>
          <w:szCs w:val="19"/>
          <w:color w:val="auto"/>
        </w:rPr>
        <w:t xml:space="preserve">” means, collectively, Secured Longer-Term Indebtedness, Secured Shorter- 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19"/>
          <w:szCs w:val="19"/>
          <w:u w:val="single" w:color="auto"/>
          <w:color w:val="auto"/>
        </w:rPr>
        <w:t>Section 6.02(e)</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Permitted Indebtedness</w:t>
      </w:r>
      <w:r>
        <w:rPr>
          <w:rFonts w:ascii="Times New Roman" w:cs="Times New Roman" w:eastAsia="Times New Roman" w:hAnsi="Times New Roman"/>
          <w:sz w:val="19"/>
          <w:szCs w:val="19"/>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hereof (unless such assignment is made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3" w:name="page134"/>
    <w:bookmarkEnd w:id="133"/>
    <w:p>
      <w:pPr>
        <w:spacing w:after="0" w:line="269"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xml:space="preserve"> ” means any member state of the European Community that adopts or has adopted the Euro as its lawful currency in accordance with the legislation of the European Union relating to the European Monetary Union.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Periodic Term CORRA Determination Day</w:t>
      </w:r>
      <w:r>
        <w:rPr>
          <w:rFonts w:ascii="Times New Roman" w:cs="Times New Roman" w:eastAsia="Times New Roman" w:hAnsi="Times New Roman"/>
          <w:sz w:val="19"/>
          <w:szCs w:val="19"/>
          <w:color w:val="auto"/>
        </w:rPr>
        <w:t>” has the meaning specified in the definition of “Term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202" w:lineRule="exact"/>
        <w:rPr>
          <w:sz w:val="20"/>
          <w:szCs w:val="20"/>
          <w:color w:val="auto"/>
        </w:rPr>
      </w:pPr>
    </w:p>
    <w:p>
      <w:pPr>
        <w:ind w:right="5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Equity Interests</w:t>
      </w:r>
      <w:r>
        <w:rPr>
          <w:rFonts w:ascii="Times New Roman" w:cs="Times New Roman" w:eastAsia="Times New Roman" w:hAnsi="Times New Roman"/>
          <w:sz w:val="19"/>
          <w:szCs w:val="19"/>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44"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892175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4" w:name="page135"/>
    <w:bookmarkEnd w:id="134"/>
    <w:p>
      <w:pPr>
        <w:spacing w:after="0" w:line="2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57"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Policy Amendment</w:t>
      </w:r>
      <w:r>
        <w:rPr>
          <w:rFonts w:ascii="Times New Roman" w:cs="Times New Roman" w:eastAsia="Times New Roman" w:hAnsi="Times New Roman"/>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“materially adverse” if investment size proportionately increases as the size of the Borrower’s capital base changes).</w:t>
      </w:r>
    </w:p>
    <w:p>
      <w:pPr>
        <w:spacing w:after="0" w:line="157" w:lineRule="exact"/>
        <w:rPr>
          <w:sz w:val="20"/>
          <w:szCs w:val="20"/>
          <w:color w:val="auto"/>
        </w:rPr>
      </w:pPr>
    </w:p>
    <w:p>
      <w:pPr>
        <w:jc w:val="both"/>
        <w:ind w:right="40" w:firstLine="1404"/>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SBIC Guarantee</w:t>
      </w:r>
      <w:r>
        <w:rPr>
          <w:rFonts w:ascii="Times New Roman" w:cs="Times New Roman" w:eastAsia="Times New Roman" w:hAnsi="Times New Roman"/>
          <w:sz w:val="19"/>
          <w:szCs w:val="19"/>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ind w:left="260" w:hanging="254"/>
        <w:spacing w:after="0"/>
        <w:tabs>
          <w:tab w:leader="none" w:pos="260" w:val="left"/>
        </w:tabs>
        <w:numPr>
          <w:ilvl w:val="0"/>
          <w:numId w:val="3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it shall be an Event of Default hereunder if any such event or condition giving rise to such recourse occurs).</w:t>
      </w:r>
    </w:p>
    <w:p>
      <w:pPr>
        <w:spacing w:after="0" w:line="180"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2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5.01(i)</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Portfolio Investment</w:t>
      </w:r>
      <w:r>
        <w:rPr>
          <w:rFonts w:ascii="Times New Roman" w:cs="Times New Roman" w:eastAsia="Times New Roman" w:hAnsi="Times New Roman"/>
          <w:sz w:val="19"/>
          <w:szCs w:val="19"/>
          <w:color w:val="auto"/>
        </w:rPr>
        <w:t>” means any Investment held by the Obligors in their asset portfolio (and solely for purposes of determining the Borrowing Base, Cash) .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5" w:name="page136"/>
    <w:bookmarkEnd w:id="135"/>
    <w:p>
      <w:pPr>
        <w:spacing w:after="0" w:line="26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loan or delayed draw term loan) pursuant to which any future advances or payments to the Obligor may be required to be made by the Borrower; (d) any Investment which is made to a bankrupt entity (other than a debtor-in-possession financing and current pay obligations); and (e) any Investment, Cash or account in which a Financing Subsidiary has an interest.</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means the rate which is quoted as the “prime rate” in the print edition of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Money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Rates Section.</w:t>
      </w:r>
    </w:p>
    <w:p>
      <w:pPr>
        <w:spacing w:after="0" w:line="180"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 Financial Center</w:t>
      </w:r>
      <w:r>
        <w:rPr>
          <w:rFonts w:ascii="Times New Roman" w:cs="Times New Roman" w:eastAsia="Times New Roman" w:hAnsi="Times New Roman"/>
          <w:sz w:val="19"/>
          <w:szCs w:val="19"/>
          <w:color w:val="auto"/>
        </w:rPr>
        <w:t>” means, in the case of any Currency, the principal financial center where such Currency is cleared and settled, as determined by the Administrative Agent.</w:t>
      </w:r>
    </w:p>
    <w:p>
      <w:pPr>
        <w:spacing w:after="0" w:line="127"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27"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means Lenders that do not wish to receive Non-Public Information with respect to the Borrower or any of its Subsidiaries or their Securities.</w:t>
      </w:r>
    </w:p>
    <w:p>
      <w:pPr>
        <w:spacing w:after="0" w:line="127"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Quarterly Dates</w:t>
      </w:r>
      <w:r>
        <w:rPr>
          <w:rFonts w:ascii="Times New Roman" w:cs="Times New Roman" w:eastAsia="Times New Roman" w:hAnsi="Times New Roman"/>
          <w:sz w:val="19"/>
          <w:szCs w:val="19"/>
          <w:color w:val="auto"/>
        </w:rPr>
        <w:t>” means the last Business Day of March, June, September and December in each year, commencing on September 30, 2013.</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Quoted Investments</w:t>
      </w:r>
      <w:r>
        <w:rPr>
          <w:rFonts w:ascii="Times New Roman" w:cs="Times New Roman" w:eastAsia="Times New Roman" w:hAnsi="Times New Roman"/>
          <w:sz w:val="19"/>
          <w:szCs w:val="19"/>
          <w:color w:val="auto"/>
        </w:rPr>
        <w:t xml:space="preserve">” means a Portfolio Investment with a value assigned by the Borrower pursuant to </w:t>
      </w:r>
      <w:r>
        <w:rPr>
          <w:rFonts w:ascii="Times New Roman" w:cs="Times New Roman" w:eastAsia="Times New Roman" w:hAnsi="Times New Roman"/>
          <w:sz w:val="19"/>
          <w:szCs w:val="19"/>
          <w:u w:val="single" w:color="auto"/>
          <w:color w:val="auto"/>
        </w:rPr>
        <w:t>Section 5.12(b)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(ii)(A)</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9.04(c)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 Statement</w:t>
      </w:r>
      <w:r>
        <w:rPr>
          <w:rFonts w:ascii="Times New Roman" w:cs="Times New Roman" w:eastAsia="Times New Roman" w:hAnsi="Times New Roman"/>
          <w:sz w:val="19"/>
          <w:szCs w:val="19"/>
          <w:color w:val="auto"/>
        </w:rPr>
        <w:t>” means the Registration Statement filed by the Borrower with the Securities and Exchange Commission on March 14, 2011.</w:t>
      </w:r>
    </w:p>
    <w:p>
      <w:pPr>
        <w:spacing w:after="0" w:line="127" w:lineRule="exact"/>
        <w:rPr>
          <w:sz w:val="20"/>
          <w:szCs w:val="20"/>
          <w:color w:val="auto"/>
        </w:rPr>
      </w:pPr>
    </w:p>
    <w:p>
      <w:pPr>
        <w:ind w:right="6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Regulations D, T, U and X</w:t>
      </w:r>
      <w:r>
        <w:rPr>
          <w:rFonts w:ascii="Times New Roman" w:cs="Times New Roman" w:eastAsia="Times New Roman" w:hAnsi="Times New Roman"/>
          <w:sz w:val="19"/>
          <w:szCs w:val="19"/>
          <w:color w:val="auto"/>
        </w:rPr>
        <w:t>” means, respectively, Regulations D, T, U and X of the Board, as the same may be modified and supplemented and in effect from time to time.</w:t>
      </w:r>
    </w:p>
    <w:p>
      <w:pPr>
        <w:spacing w:after="0" w:line="127"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partners, directors, officers, employees, agents and advisors of such Person and such Person’s Affiliates.</w:t>
      </w:r>
    </w:p>
    <w:p>
      <w:pPr>
        <w:spacing w:after="0" w:line="12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6" w:name="page137"/>
    <w:bookmarkEnd w:id="136"/>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interest, fees, commissions or other amounts denominated in, or calculated with respect to, Euro, 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0"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Credit Exposures and unused Commitments of any Defaulting Lender shall be disregarded in the determination of Required Lenders. The Required Lenders of a Class (which shall include the terms “</w:t>
      </w:r>
      <w:r>
        <w:rPr>
          <w:rFonts w:ascii="Times New Roman" w:cs="Times New Roman" w:eastAsia="Times New Roman" w:hAnsi="Times New Roman"/>
          <w:sz w:val="19"/>
          <w:szCs w:val="19"/>
          <w:u w:val="single" w:color="auto"/>
          <w:color w:val="auto"/>
        </w:rPr>
        <w:t>Required Dollar Lenders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Multicurrency Lenders</w:t>
      </w:r>
      <w:r>
        <w:rPr>
          <w:rFonts w:ascii="Times New Roman" w:cs="Times New Roman" w:eastAsia="Times New Roman" w:hAnsi="Times New Roman"/>
          <w:sz w:val="19"/>
          <w:szCs w:val="19"/>
          <w:color w:val="auto"/>
        </w:rPr>
        <w:t>”)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60"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127"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the chief executive officer, president, chief financial officer, treasurer, assistant treasurer or controller of an Obligor.</w:t>
      </w:r>
    </w:p>
    <w:p>
      <w:pPr>
        <w:spacing w:after="0" w:line="127" w:lineRule="exact"/>
        <w:rPr>
          <w:sz w:val="20"/>
          <w:szCs w:val="20"/>
          <w:color w:val="auto"/>
        </w:rPr>
      </w:pPr>
    </w:p>
    <w:p>
      <w:pPr>
        <w:ind w:right="140"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57" w:lineRule="exact"/>
        <w:rPr>
          <w:sz w:val="20"/>
          <w:szCs w:val="20"/>
          <w:color w:val="auto"/>
        </w:rPr>
      </w:pPr>
    </w:p>
    <w:p>
      <w:pPr>
        <w:jc w:val="both"/>
        <w:ind w:right="1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any net cash proceeds received by any Obligor from the sale of any property or assets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7" w:name="page138"/>
    <w:bookmarkEnd w:id="137"/>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 xml:space="preserve">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net of any fees, costs, expenses and taxes payable with respect thereto).</w:t>
      </w:r>
    </w:p>
    <w:p>
      <w:pPr>
        <w:spacing w:after="0" w:line="157" w:lineRule="exact"/>
        <w:rPr>
          <w:sz w:val="20"/>
          <w:szCs w:val="20"/>
          <w:color w:val="auto"/>
        </w:rPr>
      </w:pPr>
    </w:p>
    <w:p>
      <w:pPr>
        <w:ind w:right="4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Exposure</w:t>
      </w:r>
      <w:r>
        <w:rPr>
          <w:rFonts w:ascii="Times New Roman" w:cs="Times New Roman" w:eastAsia="Times New Roman" w:hAnsi="Times New Roman"/>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2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Dollar Credit Exposure</w:t>
      </w:r>
      <w:r>
        <w:rPr>
          <w:rFonts w:ascii="Times New Roman" w:cs="Times New Roman" w:eastAsia="Times New Roman" w:hAnsi="Times New Roman"/>
          <w:sz w:val="19"/>
          <w:szCs w:val="19"/>
          <w:color w:val="auto"/>
        </w:rPr>
        <w:t xml:space="preserve"> ” means, with respect to any Lender at any time, the sum of the outstanding principal amount of such Lender’s Syndicated Loans, and its LC Exposure and Swingline Exposure, at such time made or incurred under the Dollar Commitments.</w:t>
      </w:r>
    </w:p>
    <w:p>
      <w:pPr>
        <w:spacing w:after="0" w:line="144" w:lineRule="exact"/>
        <w:rPr>
          <w:sz w:val="20"/>
          <w:szCs w:val="20"/>
          <w:color w:val="auto"/>
        </w:rPr>
      </w:pPr>
    </w:p>
    <w:p>
      <w:pPr>
        <w:jc w:val="both"/>
        <w:ind w:right="2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Multicurrency Credit Exposure</w:t>
      </w:r>
      <w:r>
        <w:rPr>
          <w:rFonts w:ascii="Times New Roman" w:cs="Times New Roman" w:eastAsia="Times New Roman" w:hAnsi="Times New Roman"/>
          <w:sz w:val="19"/>
          <w:szCs w:val="19"/>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44" w:lineRule="exact"/>
        <w:rPr>
          <w:sz w:val="20"/>
          <w:szCs w:val="20"/>
          <w:color w:val="auto"/>
        </w:rPr>
      </w:pPr>
    </w:p>
    <w:p>
      <w:pPr>
        <w:jc w:val="both"/>
        <w:ind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Percentage</w:t>
      </w:r>
      <w:r>
        <w:rPr>
          <w:rFonts w:ascii="Times New Roman" w:cs="Times New Roman" w:eastAsia="Times New Roman" w:hAnsi="Times New Roman"/>
          <w:sz w:val="19"/>
          <w:szCs w:val="19"/>
          <w:color w:val="auto"/>
        </w:rPr>
        <w:t>” means, as of any date of determination, the result, expressed as a percentage, of the Revolving Credit Exposure on such date divided by the aggregate outstanding Covered Debt Amount on such date.</w:t>
      </w:r>
    </w:p>
    <w:p>
      <w:pPr>
        <w:spacing w:after="0" w:line="127"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the Daily Simple RFR for the applicable Currency.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w:t>
      </w:r>
      <w:r>
        <w:rPr>
          <w:rFonts w:ascii="Times New Roman" w:cs="Times New Roman" w:eastAsia="Times New Roman" w:hAnsi="Times New Roman"/>
          <w:sz w:val="19"/>
          <w:szCs w:val="19"/>
          <w:color w:val="auto"/>
        </w:rPr>
        <w:t>” means the SONIA Administrator or the SARON Administrator, as applicable.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Administrator’s Website</w:t>
      </w:r>
      <w:r>
        <w:rPr>
          <w:rFonts w:ascii="Times New Roman" w:cs="Times New Roman" w:eastAsia="Times New Roman" w:hAnsi="Times New Roman"/>
          <w:sz w:val="19"/>
          <w:szCs w:val="19"/>
          <w:color w:val="auto"/>
        </w:rPr>
        <w:t>” means the SONIA Administrator’s Website or the SARON Administrator’s Website,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applicable.</w:t>
      </w:r>
    </w:p>
    <w:p>
      <w:pPr>
        <w:spacing w:after="0" w:line="180"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Applicable Credit Adjustment Spread</w:t>
      </w:r>
      <w:r>
        <w:rPr>
          <w:rFonts w:ascii="Times New Roman" w:cs="Times New Roman" w:eastAsia="Times New Roman" w:hAnsi="Times New Roman"/>
          <w:sz w:val="19"/>
          <w:szCs w:val="19"/>
          <w:color w:val="auto"/>
        </w:rPr>
        <w:t>” 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- 0.0571%.</w:t>
      </w:r>
    </w:p>
    <w:p>
      <w:pPr>
        <w:spacing w:after="0" w:line="150"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8" w:name="page139"/>
    <w:bookmarkEnd w:id="138"/>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Interest Day</w:t>
      </w:r>
      <w:r>
        <w:rPr>
          <w:rFonts w:ascii="Times New Roman" w:cs="Times New Roman" w:eastAsia="Times New Roman" w:hAnsi="Times New Roman"/>
          <w:sz w:val="19"/>
          <w:szCs w:val="19"/>
          <w:color w:val="auto"/>
        </w:rPr>
        <w:t>” has the meaning specified in the definition of “Daily Simple RFR”.</w:t>
      </w:r>
    </w:p>
    <w:p>
      <w:pPr>
        <w:spacing w:after="0" w:line="202" w:lineRule="exact"/>
        <w:rPr>
          <w:sz w:val="20"/>
          <w:szCs w:val="20"/>
          <w:color w:val="auto"/>
        </w:rPr>
      </w:pPr>
    </w:p>
    <w:p>
      <w:pPr>
        <w:ind w:right="4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Rate</w:t>
      </w:r>
      <w:r>
        <w:rPr>
          <w:rFonts w:ascii="Times New Roman" w:cs="Times New Roman" w:eastAsia="Times New Roman" w:hAnsi="Times New Roman"/>
          <w:sz w:val="19"/>
          <w:szCs w:val="19"/>
          <w:color w:val="auto"/>
        </w:rPr>
        <w:t xml:space="preserve"> ” means, for any Loans, Borrowings, interest, fees, commissions or other amounts denominated in, or calculated with respect to (a) Sterling, SONIA, and (b) Swiss Francs, SARON.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Reference Day</w:t>
      </w:r>
      <w:r>
        <w:rPr>
          <w:rFonts w:ascii="Times New Roman" w:cs="Times New Roman" w:eastAsia="Times New Roman" w:hAnsi="Times New Roman"/>
          <w:sz w:val="19"/>
          <w:szCs w:val="19"/>
          <w:color w:val="auto"/>
        </w:rPr>
        <w:t>” has the meaning specified in the definition of “Daily Simple RFR”.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RIC</w:t>
      </w:r>
      <w:r>
        <w:rPr>
          <w:rFonts w:ascii="Times New Roman" w:cs="Times New Roman" w:eastAsia="Times New Roman" w:hAnsi="Times New Roman"/>
          <w:sz w:val="19"/>
          <w:szCs w:val="19"/>
          <w:color w:val="auto"/>
        </w:rPr>
        <w:t>” means a person qualifying for treatment as a “regulated investment company” under the Code.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or any successor thereto.</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3.15(a)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w:t>
      </w:r>
      <w:r>
        <w:rPr>
          <w:rFonts w:ascii="Times New Roman" w:cs="Times New Roman" w:eastAsia="Times New Roman" w:hAnsi="Times New Roman"/>
          <w:sz w:val="19"/>
          <w:szCs w:val="19"/>
          <w:color w:val="auto"/>
        </w:rPr>
        <w:t>” means a rate equal to the Swiss Average Rate Overnight as administered by the SARON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w:t>
      </w:r>
      <w:r>
        <w:rPr>
          <w:rFonts w:ascii="Times New Roman" w:cs="Times New Roman" w:eastAsia="Times New Roman" w:hAnsi="Times New Roman"/>
          <w:sz w:val="19"/>
          <w:szCs w:val="19"/>
          <w:color w:val="auto"/>
        </w:rPr>
        <w:t>” means the SIX Swiss Exchange AG (or any successor administrator of the Swiss Average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 Overnight).</w:t>
      </w:r>
    </w:p>
    <w:p>
      <w:pPr>
        <w:spacing w:after="0" w:line="180"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SARON Administrator’s Website</w:t>
      </w:r>
      <w:r>
        <w:rPr>
          <w:rFonts w:ascii="Times New Roman" w:cs="Times New Roman" w:eastAsia="Times New Roman" w:hAnsi="Times New Roman"/>
          <w:sz w:val="19"/>
          <w:szCs w:val="19"/>
          <w:color w:val="auto"/>
        </w:rPr>
        <w:t>” means SIX Swiss Exchange AG’s website, currently at https://www.six-group.com, or any successor source for the Swiss Average Rate Overnight identified as such by the SARON Administrator from time to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SBA</w:t>
      </w:r>
      <w:r>
        <w:rPr>
          <w:rFonts w:ascii="Times New Roman" w:cs="Times New Roman" w:eastAsia="Times New Roman" w:hAnsi="Times New Roman"/>
          <w:sz w:val="19"/>
          <w:szCs w:val="19"/>
          <w:color w:val="auto"/>
        </w:rPr>
        <w:t>” means the United States Small Business Administration.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Equity Commitment</w:t>
      </w:r>
      <w:r>
        <w:rPr>
          <w:rFonts w:ascii="Times New Roman" w:cs="Times New Roman" w:eastAsia="Times New Roman" w:hAnsi="Times New Roman"/>
          <w:sz w:val="19"/>
          <w:szCs w:val="19"/>
          <w:color w:val="auto"/>
        </w:rPr>
        <w:t>” means a commitment by the Borrower to make one or more capital contributions to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SBIC Subsidiary.</w:t>
      </w:r>
    </w:p>
    <w:p>
      <w:pPr>
        <w:spacing w:after="0" w:line="180"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SBIC Subsidiary</w:t>
      </w:r>
      <w:r>
        <w:rPr>
          <w:rFonts w:ascii="Times New Roman" w:cs="Times New Roman" w:eastAsia="Times New Roman" w:hAnsi="Times New Roman"/>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39" w:name="page140"/>
    <w:bookmarkEnd w:id="139"/>
    <w:p>
      <w:pPr>
        <w:spacing w:after="0" w:line="2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386" w:lineRule="exact"/>
        <w:rPr>
          <w:sz w:val="20"/>
          <w:szCs w:val="20"/>
          <w:color w:val="auto"/>
        </w:rPr>
      </w:pPr>
    </w:p>
    <w:p>
      <w:pPr>
        <w:ind w:right="80" w:firstLine="1404"/>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Longer-Term Indebtedness</w:t>
      </w:r>
      <w:r>
        <w:rPr>
          <w:rFonts w:ascii="Times New Roman" w:cs="Times New Roman" w:eastAsia="Times New Roman" w:hAnsi="Times New Roman"/>
          <w:sz w:val="19"/>
          <w:szCs w:val="19"/>
          <w:color w:val="auto"/>
        </w:rPr>
        <w:t xml:space="preserve">” 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 6.01(i)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6.01(o</w:t>
      </w:r>
      <w:r>
        <w:rPr>
          <w:rFonts w:ascii="Times New Roman" w:cs="Times New Roman" w:eastAsia="Times New Roman" w:hAnsi="Times New Roman"/>
          <w:sz w:val="19"/>
          <w:szCs w:val="19"/>
          <w:color w:val="auto"/>
        </w:rPr>
        <w:t xml:space="preserve">)) prior to, and a final maturity date not earlier than, six months after the Extended Final Maturity Date (it being understood that none of: (w) the conversion features into Permitted Equity Interests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58" w:lineRule="exact"/>
        <w:rPr>
          <w:sz w:val="20"/>
          <w:szCs w:val="20"/>
          <w:color w:val="auto"/>
        </w:rPr>
      </w:pPr>
    </w:p>
    <w:p>
      <w:pPr>
        <w:ind w:right="20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Shorter -Term Indebtedness</w:t>
      </w:r>
      <w:r>
        <w:rPr>
          <w:rFonts w:ascii="Times New Roman" w:cs="Times New Roman" w:eastAsia="Times New Roman" w:hAnsi="Times New Roman"/>
          <w:sz w:val="19"/>
          <w:szCs w:val="19"/>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right="3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means, collectively, the Guarantee and Security Agreement, all Uniform Commercial Code financing statements filed with respect to the security interests in personal property created pursuant to the Guarantee and Security Agreement and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0" w:name="page141"/>
    <w:bookmarkEnd w:id="140"/>
    <w:p>
      <w:pPr>
        <w:spacing w:after="0" w:line="26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44"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Shareholders’ Equity</w:t>
      </w:r>
      <w:r>
        <w:rPr>
          <w:rFonts w:ascii="Times New Roman" w:cs="Times New Roman" w:eastAsia="Times New Roman" w:hAnsi="Times New Roman"/>
          <w:sz w:val="19"/>
          <w:szCs w:val="19"/>
          <w:color w:val="auto"/>
        </w:rPr>
        <w:t>” means, at any date, the amount determined on a consolidated basis, without duplication, in accordance with GAAP, of shareholders equity for the Borrower and its Subsidiaries at such date.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w:t>
      </w:r>
    </w:p>
    <w:p>
      <w:pPr>
        <w:spacing w:after="0" w:line="180"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Average).</w:t>
      </w:r>
    </w:p>
    <w:p>
      <w:pPr>
        <w:spacing w:after="0" w:line="180"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44" w:lineRule="exact"/>
        <w:rPr>
          <w:sz w:val="20"/>
          <w:szCs w:val="20"/>
          <w:color w:val="auto"/>
        </w:rPr>
      </w:pPr>
    </w:p>
    <w:p>
      <w:pPr>
        <w:ind w:right="4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 Subsidiary</w:t>
      </w:r>
      <w:r>
        <w:rPr>
          <w:rFonts w:ascii="Times New Roman" w:cs="Times New Roman" w:eastAsia="Times New Roman" w:hAnsi="Times New Roman"/>
          <w:sz w:val="19"/>
          <w:szCs w:val="19"/>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50" w:lineRule="exact"/>
        <w:rPr>
          <w:sz w:val="20"/>
          <w:szCs w:val="20"/>
          <w:color w:val="auto"/>
        </w:rPr>
      </w:pPr>
    </w:p>
    <w:p>
      <w:pPr>
        <w:ind w:right="80" w:firstLine="1410"/>
        <w:spacing w:after="0" w:line="259" w:lineRule="auto"/>
        <w:tabs>
          <w:tab w:leader="none" w:pos="166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53" w:lineRule="exact"/>
        <w:rPr>
          <w:rFonts w:ascii="Times New Roman" w:cs="Times New Roman" w:eastAsia="Times New Roman" w:hAnsi="Times New Roman"/>
          <w:sz w:val="19"/>
          <w:szCs w:val="19"/>
          <w:color w:val="auto"/>
        </w:rPr>
      </w:pPr>
    </w:p>
    <w:p>
      <w:pPr>
        <w:jc w:val="both"/>
        <w:ind w:right="300" w:firstLine="1410"/>
        <w:spacing w:after="0" w:line="268" w:lineRule="auto"/>
        <w:tabs>
          <w:tab w:leader="none" w:pos="167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44" w:lineRule="exact"/>
        <w:rPr>
          <w:rFonts w:ascii="Times New Roman" w:cs="Times New Roman" w:eastAsia="Times New Roman" w:hAnsi="Times New Roman"/>
          <w:sz w:val="19"/>
          <w:szCs w:val="19"/>
          <w:color w:val="auto"/>
        </w:rPr>
      </w:pPr>
    </w:p>
    <w:p>
      <w:pPr>
        <w:ind w:firstLine="1410"/>
        <w:spacing w:after="0" w:line="286" w:lineRule="auto"/>
        <w:tabs>
          <w:tab w:leader="none" w:pos="166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which no Obligor has any obligation to maintain or preserve such entity’s financial condition or cause such entity to achieve certain levels of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1" w:name="page142"/>
    <w:bookmarkEnd w:id="141"/>
    <w:p>
      <w:pPr>
        <w:spacing w:after="0" w:line="269"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50" w:lineRule="exact"/>
        <w:rPr>
          <w:sz w:val="20"/>
          <w:szCs w:val="20"/>
          <w:color w:val="auto"/>
        </w:rPr>
      </w:pPr>
    </w:p>
    <w:p>
      <w:pPr>
        <w:ind w:right="180" w:firstLine="1404"/>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Equity Interest</w:t>
      </w:r>
      <w:r>
        <w:rPr>
          <w:rFonts w:ascii="Times New Roman" w:cs="Times New Roman" w:eastAsia="Times New Roman" w:hAnsi="Times New Roman"/>
          <w:sz w:val="19"/>
          <w:szCs w:val="19"/>
          <w:color w:val="auto"/>
        </w:rPr>
        <w:t xml:space="preserve">” means any Equity Interest that is subject to a Lien in favor of creditors of the issuer of such Equity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5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Unsecured Indebtedness</w:t>
      </w:r>
      <w:r>
        <w:rPr>
          <w:rFonts w:ascii="Times New Roman" w:cs="Times New Roman" w:eastAsia="Times New Roman" w:hAnsi="Times New Roman"/>
          <w:sz w:val="19"/>
          <w:szCs w:val="19"/>
          <w:color w:val="auto"/>
        </w:rPr>
        <w:t xml:space="preserve">” means Indebtedness of an Obligor issued after the Fifteenth Amendment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u w:val="single" w:color="auto"/>
          <w:color w:val="auto"/>
        </w:rPr>
        <w:t>6.01(m)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6.01(o</w:t>
      </w:r>
      <w:r>
        <w:rPr>
          <w:rFonts w:ascii="Times New Roman" w:cs="Times New Roman" w:eastAsia="Times New Roman" w:hAnsi="Times New Roman"/>
          <w:sz w:val="19"/>
          <w:szCs w:val="19"/>
          <w:color w:val="auto"/>
        </w:rPr>
        <w:t xml:space="preserve">)) prior to, and a final maturity date not earlier than, five years from the date such Indebtedness is issued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Special Unsecured Indebtedness shall not include any Indebtedness permitted pursuant to </w:t>
      </w:r>
      <w:r>
        <w:rPr>
          <w:rFonts w:ascii="Times New Roman" w:cs="Times New Roman" w:eastAsia="Times New Roman" w:hAnsi="Times New Roman"/>
          <w:sz w:val="19"/>
          <w:szCs w:val="19"/>
          <w:u w:val="single" w:color="auto"/>
          <w:color w:val="auto"/>
        </w:rPr>
        <w:t>Section 6.01(l)</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Event of Default</w:t>
      </w:r>
      <w:r>
        <w:rPr>
          <w:rFonts w:ascii="Times New Roman" w:cs="Times New Roman" w:eastAsia="Times New Roman" w:hAnsi="Times New Roman"/>
          <w:sz w:val="19"/>
          <w:szCs w:val="19"/>
          <w:color w:val="auto"/>
        </w:rPr>
        <w:t xml:space="preserve">” means an Event of Default under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(j) and (k).</w:t>
      </w:r>
    </w:p>
    <w:p>
      <w:pPr>
        <w:spacing w:after="0" w:line="202"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Standard Securitization Undertakings</w:t>
      </w:r>
      <w:r>
        <w:rPr>
          <w:rFonts w:ascii="Times New Roman" w:cs="Times New Roman" w:eastAsia="Times New Roman" w:hAnsi="Times New Roman"/>
          <w:sz w:val="19"/>
          <w:szCs w:val="19"/>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means the lawful currency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2" w:name="page143"/>
    <w:bookmarkEnd w:id="142"/>
    <w:p>
      <w:pPr>
        <w:spacing w:after="0" w:line="269" w:lineRule="exact"/>
        <w:rPr>
          <w:sz w:val="20"/>
          <w:szCs w:val="20"/>
          <w:color w:val="auto"/>
        </w:rPr>
      </w:pPr>
    </w:p>
    <w:p>
      <w:pPr>
        <w:ind w:right="80"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60" w:lineRule="exact"/>
        <w:rPr>
          <w:sz w:val="20"/>
          <w:szCs w:val="20"/>
          <w:color w:val="auto"/>
        </w:rPr>
      </w:pPr>
    </w:p>
    <w:p>
      <w:pPr>
        <w:jc w:val="both"/>
        <w:ind w:right="1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means any Subsidiary that is a Guarantor under the Guarantee and Security Agreement. It is understood and agreed that no Financing Subsidiary, Immaterial Subsidiary, Foreign Subsidiary or a Subsidiary of a Foreign Subsidiary shall be a Subsidiary Guarantor.</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Swedish Krona</w:t>
      </w:r>
      <w:r>
        <w:rPr>
          <w:rFonts w:ascii="Times New Roman" w:cs="Times New Roman" w:eastAsia="Times New Roman" w:hAnsi="Times New Roman"/>
          <w:sz w:val="19"/>
          <w:szCs w:val="19"/>
          <w:color w:val="auto"/>
        </w:rPr>
        <w:t>” means the lawful currency of Sweden.</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Exposure</w:t>
      </w:r>
      <w:r>
        <w:rPr>
          <w:rFonts w:ascii="Times New Roman" w:cs="Times New Roman" w:eastAsia="Times New Roman" w:hAnsi="Times New Roman"/>
          <w:sz w:val="19"/>
          <w:szCs w:val="19"/>
          <w:color w:val="auto"/>
        </w:rPr>
        <w:t>” 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spacing w:after="0" w:line="160" w:lineRule="exact"/>
        <w:rPr>
          <w:sz w:val="20"/>
          <w:szCs w:val="20"/>
          <w:color w:val="auto"/>
        </w:rPr>
      </w:pPr>
    </w:p>
    <w:p>
      <w:pPr>
        <w:jc w:val="both"/>
        <w:ind w:right="1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xml:space="preserve">” means any of Truist, JPMorgan Chase Bank, N.A., MUFG Bank, Ltd., Sumitomo Mitsui Banking Corporation or State Street Bank and Trust Company, in its capacity as lender of Swingline Loans hereunder, and its successors in such capacity as provided in </w:t>
      </w:r>
      <w:r>
        <w:rPr>
          <w:rFonts w:ascii="Times New Roman" w:cs="Times New Roman" w:eastAsia="Times New Roman" w:hAnsi="Times New Roman"/>
          <w:sz w:val="19"/>
          <w:szCs w:val="19"/>
          <w:u w:val="single" w:color="auto"/>
          <w:color w:val="auto"/>
        </w:rPr>
        <w:t>Section 2.04(d)</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w:t>
      </w:r>
      <w:r>
        <w:rPr>
          <w:rFonts w:ascii="Times New Roman" w:cs="Times New Roman" w:eastAsia="Times New Roman" w:hAnsi="Times New Roman"/>
          <w:sz w:val="19"/>
          <w:szCs w:val="19"/>
          <w:color w:val="auto"/>
        </w:rPr>
        <w:t xml:space="preserve">” means a Loan made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Swiss Franc</w:t>
      </w:r>
      <w:r>
        <w:rPr>
          <w:rFonts w:ascii="Times New Roman" w:cs="Times New Roman" w:eastAsia="Times New Roman" w:hAnsi="Times New Roman"/>
          <w:sz w:val="19"/>
          <w:szCs w:val="19"/>
          <w:color w:val="auto"/>
        </w:rPr>
        <w:t>” means the lawful currency of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3" w:name="page144"/>
    <w:bookmarkEnd w:id="143"/>
    <w:p>
      <w:pPr>
        <w:spacing w:after="0" w:line="269" w:lineRule="exact"/>
        <w:rPr>
          <w:sz w:val="20"/>
          <w:szCs w:val="20"/>
          <w:color w:val="auto"/>
        </w:rPr>
      </w:pPr>
    </w:p>
    <w:p>
      <w:pPr>
        <w:ind w:right="6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Syndicated</w:t>
      </w:r>
      <w:r>
        <w:rPr>
          <w:rFonts w:ascii="Times New Roman" w:cs="Times New Roman" w:eastAsia="Times New Roman" w:hAnsi="Times New Roman"/>
          <w:sz w:val="19"/>
          <w:szCs w:val="19"/>
          <w:color w:val="auto"/>
        </w:rPr>
        <w:t xml:space="preserve">”, when used in reference to any Loan or Borrowing, refers to whether such Loan is, or the Loans constituting such Borrowing are, made pursuant to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T2</w:t>
      </w:r>
      <w:r>
        <w:rPr>
          <w:rFonts w:ascii="Times New Roman" w:cs="Times New Roman" w:eastAsia="Times New Roman" w:hAnsi="Times New Roman"/>
          <w:sz w:val="19"/>
          <w:szCs w:val="19"/>
          <w:color w:val="auto"/>
        </w:rPr>
        <w:t xml:space="preserve"> ” means the real time gross settlement system operated by the Eurosystem, or any successor system as determined by the Administrative Agent to be a suitable replacement.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the T2 is open for the settlement of payments in Euros.</w:t>
      </w:r>
    </w:p>
    <w:p>
      <w:pPr>
        <w:spacing w:after="0" w:line="202" w:lineRule="exact"/>
        <w:rPr>
          <w:sz w:val="20"/>
          <w:szCs w:val="20"/>
          <w:color w:val="auto"/>
        </w:rPr>
      </w:pPr>
    </w:p>
    <w:p>
      <w:pPr>
        <w:ind w:right="3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44"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is, or the Loans constituting such Borrowing are, bearing interest at a rate determined by reference to the Adjusted Term Benchmark Rate.</w:t>
      </w:r>
    </w:p>
    <w:p>
      <w:pPr>
        <w:spacing w:after="0" w:line="127"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 means for Term Benchmark Loans, Term Benchmark Borrowings, interest, fees, commissions or other amounts denominated in, or calculated with respect to:</w:t>
      </w:r>
    </w:p>
    <w:p>
      <w:pPr>
        <w:spacing w:after="0" w:line="127" w:lineRule="exact"/>
        <w:rPr>
          <w:sz w:val="20"/>
          <w:szCs w:val="20"/>
          <w:color w:val="auto"/>
        </w:rPr>
      </w:pPr>
    </w:p>
    <w:p>
      <w:pPr>
        <w:ind w:left="1680" w:hanging="270"/>
        <w:spacing w:after="0"/>
        <w:tabs>
          <w:tab w:leader="none" w:pos="16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a U.S. Government Securities Business Day;</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Euros, a TARGET Day;</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Canadian Dollars, any day (other than a Saturday or Sunday) on which banks are open for business in Toronto,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Canada;</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 Australian Dollars, any day (other than a Saturday or Sunday) on which banks are open for business in Melbourne,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Australia;</w:t>
      </w:r>
    </w:p>
    <w:p>
      <w:pPr>
        <w:spacing w:after="0" w:line="180" w:lineRule="exact"/>
        <w:rPr>
          <w:sz w:val="20"/>
          <w:szCs w:val="20"/>
          <w:color w:val="auto"/>
        </w:rPr>
      </w:pPr>
    </w:p>
    <w:p>
      <w:pPr>
        <w:ind w:right="720" w:firstLine="1410"/>
        <w:spacing w:after="0" w:line="286" w:lineRule="auto"/>
        <w:tabs>
          <w:tab w:leader="none" w:pos="1665"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Zealand Dollars, any day (other than a Saturday or Sunday) on which banks are open for business in Auckland, New Zealand;</w:t>
      </w:r>
    </w:p>
    <w:p>
      <w:pPr>
        <w:spacing w:after="0" w:line="127" w:lineRule="exact"/>
        <w:rPr>
          <w:rFonts w:ascii="Times New Roman" w:cs="Times New Roman" w:eastAsia="Times New Roman" w:hAnsi="Times New Roman"/>
          <w:sz w:val="19"/>
          <w:szCs w:val="19"/>
          <w:color w:val="auto"/>
        </w:rPr>
      </w:pPr>
    </w:p>
    <w:p>
      <w:pPr>
        <w:ind w:left="1660" w:hanging="250"/>
        <w:spacing w:after="0"/>
        <w:tabs>
          <w:tab w:leader="none" w:pos="16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Swedish Krona, any day (other than a Saturday or Sunday) on which banks are open for business in Stockholm,</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Sweden; or</w:t>
      </w:r>
    </w:p>
    <w:p>
      <w:pPr>
        <w:spacing w:after="0" w:line="179" w:lineRule="exact"/>
        <w:rPr>
          <w:rFonts w:ascii="Times New Roman" w:cs="Times New Roman" w:eastAsia="Times New Roman" w:hAnsi="Times New Roman"/>
          <w:sz w:val="19"/>
          <w:szCs w:val="19"/>
          <w:color w:val="auto"/>
        </w:rPr>
      </w:pPr>
    </w:p>
    <w:p>
      <w:pPr>
        <w:ind w:left="1440" w:right="180" w:hanging="30"/>
        <w:spacing w:after="0" w:line="461" w:lineRule="auto"/>
        <w:tabs>
          <w:tab w:leader="none" w:pos="167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Japanese Yen, any day (other than a Saturday or Sunday) on which banks are open for business in Tokyo, Japan. “</w:t>
      </w:r>
      <w:r>
        <w:rPr>
          <w:rFonts w:ascii="Times New Roman" w:cs="Times New Roman" w:eastAsia="Times New Roman" w:hAnsi="Times New Roman"/>
          <w:sz w:val="19"/>
          <w:szCs w:val="19"/>
          <w:u w:val="single" w:color="auto"/>
          <w:color w:val="auto"/>
        </w:rPr>
        <w:t>Term Benchmark Rate</w:t>
      </w:r>
      <w:r>
        <w:rPr>
          <w:rFonts w:ascii="Times New Roman" w:cs="Times New Roman" w:eastAsia="Times New Roman" w:hAnsi="Times New Roman"/>
          <w:sz w:val="19"/>
          <w:szCs w:val="19"/>
          <w:color w:val="auto"/>
        </w:rPr>
        <w:t>” means, for any Interest Period:</w:t>
      </w:r>
    </w:p>
    <w:p>
      <w:pPr>
        <w:ind w:left="1680" w:hanging="270"/>
        <w:spacing w:after="0"/>
        <w:tabs>
          <w:tab w:leader="none" w:pos="16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Dollars, Term SOFR for such Interest Period;</w:t>
      </w:r>
    </w:p>
    <w:p>
      <w:pPr>
        <w:spacing w:after="0" w:line="202" w:lineRule="exact"/>
        <w:rPr>
          <w:sz w:val="20"/>
          <w:szCs w:val="20"/>
          <w:color w:val="auto"/>
        </w:rPr>
      </w:pPr>
    </w:p>
    <w:p>
      <w:pPr>
        <w:ind w:right="40" w:firstLine="1410"/>
        <w:spacing w:after="0" w:line="286" w:lineRule="auto"/>
        <w:tabs>
          <w:tab w:leader="none" w:pos="167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Euros, the rate per annum equal to the Euro Interbank Offered Rate as administered by the European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44" w:name="page145"/>
    <w:bookmarkEnd w:id="144"/>
    <w:p>
      <w:pPr>
        <w:spacing w:after="0" w:line="2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cs="Times New Roman" w:eastAsia="Times New Roman" w:hAnsi="Times New Roman"/>
          <w:sz w:val="19"/>
          <w:szCs w:val="19"/>
          <w:u w:val="single" w:color="auto"/>
          <w:color w:val="auto"/>
        </w:rPr>
        <w:t>EURIBOR Screen Rate</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(c) in the case of Term Benchmark Borrowings denominated in Canadian Dollars, </w:t>
      </w:r>
      <w:r>
        <w:rPr>
          <w:rFonts w:ascii="Times New Roman" w:cs="Times New Roman" w:eastAsia="Times New Roman" w:hAnsi="Times New Roman"/>
          <w:sz w:val="19"/>
          <w:szCs w:val="19"/>
          <w:u w:val="single" w:color="auto"/>
          <w:color w:val="auto"/>
        </w:rPr>
        <w:t>Term CORRA for such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Period</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right="160" w:firstLine="1410"/>
        <w:spacing w:after="0" w:line="256" w:lineRule="auto"/>
        <w:tabs>
          <w:tab w:leader="none" w:pos="1676"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9"/>
          <w:szCs w:val="19"/>
          <w:u w:val="single" w:color="auto"/>
          <w:color w:val="auto"/>
        </w:rPr>
        <w:t>BBSY</w:t>
      </w:r>
      <w:r>
        <w:rPr>
          <w:rFonts w:ascii="Times New Roman" w:cs="Times New Roman" w:eastAsia="Times New Roman" w:hAnsi="Times New Roman"/>
          <w:sz w:val="19"/>
          <w:szCs w:val="19"/>
          <w:color w:val="auto"/>
        </w:rPr>
        <w:t xml:space="preserve">”) as published by Reuters (or such other page or commercially available source providing BBSY (Bid) quotations as may be designated by the Administrative Agent from time to time) at or about 10:30 a.m. (Melbourne, Australia time) on the day that is two (2) </w:t>
      </w:r>
      <w:r>
        <w:rPr>
          <w:rFonts w:ascii="Times New Roman" w:cs="Times New Roman" w:eastAsia="Times New Roman" w:hAnsi="Times New Roman"/>
          <w:sz w:val="19"/>
          <w:szCs w:val="19"/>
          <w:u w:val="single" w:color="auto"/>
          <w:color w:val="auto"/>
        </w:rPr>
        <w:t>Term Benchmark Banking Days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Australian Dollars</w:t>
      </w:r>
      <w:r>
        <w:rPr>
          <w:rFonts w:ascii="Times New Roman" w:cs="Times New Roman" w:eastAsia="Times New Roman" w:hAnsi="Times New Roman"/>
          <w:sz w:val="19"/>
          <w:szCs w:val="19"/>
          <w:color w:val="auto"/>
        </w:rPr>
        <w:t xml:space="preserve"> prior to the first day of the Interest Period (or if such day is not an </w:t>
      </w:r>
      <w:r>
        <w:rPr>
          <w:rFonts w:ascii="Times New Roman" w:cs="Times New Roman" w:eastAsia="Times New Roman" w:hAnsi="Times New Roman"/>
          <w:sz w:val="19"/>
          <w:szCs w:val="19"/>
          <w:u w:val="single" w:color="auto"/>
          <w:color w:val="auto"/>
        </w:rPr>
        <w:t>Term Benchmark Banking Day for Australian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xml:space="preserve">, then on the immediately preceding </w:t>
      </w:r>
      <w:r>
        <w:rPr>
          <w:rFonts w:ascii="Times New Roman" w:cs="Times New Roman" w:eastAsia="Times New Roman" w:hAnsi="Times New Roman"/>
          <w:sz w:val="19"/>
          <w:szCs w:val="19"/>
          <w:u w:val="single" w:color="auto"/>
          <w:color w:val="auto"/>
        </w:rPr>
        <w:t>Term Benchmark Banking Day for Australian Dollars</w:t>
      </w:r>
      <w:r>
        <w:rPr>
          <w:rFonts w:ascii="Times New Roman" w:cs="Times New Roman" w:eastAsia="Times New Roman" w:hAnsi="Times New Roman"/>
          <w:sz w:val="19"/>
          <w:szCs w:val="19"/>
          <w:color w:val="auto"/>
        </w:rPr>
        <w:t>) with a term equivalent to such Interest Period;</w:t>
      </w:r>
    </w:p>
    <w:p>
      <w:pPr>
        <w:spacing w:after="0" w:line="157" w:lineRule="exact"/>
        <w:rPr>
          <w:rFonts w:ascii="Times New Roman" w:cs="Times New Roman" w:eastAsia="Times New Roman" w:hAnsi="Times New Roman"/>
          <w:sz w:val="19"/>
          <w:szCs w:val="19"/>
          <w:color w:val="auto"/>
        </w:rPr>
      </w:pPr>
    </w:p>
    <w:p>
      <w:pPr>
        <w:ind w:right="120" w:firstLine="1410"/>
        <w:spacing w:after="0" w:line="256" w:lineRule="auto"/>
        <w:tabs>
          <w:tab w:leader="none" w:pos="166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New Zealand Dollars, the rate per annum equal to the Bank Bill Reference Bid Rate or a successor thereto approved by the Administrative Agent (“</w:t>
      </w:r>
      <w:r>
        <w:rPr>
          <w:rFonts w:ascii="Times New Roman" w:cs="Times New Roman" w:eastAsia="Times New Roman" w:hAnsi="Times New Roman"/>
          <w:sz w:val="19"/>
          <w:szCs w:val="19"/>
          <w:u w:val="single" w:color="auto"/>
          <w:color w:val="auto"/>
        </w:rPr>
        <w:t>BKBM</w:t>
      </w:r>
      <w:r>
        <w:rPr>
          <w:rFonts w:ascii="Times New Roman" w:cs="Times New Roman" w:eastAsia="Times New Roman" w:hAnsi="Times New Roman"/>
          <w:sz w:val="19"/>
          <w:szCs w:val="19"/>
          <w:color w:val="auto"/>
        </w:rPr>
        <w:t xml:space="preserve">”) as published by Reuters (or such other page or commercially available source providing BKBM (Bid) quotations as may be designated by the Administrative Agent from time to time) at or about 10:45 a.m. (Auckland, New Zealand time) on the day that is two (2) </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 xml:space="preserve">s for New Zealand Dollars prior to the first day of the Interest Period (or if such day is not an </w:t>
      </w:r>
      <w:r>
        <w:rPr>
          <w:rFonts w:ascii="Times New Roman" w:cs="Times New Roman" w:eastAsia="Times New Roman" w:hAnsi="Times New Roman"/>
          <w:sz w:val="19"/>
          <w:szCs w:val="19"/>
          <w:u w:val="single" w:color="auto"/>
          <w:color w:val="auto"/>
        </w:rPr>
        <w:t>Term Benchmark Banking Day for New Zealand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xml:space="preserve">, then on the immediately preceding </w:t>
      </w:r>
      <w:r>
        <w:rPr>
          <w:rFonts w:ascii="Times New Roman" w:cs="Times New Roman" w:eastAsia="Times New Roman" w:hAnsi="Times New Roman"/>
          <w:sz w:val="19"/>
          <w:szCs w:val="19"/>
          <w:u w:val="single" w:color="auto"/>
          <w:color w:val="auto"/>
        </w:rPr>
        <w:t>Term Benchmark Banking Day for New Zealand Dollars</w:t>
      </w:r>
      <w:r>
        <w:rPr>
          <w:rFonts w:ascii="Times New Roman" w:cs="Times New Roman" w:eastAsia="Times New Roman" w:hAnsi="Times New Roman"/>
          <w:sz w:val="19"/>
          <w:szCs w:val="19"/>
          <w:color w:val="auto"/>
        </w:rPr>
        <w:t>) with a term equivalent to such Interest Period;</w:t>
      </w:r>
    </w:p>
    <w:p>
      <w:pPr>
        <w:spacing w:after="0" w:line="157" w:lineRule="exact"/>
        <w:rPr>
          <w:rFonts w:ascii="Times New Roman" w:cs="Times New Roman" w:eastAsia="Times New Roman" w:hAnsi="Times New Roman"/>
          <w:sz w:val="19"/>
          <w:szCs w:val="19"/>
          <w:color w:val="auto"/>
        </w:rPr>
      </w:pPr>
    </w:p>
    <w:p>
      <w:pPr>
        <w:ind w:right="40" w:firstLine="1410"/>
        <w:spacing w:after="0" w:line="257" w:lineRule="auto"/>
        <w:tabs>
          <w:tab w:leader="none" w:pos="164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Swedish Krona, the rate per annum equal to the Stockholm Interbank Offered Rate or a successor thereto approved by the Administrative Agent (“</w:t>
      </w:r>
      <w:r>
        <w:rPr>
          <w:rFonts w:ascii="Times New Roman" w:cs="Times New Roman" w:eastAsia="Times New Roman" w:hAnsi="Times New Roman"/>
          <w:sz w:val="19"/>
          <w:szCs w:val="19"/>
          <w:u w:val="single" w:color="auto"/>
          <w:color w:val="auto"/>
        </w:rPr>
        <w:t>STIBOR</w:t>
      </w:r>
      <w:r>
        <w:rPr>
          <w:rFonts w:ascii="Times New Roman" w:cs="Times New Roman" w:eastAsia="Times New Roman" w:hAnsi="Times New Roman"/>
          <w:sz w:val="19"/>
          <w:szCs w:val="19"/>
          <w:color w:val="auto"/>
        </w:rPr>
        <w:t xml:space="preserve">”) as published by Reuters (or such other page or commercially available source providing STIBOR quotations as may be designated by the Administrative Agent from time to time) at or about 11:00 a.m. (Stockholm, Sweden time) on the day that is two (2) </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 xml:space="preserve">s for Swedish Krona prior to the first day of the Interest Period (or if such day is not an </w:t>
      </w:r>
      <w:r>
        <w:rPr>
          <w:rFonts w:ascii="Times New Roman" w:cs="Times New Roman" w:eastAsia="Times New Roman" w:hAnsi="Times New Roman"/>
          <w:sz w:val="19"/>
          <w:szCs w:val="19"/>
          <w:u w:val="single" w:color="auto"/>
          <w:color w:val="auto"/>
        </w:rPr>
        <w:t>Term Benchmark Banking Day for Swedish Krona</w:t>
      </w:r>
      <w:r>
        <w:rPr>
          <w:rFonts w:ascii="Times New Roman" w:cs="Times New Roman" w:eastAsia="Times New Roman" w:hAnsi="Times New Roman"/>
          <w:sz w:val="19"/>
          <w:szCs w:val="19"/>
          <w:color w:val="auto"/>
        </w:rPr>
        <w:t xml:space="preserve">, then on the immediately preceding </w:t>
      </w:r>
      <w:r>
        <w:rPr>
          <w:rFonts w:ascii="Times New Roman" w:cs="Times New Roman" w:eastAsia="Times New Roman" w:hAnsi="Times New Roman"/>
          <w:sz w:val="19"/>
          <w:szCs w:val="19"/>
          <w:u w:val="single" w:color="auto"/>
          <w:color w:val="auto"/>
        </w:rPr>
        <w:t>Term Benchmark Banking Day for Swedish Krona</w:t>
      </w:r>
      <w:r>
        <w:rPr>
          <w:rFonts w:ascii="Times New Roman" w:cs="Times New Roman" w:eastAsia="Times New Roman" w:hAnsi="Times New Roman"/>
          <w:sz w:val="19"/>
          <w:szCs w:val="19"/>
          <w:color w:val="auto"/>
        </w:rPr>
        <w:t>) with a term equivalent to such Interest Period; and</w:t>
      </w:r>
    </w:p>
    <w:p>
      <w:pPr>
        <w:spacing w:after="0" w:line="156" w:lineRule="exact"/>
        <w:rPr>
          <w:rFonts w:ascii="Times New Roman" w:cs="Times New Roman" w:eastAsia="Times New Roman" w:hAnsi="Times New Roman"/>
          <w:sz w:val="19"/>
          <w:szCs w:val="19"/>
          <w:color w:val="auto"/>
        </w:rPr>
      </w:pPr>
    </w:p>
    <w:p>
      <w:pPr>
        <w:ind w:firstLine="1410"/>
        <w:spacing w:after="0" w:line="259" w:lineRule="auto"/>
        <w:tabs>
          <w:tab w:leader="none" w:pos="1676"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5" w:name="page146"/>
    <w:bookmarkEnd w:id="14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a.m. (Tokyo time) two (2) </w:t>
      </w:r>
      <w:r>
        <w:rPr>
          <w:rFonts w:ascii="Times New Roman" w:cs="Times New Roman" w:eastAsia="Times New Roman" w:hAnsi="Times New Roman"/>
          <w:sz w:val="19"/>
          <w:szCs w:val="19"/>
          <w:u w:val="single" w:color="auto"/>
          <w:color w:val="auto"/>
        </w:rPr>
        <w:t>Term Benchmark Banking Day</w:t>
      </w:r>
      <w:r>
        <w:rPr>
          <w:rFonts w:ascii="Times New Roman" w:cs="Times New Roman" w:eastAsia="Times New Roman" w:hAnsi="Times New Roman"/>
          <w:sz w:val="19"/>
          <w:szCs w:val="19"/>
          <w:color w:val="auto"/>
        </w:rPr>
        <w:t>s for Japanese Yen prior to the first day of such Interest Period;</w:t>
      </w:r>
    </w:p>
    <w:p>
      <w:pPr>
        <w:spacing w:after="0" w:line="202" w:lineRule="exact"/>
        <w:rPr>
          <w:sz w:val="20"/>
          <w:szCs w:val="20"/>
          <w:color w:val="auto"/>
        </w:rPr>
      </w:pPr>
    </w:p>
    <w:p>
      <w:pPr>
        <w:ind w:right="720" w:firstLine="1404"/>
        <w:spacing w:after="0" w:line="28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in each case, if such rate for any Currency is less than zero, such rate shall be deemed to be zero for purposes of this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right="20" w:firstLine="1410"/>
        <w:spacing w:after="0" w:line="253" w:lineRule="auto"/>
        <w:tabs>
          <w:tab w:leader="none" w:pos="166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CORRA Determination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Day</w:t>
      </w:r>
      <w:r>
        <w:rPr>
          <w:rFonts w:ascii="Times New Roman" w:cs="Times New Roman" w:eastAsia="Times New Roman" w:hAnsi="Times New Roman"/>
          <w:sz w:val="19"/>
          <w:szCs w:val="19"/>
          <w:color w:val="auto"/>
        </w:rPr>
        <w:t>”)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395" w:lineRule="exact"/>
        <w:rPr>
          <w:rFonts w:ascii="Times New Roman" w:cs="Times New Roman" w:eastAsia="Times New Roman" w:hAnsi="Times New Roman"/>
          <w:sz w:val="19"/>
          <w:szCs w:val="19"/>
          <w:color w:val="auto"/>
        </w:rPr>
      </w:pPr>
    </w:p>
    <w:p>
      <w:pPr>
        <w:ind w:firstLine="1410"/>
        <w:spacing w:after="0" w:line="254" w:lineRule="auto"/>
        <w:tabs>
          <w:tab w:leader="none" w:pos="167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w:t>
      </w:r>
      <w:r>
        <w:rPr>
          <w:rFonts w:ascii="Times New Roman" w:cs="Times New Roman" w:eastAsia="Times New Roman" w:hAnsi="Times New Roman"/>
          <w:sz w:val="19"/>
          <w:szCs w:val="19"/>
          <w:u w:val="single" w:color="auto"/>
          <w:color w:val="auto"/>
        </w:rPr>
        <w:t>Canadian Prime Rate Term CORRA Determination Day</w:t>
      </w:r>
      <w:r>
        <w:rPr>
          <w:rFonts w:ascii="Times New Roman" w:cs="Times New Roman" w:eastAsia="Times New Roman" w:hAnsi="Times New Roman"/>
          <w:sz w:val="19"/>
          <w:szCs w:val="19"/>
          <w:color w:val="auto"/>
        </w:rPr>
        <w:t>”)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spacing w:after="0" w:line="15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Administrator</w:t>
      </w:r>
      <w:r>
        <w:rPr>
          <w:rFonts w:ascii="Times New Roman" w:cs="Times New Roman" w:eastAsia="Times New Roman" w:hAnsi="Times New Roman"/>
          <w:sz w:val="19"/>
          <w:szCs w:val="19"/>
          <w:color w:val="auto"/>
        </w:rPr>
        <w:t>” means Candeal Benchmark Administration Services Inc., TSX Inc., or any successor administrator of the Term CORRA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6" w:name="page147"/>
    <w:bookmarkEnd w:id="146"/>
    <w:p>
      <w:pPr>
        <w:spacing w:after="0" w:line="269"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Credit Adjustment Spread</w:t>
      </w:r>
      <w:r>
        <w:rPr>
          <w:rFonts w:ascii="Times New Roman" w:cs="Times New Roman" w:eastAsia="Times New Roman" w:hAnsi="Times New Roman"/>
          <w:sz w:val="19"/>
          <w:szCs w:val="19"/>
          <w:color w:val="auto"/>
        </w:rPr>
        <w:t>” means, with respect to Term Benchmark Loans denominated in Canadian Dollars, (a) with an Interest Period of one month, 0.29547% and (b) with an Interest Period of three months, 0.32138%.</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Reference Rate</w:t>
      </w:r>
      <w:r>
        <w:rPr>
          <w:rFonts w:ascii="Times New Roman" w:cs="Times New Roman" w:eastAsia="Times New Roman" w:hAnsi="Times New Roman"/>
          <w:sz w:val="19"/>
          <w:szCs w:val="19"/>
          <w:color w:val="auto"/>
        </w:rPr>
        <w:t>” means the forward-looking term rate based on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02" w:lineRule="exact"/>
        <w:rPr>
          <w:sz w:val="20"/>
          <w:szCs w:val="20"/>
          <w:color w:val="auto"/>
        </w:rPr>
      </w:pPr>
    </w:p>
    <w:p>
      <w:pPr>
        <w:ind w:right="100" w:firstLine="1410"/>
        <w:spacing w:after="0" w:line="254" w:lineRule="auto"/>
        <w:tabs>
          <w:tab w:leader="none" w:pos="166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57" w:lineRule="exact"/>
        <w:rPr>
          <w:rFonts w:ascii="Times New Roman" w:cs="Times New Roman" w:eastAsia="Times New Roman" w:hAnsi="Times New Roman"/>
          <w:sz w:val="19"/>
          <w:szCs w:val="19"/>
          <w:color w:val="auto"/>
        </w:rPr>
      </w:pPr>
    </w:p>
    <w:p>
      <w:pPr>
        <w:ind w:firstLine="1410"/>
        <w:spacing w:after="0" w:line="254" w:lineRule="auto"/>
        <w:tabs>
          <w:tab w:leader="none" w:pos="167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ABR Loan on any day, the sum of (i) the Term SOFR Credit Adjustment Spread and (ii)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Determination Day</w:t>
      </w:r>
      <w:r>
        <w:rPr>
          <w:rFonts w:ascii="Times New Roman" w:cs="Times New Roman" w:eastAsia="Times New Roman" w:hAnsi="Times New Roman"/>
          <w:sz w:val="19"/>
          <w:szCs w:val="19"/>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60" w:lineRule="exact"/>
        <w:rPr>
          <w:sz w:val="20"/>
          <w:szCs w:val="20"/>
          <w:color w:val="auto"/>
        </w:rPr>
      </w:pPr>
    </w:p>
    <w:p>
      <w:pPr>
        <w:ind w:right="5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the CME Group Benchmark Administration Limited (CBA) (or a successor administrator of the Term SOFR Reference Rate selected by the Administrative Agent in its reasonable discretion).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Credit Adjustment Spread</w:t>
      </w:r>
      <w:r>
        <w:rPr>
          <w:rFonts w:ascii="Times New Roman" w:cs="Times New Roman" w:eastAsia="Times New Roman" w:hAnsi="Times New Roman"/>
          <w:sz w:val="19"/>
          <w:szCs w:val="19"/>
          <w:color w:val="auto"/>
        </w:rPr>
        <w:t>” means 0.10%.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7" w:name="page148"/>
    <w:bookmarkEnd w:id="147"/>
    <w:p>
      <w:pPr>
        <w:spacing w:after="0" w:line="269" w:lineRule="exact"/>
        <w:rPr>
          <w:sz w:val="20"/>
          <w:szCs w:val="20"/>
          <w:color w:val="auto"/>
        </w:rPr>
      </w:pPr>
    </w:p>
    <w:p>
      <w:pPr>
        <w:ind w:right="1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xml:space="preserve">” means the earliest to occur of (i) the Extended Final Maturity Date, (ii) the date of the termination of the Commitments in full pursuant to </w:t>
      </w:r>
      <w:r>
        <w:rPr>
          <w:rFonts w:ascii="Times New Roman" w:cs="Times New Roman" w:eastAsia="Times New Roman" w:hAnsi="Times New Roman"/>
          <w:sz w:val="19"/>
          <w:szCs w:val="19"/>
          <w:u w:val="single" w:color="auto"/>
          <w:color w:val="auto"/>
        </w:rPr>
        <w:t>Section 2.08(c)</w:t>
      </w:r>
      <w:r>
        <w:rPr>
          <w:rFonts w:ascii="Times New Roman" w:cs="Times New Roman" w:eastAsia="Times New Roman" w:hAnsi="Times New Roman"/>
          <w:sz w:val="19"/>
          <w:szCs w:val="19"/>
          <w:color w:val="auto"/>
        </w:rPr>
        <w:t xml:space="preserve">, or (iii) the date on which the Commitments are terminated pursuant to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Testing Period</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5.12(b)(ii)(E)(x)</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5.12(b)(ii)(B)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w:t>
      </w:r>
      <w:r>
        <w:rPr>
          <w:rFonts w:ascii="Times New Roman" w:cs="Times New Roman" w:eastAsia="Times New Roman" w:hAnsi="Times New Roman"/>
          <w:sz w:val="19"/>
          <w:szCs w:val="19"/>
          <w:color w:val="auto"/>
        </w:rPr>
        <w:t>” means, as of any date of determination, the value of the total assets of the Obligors, less all liabilities and indebtedness not represented by senior securities, in each case, as of such date of determination.</w:t>
      </w:r>
    </w:p>
    <w:p>
      <w:pPr>
        <w:spacing w:after="0" w:line="12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Assets Concentration Limitation</w:t>
      </w:r>
      <w:r>
        <w:rPr>
          <w:rFonts w:ascii="Times New Roman" w:cs="Times New Roman" w:eastAsia="Times New Roman" w:hAnsi="Times New Roman"/>
          <w:sz w:val="19"/>
          <w:szCs w:val="19"/>
          <w:color w:val="auto"/>
        </w:rPr>
        <w:t>” means, as of any date of determination, the amount by which the aggregate value of Equity Interests in Financing Subsidiaries held by the Obligors as of such date of determination exceeds 15% of the Total Assets as of such date of determination.</w:t>
      </w:r>
    </w:p>
    <w:p>
      <w:pPr>
        <w:spacing w:after="0" w:line="144"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Secured Debt</w:t>
      </w:r>
      <w:r>
        <w:rPr>
          <w:rFonts w:ascii="Times New Roman" w:cs="Times New Roman" w:eastAsia="Times New Roman" w:hAnsi="Times New Roman"/>
          <w:sz w:val="19"/>
          <w:szCs w:val="19"/>
          <w:color w:val="auto"/>
        </w:rPr>
        <w:t>” means, as of any date of determination, the aggregate amount of senior securities representing secured indebtedness of the Obligors as of such date of determination.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Truist</w:t>
      </w:r>
      <w:r>
        <w:rPr>
          <w:rFonts w:ascii="Times New Roman" w:cs="Times New Roman" w:eastAsia="Times New Roman" w:hAnsi="Times New Roman"/>
          <w:sz w:val="19"/>
          <w:szCs w:val="19"/>
          <w:color w:val="auto"/>
        </w:rPr>
        <w:t>” means Truist Bank.</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spacing w:after="0" w:line="144"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0" w:lineRule="exact"/>
        <w:rPr>
          <w:sz w:val="20"/>
          <w:szCs w:val="20"/>
          <w:color w:val="auto"/>
        </w:rPr>
      </w:pPr>
    </w:p>
    <w:p>
      <w:pPr>
        <w:ind w:right="94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27" w:lineRule="exact"/>
        <w:rPr>
          <w:sz w:val="20"/>
          <w:szCs w:val="20"/>
          <w:color w:val="auto"/>
        </w:rPr>
      </w:pPr>
    </w:p>
    <w:p>
      <w:pPr>
        <w:ind w:right="8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Unasserted Contingent Obligations</w:t>
      </w:r>
      <w:r>
        <w:rPr>
          <w:rFonts w:ascii="Times New Roman" w:cs="Times New Roman" w:eastAsia="Times New Roman" w:hAnsi="Times New Roman"/>
          <w:sz w:val="19"/>
          <w:szCs w:val="19"/>
          <w:color w:val="auto"/>
        </w:rPr>
        <w:t>” means all (i) unasserted contingent indemnification obligations not then due and payable and (ii) unasserted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8" w:name="page149"/>
    <w:bookmarkEnd w:id="148"/>
    <w:p>
      <w:pPr>
        <w:spacing w:after="0" w:line="269"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9"/>
          <w:szCs w:val="19"/>
          <w:color w:val="auto"/>
        </w:rPr>
        <w:t>obligations not then due and payable. For the avoidance of doubt, “Unasserted Contingent Obligations” shall not include any reimbursement obligations in respect of any Letter of Credit.</w:t>
      </w:r>
    </w:p>
    <w:p>
      <w:pPr>
        <w:spacing w:after="0" w:line="127"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Undisclosed Administration</w:t>
      </w:r>
      <w:r>
        <w:rPr>
          <w:rFonts w:ascii="Times New Roman" w:cs="Times New Roman" w:eastAsia="Times New Roman" w:hAnsi="Times New Roman"/>
          <w:sz w:val="19"/>
          <w:szCs w:val="19"/>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Uniform Commercial Code</w:t>
      </w:r>
      <w:r>
        <w:rPr>
          <w:rFonts w:ascii="Times New Roman" w:cs="Times New Roman" w:eastAsia="Times New Roman" w:hAnsi="Times New Roman"/>
          <w:sz w:val="19"/>
          <w:szCs w:val="19"/>
          <w:color w:val="auto"/>
        </w:rPr>
        <w:t>” means the Uniform Commercial Code as in effect from time to time in the State of New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York.</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Unquoted Investments</w:t>
      </w:r>
      <w:r>
        <w:rPr>
          <w:rFonts w:ascii="Times New Roman" w:cs="Times New Roman" w:eastAsia="Times New Roman" w:hAnsi="Times New Roman"/>
          <w:sz w:val="19"/>
          <w:szCs w:val="19"/>
          <w:color w:val="auto"/>
        </w:rPr>
        <w:t xml:space="preserve">” means a Portfolio Investment with a value assigned by the Borrower pursuant to </w:t>
      </w:r>
      <w:r>
        <w:rPr>
          <w:rFonts w:ascii="Times New Roman" w:cs="Times New Roman" w:eastAsia="Times New Roman" w:hAnsi="Times New Roman"/>
          <w:sz w:val="19"/>
          <w:szCs w:val="19"/>
          <w:u w:val="single" w:color="auto"/>
          <w:color w:val="auto"/>
        </w:rPr>
        <w:t>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5.12(b)(ii)(B)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Longer-Term Indebtedness</w:t>
      </w:r>
      <w:r>
        <w:rPr>
          <w:rFonts w:ascii="Times New Roman" w:cs="Times New Roman" w:eastAsia="Times New Roman" w:hAnsi="Times New Roman"/>
          <w:sz w:val="19"/>
          <w:szCs w:val="19"/>
          <w:color w:val="auto"/>
        </w:rPr>
        <w:t xml:space="preserve">” 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6.01(o</w:t>
      </w:r>
      <w:r>
        <w:rPr>
          <w:rFonts w:ascii="Times New Roman" w:cs="Times New Roman" w:eastAsia="Times New Roman" w:hAnsi="Times New Roman"/>
          <w:sz w:val="19"/>
          <w:szCs w:val="19"/>
          <w:color w:val="auto"/>
        </w:rPr>
        <w:t>)) prior to, and a final maturity date not earlier than, six months after the Extended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57"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Unsecured Shorter-Term Indebtedness</w:t>
      </w:r>
      <w:r>
        <w:rPr>
          <w:rFonts w:ascii="Times New Roman" w:cs="Times New Roman" w:eastAsia="Times New Roman" w:hAnsi="Times New Roman"/>
          <w:sz w:val="19"/>
          <w:szCs w:val="19"/>
          <w:color w:val="auto"/>
        </w:rPr>
        <w:t xml:space="preserve">” means, collectively, (a) any Indebtedness of an Obligor that is not secured by any assets of any Obligor and that does not constitute Unsecured Longer -Term Indebtedness and (b) any Indebtedness that is designated as “Unsecured Shorter-Term Indebtedness” pursuant to </w:t>
      </w:r>
      <w:r>
        <w:rPr>
          <w:rFonts w:ascii="Times New Roman" w:cs="Times New Roman" w:eastAsia="Times New Roman" w:hAnsi="Times New Roman"/>
          <w:sz w:val="19"/>
          <w:szCs w:val="19"/>
          <w:u w:val="single" w:color="auto"/>
          <w:color w:val="auto"/>
        </w:rPr>
        <w:t>Section 6.11(a)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Unsecured Shorter-Term Indebtedness shall not include any Indebtedness permitted pursuant to </w:t>
      </w:r>
      <w:r>
        <w:rPr>
          <w:rFonts w:ascii="Times New Roman" w:cs="Times New Roman" w:eastAsia="Times New Roman" w:hAnsi="Times New Roman"/>
          <w:sz w:val="19"/>
          <w:szCs w:val="19"/>
          <w:u w:val="single" w:color="auto"/>
          <w:color w:val="auto"/>
        </w:rPr>
        <w:t>Section 6.01(l)</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4" w:lineRule="exact"/>
        <w:rPr>
          <w:sz w:val="20"/>
          <w:szCs w:val="20"/>
          <w:color w:val="auto"/>
        </w:rPr>
      </w:pPr>
    </w:p>
    <w:p>
      <w:pPr>
        <w:ind w:right="30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9" w:name="page150"/>
    <w:bookmarkEnd w:id="14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xml:space="preserve"> ” means liability to a Multiemployer Plan as a result of a complete or partial withdrawal from such Multiemployer Plan, as such terms are defined in Part I of Subtitle E of Title IV of ERISA.</w:t>
      </w:r>
    </w:p>
    <w:p>
      <w:pPr>
        <w:spacing w:after="0" w:line="127"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 -In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0" w:lineRule="exact"/>
        <w:rPr>
          <w:sz w:val="20"/>
          <w:szCs w:val="20"/>
          <w:color w:val="auto"/>
        </w:rPr>
      </w:pPr>
    </w:p>
    <w:p>
      <w:pPr>
        <w:ind w:right="6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Classification of Loans and Borrowings</w:t>
      </w:r>
      <w:r>
        <w:rPr>
          <w:rFonts w:ascii="Times New Roman" w:cs="Times New Roman" w:eastAsia="Times New Roman" w:hAnsi="Times New Roman"/>
          <w:sz w:val="19"/>
          <w:szCs w:val="19"/>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57"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1038225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0" w:name="page151"/>
    <w:bookmarkEnd w:id="150"/>
    <w:p>
      <w:pPr>
        <w:spacing w:after="0" w:line="26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9"/>
          <w:szCs w:val="19"/>
          <w:color w:val="auto"/>
        </w:rPr>
        <w:t>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0" w:lineRule="exact"/>
        <w:rPr>
          <w:sz w:val="20"/>
          <w:szCs w:val="20"/>
          <w:color w:val="auto"/>
        </w:rPr>
      </w:pPr>
    </w:p>
    <w:p>
      <w:pPr>
        <w:ind w:right="20" w:firstLine="696"/>
        <w:spacing w:after="0" w:line="252"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Currencies; Currency Equivalents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6" w:lineRule="auto"/>
        <w:tabs>
          <w:tab w:leader="none" w:pos="96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Currencies Generally</w:t>
      </w:r>
      <w:r>
        <w:rPr>
          <w:rFonts w:ascii="Times New Roman" w:cs="Times New Roman" w:eastAsia="Times New Roman" w:hAnsi="Times New Roman"/>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and the last sentence of </w:t>
      </w:r>
      <w:r>
        <w:rPr>
          <w:rFonts w:ascii="Times New Roman" w:cs="Times New Roman" w:eastAsia="Times New Roman" w:hAnsi="Times New Roman"/>
          <w:sz w:val="19"/>
          <w:szCs w:val="19"/>
          <w:u w:val="single" w:color="auto"/>
          <w:color w:val="auto"/>
        </w:rPr>
        <w:t>Section 2.17(a)</w:t>
      </w:r>
      <w:r>
        <w:rPr>
          <w:rFonts w:ascii="Times New Roman" w:cs="Times New Roman" w:eastAsia="Times New Roman" w:hAnsi="Times New Roman"/>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1" w:name="page152"/>
    <w:bookmarkEnd w:id="151"/>
    <w:p>
      <w:pPr>
        <w:spacing w:after="0" w:line="2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 xml:space="preserve">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cs="Times New Roman" w:eastAsia="Times New Roman" w:hAnsi="Times New Roman"/>
          <w:sz w:val="19"/>
          <w:szCs w:val="19"/>
          <w:u w:val="single" w:color="auto"/>
          <w:color w:val="auto"/>
        </w:rPr>
        <w:t>Section</w:t>
      </w:r>
    </w:p>
    <w:p>
      <w:pPr>
        <w:spacing w:after="0" w:line="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u w:val="single" w:color="auto"/>
          <w:color w:val="auto"/>
        </w:rPr>
        <w:t>6.01(i), 6.01(m), 6.01(n), 6.01(o), 6.02(e), 6.02(i), 6.03(g), 6.04(e)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6.04(f)</w:t>
      </w:r>
      <w:r>
        <w:rPr>
          <w:rFonts w:ascii="Times New Roman" w:cs="Times New Roman" w:eastAsia="Times New Roman" w:hAnsi="Times New Roman"/>
          <w:sz w:val="19"/>
          <w:szCs w:val="19"/>
          <w:color w:val="auto"/>
        </w:rPr>
        <w:t>, in no event shall the Borrower or any Obligor be deemed to not be in compliance with any such basket solely as a result of a change in exchange rates.</w:t>
      </w:r>
    </w:p>
    <w:p>
      <w:pPr>
        <w:spacing w:after="0" w:line="149" w:lineRule="exact"/>
        <w:rPr>
          <w:sz w:val="20"/>
          <w:szCs w:val="20"/>
          <w:color w:val="auto"/>
        </w:rPr>
      </w:pPr>
    </w:p>
    <w:p>
      <w:pPr>
        <w:ind w:firstLine="702"/>
        <w:spacing w:after="0" w:line="253" w:lineRule="auto"/>
        <w:tabs>
          <w:tab w:leader="none" w:pos="972"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Provisions Relating to Euro</w:t>
      </w:r>
      <w:r>
        <w:rPr>
          <w:rFonts w:ascii="Times New Roman" w:cs="Times New Roman" w:eastAsia="Times New Roman" w:hAnsi="Times New Roman"/>
          <w:sz w:val="19"/>
          <w:szCs w:val="19"/>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Borrowing denominated in such currency that is outstanding immediately prior to such date, such replacement shall take effect at the end of the Interest Period therefor.</w:t>
      </w:r>
    </w:p>
    <w:p>
      <w:pPr>
        <w:spacing w:after="0" w:line="165" w:lineRule="exact"/>
        <w:rPr>
          <w:sz w:val="20"/>
          <w:szCs w:val="20"/>
          <w:color w:val="auto"/>
        </w:rPr>
      </w:pPr>
    </w:p>
    <w:p>
      <w:pPr>
        <w:ind w:right="80" w:firstLine="696"/>
        <w:spacing w:after="0" w:line="257" w:lineRule="auto"/>
        <w:rPr>
          <w:sz w:val="20"/>
          <w:szCs w:val="20"/>
          <w:color w:val="auto"/>
        </w:rPr>
      </w:pPr>
      <w:r>
        <w:rPr>
          <w:rFonts w:ascii="Times New Roman" w:cs="Times New Roman" w:eastAsia="Times New Roman" w:hAnsi="Times New Roman"/>
          <w:sz w:val="19"/>
          <w:szCs w:val="19"/>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57"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 Unless otherwise specified herein, the amount of a Letter of Credit at any time shall be the stated amount of such Letter of Credit available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2" w:name="page153"/>
    <w:bookmarkEnd w:id="152"/>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drawn at such time. Notwithstanding anything herein to the contrary, no Letter of Credit shall, by its terms, provide for any automatic increase in the available amount thereof.</w:t>
      </w:r>
    </w:p>
    <w:p>
      <w:pPr>
        <w:spacing w:after="0" w:line="127" w:lineRule="exact"/>
        <w:rPr>
          <w:sz w:val="20"/>
          <w:szCs w:val="20"/>
          <w:color w:val="auto"/>
        </w:rPr>
      </w:pPr>
    </w:p>
    <w:p>
      <w:pPr>
        <w:ind w:right="20" w:firstLine="696"/>
        <w:spacing w:after="0" w:line="252" w:lineRule="auto"/>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II</w:t>
      </w:r>
    </w:p>
    <w:p>
      <w:pPr>
        <w:spacing w:after="0" w:line="2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u w:val="single" w:color="auto"/>
          <w:color w:val="auto"/>
        </w:rPr>
        <w:t>THE CREDITS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The Commitments</w:t>
      </w:r>
      <w:r>
        <w:rPr>
          <w:rFonts w:ascii="Times New Roman" w:cs="Times New Roman" w:eastAsia="Times New Roman" w:hAnsi="Times New Roman"/>
          <w:sz w:val="19"/>
          <w:szCs w:val="19"/>
          <w:color w:val="auto"/>
        </w:rPr>
        <w:t>. Subject to the terms and conditions set forth herein:</w:t>
      </w:r>
    </w:p>
    <w:p>
      <w:pPr>
        <w:spacing w:after="0" w:line="202" w:lineRule="exact"/>
        <w:rPr>
          <w:sz w:val="20"/>
          <w:szCs w:val="20"/>
          <w:color w:val="auto"/>
        </w:rPr>
      </w:pPr>
    </w:p>
    <w:p>
      <w:pPr>
        <w:ind w:right="40" w:firstLine="702"/>
        <w:spacing w:after="0" w:line="259" w:lineRule="auto"/>
        <w:tabs>
          <w:tab w:leader="none" w:pos="9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53" w:lineRule="exact"/>
        <w:rPr>
          <w:rFonts w:ascii="Times New Roman" w:cs="Times New Roman" w:eastAsia="Times New Roman" w:hAnsi="Times New Roman"/>
          <w:sz w:val="19"/>
          <w:szCs w:val="19"/>
          <w:color w:val="auto"/>
        </w:rPr>
      </w:pPr>
    </w:p>
    <w:p>
      <w:pPr>
        <w:ind w:firstLine="702"/>
        <w:spacing w:after="0" w:line="259" w:lineRule="auto"/>
        <w:tabs>
          <w:tab w:leader="none" w:pos="96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Multicurrency Commitments at such time or (iii) the total Covered Debt Amount exceeding the Borrowing Base then in effect.</w:t>
      </w:r>
    </w:p>
    <w:p>
      <w:pPr>
        <w:spacing w:after="0" w:line="202"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Within the foregoing limits and subject to the terms and conditions set forth herein, the Borrower may borrow, prepay and reborrow Syndicated Loans.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100" w:firstLine="702"/>
        <w:spacing w:after="0" w:line="259"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of Lenders</w:t>
      </w:r>
      <w:r>
        <w:rPr>
          <w:rFonts w:ascii="Times New Roman" w:cs="Times New Roman" w:eastAsia="Times New Roman" w:hAnsi="Times New Roman"/>
          <w:sz w:val="19"/>
          <w:szCs w:val="19"/>
          <w:color w:val="auto"/>
        </w:rPr>
        <w:t xml:space="preserve">. Each Syndicated Loan shall be made as part of a Borrowing consisting of Loans of the same Class of Commitments (other than with respect to any Syndicated Loan requested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 responsible for any other Lender’s failure to make Loans as required.</w:t>
      </w:r>
    </w:p>
    <w:p>
      <w:pPr>
        <w:spacing w:after="0" w:line="153" w:lineRule="exact"/>
        <w:rPr>
          <w:rFonts w:ascii="Times New Roman" w:cs="Times New Roman" w:eastAsia="Times New Roman" w:hAnsi="Times New Roman"/>
          <w:sz w:val="19"/>
          <w:szCs w:val="19"/>
          <w:color w:val="auto"/>
        </w:rPr>
      </w:pPr>
    </w:p>
    <w:p>
      <w:pPr>
        <w:ind w:firstLine="702"/>
        <w:spacing w:after="0" w:line="256" w:lineRule="auto"/>
        <w:tabs>
          <w:tab w:leader="none" w:pos="97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Type of Loans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57" w:lineRule="exact"/>
        <w:rPr>
          <w:rFonts w:ascii="Times New Roman" w:cs="Times New Roman" w:eastAsia="Times New Roman" w:hAnsi="Times New Roman"/>
          <w:sz w:val="19"/>
          <w:szCs w:val="19"/>
          <w:color w:val="auto"/>
        </w:rPr>
      </w:pPr>
    </w:p>
    <w:p>
      <w:pPr>
        <w:ind w:right="80" w:firstLine="702"/>
        <w:spacing w:after="0" w:line="257"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Borrowings of more than one Class, Currency and Type may be outstanding at the same time.</w:t>
      </w:r>
    </w:p>
    <w:p>
      <w:pPr>
        <w:spacing w:after="0" w:line="156" w:lineRule="exact"/>
        <w:rPr>
          <w:rFonts w:ascii="Times New Roman" w:cs="Times New Roman" w:eastAsia="Times New Roman" w:hAnsi="Times New Roman"/>
          <w:sz w:val="19"/>
          <w:szCs w:val="19"/>
          <w:color w:val="auto"/>
        </w:rPr>
      </w:pPr>
    </w:p>
    <w:p>
      <w:pPr>
        <w:ind w:right="20" w:firstLine="702"/>
        <w:spacing w:after="0" w:line="268" w:lineRule="auto"/>
        <w:tabs>
          <w:tab w:leader="none" w:pos="97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Interest Periods</w:t>
      </w:r>
      <w:r>
        <w:rPr>
          <w:rFonts w:ascii="Times New Roman" w:cs="Times New Roman" w:eastAsia="Times New Roman" w:hAnsi="Times New Roman"/>
          <w:sz w:val="19"/>
          <w:szCs w:val="19"/>
          <w:color w:val="auto"/>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 with respect to such Borrowing.</w:t>
      </w:r>
    </w:p>
    <w:p>
      <w:pPr>
        <w:spacing w:after="0" w:line="144" w:lineRule="exact"/>
        <w:rPr>
          <w:rFonts w:ascii="Times New Roman" w:cs="Times New Roman" w:eastAsia="Times New Roman" w:hAnsi="Times New Roman"/>
          <w:sz w:val="19"/>
          <w:szCs w:val="19"/>
          <w:color w:val="auto"/>
        </w:rPr>
      </w:pPr>
    </w:p>
    <w:p>
      <w:pPr>
        <w:ind w:right="320" w:firstLine="702"/>
        <w:spacing w:after="0" w:line="259"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Classes</w:t>
      </w:r>
      <w:r>
        <w:rPr>
          <w:rFonts w:ascii="Times New Roman" w:cs="Times New Roman" w:eastAsia="Times New Roman" w:hAnsi="Times New Roman"/>
          <w:sz w:val="19"/>
          <w:szCs w:val="19"/>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4" w:name="page155"/>
    <w:bookmarkEnd w:id="154"/>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 xml:space="preserve">the Multicurrency Commitments, respectively;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ratable share of such Syndicated Loan, Swingline Loan or Letter of Credit that would be applied to the Multicurrency Commitments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exceeds the unused Multicurrency Commitments, such excess shall be allocated to the Dollar Commitments (rather than the Multicurrency Commitments) up to an amount not to exceed the unused Dollar Commitments.</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Syndicated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702"/>
        <w:spacing w:after="0" w:line="255" w:lineRule="auto"/>
        <w:tabs>
          <w:tab w:leader="none" w:pos="96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Borrower</w:t>
      </w:r>
      <w:r>
        <w:rPr>
          <w:rFonts w:ascii="Times New Roman" w:cs="Times New Roman" w:eastAsia="Times New Roman" w:hAnsi="Times New Roman"/>
          <w:sz w:val="19"/>
          <w:szCs w:val="19"/>
          <w:color w:val="auto"/>
        </w:rPr>
        <w:t>.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w:t>
      </w:r>
    </w:p>
    <w:p>
      <w:pPr>
        <w:spacing w:after="0" w:line="1" w:lineRule="exact"/>
        <w:rPr>
          <w:rFonts w:ascii="Times New Roman" w:cs="Times New Roman" w:eastAsia="Times New Roman" w:hAnsi="Times New Roman"/>
          <w:sz w:val="19"/>
          <w:szCs w:val="19"/>
          <w:color w:val="auto"/>
        </w:rPr>
      </w:pPr>
    </w:p>
    <w:p>
      <w:pPr>
        <w:jc w:val="both"/>
        <w:ind w:firstLine="6"/>
        <w:spacing w:after="0" w:line="254" w:lineRule="auto"/>
        <w:tabs>
          <w:tab w:leader="none" w:pos="272"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pacing w:after="0" w:line="157" w:lineRule="exact"/>
        <w:rPr>
          <w:rFonts w:ascii="Times New Roman" w:cs="Times New Roman" w:eastAsia="Times New Roman" w:hAnsi="Times New Roman"/>
          <w:sz w:val="19"/>
          <w:szCs w:val="19"/>
          <w:color w:val="auto"/>
        </w:rPr>
      </w:pPr>
    </w:p>
    <w:p>
      <w:pPr>
        <w:ind w:right="40" w:firstLine="702"/>
        <w:spacing w:after="0" w:line="286" w:lineRule="auto"/>
        <w:tabs>
          <w:tab w:leader="none" w:pos="972"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Content of Borrowing Requests</w:t>
      </w:r>
      <w:r>
        <w:rPr>
          <w:rFonts w:ascii="Times New Roman" w:cs="Times New Roman" w:eastAsia="Times New Roman" w:hAnsi="Times New Roman"/>
          <w:sz w:val="19"/>
          <w:szCs w:val="19"/>
          <w:color w:val="auto"/>
        </w:rPr>
        <w:t xml:space="preserve">. Each telephonic and written Borrowing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Borrowing is to be made under the Dollar Commitments or the Multicurrency Commitments;</w:t>
      </w:r>
    </w:p>
    <w:p>
      <w:pPr>
        <w:spacing w:after="0" w:line="201"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and Currency of the requested Borrowing;</w:t>
      </w:r>
    </w:p>
    <w:p>
      <w:pPr>
        <w:spacing w:after="0" w:line="201"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of such Borrowing, which shall be a Business Day;</w:t>
      </w:r>
    </w:p>
    <w:p>
      <w:pPr>
        <w:spacing w:after="0" w:line="201" w:lineRule="exact"/>
        <w:rPr>
          <w:rFonts w:ascii="Times New Roman" w:cs="Times New Roman" w:eastAsia="Times New Roman" w:hAnsi="Times New Roman"/>
          <w:sz w:val="19"/>
          <w:szCs w:val="19"/>
          <w:color w:val="auto"/>
        </w:rPr>
      </w:pPr>
    </w:p>
    <w:p>
      <w:pPr>
        <w:ind w:left="700" w:right="720" w:firstLine="746"/>
        <w:spacing w:after="0" w:line="286" w:lineRule="auto"/>
        <w:tabs>
          <w:tab w:leader="none" w:pos="1769"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Syndicated Borrowing denominated in Dollars, whether such Borrowing is to be an ABR Borrowing or a Term Benchmark Borrowing;</w:t>
      </w:r>
    </w:p>
    <w:p>
      <w:pPr>
        <w:spacing w:after="0" w:line="127" w:lineRule="exact"/>
        <w:rPr>
          <w:rFonts w:ascii="Times New Roman" w:cs="Times New Roman" w:eastAsia="Times New Roman" w:hAnsi="Times New Roman"/>
          <w:sz w:val="19"/>
          <w:szCs w:val="19"/>
          <w:color w:val="auto"/>
        </w:rPr>
      </w:pPr>
    </w:p>
    <w:p>
      <w:pPr>
        <w:ind w:left="700" w:right="120" w:firstLine="746"/>
        <w:spacing w:after="0" w:line="286" w:lineRule="auto"/>
        <w:tabs>
          <w:tab w:leader="none" w:pos="1716"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Borrowing denominated in an Agreed Foreign Currency, whether such Borrowing is to be a Term Benchmark Borrowing or an RFR Borrowing;</w:t>
      </w:r>
    </w:p>
    <w:p>
      <w:pPr>
        <w:spacing w:after="0" w:line="127" w:lineRule="exact"/>
        <w:rPr>
          <w:rFonts w:ascii="Times New Roman" w:cs="Times New Roman" w:eastAsia="Times New Roman" w:hAnsi="Times New Roman"/>
          <w:sz w:val="19"/>
          <w:szCs w:val="19"/>
          <w:color w:val="auto"/>
        </w:rPr>
      </w:pPr>
    </w:p>
    <w:p>
      <w:pPr>
        <w:ind w:left="700" w:right="340" w:firstLine="746"/>
        <w:spacing w:after="0" w:line="286" w:lineRule="auto"/>
        <w:tabs>
          <w:tab w:leader="none" w:pos="1769"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Term Benchmark Borrowing or RFR Borrowing, the Interest Period therefor, which shall be a period contemplated by the definition of the term “Interest Period” and permitted under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 and</w:t>
      </w:r>
    </w:p>
    <w:p>
      <w:pPr>
        <w:spacing w:after="0" w:line="127" w:lineRule="exact"/>
        <w:rPr>
          <w:rFonts w:ascii="Times New Roman" w:cs="Times New Roman" w:eastAsia="Times New Roman" w:hAnsi="Times New Roman"/>
          <w:sz w:val="19"/>
          <w:szCs w:val="19"/>
          <w:color w:val="auto"/>
        </w:rPr>
      </w:pPr>
    </w:p>
    <w:p>
      <w:pPr>
        <w:ind w:left="1820" w:hanging="374"/>
        <w:spacing w:after="0"/>
        <w:tabs>
          <w:tab w:leader="none" w:pos="182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location and number of the Borrower’s account to which funds are to be disbursed.</w:t>
      </w:r>
    </w:p>
    <w:p>
      <w:pPr>
        <w:spacing w:after="0" w:line="201" w:lineRule="exact"/>
        <w:rPr>
          <w:rFonts w:ascii="Times New Roman" w:cs="Times New Roman" w:eastAsia="Times New Roman" w:hAnsi="Times New Roman"/>
          <w:sz w:val="19"/>
          <w:szCs w:val="19"/>
          <w:color w:val="auto"/>
        </w:rPr>
      </w:pPr>
    </w:p>
    <w:p>
      <w:pPr>
        <w:ind w:right="60" w:firstLine="702"/>
        <w:spacing w:after="0" w:line="286" w:lineRule="auto"/>
        <w:tabs>
          <w:tab w:leader="none" w:pos="96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Administrative Agent to the Lenders</w:t>
      </w:r>
      <w:r>
        <w:rPr>
          <w:rFonts w:ascii="Times New Roman" w:cs="Times New Roman" w:eastAsia="Times New Roman" w:hAnsi="Times New Roman"/>
          <w:sz w:val="19"/>
          <w:szCs w:val="19"/>
          <w:color w:val="auto"/>
        </w:rPr>
        <w:t>. Promptly following receipt of a Borrowing Request in accordance with this Section, the Administrative Agent shall advise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55" w:name="page156"/>
    <w:bookmarkEnd w:id="155"/>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Lender of the details thereof and of the amounts of such Lender’s Loan to be made as part of the requested Borrowing.</w:t>
      </w:r>
    </w:p>
    <w:p>
      <w:pPr>
        <w:spacing w:after="0" w:line="202" w:lineRule="exact"/>
        <w:rPr>
          <w:sz w:val="20"/>
          <w:szCs w:val="20"/>
          <w:color w:val="auto"/>
        </w:rPr>
      </w:pPr>
    </w:p>
    <w:p>
      <w:pPr>
        <w:ind w:right="20" w:firstLine="702"/>
        <w:spacing w:after="0" w:line="254" w:lineRule="auto"/>
        <w:tabs>
          <w:tab w:leader="none" w:pos="97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Elect</w:t>
      </w:r>
      <w:r>
        <w:rPr>
          <w:rFonts w:ascii="Times New Roman" w:cs="Times New Roman" w:eastAsia="Times New Roman" w:hAnsi="Times New Roman"/>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3" w:lineRule="auto"/>
        <w:tabs>
          <w:tab w:leader="none" w:pos="96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Make Swingline Loans</w:t>
      </w:r>
      <w:r>
        <w:rPr>
          <w:rFonts w:ascii="Times New Roman" w:cs="Times New Roman" w:eastAsia="Times New Roman" w:hAnsi="Times New Roman"/>
          <w:sz w:val="19"/>
          <w:szCs w:val="19"/>
          <w:color w:val="auto"/>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$150,000,000 or the aggregate principal amount of outstanding Swingline Loans of any Swingline Lender exceeding the amount set forth opposite the name of such Swingline Lender on </w:t>
      </w:r>
      <w:r>
        <w:rPr>
          <w:rFonts w:ascii="Times New Roman" w:cs="Times New Roman" w:eastAsia="Times New Roman" w:hAnsi="Times New Roman"/>
          <w:sz w:val="19"/>
          <w:szCs w:val="19"/>
          <w:u w:val="single" w:color="auto"/>
          <w:color w:val="auto"/>
        </w:rPr>
        <w:t>Schedule 2.04</w:t>
      </w:r>
      <w:r>
        <w:rPr>
          <w:rFonts w:ascii="Times New Roman" w:cs="Times New Roman" w:eastAsia="Times New Roman" w:hAnsi="Times New Roman"/>
          <w:sz w:val="19"/>
          <w:szCs w:val="19"/>
          <w:color w:val="auto"/>
        </w:rPr>
        <w:t>, (ii)(A) in the case of any Swingline Lender with a Dollar Commitment, the sum of such Swingline Lender’s outstanding Dollar Loans, its LC Exposure, its outstanding Swingline Loans and (without duplication) its other Swingline Exposure exceeding its Dollar Commitment and</w:t>
      </w:r>
    </w:p>
    <w:p>
      <w:pPr>
        <w:spacing w:after="0" w:line="6" w:lineRule="exact"/>
        <w:rPr>
          <w:rFonts w:ascii="Times New Roman" w:cs="Times New Roman" w:eastAsia="Times New Roman" w:hAnsi="Times New Roman"/>
          <w:sz w:val="19"/>
          <w:szCs w:val="19"/>
          <w:color w:val="auto"/>
        </w:rPr>
      </w:pPr>
    </w:p>
    <w:p>
      <w:pPr>
        <w:ind w:right="140" w:firstLine="6"/>
        <w:spacing w:after="0" w:line="252" w:lineRule="auto"/>
        <w:tabs>
          <w:tab w:leader="none" w:pos="30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60" w:lineRule="exact"/>
        <w:rPr>
          <w:rFonts w:ascii="Times New Roman" w:cs="Times New Roman" w:eastAsia="Times New Roman" w:hAnsi="Times New Roman"/>
          <w:sz w:val="19"/>
          <w:szCs w:val="19"/>
          <w:color w:val="auto"/>
        </w:rPr>
      </w:pPr>
    </w:p>
    <w:p>
      <w:pPr>
        <w:ind w:firstLine="702"/>
        <w:spacing w:after="0" w:line="259" w:lineRule="auto"/>
        <w:tabs>
          <w:tab w:leader="none" w:pos="972"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Swingline Loans by the Borrower</w:t>
      </w:r>
      <w:r>
        <w:rPr>
          <w:rFonts w:ascii="Times New Roman" w:cs="Times New Roman" w:eastAsia="Times New Roman" w:hAnsi="Times New Roman"/>
          <w:sz w:val="19"/>
          <w:szCs w:val="19"/>
          <w:color w:val="auto"/>
        </w:rPr>
        <w:t>.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56" w:name="page157"/>
    <w:bookmarkEnd w:id="156"/>
    <w:p>
      <w:pPr>
        <w:spacing w:after="0" w:line="26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9"/>
          <w:szCs w:val="19"/>
          <w:color w:val="auto"/>
        </w:rPr>
        <w:t xml:space="preserve">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xml:space="preserve"> shall be remitted by the Administrative Agent to the applicable Issuing Bank.</w:t>
      </w:r>
    </w:p>
    <w:p>
      <w:pPr>
        <w:spacing w:after="0" w:line="157" w:lineRule="exact"/>
        <w:rPr>
          <w:sz w:val="20"/>
          <w:szCs w:val="20"/>
          <w:color w:val="auto"/>
        </w:rPr>
      </w:pPr>
    </w:p>
    <w:p>
      <w:pPr>
        <w:ind w:firstLine="702"/>
        <w:spacing w:after="0" w:line="253" w:lineRule="auto"/>
        <w:tabs>
          <w:tab w:leader="none" w:pos="9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 by Lenders in Swingline Loans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Swingline Loan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if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389"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Subject to the foregoing and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each Lender acknowledges and agrees that its obligation to acquire participations in Swingline Loans pursuant to this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xml:space="preserve"> ,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891540</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57" w:name="page158"/>
    <w:bookmarkEnd w:id="157"/>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44" w:lineRule="exact"/>
        <w:rPr>
          <w:sz w:val="20"/>
          <w:szCs w:val="20"/>
          <w:color w:val="auto"/>
        </w:rPr>
      </w:pPr>
    </w:p>
    <w:p>
      <w:pPr>
        <w:ind w:right="20" w:firstLine="702"/>
        <w:spacing w:after="0" w:line="253" w:lineRule="auto"/>
        <w:tabs>
          <w:tab w:leader="none" w:pos="97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and Replacement of Swingline Lender</w:t>
      </w:r>
      <w:r>
        <w:rPr>
          <w:rFonts w:ascii="Times New Roman" w:cs="Times New Roman" w:eastAsia="Times New Roman" w:hAnsi="Times New Roman"/>
          <w:sz w:val="19"/>
          <w:szCs w:val="19"/>
          <w:color w:val="auto"/>
        </w:rPr>
        <w:t>. Any Swingline Lender may resign and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spacing w:after="0" w:line="390" w:lineRule="exact"/>
        <w:rPr>
          <w:rFonts w:ascii="Times New Roman" w:cs="Times New Roman" w:eastAsia="Times New Roman" w:hAnsi="Times New Roman"/>
          <w:sz w:val="19"/>
          <w:szCs w:val="19"/>
          <w:color w:val="auto"/>
        </w:rPr>
      </w:pPr>
    </w:p>
    <w:p>
      <w:pPr>
        <w:ind w:right="20" w:firstLine="702"/>
        <w:spacing w:after="0" w:line="255" w:lineRule="auto"/>
        <w:tabs>
          <w:tab w:leader="none" w:pos="9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Additional Swingline Lenders</w:t>
      </w:r>
      <w:r>
        <w:rPr>
          <w:rFonts w:ascii="Times New Roman" w:cs="Times New Roman" w:eastAsia="Times New Roman" w:hAnsi="Times New Roman"/>
          <w:sz w:val="19"/>
          <w:szCs w:val="19"/>
          <w:color w:val="auto"/>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80" w:firstLine="702"/>
        <w:spacing w:after="0" w:line="257" w:lineRule="auto"/>
        <w:tabs>
          <w:tab w:leader="none" w:pos="96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Subject to the terms and conditions set forth herein, in addition to the Loans provided for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8" w:name="page159"/>
    <w:bookmarkEnd w:id="158"/>
    <w:p>
      <w:pPr>
        <w:spacing w:after="0" w:line="2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 xml:space="preserve">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50" w:lineRule="exact"/>
        <w:rPr>
          <w:sz w:val="20"/>
          <w:szCs w:val="20"/>
          <w:color w:val="auto"/>
        </w:rPr>
      </w:pPr>
    </w:p>
    <w:p>
      <w:pPr>
        <w:ind w:right="60" w:firstLine="702"/>
        <w:spacing w:after="0" w:line="253" w:lineRule="auto"/>
        <w:tabs>
          <w:tab w:leader="none" w:pos="97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Issuance, Amendment, Renewal or Extension</w:t>
      </w:r>
      <w:r>
        <w:rPr>
          <w:rFonts w:ascii="Times New Roman" w:cs="Times New Roman" w:eastAsia="Times New Roman" w:hAnsi="Times New Roman"/>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62" w:lineRule="exact"/>
        <w:rPr>
          <w:rFonts w:ascii="Times New Roman" w:cs="Times New Roman" w:eastAsia="Times New Roman" w:hAnsi="Times New Roman"/>
          <w:sz w:val="19"/>
          <w:szCs w:val="19"/>
          <w:color w:val="auto"/>
        </w:rPr>
      </w:pPr>
    </w:p>
    <w:p>
      <w:pPr>
        <w:ind w:firstLine="702"/>
        <w:spacing w:after="0" w:line="253" w:lineRule="auto"/>
        <w:tabs>
          <w:tab w:leader="none" w:pos="9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Amounts</w:t>
      </w:r>
      <w:r>
        <w:rPr>
          <w:rFonts w:ascii="Times New Roman" w:cs="Times New Roman" w:eastAsia="Times New Roman" w:hAnsi="Times New Roman"/>
          <w:sz w:val="19"/>
          <w:szCs w:val="19"/>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shall not exceed the amount set forth opposite the name of such Issuing Bank on </w:t>
      </w:r>
      <w:r>
        <w:rPr>
          <w:rFonts w:ascii="Times New Roman" w:cs="Times New Roman" w:eastAsia="Times New Roman" w:hAnsi="Times New Roman"/>
          <w:sz w:val="19"/>
          <w:szCs w:val="19"/>
          <w:u w:val="single" w:color="auto"/>
          <w:color w:val="auto"/>
        </w:rPr>
        <w:t>Schedule 2.05</w:t>
      </w:r>
      <w:r>
        <w:rPr>
          <w:rFonts w:ascii="Times New Roman" w:cs="Times New Roman" w:eastAsia="Times New Roman" w:hAnsi="Times New Roman"/>
          <w:sz w:val="19"/>
          <w:szCs w:val="19"/>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9" w:name="page160"/>
    <w:bookmarkEnd w:id="159"/>
    <w:p>
      <w:pPr>
        <w:spacing w:after="0" w:line="269" w:lineRule="exact"/>
        <w:rPr>
          <w:sz w:val="20"/>
          <w:szCs w:val="20"/>
          <w:color w:val="auto"/>
        </w:rPr>
      </w:pPr>
    </w:p>
    <w:p>
      <w:pPr>
        <w:ind w:right="100" w:firstLine="702"/>
        <w:spacing w:after="0" w:line="255" w:lineRule="auto"/>
        <w:tabs>
          <w:tab w:leader="none" w:pos="97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59" w:lineRule="exact"/>
        <w:rPr>
          <w:rFonts w:ascii="Times New Roman" w:cs="Times New Roman" w:eastAsia="Times New Roman" w:hAnsi="Times New Roman"/>
          <w:sz w:val="19"/>
          <w:szCs w:val="19"/>
          <w:color w:val="auto"/>
        </w:rPr>
      </w:pPr>
    </w:p>
    <w:p>
      <w:pPr>
        <w:ind w:firstLine="702"/>
        <w:spacing w:after="0" w:line="252" w:lineRule="auto"/>
        <w:tabs>
          <w:tab w:leader="none" w:pos="9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required to purchase a participation in a Letter of Credit pursuant to this </w:t>
      </w:r>
      <w:r>
        <w:rPr>
          <w:rFonts w:ascii="Times New Roman" w:cs="Times New Roman" w:eastAsia="Times New Roman" w:hAnsi="Times New Roman"/>
          <w:sz w:val="19"/>
          <w:szCs w:val="19"/>
          <w:u w:val="single" w:color="auto"/>
          <w:color w:val="auto"/>
        </w:rPr>
        <w:t>Section 2.05(e)</w:t>
      </w:r>
      <w:r>
        <w:rPr>
          <w:rFonts w:ascii="Times New Roman" w:cs="Times New Roman" w:eastAsia="Times New Roman" w:hAnsi="Times New Roman"/>
          <w:sz w:val="19"/>
          <w:szCs w:val="19"/>
          <w:color w:val="auto"/>
        </w:rPr>
        <w:t xml:space="preserve"> if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would not be satisfied in respect of a Borrowing at the time such Letter of Credit was issued and (y) 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71"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applicable Issuing Bank the amounts so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0" w:name="page161"/>
    <w:bookmarkEnd w:id="160"/>
    <w:p>
      <w:pPr>
        <w:spacing w:after="0" w:line="26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54" w:lineRule="exact"/>
        <w:rPr>
          <w:sz w:val="20"/>
          <w:szCs w:val="20"/>
          <w:color w:val="auto"/>
        </w:rPr>
      </w:pPr>
    </w:p>
    <w:p>
      <w:pPr>
        <w:ind w:right="20" w:firstLine="702"/>
        <w:spacing w:after="0" w:line="254" w:lineRule="auto"/>
        <w:tabs>
          <w:tab w:leader="none" w:pos="93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60" w:lineRule="exact"/>
        <w:rPr>
          <w:sz w:val="20"/>
          <w:szCs w:val="20"/>
          <w:color w:val="auto"/>
        </w:rPr>
      </w:pPr>
    </w:p>
    <w:p>
      <w:pPr>
        <w:jc w:val="both"/>
        <w:ind w:right="240" w:firstLine="1404"/>
        <w:spacing w:after="0" w:line="268" w:lineRule="auto"/>
        <w:rPr>
          <w:sz w:val="20"/>
          <w:szCs w:val="20"/>
          <w:color w:val="auto"/>
        </w:rPr>
      </w:pPr>
      <w:r>
        <w:rPr>
          <w:rFonts w:ascii="Times New Roman" w:cs="Times New Roman" w:eastAsia="Times New Roman" w:hAnsi="Times New Roman"/>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44" w:lineRule="exact"/>
        <w:rPr>
          <w:sz w:val="20"/>
          <w:szCs w:val="20"/>
          <w:color w:val="auto"/>
        </w:rPr>
      </w:pPr>
    </w:p>
    <w:p>
      <w:pPr>
        <w:ind w:firstLine="702"/>
        <w:spacing w:after="0" w:line="255" w:lineRule="auto"/>
        <w:tabs>
          <w:tab w:leader="none" w:pos="97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Borrower’s obligation to reimburse LC Disbursements as provided in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60"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1" w:name="page162"/>
    <w:bookmarkEnd w:id="161"/>
    <w:p>
      <w:pPr>
        <w:spacing w:after="0" w:line="26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spacing w:after="0" w:line="154" w:lineRule="exact"/>
        <w:rPr>
          <w:sz w:val="20"/>
          <w:szCs w:val="20"/>
          <w:color w:val="auto"/>
        </w:rPr>
      </w:pPr>
    </w:p>
    <w:p>
      <w:pPr>
        <w:ind w:left="700" w:firstLine="746"/>
        <w:spacing w:after="0" w:line="262" w:lineRule="auto"/>
        <w:tabs>
          <w:tab w:leader="none" w:pos="167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50" w:lineRule="exact"/>
        <w:rPr>
          <w:rFonts w:ascii="Times New Roman" w:cs="Times New Roman" w:eastAsia="Times New Roman" w:hAnsi="Times New Roman"/>
          <w:sz w:val="19"/>
          <w:szCs w:val="19"/>
          <w:color w:val="auto"/>
        </w:rPr>
      </w:pPr>
    </w:p>
    <w:p>
      <w:pPr>
        <w:ind w:left="700" w:right="260" w:firstLine="746"/>
        <w:spacing w:after="0" w:line="286" w:lineRule="auto"/>
        <w:tabs>
          <w:tab w:leader="none" w:pos="172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Banks shall have the right, in their sole discretion, to decline to accept such documents and to make such payment if such documents are not in strict compliance with the terms of such Letter of Credit; and</w:t>
      </w:r>
    </w:p>
    <w:p>
      <w:pPr>
        <w:spacing w:after="0" w:line="127" w:lineRule="exact"/>
        <w:rPr>
          <w:rFonts w:ascii="Times New Roman" w:cs="Times New Roman" w:eastAsia="Times New Roman" w:hAnsi="Times New Roman"/>
          <w:sz w:val="19"/>
          <w:szCs w:val="19"/>
          <w:color w:val="auto"/>
        </w:rPr>
      </w:pPr>
    </w:p>
    <w:p>
      <w:pPr>
        <w:ind w:left="700" w:right="100" w:firstLine="746"/>
        <w:spacing w:after="0" w:line="268" w:lineRule="auto"/>
        <w:tabs>
          <w:tab w:leader="none" w:pos="178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44" w:lineRule="exact"/>
        <w:rPr>
          <w:rFonts w:ascii="Times New Roman" w:cs="Times New Roman" w:eastAsia="Times New Roman" w:hAnsi="Times New Roman"/>
          <w:sz w:val="19"/>
          <w:szCs w:val="19"/>
          <w:color w:val="auto"/>
        </w:rPr>
      </w:pPr>
    </w:p>
    <w:p>
      <w:pPr>
        <w:ind w:right="140" w:firstLine="702"/>
        <w:spacing w:after="0" w:line="257" w:lineRule="auto"/>
        <w:tabs>
          <w:tab w:leader="none" w:pos="97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Disbursement Procedures</w:t>
      </w:r>
      <w:r>
        <w:rPr>
          <w:rFonts w:ascii="Times New Roman" w:cs="Times New Roman" w:eastAsia="Times New Roman" w:hAnsi="Times New Roman"/>
          <w:sz w:val="19"/>
          <w:szCs w:val="19"/>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56" w:lineRule="exact"/>
        <w:rPr>
          <w:rFonts w:ascii="Times New Roman" w:cs="Times New Roman" w:eastAsia="Times New Roman" w:hAnsi="Times New Roman"/>
          <w:sz w:val="19"/>
          <w:szCs w:val="19"/>
          <w:color w:val="auto"/>
        </w:rPr>
      </w:pPr>
    </w:p>
    <w:p>
      <w:pPr>
        <w:ind w:right="140" w:firstLine="702"/>
        <w:spacing w:after="0" w:line="255" w:lineRule="auto"/>
        <w:tabs>
          <w:tab w:leader="none" w:pos="92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Interim Interest</w:t>
      </w:r>
      <w:r>
        <w:rPr>
          <w:rFonts w:ascii="Times New Roman" w:cs="Times New Roman" w:eastAsia="Times New Roman" w:hAnsi="Times New Roman"/>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within two (2) Business Days following the date when due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then the provisions of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2.12(d)</w:t>
      </w:r>
      <w:r>
        <w:rPr>
          <w:rFonts w:ascii="Times New Roman" w:cs="Times New Roman" w:eastAsia="Times New Roman" w:hAnsi="Times New Roman"/>
          <w:sz w:val="19"/>
          <w:szCs w:val="19"/>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this Section to reimburse such Issuing Bank shall be for account of such Lender to the extent of such payment.</w:t>
      </w:r>
    </w:p>
    <w:p>
      <w:pPr>
        <w:spacing w:after="0" w:line="155" w:lineRule="exact"/>
        <w:rPr>
          <w:rFonts w:ascii="Times New Roman" w:cs="Times New Roman" w:eastAsia="Times New Roman" w:hAnsi="Times New Roman"/>
          <w:sz w:val="19"/>
          <w:szCs w:val="19"/>
          <w:color w:val="auto"/>
        </w:rPr>
      </w:pPr>
    </w:p>
    <w:p>
      <w:pPr>
        <w:jc w:val="both"/>
        <w:ind w:right="240" w:firstLine="702"/>
        <w:spacing w:after="0" w:line="268" w:lineRule="auto"/>
        <w:tabs>
          <w:tab w:leader="none" w:pos="92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and/or Replacement of an Issuing Bank</w:t>
      </w:r>
      <w:r>
        <w:rPr>
          <w:rFonts w:ascii="Times New Roman" w:cs="Times New Roman" w:eastAsia="Times New Roman" w:hAnsi="Times New Roman"/>
          <w:sz w:val="19"/>
          <w:szCs w:val="19"/>
          <w:color w:val="auto"/>
        </w:rPr>
        <w:t>. An Issuing Bank may resign and be replaced at any time by written agreement among the Borrower, the Administrative Agent, the resigning Issuing Bank and the successor Issuing Bank. In addition, if any Issuing Bank,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62" w:name="page163"/>
    <w:bookmarkEnd w:id="162"/>
    <w:p>
      <w:pPr>
        <w:spacing w:after="0" w:line="2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 xml:space="preserve">capacity as a Lender, assigns all of its Loans and Commitments in accordance with the terms of this Agreement, such Issuing Bank may, with the prior written consent of the Borrower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58"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(k) </w:t>
      </w: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xml:space="preserve">. If the Borrower shall be required to provide Cash Collateral for LC Exposure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the Borrower shall immediately deposit into a segregated collateral account or accounts (herein, collectively, the “</w:t>
      </w:r>
      <w:r>
        <w:rPr>
          <w:rFonts w:ascii="Times New Roman" w:cs="Times New Roman" w:eastAsia="Times New Roman" w:hAnsi="Times New Roman"/>
          <w:sz w:val="19"/>
          <w:szCs w:val="19"/>
          <w:u w:val="single" w:color="auto"/>
          <w:color w:val="auto"/>
        </w:rPr>
        <w:t>Letter of Credit Collateral Account</w:t>
      </w:r>
      <w:r>
        <w:rPr>
          <w:rFonts w:ascii="Times New Roman" w:cs="Times New Roman" w:eastAsia="Times New Roman" w:hAnsi="Times New Roman"/>
          <w:sz w:val="19"/>
          <w:szCs w:val="19"/>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60" w:lineRule="exact"/>
        <w:rPr>
          <w:sz w:val="20"/>
          <w:szCs w:val="20"/>
          <w:color w:val="auto"/>
        </w:rPr>
      </w:pPr>
    </w:p>
    <w:p>
      <w:pPr>
        <w:ind w:right="20" w:firstLine="702"/>
        <w:spacing w:after="0" w:line="257" w:lineRule="auto"/>
        <w:tabs>
          <w:tab w:leader="none" w:pos="92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Issuing Banks</w:t>
      </w:r>
      <w:r>
        <w:rPr>
          <w:rFonts w:ascii="Times New Roman" w:cs="Times New Roman" w:eastAsia="Times New Roman" w:hAnsi="Times New Roman"/>
          <w:sz w:val="19"/>
          <w:szCs w:val="19"/>
          <w:color w:val="auto"/>
        </w:rPr>
        <w:t xml:space="preserve">. From time to time, the Borrower may, by notice to the Administrative Agent, designate additional Extending Lenders as Issuing Banks, each of which agrees (in its sole discretion) to act in such capacity and is reasonably satisfactory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notice shall include an updated Schedule 2.05;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3" w:name="page164"/>
    <w:bookmarkEnd w:id="163"/>
    <w:p>
      <w:pPr>
        <w:spacing w:after="0" w:line="269" w:lineRule="exact"/>
        <w:rPr>
          <w:sz w:val="20"/>
          <w:szCs w:val="20"/>
          <w:color w:val="auto"/>
        </w:rPr>
      </w:pPr>
    </w:p>
    <w:p>
      <w:pPr>
        <w:ind w:left="694"/>
        <w:spacing w:after="0"/>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 w:right="80" w:firstLine="702"/>
        <w:spacing w:after="0" w:line="255" w:lineRule="auto"/>
        <w:tabs>
          <w:tab w:leader="none" w:pos="95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by Lenders</w:t>
      </w:r>
      <w:r>
        <w:rPr>
          <w:rFonts w:ascii="Times New Roman" w:cs="Times New Roman" w:eastAsia="Times New Roman" w:hAnsi="Times New Roman"/>
          <w:sz w:val="19"/>
          <w:szCs w:val="19"/>
          <w:color w:val="auto"/>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shall be made as provided in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Syndicated ABR Borrowings made to finance the reimbursement of an LC Disbursement as provided in </w:t>
      </w:r>
      <w:r>
        <w:rPr>
          <w:rFonts w:ascii="Times New Roman" w:cs="Times New Roman" w:eastAsia="Times New Roman" w:hAnsi="Times New Roman"/>
          <w:sz w:val="19"/>
          <w:szCs w:val="19"/>
          <w:u w:val="single" w:color="auto"/>
          <w:color w:val="auto"/>
        </w:rPr>
        <w:t>Section 2.05(f)</w:t>
      </w:r>
      <w:r>
        <w:rPr>
          <w:rFonts w:ascii="Times New Roman" w:cs="Times New Roman" w:eastAsia="Times New Roman" w:hAnsi="Times New Roman"/>
          <w:sz w:val="19"/>
          <w:szCs w:val="19"/>
          <w:color w:val="auto"/>
        </w:rPr>
        <w:t xml:space="preserve"> shall be remitted by the Administrative Agent to the applicable Issuing Bank.</w:t>
      </w:r>
    </w:p>
    <w:p>
      <w:pPr>
        <w:spacing w:after="0" w:line="159" w:lineRule="exact"/>
        <w:rPr>
          <w:rFonts w:ascii="Times New Roman" w:cs="Times New Roman" w:eastAsia="Times New Roman" w:hAnsi="Times New Roman"/>
          <w:sz w:val="19"/>
          <w:szCs w:val="19"/>
          <w:color w:val="auto"/>
        </w:rPr>
      </w:pPr>
    </w:p>
    <w:p>
      <w:pPr>
        <w:ind w:left="-6" w:right="20" w:firstLine="702"/>
        <w:spacing w:after="0" w:line="253" w:lineRule="auto"/>
        <w:tabs>
          <w:tab w:leader="none" w:pos="96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Presumption by the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65" w:lineRule="exact"/>
        <w:rPr>
          <w:sz w:val="20"/>
          <w:szCs w:val="20"/>
          <w:color w:val="auto"/>
        </w:rPr>
      </w:pPr>
    </w:p>
    <w:p>
      <w:pPr>
        <w:ind w:left="694"/>
        <w:spacing w:after="0"/>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 w:right="20" w:firstLine="702"/>
        <w:spacing w:after="0" w:line="254" w:lineRule="auto"/>
        <w:tabs>
          <w:tab w:leader="none" w:pos="95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Elections by the Borrower for Syndicated Borrowings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 Syndicated Borrowing of a Class may only be continued or converted into a Syndicated Borrowing of the same Class,</w:t>
      </w:r>
    </w:p>
    <w:p>
      <w:pPr>
        <w:spacing w:after="0" w:line="3" w:lineRule="exact"/>
        <w:rPr>
          <w:rFonts w:ascii="Times New Roman" w:cs="Times New Roman" w:eastAsia="Times New Roman" w:hAnsi="Times New Roman"/>
          <w:sz w:val="19"/>
          <w:szCs w:val="19"/>
          <w:color w:val="auto"/>
        </w:rPr>
      </w:pPr>
    </w:p>
    <w:p>
      <w:pPr>
        <w:ind w:left="-6" w:firstLine="6"/>
        <w:spacing w:after="0" w:line="254" w:lineRule="auto"/>
        <w:tabs>
          <w:tab w:leader="none" w:pos="27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Syndicated Borrowing denominated in one Currency may not be continued as, or converted to, a Syndicated Borrowing in a different Currency, (iii) prior to the Extended Commitment Termination Date, no Term Benchmark Borrowing denominated in a Foreign Currency or RFR Borrowing may be continued if, after giving effect thereto, the aggregate Revolving Multicurrency Credit Exposures would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888365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1440" w:right="700" w:bottom="1440" w:gutter="0" w:footer="0" w:header="0"/>
        </w:sectPr>
      </w:pPr>
    </w:p>
    <w:bookmarkStart w:id="164" w:name="page165"/>
    <w:bookmarkEnd w:id="164"/>
    <w:p>
      <w:pPr>
        <w:spacing w:after="0" w:line="2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154" w:lineRule="exact"/>
        <w:rPr>
          <w:sz w:val="20"/>
          <w:szCs w:val="20"/>
          <w:color w:val="auto"/>
        </w:rPr>
      </w:pPr>
    </w:p>
    <w:p>
      <w:pPr>
        <w:ind w:firstLine="702"/>
        <w:spacing w:after="0" w:line="256" w:lineRule="auto"/>
        <w:tabs>
          <w:tab w:leader="none" w:pos="97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Elections</w:t>
      </w:r>
      <w:r>
        <w:rPr>
          <w:rFonts w:ascii="Times New Roman" w:cs="Times New Roman" w:eastAsia="Times New Roman" w:hAnsi="Times New Roman"/>
          <w:sz w:val="19"/>
          <w:szCs w:val="19"/>
          <w:color w:val="auto"/>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spacing w:after="0" w:line="390" w:lineRule="exact"/>
        <w:rPr>
          <w:rFonts w:ascii="Times New Roman" w:cs="Times New Roman" w:eastAsia="Times New Roman" w:hAnsi="Times New Roman"/>
          <w:sz w:val="19"/>
          <w:szCs w:val="19"/>
          <w:color w:val="auto"/>
        </w:rPr>
      </w:pPr>
    </w:p>
    <w:p>
      <w:pPr>
        <w:ind w:right="380" w:firstLine="702"/>
        <w:spacing w:after="0" w:line="286" w:lineRule="auto"/>
        <w:tabs>
          <w:tab w:leader="none" w:pos="9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Content of Interest Election Requests</w:t>
      </w:r>
      <w:r>
        <w:rPr>
          <w:rFonts w:ascii="Times New Roman" w:cs="Times New Roman" w:eastAsia="Times New Roman" w:hAnsi="Times New Roman"/>
          <w:sz w:val="19"/>
          <w:szCs w:val="19"/>
          <w:color w:val="auto"/>
        </w:rPr>
        <w:t xml:space="preserve">. Each telephonic and written Interest Election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700" w:right="20" w:firstLine="746"/>
        <w:spacing w:after="0" w:line="262" w:lineRule="auto"/>
        <w:tabs>
          <w:tab w:leader="none" w:pos="1673"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of this paragraph shall be specified for each resulting Borrowing);</w:t>
      </w:r>
    </w:p>
    <w:p>
      <w:pPr>
        <w:spacing w:after="0" w:line="150"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201" w:lineRule="exact"/>
        <w:rPr>
          <w:rFonts w:ascii="Times New Roman" w:cs="Times New Roman" w:eastAsia="Times New Roman" w:hAnsi="Times New Roman"/>
          <w:sz w:val="19"/>
          <w:szCs w:val="19"/>
          <w:color w:val="auto"/>
        </w:rPr>
      </w:pPr>
    </w:p>
    <w:p>
      <w:pPr>
        <w:ind w:left="700" w:right="120" w:firstLine="746"/>
        <w:spacing w:after="0" w:line="286" w:lineRule="auto"/>
        <w:tabs>
          <w:tab w:leader="none" w:pos="178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in the case of a Borrowing denominated in Dollars, the resulting Borrowing is to be an ABR Borrowing or a Term Benchmark Borrowing; and</w:t>
      </w:r>
    </w:p>
    <w:p>
      <w:pPr>
        <w:spacing w:after="0" w:line="127" w:lineRule="exact"/>
        <w:rPr>
          <w:rFonts w:ascii="Times New Roman" w:cs="Times New Roman" w:eastAsia="Times New Roman" w:hAnsi="Times New Roman"/>
          <w:sz w:val="19"/>
          <w:szCs w:val="19"/>
          <w:color w:val="auto"/>
        </w:rPr>
      </w:pPr>
    </w:p>
    <w:p>
      <w:pPr>
        <w:ind w:left="700" w:right="40" w:firstLine="746"/>
        <w:spacing w:after="0" w:line="268" w:lineRule="auto"/>
        <w:tabs>
          <w:tab w:leader="none" w:pos="176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740" w:firstLine="702"/>
        <w:spacing w:after="0" w:line="268" w:lineRule="auto"/>
        <w:tabs>
          <w:tab w:leader="none" w:pos="97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the Administrative Agent to the Lenders</w:t>
      </w:r>
      <w:r>
        <w:rPr>
          <w:rFonts w:ascii="Times New Roman" w:cs="Times New Roman" w:eastAsia="Times New Roman" w:hAnsi="Times New Roman"/>
          <w:sz w:val="19"/>
          <w:szCs w:val="19"/>
          <w:color w:val="auto"/>
        </w:rPr>
        <w:t>. Promptly following receipt of an Interest Election Request, the Administrative Agent shall advise each applicable Lender of the details thereof and of such Lender’s portion of each resulting Borrowing.</w:t>
      </w:r>
    </w:p>
    <w:p>
      <w:pPr>
        <w:spacing w:after="0" w:line="144" w:lineRule="exact"/>
        <w:rPr>
          <w:rFonts w:ascii="Times New Roman" w:cs="Times New Roman" w:eastAsia="Times New Roman" w:hAnsi="Times New Roman"/>
          <w:sz w:val="19"/>
          <w:szCs w:val="19"/>
          <w:color w:val="auto"/>
        </w:rPr>
      </w:pPr>
    </w:p>
    <w:p>
      <w:pPr>
        <w:ind w:right="100" w:firstLine="702"/>
        <w:spacing w:after="0" w:line="259" w:lineRule="auto"/>
        <w:tabs>
          <w:tab w:leader="none" w:pos="9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Elect; Events of Default</w:t>
      </w:r>
      <w:r>
        <w:rPr>
          <w:rFonts w:ascii="Times New Roman" w:cs="Times New Roman" w:eastAsia="Times New Roman" w:hAnsi="Times New Roman"/>
          <w:sz w:val="19"/>
          <w:szCs w:val="19"/>
          <w:color w:val="auto"/>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5" w:name="page166"/>
    <w:bookmarkEnd w:id="165"/>
    <w:p>
      <w:pPr>
        <w:spacing w:after="0" w:line="2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2.08. </w:t>
      </w:r>
      <w:r>
        <w:rPr>
          <w:rFonts w:ascii="Times New Roman" w:cs="Times New Roman" w:eastAsia="Times New Roman" w:hAnsi="Times New Roman"/>
          <w:sz w:val="19"/>
          <w:szCs w:val="19"/>
          <w:u w:val="single" w:color="auto"/>
          <w:color w:val="auto"/>
        </w:rPr>
        <w:t>Termination, Reduction or Increase of the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62" w:lineRule="auto"/>
        <w:tabs>
          <w:tab w:leader="none" w:pos="9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Scheduled Termination</w:t>
      </w:r>
      <w:r>
        <w:rPr>
          <w:rFonts w:ascii="Times New Roman" w:cs="Times New Roman" w:eastAsia="Times New Roman" w:hAnsi="Times New Roman"/>
          <w:sz w:val="19"/>
          <w:szCs w:val="19"/>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50" w:lineRule="exact"/>
        <w:rPr>
          <w:rFonts w:ascii="Times New Roman" w:cs="Times New Roman" w:eastAsia="Times New Roman" w:hAnsi="Times New Roman"/>
          <w:sz w:val="19"/>
          <w:szCs w:val="19"/>
          <w:color w:val="auto"/>
        </w:rPr>
      </w:pPr>
    </w:p>
    <w:p>
      <w:pPr>
        <w:ind w:right="20" w:firstLine="702"/>
        <w:spacing w:after="0" w:line="255" w:lineRule="auto"/>
        <w:tabs>
          <w:tab w:leader="none" w:pos="97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Termination or Reduction</w:t>
      </w:r>
      <w:r>
        <w:rPr>
          <w:rFonts w:ascii="Times New Roman" w:cs="Times New Roman" w:eastAsia="Times New Roman" w:hAnsi="Times New Roman"/>
          <w:sz w:val="19"/>
          <w:szCs w:val="19"/>
          <w:color w:val="auto"/>
        </w:rPr>
        <w:t xml:space="preserve">. The Borrower may at any time without premium or penalty terminate, or from time to time reduce, the Commitments of either Class of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19"/>
          <w:szCs w:val="19"/>
          <w:u w:val="single" w:color="auto"/>
          <w:color w:val="auto"/>
        </w:rPr>
        <w:t>Section 2.04(a)(i)</w:t>
      </w:r>
      <w:r>
        <w:rPr>
          <w:rFonts w:ascii="Times New Roman" w:cs="Times New Roman" w:eastAsia="Times New Roman" w:hAnsi="Times New Roman"/>
          <w:sz w:val="19"/>
          <w:szCs w:val="19"/>
          <w:color w:val="auto"/>
        </w:rPr>
        <w:t xml:space="preserve"> and the Letters of Credit permitted under </w:t>
      </w:r>
      <w:r>
        <w:rPr>
          <w:rFonts w:ascii="Times New Roman" w:cs="Times New Roman" w:eastAsia="Times New Roman" w:hAnsi="Times New Roman"/>
          <w:sz w:val="19"/>
          <w:szCs w:val="19"/>
          <w:u w:val="single" w:color="auto"/>
          <w:color w:val="auto"/>
        </w:rPr>
        <w:t>Section 2.05(c)(i)</w:t>
      </w:r>
      <w:r>
        <w:rPr>
          <w:rFonts w:ascii="Times New Roman" w:cs="Times New Roman" w:eastAsia="Times New Roman" w:hAnsi="Times New Roman"/>
          <w:sz w:val="19"/>
          <w:szCs w:val="19"/>
          <w:color w:val="auto"/>
        </w:rPr>
        <w:t xml:space="preserve"> shall result in a dollar-for-dollar reduction of such amounts as applicable.</w:t>
      </w:r>
    </w:p>
    <w:p>
      <w:pPr>
        <w:spacing w:after="0" w:line="159" w:lineRule="exact"/>
        <w:rPr>
          <w:rFonts w:ascii="Times New Roman" w:cs="Times New Roman" w:eastAsia="Times New Roman" w:hAnsi="Times New Roman"/>
          <w:sz w:val="19"/>
          <w:szCs w:val="19"/>
          <w:color w:val="auto"/>
        </w:rPr>
      </w:pPr>
    </w:p>
    <w:p>
      <w:pPr>
        <w:ind w:right="20" w:firstLine="702"/>
        <w:spacing w:after="0" w:line="256" w:lineRule="auto"/>
        <w:tabs>
          <w:tab w:leader="none" w:pos="9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Voluntary Termination or Reduction</w:t>
      </w:r>
      <w:r>
        <w:rPr>
          <w:rFonts w:ascii="Times New Roman" w:cs="Times New Roman" w:eastAsia="Times New Roman" w:hAnsi="Times New Roman"/>
          <w:sz w:val="19"/>
          <w:szCs w:val="19"/>
          <w:color w:val="auto"/>
        </w:rPr>
        <w:t xml:space="preserve">. The Borrower shall notify the Administrative Agent of any election to terminate or reduce the Commitments under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spacing w:after="0" w:line="157" w:lineRule="exact"/>
        <w:rPr>
          <w:rFonts w:ascii="Times New Roman" w:cs="Times New Roman" w:eastAsia="Times New Roman" w:hAnsi="Times New Roman"/>
          <w:sz w:val="19"/>
          <w:szCs w:val="19"/>
          <w:color w:val="auto"/>
        </w:rPr>
      </w:pPr>
    </w:p>
    <w:p>
      <w:pPr>
        <w:ind w:firstLine="702"/>
        <w:spacing w:after="0" w:line="268" w:lineRule="auto"/>
        <w:tabs>
          <w:tab w:leader="none" w:pos="97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Termination or Reduction</w:t>
      </w:r>
      <w:r>
        <w:rPr>
          <w:rFonts w:ascii="Times New Roman" w:cs="Times New Roman" w:eastAsia="Times New Roman" w:hAnsi="Times New Roman"/>
          <w:sz w:val="19"/>
          <w:szCs w:val="19"/>
          <w:color w:val="auto"/>
        </w:rPr>
        <w:t xml:space="preserve">. Any termination or reduction of the Commitments of a Class of Commitments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permanent. Each reduction of the Commitments of a Class of Commitments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made ratably among the Lenders of such Class in accordance with their respective Commitments.</w:t>
      </w:r>
    </w:p>
    <w:p>
      <w:pPr>
        <w:spacing w:after="0" w:line="144"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 of the Commitments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6" w:name="page167"/>
    <w:bookmarkEnd w:id="166"/>
    <w:p>
      <w:pPr>
        <w:spacing w:after="0" w:line="269" w:lineRule="exact"/>
        <w:rPr>
          <w:sz w:val="20"/>
          <w:szCs w:val="20"/>
          <w:color w:val="auto"/>
        </w:rPr>
      </w:pPr>
    </w:p>
    <w:p>
      <w:pPr>
        <w:ind w:left="-80" w:right="20" w:firstLine="746"/>
        <w:spacing w:after="0" w:line="255" w:lineRule="auto"/>
        <w:tabs>
          <w:tab w:leader="none" w:pos="89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Requests for Increase by Borrower</w:t>
      </w:r>
      <w:r>
        <w:rPr>
          <w:rFonts w:ascii="Times New Roman" w:cs="Times New Roman" w:eastAsia="Times New Roman" w:hAnsi="Times New Roman"/>
          <w:sz w:val="19"/>
          <w:szCs w:val="19"/>
          <w:color w:val="auto"/>
        </w:rPr>
        <w:t>. The Borrower may, at any time, request that the Commitments hereunder of a Class of Commitments be increased (each such proposed increase being a “</w:t>
      </w:r>
      <w:r>
        <w:rPr>
          <w:rFonts w:ascii="Times New Roman" w:cs="Times New Roman" w:eastAsia="Times New Roman" w:hAnsi="Times New Roman"/>
          <w:sz w:val="19"/>
          <w:szCs w:val="19"/>
          <w:u w:val="single" w:color="auto"/>
          <w:color w:val="auto"/>
        </w:rPr>
        <w:t>Commitment Increase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 Class of Non-Extended Loans be increased hereunder), upon notice to the Administrative Agent (who shall promptly notify the Lenders), which notice shall specify each existing Lender (each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and/or each additional lender (each an “</w:t>
      </w:r>
      <w:r>
        <w:rPr>
          <w:rFonts w:ascii="Times New Roman" w:cs="Times New Roman" w:eastAsia="Times New Roman" w:hAnsi="Times New Roman"/>
          <w:sz w:val="19"/>
          <w:szCs w:val="19"/>
          <w:u w:val="single" w:color="auto"/>
          <w:color w:val="auto"/>
        </w:rPr>
        <w:t>Assuming Lender</w:t>
      </w:r>
      <w:r>
        <w:rPr>
          <w:rFonts w:ascii="Times New Roman" w:cs="Times New Roman" w:eastAsia="Times New Roman" w:hAnsi="Times New Roman"/>
          <w:sz w:val="19"/>
          <w:szCs w:val="19"/>
          <w:color w:val="auto"/>
        </w:rPr>
        <w:t>”) that shall have agreed to an additional Commitment and the date on which such increase is expected to be effective (the date of actual effectiveness, the “</w:t>
      </w:r>
      <w:r>
        <w:rPr>
          <w:rFonts w:ascii="Times New Roman" w:cs="Times New Roman" w:eastAsia="Times New Roman" w:hAnsi="Times New Roman"/>
          <w:sz w:val="19"/>
          <w:szCs w:val="19"/>
          <w:u w:val="single" w:color="auto"/>
          <w:color w:val="auto"/>
        </w:rPr>
        <w:t>Commitment Increase Date</w:t>
      </w:r>
      <w:r>
        <w:rPr>
          <w:rFonts w:ascii="Times New Roman" w:cs="Times New Roman" w:eastAsia="Times New Roman" w:hAnsi="Times New Roman"/>
          <w:sz w:val="19"/>
          <w:szCs w:val="19"/>
          <w:color w:val="auto"/>
        </w:rPr>
        <w:t xml:space="preserve">”), which shall be a Business Day at least three (3) Business Days (or such shorter period as the Administrative Agent may reasonably agree) after delivery of such notice and at least 30 days prior to the Extended Commitment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9" w:lineRule="exact"/>
        <w:rPr>
          <w:rFonts w:ascii="Times New Roman" w:cs="Times New Roman" w:eastAsia="Times New Roman" w:hAnsi="Times New Roman"/>
          <w:sz w:val="19"/>
          <w:szCs w:val="19"/>
          <w:color w:val="auto"/>
        </w:rPr>
      </w:pPr>
    </w:p>
    <w:p>
      <w:pPr>
        <w:ind w:left="640" w:right="80" w:firstLine="795"/>
        <w:spacing w:after="0" w:line="262" w:lineRule="auto"/>
        <w:tabs>
          <w:tab w:leader="none" w:pos="1759"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50" w:lineRule="exact"/>
        <w:rPr>
          <w:rFonts w:ascii="Times New Roman" w:cs="Times New Roman" w:eastAsia="Times New Roman" w:hAnsi="Times New Roman"/>
          <w:sz w:val="19"/>
          <w:szCs w:val="19"/>
          <w:color w:val="auto"/>
        </w:rPr>
      </w:pPr>
    </w:p>
    <w:p>
      <w:pPr>
        <w:ind w:left="640" w:right="100" w:firstLine="795"/>
        <w:spacing w:after="0" w:line="268" w:lineRule="auto"/>
        <w:tabs>
          <w:tab w:leader="none" w:pos="1748"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effect to such Commitment Increase (including, if applicable, the substantially concurrent reduction of the Commitments of a Non-Extending Lender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the total Commitments of all of the Lenders hereunder shall not exceed $2,000,000,000;</w:t>
      </w:r>
    </w:p>
    <w:p>
      <w:pPr>
        <w:spacing w:after="0" w:line="144" w:lineRule="exact"/>
        <w:rPr>
          <w:rFonts w:ascii="Times New Roman" w:cs="Times New Roman" w:eastAsia="Times New Roman" w:hAnsi="Times New Roman"/>
          <w:sz w:val="19"/>
          <w:szCs w:val="19"/>
          <w:color w:val="auto"/>
        </w:rPr>
      </w:pPr>
    </w:p>
    <w:p>
      <w:pPr>
        <w:ind w:left="640" w:right="180" w:firstLine="795"/>
        <w:spacing w:after="0" w:line="286" w:lineRule="auto"/>
        <w:tabs>
          <w:tab w:leader="none" w:pos="1748"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Assuming Lender shall be consented to by the Administrative Agent, each Issuing Bank and each Swingline Lender (such consent not to be unreasonably withheld or delayed);</w:t>
      </w:r>
    </w:p>
    <w:p>
      <w:pPr>
        <w:spacing w:after="0" w:line="127" w:lineRule="exact"/>
        <w:rPr>
          <w:rFonts w:ascii="Times New Roman" w:cs="Times New Roman" w:eastAsia="Times New Roman" w:hAnsi="Times New Roman"/>
          <w:sz w:val="19"/>
          <w:szCs w:val="19"/>
          <w:color w:val="auto"/>
        </w:rPr>
      </w:pPr>
    </w:p>
    <w:p>
      <w:pPr>
        <w:ind w:left="640" w:right="380" w:firstLine="795"/>
        <w:spacing w:after="0" w:line="286" w:lineRule="auto"/>
        <w:tabs>
          <w:tab w:leader="none" w:pos="1759"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shall have occurred and be continuing on such Commitment Increase Date or shall result from the proposed Commitment Increase; and</w:t>
      </w:r>
    </w:p>
    <w:p>
      <w:pPr>
        <w:spacing w:after="0" w:line="127" w:lineRule="exact"/>
        <w:rPr>
          <w:rFonts w:ascii="Times New Roman" w:cs="Times New Roman" w:eastAsia="Times New Roman" w:hAnsi="Times New Roman"/>
          <w:sz w:val="19"/>
          <w:szCs w:val="19"/>
          <w:color w:val="auto"/>
        </w:rPr>
      </w:pPr>
    </w:p>
    <w:p>
      <w:pPr>
        <w:ind w:left="640" w:right="200" w:firstLine="795"/>
        <w:spacing w:after="0" w:line="259" w:lineRule="auto"/>
        <w:tabs>
          <w:tab w:leader="none" w:pos="1737"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53" w:lineRule="exact"/>
        <w:rPr>
          <w:rFonts w:ascii="Times New Roman" w:cs="Times New Roman" w:eastAsia="Times New Roman" w:hAnsi="Times New Roman"/>
          <w:sz w:val="19"/>
          <w:szCs w:val="19"/>
          <w:color w:val="auto"/>
        </w:rPr>
      </w:pPr>
    </w:p>
    <w:p>
      <w:pPr>
        <w:ind w:left="-80" w:firstLine="746"/>
        <w:spacing w:after="0" w:line="268" w:lineRule="auto"/>
        <w:tabs>
          <w:tab w:leader="none" w:pos="95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Effectiveness of Commitment Increase by Borrower</w:t>
      </w:r>
      <w:r>
        <w:rPr>
          <w:rFonts w:ascii="Times New Roman" w:cs="Times New Roman" w:eastAsia="Times New Roman" w:hAnsi="Times New Roman"/>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44" w:lineRule="exact"/>
        <w:rPr>
          <w:sz w:val="20"/>
          <w:szCs w:val="20"/>
          <w:color w:val="auto"/>
        </w:rPr>
      </w:pPr>
    </w:p>
    <w:p>
      <w:pPr>
        <w:ind w:left="640" w:right="340" w:firstLine="795"/>
        <w:spacing w:after="0" w:line="268" w:lineRule="auto"/>
        <w:tabs>
          <w:tab w:leader="none" w:pos="171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on or prior to 11:00 a.m., New York City time, on such Commitment Increase Date (or on or prior to a time on an earlier date specified by the Administrative Agent) a certificate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880110</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67" w:name="page168"/>
    <w:bookmarkEnd w:id="167"/>
    <w:p>
      <w:pPr>
        <w:spacing w:after="0" w:line="269" w:lineRule="exact"/>
        <w:rPr>
          <w:sz w:val="20"/>
          <w:szCs w:val="20"/>
          <w:color w:val="auto"/>
        </w:rPr>
      </w:pPr>
    </w:p>
    <w:p>
      <w:pPr>
        <w:ind w:left="1420" w:right="40"/>
        <w:spacing w:after="0" w:line="286" w:lineRule="auto"/>
        <w:rPr>
          <w:sz w:val="20"/>
          <w:szCs w:val="20"/>
          <w:color w:val="auto"/>
        </w:rPr>
      </w:pPr>
      <w:r>
        <w:rPr>
          <w:rFonts w:ascii="Times New Roman" w:cs="Times New Roman" w:eastAsia="Times New Roman" w:hAnsi="Times New Roman"/>
          <w:sz w:val="19"/>
          <w:szCs w:val="19"/>
          <w:color w:val="auto"/>
        </w:rPr>
        <w:t xml:space="preserve">duly authorized officer of the Borrower stating that each of the applicable conditions to such Commitment Increase set forth in the foregoing </w:t>
      </w:r>
      <w:r>
        <w:rPr>
          <w:rFonts w:ascii="Times New Roman" w:cs="Times New Roman" w:eastAsia="Times New Roman" w:hAnsi="Times New Roman"/>
          <w:sz w:val="19"/>
          <w:szCs w:val="19"/>
          <w:u w:val="single" w:color="auto"/>
          <w:color w:val="auto"/>
        </w:rPr>
        <w:t>paragraph (i)</w:t>
      </w:r>
      <w:r>
        <w:rPr>
          <w:rFonts w:ascii="Times New Roman" w:cs="Times New Roman" w:eastAsia="Times New Roman" w:hAnsi="Times New Roman"/>
          <w:sz w:val="19"/>
          <w:szCs w:val="19"/>
          <w:color w:val="auto"/>
        </w:rPr>
        <w:t xml:space="preserve"> has been satisfied; and</w:t>
      </w:r>
    </w:p>
    <w:p>
      <w:pPr>
        <w:spacing w:after="0" w:line="127" w:lineRule="exact"/>
        <w:rPr>
          <w:sz w:val="20"/>
          <w:szCs w:val="20"/>
          <w:color w:val="auto"/>
        </w:rPr>
      </w:pPr>
    </w:p>
    <w:p>
      <w:pPr>
        <w:ind w:left="1420" w:right="20" w:firstLine="795"/>
        <w:spacing w:after="0" w:line="256" w:lineRule="auto"/>
        <w:tabs>
          <w:tab w:leader="none" w:pos="249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w:t>
      </w:r>
      <w:r>
        <w:rPr>
          <w:rFonts w:ascii="Times New Roman" w:cs="Times New Roman" w:eastAsia="Times New Roman" w:hAnsi="Times New Roman"/>
          <w:sz w:val="19"/>
          <w:szCs w:val="19"/>
          <w:u w:val="single" w:color="auto"/>
          <w:color w:val="auto"/>
        </w:rPr>
        <w:t>Commitment Increase Supplement</w:t>
      </w:r>
      <w:r>
        <w:rPr>
          <w:rFonts w:ascii="Times New Roman" w:cs="Times New Roman" w:eastAsia="Times New Roman" w:hAnsi="Times New Roman"/>
          <w:sz w:val="19"/>
          <w:szCs w:val="19"/>
          <w:color w:val="auto"/>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57" w:lineRule="exact"/>
        <w:rPr>
          <w:sz w:val="20"/>
          <w:szCs w:val="20"/>
          <w:color w:val="auto"/>
        </w:rPr>
      </w:pPr>
    </w:p>
    <w:p>
      <w:pPr>
        <w:jc w:val="both"/>
        <w:ind w:left="700" w:right="60"/>
        <w:spacing w:after="0" w:line="268" w:lineRule="auto"/>
        <w:rPr>
          <w:sz w:val="20"/>
          <w:szCs w:val="20"/>
          <w:color w:val="auto"/>
        </w:rPr>
      </w:pPr>
      <w:r>
        <w:rPr>
          <w:rFonts w:ascii="Times New Roman" w:cs="Times New Roman" w:eastAsia="Times New Roman" w:hAnsi="Times New Roman"/>
          <w:sz w:val="19"/>
          <w:szCs w:val="19"/>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44" w:lineRule="exact"/>
        <w:rPr>
          <w:sz w:val="20"/>
          <w:szCs w:val="20"/>
          <w:color w:val="auto"/>
        </w:rPr>
      </w:pPr>
    </w:p>
    <w:p>
      <w:pPr>
        <w:ind w:left="700" w:right="40" w:firstLine="746"/>
        <w:spacing w:after="0" w:line="262" w:lineRule="auto"/>
        <w:tabs>
          <w:tab w:leader="none" w:pos="178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Recordation into Register</w:t>
      </w:r>
      <w:r>
        <w:rPr>
          <w:rFonts w:ascii="Times New Roman" w:cs="Times New Roman" w:eastAsia="Times New Roman" w:hAnsi="Times New Roman"/>
          <w:sz w:val="19"/>
          <w:szCs w:val="19"/>
          <w:color w:val="auto"/>
        </w:rPr>
        <w:t xml:space="preserve">. Upon its receipt of a Commitment Increase Supplement executed by an Assuming Lender or any Increasing Lender, together with the certificate referred to in </w:t>
      </w:r>
      <w:r>
        <w:rPr>
          <w:rFonts w:ascii="Times New Roman" w:cs="Times New Roman" w:eastAsia="Times New Roman" w:hAnsi="Times New Roman"/>
          <w:sz w:val="19"/>
          <w:szCs w:val="19"/>
          <w:u w:val="single" w:color="auto"/>
          <w:color w:val="auto"/>
        </w:rPr>
        <w:t>clause (ii)(x)</w:t>
      </w:r>
      <w:r>
        <w:rPr>
          <w:rFonts w:ascii="Times New Roman" w:cs="Times New Roman" w:eastAsia="Times New Roman" w:hAnsi="Times New Roman"/>
          <w:sz w:val="19"/>
          <w:szCs w:val="19"/>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50" w:lineRule="exact"/>
        <w:rPr>
          <w:rFonts w:ascii="Times New Roman" w:cs="Times New Roman" w:eastAsia="Times New Roman" w:hAnsi="Times New Roman"/>
          <w:sz w:val="19"/>
          <w:szCs w:val="19"/>
          <w:color w:val="auto"/>
        </w:rPr>
      </w:pPr>
    </w:p>
    <w:p>
      <w:pPr>
        <w:ind w:left="700" w:firstLine="746"/>
        <w:spacing w:after="0" w:line="253" w:lineRule="auto"/>
        <w:tabs>
          <w:tab w:leader="none" w:pos="176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of Borrowings upon Effectiveness of Increase</w:t>
      </w:r>
      <w:r>
        <w:rPr>
          <w:rFonts w:ascii="Times New Roman" w:cs="Times New Roman" w:eastAsia="Times New Roman" w:hAnsi="Times New Roman"/>
          <w:sz w:val="19"/>
          <w:szCs w:val="19"/>
          <w:color w:val="auto"/>
        </w:rPr>
        <w:t xml:space="preserve">. On the Commitment Increase Date, the Borrower shall (A) prepay the outstanding Loans (if any) of the affected Class of Commitments in full, (B) simultaneously borrow new Loans of such Class hereunder in an amount equal to such prepayment (which may also include the amount of any fees, expenses or amounts due by the Borrower on or prior to the Commitment Increase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spacing w:after="0" w:line="162"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Reduction of Non-Extending Lenders’ Commitment</w:t>
      </w:r>
      <w:r>
        <w:rPr>
          <w:rFonts w:ascii="Times New Roman" w:cs="Times New Roman" w:eastAsia="Times New Roman" w:hAnsi="Times New Roman"/>
          <w:sz w:val="19"/>
          <w:szCs w:val="19"/>
          <w:color w:val="auto"/>
        </w:rPr>
        <w:t xml:space="preserve">. Notwithstanding anything to the contrary herein (including </w:t>
      </w:r>
      <w:r>
        <w:rPr>
          <w:rFonts w:ascii="Times New Roman" w:cs="Times New Roman" w:eastAsia="Times New Roman" w:hAnsi="Times New Roman"/>
          <w:sz w:val="19"/>
          <w:szCs w:val="19"/>
          <w:u w:val="single" w:color="auto"/>
          <w:color w:val="auto"/>
        </w:rPr>
        <w:t>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2.08(d)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902335</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8" w:name="page169"/>
    <w:bookmarkEnd w:id="168"/>
    <w:p>
      <w:pPr>
        <w:spacing w:after="0" w:line="269" w:lineRule="exact"/>
        <w:rPr>
          <w:sz w:val="20"/>
          <w:szCs w:val="20"/>
          <w:color w:val="auto"/>
        </w:rPr>
      </w:pPr>
    </w:p>
    <w:p>
      <w:pPr>
        <w:ind w:left="700" w:right="300" w:firstLine="746"/>
        <w:spacing w:after="0" w:line="259" w:lineRule="auto"/>
        <w:tabs>
          <w:tab w:leader="none" w:pos="167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53" w:lineRule="exact"/>
        <w:rPr>
          <w:rFonts w:ascii="Times New Roman" w:cs="Times New Roman" w:eastAsia="Times New Roman" w:hAnsi="Times New Roman"/>
          <w:sz w:val="19"/>
          <w:szCs w:val="19"/>
          <w:color w:val="auto"/>
        </w:rPr>
      </w:pPr>
    </w:p>
    <w:p>
      <w:pPr>
        <w:ind w:left="700" w:right="60" w:firstLine="746"/>
        <w:spacing w:after="0" w:line="259" w:lineRule="auto"/>
        <w:tabs>
          <w:tab w:leader="none" w:pos="172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notify the Administrative Agent of any election to terminate or reduce the Commitment of any Non-Extending Lender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at least three (3)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irrevocable.</w:t>
      </w:r>
    </w:p>
    <w:p>
      <w:pPr>
        <w:spacing w:after="0" w:line="153" w:lineRule="exact"/>
        <w:rPr>
          <w:rFonts w:ascii="Times New Roman" w:cs="Times New Roman" w:eastAsia="Times New Roman" w:hAnsi="Times New Roman"/>
          <w:sz w:val="19"/>
          <w:szCs w:val="19"/>
          <w:color w:val="auto"/>
        </w:rPr>
      </w:pPr>
    </w:p>
    <w:p>
      <w:pPr>
        <w:ind w:left="700" w:firstLine="746"/>
        <w:spacing w:after="0" w:line="268" w:lineRule="auto"/>
        <w:tabs>
          <w:tab w:leader="none" w:pos="17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termination or reduction of the Commitment of any Non-Extending Lender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permanent and shall be made concurrently with all required reallocation prepayments and cash collateralizations required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560" w:firstLine="702"/>
        <w:spacing w:after="0" w:line="286" w:lineRule="auto"/>
        <w:tabs>
          <w:tab w:leader="none" w:pos="96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w:t>
      </w:r>
      <w:r>
        <w:rPr>
          <w:rFonts w:ascii="Times New Roman" w:cs="Times New Roman" w:eastAsia="Times New Roman" w:hAnsi="Times New Roman"/>
          <w:sz w:val="19"/>
          <w:szCs w:val="19"/>
          <w:color w:val="auto"/>
        </w:rPr>
        <w:t>. The Borrower hereby unconditionally promises to pay the Loans of each Class of Final Maturity Date or Commitments, as applicable, as follows:</w:t>
      </w:r>
    </w:p>
    <w:p>
      <w:pPr>
        <w:spacing w:after="0" w:line="127" w:lineRule="exact"/>
        <w:rPr>
          <w:rFonts w:ascii="Times New Roman" w:cs="Times New Roman" w:eastAsia="Times New Roman" w:hAnsi="Times New Roman"/>
          <w:sz w:val="19"/>
          <w:szCs w:val="19"/>
          <w:color w:val="auto"/>
        </w:rPr>
      </w:pPr>
    </w:p>
    <w:p>
      <w:pPr>
        <w:ind w:left="700" w:right="140" w:firstLine="746"/>
        <w:spacing w:after="0" w:line="268" w:lineRule="auto"/>
        <w:tabs>
          <w:tab w:leader="none" w:pos="1673"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44" w:lineRule="exact"/>
        <w:rPr>
          <w:rFonts w:ascii="Times New Roman" w:cs="Times New Roman" w:eastAsia="Times New Roman" w:hAnsi="Times New Roman"/>
          <w:sz w:val="19"/>
          <w:szCs w:val="19"/>
          <w:color w:val="auto"/>
        </w:rPr>
      </w:pPr>
    </w:p>
    <w:p>
      <w:pPr>
        <w:ind w:left="700" w:right="60" w:firstLine="746"/>
        <w:spacing w:after="0" w:line="259" w:lineRule="auto"/>
        <w:tabs>
          <w:tab w:leader="none" w:pos="1727"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(10) Business Days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Syndicated Borrowing of such Class of Commitment is made, the Borrower shall repay all Swingline Loans of such Class of Commitment then outstanding.</w:t>
      </w:r>
    </w:p>
    <w:p>
      <w:pPr>
        <w:spacing w:after="0" w:line="154"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54" w:lineRule="exact"/>
        <w:rPr>
          <w:sz w:val="20"/>
          <w:szCs w:val="20"/>
          <w:color w:val="auto"/>
        </w:rPr>
      </w:pPr>
    </w:p>
    <w:p>
      <w:pPr>
        <w:jc w:val="both"/>
        <w:ind w:right="60" w:firstLine="702"/>
        <w:spacing w:after="0" w:line="268" w:lineRule="auto"/>
        <w:tabs>
          <w:tab w:leader="none" w:pos="9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Manner of Payment</w:t>
      </w:r>
      <w:r>
        <w:rPr>
          <w:rFonts w:ascii="Times New Roman" w:cs="Times New Roman" w:eastAsia="Times New Roman" w:hAnsi="Times New Roman"/>
          <w:sz w:val="19"/>
          <w:szCs w:val="19"/>
          <w:color w:val="auto"/>
        </w:rPr>
        <w:t>. Prior to any repayment or prepayment of any Borrowings to any Lenders of any Class of Commitment hereunder, the Borrower shall select the Borrowing or Borrowings of such Class to be paid and shall notify the Administrative Agent by telephone (confirmed by telecopy or electronic communication) of such selection not later than the time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9" w:name="page170"/>
    <w:bookmarkEnd w:id="169"/>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forth in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prior to the scheduled date of such 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60" w:lineRule="exact"/>
        <w:rPr>
          <w:sz w:val="20"/>
          <w:szCs w:val="20"/>
          <w:color w:val="auto"/>
        </w:rPr>
      </w:pPr>
    </w:p>
    <w:p>
      <w:pPr>
        <w:ind w:right="40" w:firstLine="702"/>
        <w:spacing w:after="0" w:line="268" w:lineRule="auto"/>
        <w:tabs>
          <w:tab w:leader="none" w:pos="9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Records by Lenders</w:t>
      </w:r>
      <w:r>
        <w:rPr>
          <w:rFonts w:ascii="Times New Roman" w:cs="Times New Roman" w:eastAsia="Times New Roman" w:hAnsi="Times New Roman"/>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4" w:lineRule="exact"/>
        <w:rPr>
          <w:rFonts w:ascii="Times New Roman" w:cs="Times New Roman" w:eastAsia="Times New Roman" w:hAnsi="Times New Roman"/>
          <w:sz w:val="19"/>
          <w:szCs w:val="19"/>
          <w:color w:val="auto"/>
        </w:rPr>
      </w:pPr>
    </w:p>
    <w:p>
      <w:pPr>
        <w:ind w:right="200" w:firstLine="702"/>
        <w:spacing w:after="0" w:line="259" w:lineRule="auto"/>
        <w:tabs>
          <w:tab w:leader="none" w:pos="97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Records by the Administrative Agent</w:t>
      </w:r>
      <w:r>
        <w:rPr>
          <w:rFonts w:ascii="Times New Roman" w:cs="Times New Roman" w:eastAsia="Times New Roman" w:hAnsi="Times New Roman"/>
          <w:sz w:val="19"/>
          <w:szCs w:val="19"/>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53" w:lineRule="exact"/>
        <w:rPr>
          <w:rFonts w:ascii="Times New Roman" w:cs="Times New Roman" w:eastAsia="Times New Roman" w:hAnsi="Times New Roman"/>
          <w:sz w:val="19"/>
          <w:szCs w:val="19"/>
          <w:color w:val="auto"/>
        </w:rPr>
      </w:pPr>
    </w:p>
    <w:p>
      <w:pPr>
        <w:ind w:right="100" w:firstLine="702"/>
        <w:spacing w:after="0" w:line="262" w:lineRule="auto"/>
        <w:tabs>
          <w:tab w:leader="none" w:pos="9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Entries</w:t>
      </w:r>
      <w:r>
        <w:rPr>
          <w:rFonts w:ascii="Times New Roman" w:cs="Times New Roman" w:eastAsia="Times New Roman" w:hAnsi="Times New Roman"/>
          <w:sz w:val="19"/>
          <w:szCs w:val="19"/>
          <w:color w:val="auto"/>
        </w:rPr>
        <w:t xml:space="preserve">. The entries made in the records maintained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Section shall be </w:t>
      </w:r>
      <w:r>
        <w:rPr>
          <w:rFonts w:ascii="Times New Roman" w:cs="Times New Roman" w:eastAsia="Times New Roman" w:hAnsi="Times New Roman"/>
          <w:sz w:val="19"/>
          <w:szCs w:val="19"/>
          <w:u w:val="single" w:color="auto"/>
          <w:color w:val="auto"/>
        </w:rPr>
        <w:t>prima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facie</w:t>
      </w:r>
      <w:r>
        <w:rPr>
          <w:rFonts w:ascii="Times New Roman" w:cs="Times New Roman" w:eastAsia="Times New Roman" w:hAnsi="Times New Roman"/>
          <w:sz w:val="19"/>
          <w:szCs w:val="19"/>
          <w:color w:val="auto"/>
        </w:rPr>
        <w:t xml:space="preserve"> evidence, absent obvious error,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50" w:lineRule="exact"/>
        <w:rPr>
          <w:rFonts w:ascii="Times New Roman" w:cs="Times New Roman" w:eastAsia="Times New Roman" w:hAnsi="Times New Roman"/>
          <w:sz w:val="19"/>
          <w:szCs w:val="19"/>
          <w:color w:val="auto"/>
        </w:rPr>
      </w:pPr>
    </w:p>
    <w:p>
      <w:pPr>
        <w:ind w:firstLine="702"/>
        <w:spacing w:after="0" w:line="257" w:lineRule="auto"/>
        <w:tabs>
          <w:tab w:leader="none" w:pos="93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Promissory Notes</w:t>
      </w:r>
      <w:r>
        <w:rPr>
          <w:rFonts w:ascii="Times New Roman" w:cs="Times New Roman" w:eastAsia="Times New Roman" w:hAnsi="Times New Roman"/>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be represented by one or more promissory notes in such form payable to the payee named therein (or, if such promissory note is a registered note, to such payee and its registered assigns).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40" w:firstLine="702"/>
        <w:spacing w:after="0" w:line="262" w:lineRule="auto"/>
        <w:tabs>
          <w:tab w:leader="none" w:pos="9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subject to the requirements of this Section. Any prepayment of a Borrowing made in accordance with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applied ratably among the Lenders of a Class of Commitment unless such prepayment is made in connection with the reduction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0" w:name="page171"/>
    <w:bookmarkEnd w:id="170"/>
    <w:p>
      <w:pPr>
        <w:spacing w:after="0" w:line="26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color w:val="auto"/>
        </w:rPr>
        <w:t xml:space="preserve">Commitments in accordance with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in which case such prepayment shall be applied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2.08(d)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as applicable.</w:t>
      </w:r>
    </w:p>
    <w:p>
      <w:pPr>
        <w:spacing w:after="0" w:line="127" w:lineRule="exact"/>
        <w:rPr>
          <w:sz w:val="20"/>
          <w:szCs w:val="20"/>
          <w:color w:val="auto"/>
        </w:rPr>
      </w:pPr>
    </w:p>
    <w:p>
      <w:pPr>
        <w:ind w:left="980" w:hanging="278"/>
        <w:spacing w:after="0"/>
        <w:tabs>
          <w:tab w:leader="none" w:pos="9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due to Changes in Exchange Rates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00" w:right="80" w:firstLine="746"/>
        <w:spacing w:after="0" w:line="255" w:lineRule="auto"/>
        <w:tabs>
          <w:tab w:leader="none" w:pos="1672"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Amount Outstanding</w:t>
      </w:r>
      <w:r>
        <w:rPr>
          <w:rFonts w:ascii="Times New Roman" w:cs="Times New Roman" w:eastAsia="Times New Roman" w:hAnsi="Times New Roman"/>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5" w:lineRule="exact"/>
        <w:rPr>
          <w:rFonts w:ascii="Times New Roman" w:cs="Times New Roman" w:eastAsia="Times New Roman" w:hAnsi="Times New Roman"/>
          <w:sz w:val="19"/>
          <w:szCs w:val="19"/>
          <w:color w:val="auto"/>
        </w:rPr>
      </w:pPr>
    </w:p>
    <w:p>
      <w:pPr>
        <w:ind w:left="700" w:right="40" w:firstLine="746"/>
        <w:spacing w:after="0" w:line="256" w:lineRule="auto"/>
        <w:tabs>
          <w:tab w:leader="none" w:pos="1732"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Prepayment</w:t>
      </w:r>
      <w:r>
        <w:rPr>
          <w:rFonts w:ascii="Times New Roman" w:cs="Times New Roman" w:eastAsia="Times New Roman" w:hAnsi="Times New Roman"/>
          <w:sz w:val="19"/>
          <w:szCs w:val="19"/>
          <w:color w:val="auto"/>
        </w:rPr>
        <w:t xml:space="preserve">. If on the date of such determination the aggregate Revolving Multicurrency Credit Exposure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For purposes hereof “</w:t>
      </w:r>
      <w:r>
        <w:rPr>
          <w:rFonts w:ascii="Times New Roman" w:cs="Times New Roman" w:eastAsia="Times New Roman" w:hAnsi="Times New Roman"/>
          <w:sz w:val="19"/>
          <w:szCs w:val="19"/>
          <w:u w:val="single" w:color="auto"/>
          <w:color w:val="auto"/>
        </w:rPr>
        <w:t>Currency Valuation Notice</w:t>
      </w:r>
      <w:r>
        <w:rPr>
          <w:rFonts w:ascii="Times New Roman" w:cs="Times New Roman" w:eastAsia="Times New Roman" w:hAnsi="Times New Roman"/>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50"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 xml:space="preserve">Any prepayment pursuant to this paragraph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Swingline Multicurrency Loans outstanding,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Syndicated Multicurrency Loans outstanding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as cover for Multicurrency LC Exposure.</w:t>
      </w:r>
    </w:p>
    <w:p>
      <w:pPr>
        <w:spacing w:after="0" w:line="127" w:lineRule="exact"/>
        <w:rPr>
          <w:sz w:val="20"/>
          <w:szCs w:val="20"/>
          <w:color w:val="auto"/>
        </w:rPr>
      </w:pPr>
    </w:p>
    <w:p>
      <w:pPr>
        <w:ind w:firstLine="702"/>
        <w:spacing w:after="0" w:line="259" w:lineRule="auto"/>
        <w:tabs>
          <w:tab w:leader="none" w:pos="96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due to Borrowing Base Deficiency</w:t>
      </w:r>
      <w:r>
        <w:rPr>
          <w:rFonts w:ascii="Times New Roman" w:cs="Times New Roman" w:eastAsia="Times New Roman" w:hAnsi="Times New Roman"/>
          <w:sz w:val="19"/>
          <w:szCs w:val="19"/>
          <w:color w:val="auto"/>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19"/>
          <w:szCs w:val="19"/>
          <w:u w:val="single" w:color="auto"/>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1" w:name="page172"/>
    <w:bookmarkEnd w:id="171"/>
    <w:p>
      <w:pPr>
        <w:spacing w:after="0" w:line="269" w:lineRule="exact"/>
        <w:rPr>
          <w:sz w:val="20"/>
          <w:szCs w:val="20"/>
          <w:color w:val="auto"/>
        </w:rPr>
      </w:pPr>
    </w:p>
    <w:p>
      <w:pPr>
        <w:ind w:right="100" w:firstLine="48"/>
        <w:spacing w:after="0" w:line="255" w:lineRule="auto"/>
        <w:rPr>
          <w:sz w:val="20"/>
          <w:szCs w:val="20"/>
          <w:color w:val="auto"/>
        </w:rPr>
      </w:pPr>
      <w:r>
        <w:rPr>
          <w:rFonts w:ascii="Times New Roman" w:cs="Times New Roman" w:eastAsia="Times New Roman" w:hAnsi="Times New Roman"/>
          <w:sz w:val="19"/>
          <w:szCs w:val="19"/>
          <w:color w:val="auto"/>
        </w:rPr>
        <w:t>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pacing w:after="0" w:line="160" w:lineRule="exact"/>
        <w:rPr>
          <w:sz w:val="20"/>
          <w:szCs w:val="20"/>
          <w:color w:val="auto"/>
        </w:rPr>
      </w:pPr>
    </w:p>
    <w:p>
      <w:pPr>
        <w:ind w:right="260" w:firstLine="702"/>
        <w:spacing w:after="0" w:line="268" w:lineRule="auto"/>
        <w:tabs>
          <w:tab w:leader="none" w:pos="97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 Prepayments During Amortization Period</w:t>
      </w:r>
      <w:r>
        <w:rPr>
          <w:rFonts w:ascii="Times New Roman" w:cs="Times New Roman" w:eastAsia="Times New Roman" w:hAnsi="Times New Roman"/>
          <w:sz w:val="19"/>
          <w:szCs w:val="19"/>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44" w:lineRule="exact"/>
        <w:rPr>
          <w:rFonts w:ascii="Times New Roman" w:cs="Times New Roman" w:eastAsia="Times New Roman" w:hAnsi="Times New Roman"/>
          <w:sz w:val="19"/>
          <w:szCs w:val="19"/>
          <w:color w:val="auto"/>
        </w:rPr>
      </w:pPr>
    </w:p>
    <w:p>
      <w:pPr>
        <w:ind w:left="700" w:right="180" w:firstLine="746"/>
        <w:spacing w:after="0" w:line="259" w:lineRule="auto"/>
        <w:tabs>
          <w:tab w:leader="none" w:pos="1672"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Asset Disposition</w:t>
      </w:r>
      <w:r>
        <w:rPr>
          <w:rFonts w:ascii="Times New Roman" w:cs="Times New Roman" w:eastAsia="Times New Roman" w:hAnsi="Times New Roman"/>
          <w:sz w:val="19"/>
          <w:szCs w:val="19"/>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700" w:right="20" w:firstLine="746"/>
        <w:spacing w:after="0" w:line="259" w:lineRule="auto"/>
        <w:tabs>
          <w:tab w:leader="none" w:pos="1732"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Issuance</w:t>
      </w:r>
      <w:r>
        <w:rPr>
          <w:rFonts w:ascii="Times New Roman" w:cs="Times New Roman" w:eastAsia="Times New Roman" w:hAnsi="Times New Roman"/>
          <w:sz w:val="19"/>
          <w:szCs w:val="19"/>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700" w:right="80" w:firstLine="746"/>
        <w:spacing w:after="0" w:line="259" w:lineRule="auto"/>
        <w:tabs>
          <w:tab w:leader="none" w:pos="1780"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700" w:firstLine="746"/>
        <w:spacing w:after="0" w:line="259" w:lineRule="auto"/>
        <w:tabs>
          <w:tab w:leader="none" w:pos="1768"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Extraordinary Receipt</w:t>
      </w:r>
      <w:r>
        <w:rPr>
          <w:rFonts w:ascii="Times New Roman" w:cs="Times New Roman" w:eastAsia="Times New Roman" w:hAnsi="Times New Roman"/>
          <w:sz w:val="19"/>
          <w:szCs w:val="19"/>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the Borrower shall prepay an aggregate principal amount of such Loans owed to such Lender or Lenders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2" w:name="page173"/>
    <w:bookmarkEnd w:id="172"/>
    <w:p>
      <w:pPr>
        <w:spacing w:after="0" w:line="269"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 xml:space="preserve">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both"/>
        <w:ind w:left="700" w:right="140" w:firstLine="746"/>
        <w:spacing w:after="0" w:line="262" w:lineRule="auto"/>
        <w:tabs>
          <w:tab w:leader="none" w:pos="17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 xml:space="preserve">Notwithstanding the foregoing, (I) Net Cash Proceeds and Return of Capital required to be applied to the prepayment of the Loans pursuant to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6.05(b)</w:t>
      </w:r>
      <w:r>
        <w:rPr>
          <w:rFonts w:ascii="Times New Roman" w:cs="Times New Roman" w:eastAsia="Times New Roman" w:hAnsi="Times New Roman"/>
          <w:sz w:val="19"/>
          <w:szCs w:val="19"/>
          <w:color w:val="auto"/>
        </w:rPr>
        <w:t xml:space="preserve"> 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Administrative Agent may direct the application of such deposits as set forth in </w:t>
      </w:r>
      <w:r>
        <w:rPr>
          <w:rFonts w:ascii="Times New Roman" w:cs="Times New Roman" w:eastAsia="Times New Roman" w:hAnsi="Times New Roman"/>
          <w:sz w:val="19"/>
          <w:szCs w:val="19"/>
          <w:u w:val="single" w:color="auto"/>
          <w:color w:val="auto"/>
        </w:rPr>
        <w:t>Section 2.09(b)</w:t>
      </w:r>
      <w:r>
        <w:rPr>
          <w:rFonts w:ascii="Times New Roman" w:cs="Times New Roman" w:eastAsia="Times New Roman" w:hAnsi="Times New Roman"/>
          <w:sz w:val="19"/>
          <w:szCs w:val="19"/>
          <w:color w:val="auto"/>
        </w:rPr>
        <w:t xml:space="preserve"> at any time and if the Administrative Agent does so, no amounts will be payable by the Borrower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w:t>
      </w:r>
    </w:p>
    <w:p>
      <w:pPr>
        <w:spacing w:after="0" w:line="400" w:lineRule="exact"/>
        <w:rPr>
          <w:sz w:val="20"/>
          <w:szCs w:val="20"/>
          <w:color w:val="auto"/>
        </w:rPr>
      </w:pPr>
    </w:p>
    <w:p>
      <w:pPr>
        <w:ind w:firstLine="702"/>
        <w:spacing w:after="0" w:line="254" w:lineRule="auto"/>
        <w:tabs>
          <w:tab w:leader="none" w:pos="96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Etc</w:t>
      </w:r>
      <w:r>
        <w:rPr>
          <w:rFonts w:ascii="Times New Roman" w:cs="Times New Roman" w:eastAsia="Times New Roman" w:hAnsi="Times New Roman"/>
          <w:sz w:val="19"/>
          <w:szCs w:val="19"/>
          <w:color w:val="auto"/>
        </w:rPr>
        <w:t>.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3" w:name="page174"/>
    <w:bookmarkEnd w:id="173"/>
    <w:p>
      <w:pPr>
        <w:spacing w:after="0" w:line="2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reduction or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spacing w:after="0" w:line="3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4" w:lineRule="auto"/>
        <w:tabs>
          <w:tab w:leader="none" w:pos="96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57" w:lineRule="exact"/>
        <w:rPr>
          <w:rFonts w:ascii="Times New Roman" w:cs="Times New Roman" w:eastAsia="Times New Roman" w:hAnsi="Times New Roman"/>
          <w:sz w:val="19"/>
          <w:szCs w:val="19"/>
          <w:color w:val="auto"/>
        </w:rPr>
      </w:pPr>
    </w:p>
    <w:p>
      <w:pPr>
        <w:ind w:firstLine="702"/>
        <w:spacing w:after="0" w:line="268" w:lineRule="auto"/>
        <w:tabs>
          <w:tab w:leader="none" w:pos="97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4" w:name="page175"/>
    <w:bookmarkEnd w:id="174"/>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the Non-Extended Applicable Margin, in each case,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391" w:lineRule="exact"/>
        <w:rPr>
          <w:sz w:val="20"/>
          <w:szCs w:val="20"/>
          <w:color w:val="auto"/>
        </w:rPr>
      </w:pPr>
    </w:p>
    <w:p>
      <w:pPr>
        <w:ind w:right="220" w:firstLine="702"/>
        <w:spacing w:after="0" w:line="286" w:lineRule="auto"/>
        <w:tabs>
          <w:tab w:leader="none" w:pos="96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Agent Fees</w:t>
      </w:r>
      <w:r>
        <w:rPr>
          <w:rFonts w:ascii="Times New Roman" w:cs="Times New Roman" w:eastAsia="Times New Roman" w:hAnsi="Times New Roman"/>
          <w:sz w:val="19"/>
          <w:szCs w:val="19"/>
          <w:color w:val="auto"/>
        </w:rPr>
        <w:t>. The Borrower agrees to pay to the Administrative Agent, for its own account, fees payable in the amounts and at the times separately agreed upon between the Borrower and the Administrative Agent.</w:t>
      </w:r>
    </w:p>
    <w:p>
      <w:pPr>
        <w:spacing w:after="0" w:line="127" w:lineRule="exact"/>
        <w:rPr>
          <w:rFonts w:ascii="Times New Roman" w:cs="Times New Roman" w:eastAsia="Times New Roman" w:hAnsi="Times New Roman"/>
          <w:sz w:val="19"/>
          <w:szCs w:val="19"/>
          <w:color w:val="auto"/>
        </w:rPr>
      </w:pPr>
    </w:p>
    <w:p>
      <w:pPr>
        <w:ind w:firstLine="702"/>
        <w:spacing w:after="0" w:line="259" w:lineRule="auto"/>
        <w:tabs>
          <w:tab w:leader="none" w:pos="97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Fees</w:t>
      </w:r>
      <w:r>
        <w:rPr>
          <w:rFonts w:ascii="Times New Roman" w:cs="Times New Roman" w:eastAsia="Times New Roman" w:hAnsi="Times New Roman"/>
          <w:sz w:val="19"/>
          <w:szCs w:val="19"/>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5" w:name="page176"/>
    <w:bookmarkEnd w:id="175"/>
    <w:p>
      <w:pPr>
        <w:spacing w:after="0" w:line="269" w:lineRule="exact"/>
        <w:rPr>
          <w:sz w:val="20"/>
          <w:szCs w:val="20"/>
          <w:color w:val="auto"/>
        </w:rPr>
      </w:pPr>
    </w:p>
    <w:p>
      <w:pPr>
        <w:ind w:left="-702" w:right="20" w:firstLine="702"/>
        <w:spacing w:after="0" w:line="262" w:lineRule="auto"/>
        <w:tabs>
          <w:tab w:leader="none" w:pos="25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ABR Loans</w:t>
      </w:r>
      <w:r>
        <w:rPr>
          <w:rFonts w:ascii="Times New Roman" w:cs="Times New Roman" w:eastAsia="Times New Roman" w:hAnsi="Times New Roman"/>
          <w:sz w:val="19"/>
          <w:szCs w:val="19"/>
          <w:color w:val="auto"/>
        </w:rPr>
        <w:t xml:space="preserve">. The Loans constituting each ABR Borrowing (including each Swingline Loan) that are made by the Extending Lenders shall bear interest at a rate per annum equal to the Alternate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50" w:lineRule="exact"/>
        <w:rPr>
          <w:rFonts w:ascii="Times New Roman" w:cs="Times New Roman" w:eastAsia="Times New Roman" w:hAnsi="Times New Roman"/>
          <w:sz w:val="19"/>
          <w:szCs w:val="19"/>
          <w:color w:val="auto"/>
        </w:rPr>
      </w:pPr>
    </w:p>
    <w:p>
      <w:pPr>
        <w:ind w:left="-702" w:right="140" w:firstLine="702"/>
        <w:spacing w:after="0" w:line="259" w:lineRule="auto"/>
        <w:tabs>
          <w:tab w:leader="none" w:pos="27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Benchmark Loans</w:t>
      </w:r>
      <w:r>
        <w:rPr>
          <w:rFonts w:ascii="Times New Roman" w:cs="Times New Roman" w:eastAsia="Times New Roman" w:hAnsi="Times New Roman"/>
          <w:sz w:val="19"/>
          <w:szCs w:val="19"/>
          <w:color w:val="auto"/>
        </w:rPr>
        <w:t xml:space="preserve">. The Loans constituting each Term Benchmark Borrowing that are made by the Extending Lenders shall bear interest at a rate per annum equal to the Adjusted Term Benchmark Rate for the related Interest Period for such Borrowing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Term Benchmark Borrowing that are made by the Non-Extending Lenders shall bear interest at a rate per annum equal to the Term Benchmark Rate for the related Interest Period for such Borrowing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53" w:lineRule="exact"/>
        <w:rPr>
          <w:rFonts w:ascii="Times New Roman" w:cs="Times New Roman" w:eastAsia="Times New Roman" w:hAnsi="Times New Roman"/>
          <w:sz w:val="19"/>
          <w:szCs w:val="19"/>
          <w:color w:val="auto"/>
        </w:rPr>
      </w:pPr>
    </w:p>
    <w:p>
      <w:pPr>
        <w:ind w:left="-702" w:right="160" w:firstLine="702"/>
        <w:spacing w:after="0" w:line="262" w:lineRule="auto"/>
        <w:tabs>
          <w:tab w:leader="none" w:pos="25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RFR Loans</w:t>
      </w:r>
      <w:r>
        <w:rPr>
          <w:rFonts w:ascii="Times New Roman" w:cs="Times New Roman" w:eastAsia="Times New Roman" w:hAnsi="Times New Roman"/>
          <w:sz w:val="19"/>
          <w:szCs w:val="19"/>
          <w:color w:val="auto"/>
        </w:rPr>
        <w:t xml:space="preserve">. The Loans constituting each RFR Borrowing that are made by the Extending Lenders shall bear interest at a rate per annum equal to the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Extended Applicable Margin. The Loans constituting each RFR Borrowing that are made by the Non-Extending Lenders shall bear interest at a rate per annum equal to the Daily Simple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Non-Extended Applicable Margin.</w:t>
      </w:r>
    </w:p>
    <w:p>
      <w:pPr>
        <w:spacing w:after="0" w:line="150" w:lineRule="exact"/>
        <w:rPr>
          <w:rFonts w:ascii="Times New Roman" w:cs="Times New Roman" w:eastAsia="Times New Roman" w:hAnsi="Times New Roman"/>
          <w:sz w:val="19"/>
          <w:szCs w:val="19"/>
          <w:color w:val="auto"/>
        </w:rPr>
      </w:pPr>
    </w:p>
    <w:p>
      <w:pPr>
        <w:ind w:left="-702" w:right="240" w:firstLine="702"/>
        <w:spacing w:after="0" w:line="257" w:lineRule="auto"/>
        <w:tabs>
          <w:tab w:leader="none" w:pos="27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otherwise applicable to such Loan as provided above, (ii) in the case of any Letter of Credit,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fee otherwise applicable to such Letter of Credit as provided in </w:t>
      </w:r>
      <w:r>
        <w:rPr>
          <w:rFonts w:ascii="Times New Roman" w:cs="Times New Roman" w:eastAsia="Times New Roman" w:hAnsi="Times New Roman"/>
          <w:sz w:val="19"/>
          <w:szCs w:val="19"/>
          <w:u w:val="single" w:color="auto"/>
          <w:color w:val="auto"/>
        </w:rPr>
        <w:t>Section 2.11(b)(i)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in the case of any fee or other amount, 2%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rate applicable to ABR Loans as provided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w:t>
      </w:r>
    </w:p>
    <w:p>
      <w:pPr>
        <w:spacing w:after="0" w:line="156" w:lineRule="exact"/>
        <w:rPr>
          <w:rFonts w:ascii="Times New Roman" w:cs="Times New Roman" w:eastAsia="Times New Roman" w:hAnsi="Times New Roman"/>
          <w:sz w:val="19"/>
          <w:szCs w:val="19"/>
          <w:color w:val="auto"/>
        </w:rPr>
      </w:pPr>
    </w:p>
    <w:p>
      <w:pPr>
        <w:ind w:left="-702" w:right="20" w:firstLine="702"/>
        <w:spacing w:after="0" w:line="255" w:lineRule="auto"/>
        <w:tabs>
          <w:tab w:leader="none" w:pos="25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Interest</w:t>
      </w:r>
      <w:r>
        <w:rPr>
          <w:rFonts w:ascii="Times New Roman" w:cs="Times New Roman" w:eastAsia="Times New Roman" w:hAnsi="Times New Roman"/>
          <w:sz w:val="19"/>
          <w:szCs w:val="19"/>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59" w:lineRule="exact"/>
        <w:rPr>
          <w:rFonts w:ascii="Times New Roman" w:cs="Times New Roman" w:eastAsia="Times New Roman" w:hAnsi="Times New Roman"/>
          <w:sz w:val="19"/>
          <w:szCs w:val="19"/>
          <w:color w:val="auto"/>
        </w:rPr>
      </w:pPr>
    </w:p>
    <w:p>
      <w:pPr>
        <w:ind w:left="-702" w:firstLine="702"/>
        <w:spacing w:after="0" w:line="262" w:lineRule="auto"/>
        <w:tabs>
          <w:tab w:leader="none" w:pos="23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Computation</w:t>
      </w:r>
      <w:r>
        <w:rPr>
          <w:rFonts w:ascii="Times New Roman" w:cs="Times New Roman" w:eastAsia="Times New Roman" w:hAnsi="Times New Roman"/>
          <w:sz w:val="19"/>
          <w:szCs w:val="19"/>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883920</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8"/>
          </w:cols>
          <w:pgMar w:left="1362" w:top="1440" w:right="700" w:bottom="1440" w:gutter="0" w:footer="0" w:header="0"/>
        </w:sectPr>
      </w:pPr>
    </w:p>
    <w:bookmarkStart w:id="176" w:name="page177"/>
    <w:bookmarkEnd w:id="176"/>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the first day but excluding the last day). The applicable Alternate Base Rate, Daily Simple RFR or Adjusted Term Benchmark Rate shall be determined by the Administrative Agent and such determination shall be conclusive absent manifest error.</w:t>
      </w:r>
    </w:p>
    <w:p>
      <w:pPr>
        <w:spacing w:after="0" w:line="127" w:lineRule="exact"/>
        <w:rPr>
          <w:sz w:val="20"/>
          <w:szCs w:val="20"/>
          <w:color w:val="auto"/>
        </w:rPr>
      </w:pPr>
    </w:p>
    <w:p>
      <w:pPr>
        <w:ind w:right="20" w:firstLine="702"/>
        <w:spacing w:after="0" w:line="259" w:lineRule="auto"/>
        <w:tabs>
          <w:tab w:leader="none" w:pos="97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4" w:lineRule="exact"/>
        <w:rPr>
          <w:sz w:val="20"/>
          <w:szCs w:val="20"/>
          <w:color w:val="auto"/>
        </w:rPr>
      </w:pPr>
    </w:p>
    <w:p>
      <w:pPr>
        <w:ind w:right="20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Inability to Determine Interest Rates</w:t>
      </w:r>
      <w:r>
        <w:rPr>
          <w:rFonts w:ascii="Times New Roman" w:cs="Times New Roman" w:eastAsia="Times New Roman" w:hAnsi="Times New Roman"/>
          <w:sz w:val="19"/>
          <w:szCs w:val="19"/>
          <w:color w:val="auto"/>
        </w:rPr>
        <w:t xml:space="preserve"> . Subject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if, prior to the commencement of any Interest Period for any Term Benchmark Borrowing of a Class or at any time for an RFR Borrowing (the Currency of such Borrowing herein called the “</w:t>
      </w:r>
      <w:r>
        <w:rPr>
          <w:rFonts w:ascii="Times New Roman" w:cs="Times New Roman" w:eastAsia="Times New Roman" w:hAnsi="Times New Roman"/>
          <w:sz w:val="19"/>
          <w:szCs w:val="19"/>
          <w:u w:val="single" w:color="auto"/>
          <w:color w:val="auto"/>
        </w:rPr>
        <w:t>Affected Currency</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100" w:firstLine="702"/>
        <w:spacing w:after="0" w:line="259" w:lineRule="auto"/>
        <w:tabs>
          <w:tab w:leader="none" w:pos="957"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a Term Benchmark Borrowing, the Administrative Agent shall have determined (which determination shall be conclusive absent manifest error) the Adjusted Term Benchmark Rate for the Affected Currency cannot be determined pursuant to the definition thereof or (B) in the case of an RFR Borrowing, the Administrative Agent shall have determined (which determination shall be conclusive absent manifest error) that the Daily Simple RFR for the Affected Currency cannot be determined pursuant to the definition thereof; or</w:t>
      </w:r>
    </w:p>
    <w:p>
      <w:pPr>
        <w:spacing w:after="0" w:line="153" w:lineRule="exact"/>
        <w:rPr>
          <w:rFonts w:ascii="Times New Roman" w:cs="Times New Roman" w:eastAsia="Times New Roman" w:hAnsi="Times New Roman"/>
          <w:sz w:val="19"/>
          <w:szCs w:val="19"/>
          <w:color w:val="auto"/>
        </w:rPr>
      </w:pPr>
    </w:p>
    <w:p>
      <w:pPr>
        <w:ind w:firstLine="702"/>
        <w:spacing w:after="0" w:line="257" w:lineRule="auto"/>
        <w:tabs>
          <w:tab w:leader="none" w:pos="96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7" w:name="page178"/>
    <w:bookmarkEnd w:id="177"/>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19"/>
          <w:szCs w:val="19"/>
          <w:u w:val="single" w:color="auto"/>
          <w:color w:val="auto"/>
        </w:rPr>
        <w:t>clause (iii)(B)(1)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(iv)(B)(1)</w:t>
      </w:r>
      <w:r>
        <w:rPr>
          <w:rFonts w:ascii="Times New Roman" w:cs="Times New Roman" w:eastAsia="Times New Roman" w:hAnsi="Times New Roman"/>
          <w:sz w:val="19"/>
          <w:szCs w:val="19"/>
          <w:color w:val="auto"/>
        </w:rPr>
        <w:t xml:space="preserve"> above, as applicable.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2.14. </w:t>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960" w:hanging="258"/>
        <w:spacing w:after="0"/>
        <w:tabs>
          <w:tab w:leader="none" w:pos="9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Increased Costs Generally</w:t>
      </w:r>
      <w:r>
        <w:rPr>
          <w:rFonts w:ascii="Times New Roman" w:cs="Times New Roman" w:eastAsia="Times New Roman" w:hAnsi="Times New Roman"/>
          <w:sz w:val="19"/>
          <w:szCs w:val="19"/>
          <w:color w:val="auto"/>
        </w:rPr>
        <w:t>. If any Change in Law shall:</w:t>
      </w:r>
    </w:p>
    <w:p>
      <w:pPr>
        <w:spacing w:after="0" w:line="201" w:lineRule="exact"/>
        <w:rPr>
          <w:rFonts w:ascii="Times New Roman" w:cs="Times New Roman" w:eastAsia="Times New Roman" w:hAnsi="Times New Roman"/>
          <w:sz w:val="19"/>
          <w:szCs w:val="19"/>
          <w:color w:val="auto"/>
        </w:rPr>
      </w:pPr>
    </w:p>
    <w:p>
      <w:pPr>
        <w:ind w:left="700" w:right="60" w:firstLine="746"/>
        <w:spacing w:after="0" w:line="262" w:lineRule="auto"/>
        <w:tabs>
          <w:tab w:leader="none" w:pos="1673"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8" w:name="page179"/>
    <w:bookmarkEnd w:id="178"/>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requirement against assets of, deposits with or for account of, or credit extended by, any Lender or any Issuing Bank; or</w:t>
      </w:r>
    </w:p>
    <w:p>
      <w:pPr>
        <w:spacing w:after="0" w:line="202" w:lineRule="exact"/>
        <w:rPr>
          <w:sz w:val="20"/>
          <w:szCs w:val="20"/>
          <w:color w:val="auto"/>
        </w:rPr>
      </w:pPr>
    </w:p>
    <w:p>
      <w:pPr>
        <w:ind w:left="700" w:right="160" w:firstLine="746"/>
        <w:spacing w:after="0" w:line="268" w:lineRule="auto"/>
        <w:tabs>
          <w:tab w:leader="none" w:pos="172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any Issuing Bank any other condition, cost or expense (other than Taxes) affecting this Agreement or Term Benchmark Loans or RFR Loans made by such Lender or any Letter of Credit or participation in any such Loan or Letter of Credit;</w:t>
      </w:r>
    </w:p>
    <w:p>
      <w:pPr>
        <w:spacing w:after="0" w:line="14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55" w:lineRule="exact"/>
        <w:rPr>
          <w:sz w:val="20"/>
          <w:szCs w:val="20"/>
          <w:color w:val="auto"/>
        </w:rPr>
      </w:pPr>
    </w:p>
    <w:p>
      <w:pPr>
        <w:ind w:firstLine="702"/>
        <w:spacing w:after="0" w:line="253" w:lineRule="auto"/>
        <w:tabs>
          <w:tab w:leader="none" w:pos="9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and Liquidity Requirements</w:t>
      </w:r>
      <w:r>
        <w:rPr>
          <w:rFonts w:ascii="Times New Roman" w:cs="Times New Roman" w:eastAsia="Times New Roman" w:hAnsi="Times New Roman"/>
          <w:sz w:val="19"/>
          <w:szCs w:val="19"/>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62" w:lineRule="exact"/>
        <w:rPr>
          <w:rFonts w:ascii="Times New Roman" w:cs="Times New Roman" w:eastAsia="Times New Roman" w:hAnsi="Times New Roman"/>
          <w:sz w:val="19"/>
          <w:szCs w:val="19"/>
          <w:color w:val="auto"/>
        </w:rPr>
      </w:pPr>
    </w:p>
    <w:p>
      <w:pPr>
        <w:ind w:right="280" w:firstLine="702"/>
        <w:spacing w:after="0" w:line="259" w:lineRule="auto"/>
        <w:tabs>
          <w:tab w:leader="none" w:pos="9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from Lenders</w:t>
      </w:r>
      <w:r>
        <w:rPr>
          <w:rFonts w:ascii="Times New Roman" w:cs="Times New Roman" w:eastAsia="Times New Roman" w:hAnsi="Times New Roman"/>
          <w:sz w:val="19"/>
          <w:szCs w:val="19"/>
          <w:color w:val="auto"/>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9" w:name="page180"/>
    <w:bookmarkEnd w:id="179"/>
    <w:p>
      <w:pPr>
        <w:spacing w:after="0" w:line="2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delivered to the Borrower and shall be conclusive absent manifest error. The Borrower shall pay such Lender or such Issuing Bank, as the case may be, the amount shown as due on any such certificate within ten (10) Business Days after receipt thereof.</w:t>
      </w:r>
    </w:p>
    <w:p>
      <w:pPr>
        <w:spacing w:after="0" w:line="127" w:lineRule="exact"/>
        <w:rPr>
          <w:sz w:val="20"/>
          <w:szCs w:val="20"/>
          <w:color w:val="auto"/>
        </w:rPr>
      </w:pPr>
    </w:p>
    <w:p>
      <w:pPr>
        <w:ind w:right="40" w:firstLine="702"/>
        <w:spacing w:after="0" w:line="256" w:lineRule="auto"/>
        <w:tabs>
          <w:tab w:leader="none" w:pos="97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Delay in Requests</w:t>
      </w:r>
      <w:r>
        <w:rPr>
          <w:rFonts w:ascii="Times New Roman" w:cs="Times New Roman" w:eastAsia="Times New Roman" w:hAnsi="Times New Roman"/>
          <w:sz w:val="19"/>
          <w:szCs w:val="19"/>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Change in Law giving rise to such increased costs or reductions is retroactive, then the six-month period referred to above shall be extended to include the period of retroactive effect thereof.</w:t>
      </w:r>
    </w:p>
    <w:p>
      <w:pPr>
        <w:spacing w:after="0" w:line="15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2.15. </w:t>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19"/>
          <w:szCs w:val="19"/>
          <w:u w:val="single" w:color="auto"/>
          <w:color w:val="auto"/>
        </w:rPr>
        <w:t>Section 2.10(e)</w:t>
      </w:r>
      <w:r>
        <w:rPr>
          <w:rFonts w:ascii="Times New Roman" w:cs="Times New Roman" w:eastAsia="Times New Roman" w:hAnsi="Times New Roman"/>
          <w:sz w:val="19"/>
          <w:szCs w:val="19"/>
          <w:color w:val="auto"/>
        </w:rPr>
        <w:t xml:space="preserve"> and is revoked in accordance herewith), or (d) the assignment as a result of a request by the Borrower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2.18(b)</w:t>
      </w:r>
      <w:r>
        <w:rPr>
          <w:rFonts w:ascii="Times New Roman" w:cs="Times New Roman" w:eastAsia="Times New Roman" w:hAnsi="Times New Roman"/>
          <w:sz w:val="19"/>
          <w:szCs w:val="19"/>
          <w:color w:val="auto"/>
        </w:rPr>
        <w:t xml:space="preserve"> of any Term Benchmark Loan other than on the last day of an Interest Period therefor, then, in any such event, the Borrower shall compensate each affected Lender for such Lender’s loss, cost and reasonable expense attributable to such event (excluding loss of anticipated profits) . In the case of a Term Benchmark Loan, the loss to any Lender attributable to any such event shall be deemed to include an amount determined by such Lender to be equal to the excess, if any, of:</w:t>
      </w:r>
    </w:p>
    <w:p>
      <w:pPr>
        <w:spacing w:after="0" w:line="160" w:lineRule="exact"/>
        <w:rPr>
          <w:sz w:val="20"/>
          <w:szCs w:val="20"/>
          <w:color w:val="auto"/>
        </w:rPr>
      </w:pPr>
    </w:p>
    <w:p>
      <w:pPr>
        <w:ind w:left="700" w:right="240" w:firstLine="746"/>
        <w:spacing w:after="0" w:line="259" w:lineRule="auto"/>
        <w:tabs>
          <w:tab w:leader="none" w:pos="1673"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cs="Times New Roman" w:eastAsia="Times New Roman" w:hAnsi="Times New Roman"/>
          <w:sz w:val="19"/>
          <w:szCs w:val="19"/>
          <w:u w:val="single" w:color="auto"/>
          <w:color w:val="auto"/>
        </w:rPr>
        <w:t>over</w:t>
      </w:r>
    </w:p>
    <w:p>
      <w:pPr>
        <w:spacing w:after="0" w:line="153" w:lineRule="exact"/>
        <w:rPr>
          <w:rFonts w:ascii="Times New Roman" w:cs="Times New Roman" w:eastAsia="Times New Roman" w:hAnsi="Times New Roman"/>
          <w:sz w:val="19"/>
          <w:szCs w:val="19"/>
          <w:color w:val="auto"/>
        </w:rPr>
      </w:pPr>
    </w:p>
    <w:p>
      <w:pPr>
        <w:ind w:left="700" w:right="100" w:firstLine="746"/>
        <w:spacing w:after="0" w:line="262" w:lineRule="auto"/>
        <w:tabs>
          <w:tab w:leader="none" w:pos="1727"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5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9"/>
          <w:szCs w:val="19"/>
          <w:color w:val="auto"/>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0" w:name="page181"/>
    <w:bookmarkEnd w:id="180"/>
    <w:p>
      <w:pPr>
        <w:spacing w:after="0" w:line="26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9"/>
          <w:szCs w:val="19"/>
          <w:color w:val="auto"/>
        </w:rPr>
        <w:t>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2.16.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702"/>
        <w:spacing w:after="0" w:line="255" w:lineRule="auto"/>
        <w:tabs>
          <w:tab w:leader="none" w:pos="96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391" w:lineRule="exact"/>
        <w:rPr>
          <w:rFonts w:ascii="Times New Roman" w:cs="Times New Roman" w:eastAsia="Times New Roman" w:hAnsi="Times New Roman"/>
          <w:sz w:val="19"/>
          <w:szCs w:val="19"/>
          <w:color w:val="auto"/>
        </w:rPr>
      </w:pPr>
    </w:p>
    <w:p>
      <w:pPr>
        <w:ind w:firstLine="702"/>
        <w:spacing w:after="0" w:line="286" w:lineRule="auto"/>
        <w:tabs>
          <w:tab w:leader="none" w:pos="9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 by the Borrower</w:t>
      </w:r>
      <w:r>
        <w:rPr>
          <w:rFonts w:ascii="Times New Roman" w:cs="Times New Roman" w:eastAsia="Times New Roman" w:hAnsi="Times New Roman"/>
          <w:sz w:val="19"/>
          <w:szCs w:val="19"/>
          <w:color w:val="auto"/>
        </w:rPr>
        <w:t>. In addition, the Borrower shall pay any Other Taxes to the relevant Governmental Authority in accordance with applicable law.</w:t>
      </w:r>
    </w:p>
    <w:p>
      <w:pPr>
        <w:spacing w:after="0" w:line="127" w:lineRule="exact"/>
        <w:rPr>
          <w:rFonts w:ascii="Times New Roman" w:cs="Times New Roman" w:eastAsia="Times New Roman" w:hAnsi="Times New Roman"/>
          <w:sz w:val="19"/>
          <w:szCs w:val="19"/>
          <w:color w:val="auto"/>
        </w:rPr>
      </w:pPr>
    </w:p>
    <w:p>
      <w:pPr>
        <w:ind w:right="20" w:firstLine="702"/>
        <w:spacing w:after="0" w:line="255" w:lineRule="auto"/>
        <w:tabs>
          <w:tab w:leader="none" w:pos="96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55" w:lineRule="exact"/>
        <w:rPr>
          <w:rFonts w:ascii="Times New Roman" w:cs="Times New Roman" w:eastAsia="Times New Roman" w:hAnsi="Times New Roman"/>
          <w:sz w:val="19"/>
          <w:szCs w:val="19"/>
          <w:color w:val="auto"/>
        </w:rPr>
      </w:pPr>
    </w:p>
    <w:p>
      <w:pPr>
        <w:ind w:right="40" w:firstLine="702"/>
        <w:spacing w:after="0" w:line="255" w:lineRule="auto"/>
        <w:tabs>
          <w:tab w:leader="none" w:pos="9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xml:space="preserve">.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9.04(f)</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1" w:name="page182"/>
    <w:bookmarkEnd w:id="181"/>
    <w:p>
      <w:pPr>
        <w:spacing w:after="0" w:line="26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 xml:space="preserve">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80" w:firstLine="702"/>
        <w:spacing w:after="0" w:line="262" w:lineRule="auto"/>
        <w:tabs>
          <w:tab w:leader="none" w:pos="96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0" w:lineRule="exact"/>
        <w:rPr>
          <w:rFonts w:ascii="Times New Roman" w:cs="Times New Roman" w:eastAsia="Times New Roman" w:hAnsi="Times New Roman"/>
          <w:sz w:val="19"/>
          <w:szCs w:val="19"/>
          <w:color w:val="auto"/>
        </w:rPr>
      </w:pPr>
    </w:p>
    <w:p>
      <w:pPr>
        <w:ind w:firstLine="702"/>
        <w:spacing w:after="0" w:line="254" w:lineRule="auto"/>
        <w:tabs>
          <w:tab w:leader="none" w:pos="936"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Documentation</w:t>
      </w:r>
      <w:r>
        <w:rPr>
          <w:rFonts w:ascii="Times New Roman" w:cs="Times New Roman" w:eastAsia="Times New Roman" w:hAnsi="Times New Roman"/>
          <w:sz w:val="19"/>
          <w:szCs w:val="19"/>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2.16(f)(ii)</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7"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w:t>
      </w:r>
    </w:p>
    <w:p>
      <w:pPr>
        <w:spacing w:after="0" w:line="201" w:lineRule="exact"/>
        <w:rPr>
          <w:rFonts w:ascii="Times New Roman" w:cs="Times New Roman" w:eastAsia="Times New Roman" w:hAnsi="Times New Roman"/>
          <w:sz w:val="19"/>
          <w:szCs w:val="19"/>
          <w:color w:val="auto"/>
        </w:rPr>
      </w:pPr>
    </w:p>
    <w:p>
      <w:pPr>
        <w:ind w:left="1420" w:right="60" w:firstLine="795"/>
        <w:spacing w:after="0" w:line="259" w:lineRule="auto"/>
        <w:tabs>
          <w:tab w:leader="none" w:pos="2539" w:val="left"/>
        </w:tabs>
        <w:numPr>
          <w:ilvl w:val="2"/>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53" w:lineRule="exact"/>
        <w:rPr>
          <w:rFonts w:ascii="Times New Roman" w:cs="Times New Roman" w:eastAsia="Times New Roman" w:hAnsi="Times New Roman"/>
          <w:sz w:val="19"/>
          <w:szCs w:val="19"/>
          <w:color w:val="auto"/>
        </w:rPr>
      </w:pPr>
    </w:p>
    <w:p>
      <w:pPr>
        <w:ind w:left="1420" w:right="200" w:firstLine="795"/>
        <w:spacing w:after="0" w:line="259" w:lineRule="auto"/>
        <w:tabs>
          <w:tab w:leader="none" w:pos="2528" w:val="left"/>
        </w:tabs>
        <w:numPr>
          <w:ilvl w:val="2"/>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53" w:lineRule="exact"/>
        <w:rPr>
          <w:rFonts w:ascii="Times New Roman" w:cs="Times New Roman" w:eastAsia="Times New Roman" w:hAnsi="Times New Roman"/>
          <w:sz w:val="19"/>
          <w:szCs w:val="19"/>
          <w:color w:val="auto"/>
        </w:rPr>
      </w:pPr>
    </w:p>
    <w:p>
      <w:pPr>
        <w:ind w:left="2120" w:right="40" w:firstLine="875"/>
        <w:spacing w:after="0" w:line="286" w:lineRule="auto"/>
        <w:tabs>
          <w:tab w:leader="none" w:pos="3311" w:val="left"/>
        </w:tabs>
        <w:numPr>
          <w:ilvl w:val="3"/>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and executed copies of Internal Revenue Service Form W-8BEN or W-8BEN-E or any successor form claiming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2" w:name="page183"/>
    <w:bookmarkEnd w:id="182"/>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eligibility for benefits of an income tax treaty to which the United States is a party,</w:t>
      </w:r>
    </w:p>
    <w:p>
      <w:pPr>
        <w:spacing w:after="0" w:line="202" w:lineRule="exact"/>
        <w:rPr>
          <w:sz w:val="20"/>
          <w:szCs w:val="20"/>
          <w:color w:val="auto"/>
        </w:rPr>
      </w:pPr>
    </w:p>
    <w:p>
      <w:pPr>
        <w:ind w:left="2080" w:right="100" w:firstLine="875"/>
        <w:spacing w:after="0" w:line="268" w:lineRule="auto"/>
        <w:tabs>
          <w:tab w:leader="none" w:pos="3228"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44" w:lineRule="exact"/>
        <w:rPr>
          <w:rFonts w:ascii="Times New Roman" w:cs="Times New Roman" w:eastAsia="Times New Roman" w:hAnsi="Times New Roman"/>
          <w:sz w:val="19"/>
          <w:szCs w:val="19"/>
          <w:color w:val="auto"/>
        </w:rPr>
      </w:pPr>
    </w:p>
    <w:p>
      <w:pPr>
        <w:ind w:left="2080" w:right="80" w:firstLine="875"/>
        <w:spacing w:after="0" w:line="256" w:lineRule="auto"/>
        <w:tabs>
          <w:tab w:leader="none" w:pos="3228"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57" w:lineRule="exact"/>
        <w:rPr>
          <w:rFonts w:ascii="Times New Roman" w:cs="Times New Roman" w:eastAsia="Times New Roman" w:hAnsi="Times New Roman"/>
          <w:sz w:val="19"/>
          <w:szCs w:val="19"/>
          <w:color w:val="auto"/>
        </w:rPr>
      </w:pPr>
    </w:p>
    <w:p>
      <w:pPr>
        <w:ind w:left="2080" w:firstLine="875"/>
        <w:spacing w:after="0" w:line="262" w:lineRule="auto"/>
        <w:tabs>
          <w:tab w:leader="none" w:pos="3217"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50" w:lineRule="exact"/>
        <w:rPr>
          <w:rFonts w:ascii="Times New Roman" w:cs="Times New Roman" w:eastAsia="Times New Roman" w:hAnsi="Times New Roman"/>
          <w:sz w:val="19"/>
          <w:szCs w:val="19"/>
          <w:color w:val="auto"/>
        </w:rPr>
      </w:pPr>
    </w:p>
    <w:p>
      <w:pPr>
        <w:ind w:left="660" w:right="80" w:firstLine="746"/>
        <w:spacing w:after="0" w:line="259" w:lineRule="auto"/>
        <w:tabs>
          <w:tab w:leader="none" w:pos="17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3" w:lineRule="exact"/>
        <w:rPr>
          <w:rFonts w:ascii="Times New Roman" w:cs="Times New Roman" w:eastAsia="Times New Roman" w:hAnsi="Times New Roman"/>
          <w:sz w:val="19"/>
          <w:szCs w:val="19"/>
          <w:color w:val="auto"/>
        </w:rPr>
      </w:pPr>
    </w:p>
    <w:p>
      <w:pPr>
        <w:ind w:left="-40" w:firstLine="702"/>
        <w:spacing w:after="0" w:line="255" w:lineRule="auto"/>
        <w:tabs>
          <w:tab w:leader="none" w:pos="93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Documentation Required by FATCA</w:t>
      </w:r>
      <w:r>
        <w:rPr>
          <w:rFonts w:ascii="Times New Roman" w:cs="Times New Roman" w:eastAsia="Times New Roman" w:hAnsi="Times New Roman"/>
          <w:sz w:val="19"/>
          <w:szCs w:val="19"/>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Section 2.16(g)</w:t>
      </w:r>
      <w:r>
        <w:rPr>
          <w:rFonts w:ascii="Times New Roman" w:cs="Times New Roman" w:eastAsia="Times New Roman" w:hAnsi="Times New Roman"/>
          <w:sz w:val="19"/>
          <w:szCs w:val="19"/>
          <w:color w:val="auto"/>
        </w:rPr>
        <w:t>, “FATCA” shall include any amendments made to FATCA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887095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83" w:name="page184"/>
    <w:bookmarkEnd w:id="183"/>
    <w:p>
      <w:pPr>
        <w:spacing w:after="0" w:line="269" w:lineRule="exact"/>
        <w:rPr>
          <w:sz w:val="20"/>
          <w:szCs w:val="20"/>
          <w:color w:val="auto"/>
        </w:rPr>
      </w:pPr>
    </w:p>
    <w:p>
      <w:pPr>
        <w:ind w:left="-700" w:firstLine="702"/>
        <w:spacing w:after="0" w:line="252" w:lineRule="auto"/>
        <w:tabs>
          <w:tab w:leader="none" w:pos="27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ind w:left="-700" w:right="20" w:firstLine="702"/>
        <w:spacing w:after="0" w:line="268" w:lineRule="auto"/>
        <w:tabs>
          <w:tab w:leader="none" w:pos="225"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2.17. </w:t>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120" w:firstLine="702"/>
        <w:spacing w:after="0" w:line="253" w:lineRule="auto"/>
        <w:tabs>
          <w:tab w:leader="none" w:pos="26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the Borrower</w:t>
      </w:r>
      <w:r>
        <w:rPr>
          <w:rFonts w:ascii="Times New Roman" w:cs="Times New Roman" w:eastAsia="Times New Roman" w:hAnsi="Times New Roman"/>
          <w:sz w:val="19"/>
          <w:szCs w:val="19"/>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893445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84" w:name="page185"/>
    <w:bookmarkEnd w:id="184"/>
    <w:p>
      <w:pPr>
        <w:spacing w:after="0" w:line="269" w:lineRule="exact"/>
        <w:rPr>
          <w:sz w:val="20"/>
          <w:szCs w:val="20"/>
          <w:color w:val="auto"/>
        </w:rPr>
      </w:pPr>
    </w:p>
    <w:p>
      <w:pPr>
        <w:ind w:right="80" w:firstLine="1404"/>
        <w:spacing w:after="0" w:line="253" w:lineRule="auto"/>
        <w:rPr>
          <w:sz w:val="20"/>
          <w:szCs w:val="20"/>
          <w:color w:val="auto"/>
        </w:rPr>
      </w:pPr>
      <w:r>
        <w:rPr>
          <w:rFonts w:ascii="Times New Roman" w:cs="Times New Roman" w:eastAsia="Times New Roman" w:hAnsi="Times New Roman"/>
          <w:sz w:val="19"/>
          <w:szCs w:val="19"/>
          <w:color w:val="auto"/>
        </w:rPr>
        <w:t xml:space="preserve">All amounts owing under this Agreement (including commitment fees, payments required under </w:t>
      </w:r>
      <w:r>
        <w:rPr>
          <w:rFonts w:ascii="Times New Roman" w:cs="Times New Roman" w:eastAsia="Times New Roman" w:hAnsi="Times New Roman"/>
          <w:sz w:val="19"/>
          <w:szCs w:val="19"/>
          <w:u w:val="single" w:color="auto"/>
          <w:color w:val="auto"/>
        </w:rPr>
        <w:t>Section 2. 14</w:t>
      </w:r>
      <w:r>
        <w:rPr>
          <w:rFonts w:ascii="Times New Roman" w:cs="Times New Roman" w:eastAsia="Times New Roman" w:hAnsi="Times New Roman"/>
          <w:sz w:val="19"/>
          <w:szCs w:val="19"/>
          <w:color w:val="auto"/>
        </w:rPr>
        <w:t xml:space="preserve">, and payments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65"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7" w:lineRule="exact"/>
        <w:rPr>
          <w:sz w:val="20"/>
          <w:szCs w:val="20"/>
          <w:color w:val="auto"/>
        </w:rPr>
      </w:pPr>
    </w:p>
    <w:p>
      <w:pPr>
        <w:ind w:right="120" w:firstLine="702"/>
        <w:spacing w:after="0" w:line="257" w:lineRule="auto"/>
        <w:tabs>
          <w:tab w:leader="none" w:pos="97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of Insufficient Payments</w:t>
      </w:r>
      <w:r>
        <w:rPr>
          <w:rFonts w:ascii="Times New Roman" w:cs="Times New Roman" w:eastAsia="Times New Roman" w:hAnsi="Times New Roman"/>
          <w:sz w:val="19"/>
          <w:szCs w:val="19"/>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56" w:lineRule="exact"/>
        <w:rPr>
          <w:rFonts w:ascii="Times New Roman" w:cs="Times New Roman" w:eastAsia="Times New Roman" w:hAnsi="Times New Roman"/>
          <w:sz w:val="19"/>
          <w:szCs w:val="19"/>
          <w:color w:val="auto"/>
        </w:rPr>
      </w:pPr>
    </w:p>
    <w:p>
      <w:pPr>
        <w:ind w:firstLine="702"/>
        <w:spacing w:after="0" w:line="256" w:lineRule="auto"/>
        <w:tabs>
          <w:tab w:leader="none" w:pos="96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Treatment</w:t>
      </w:r>
      <w:r>
        <w:rPr>
          <w:rFonts w:ascii="Times New Roman" w:cs="Times New Roman" w:eastAsia="Times New Roman" w:hAnsi="Times New Roman"/>
          <w:sz w:val="19"/>
          <w:szCs w:val="19"/>
          <w:color w:val="auto"/>
        </w:rPr>
        <w:t xml:space="preserve">. Except to the extent otherwise provided herein: (i) other than with respect any Syndicated Borrowing requested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for account of the Lenders of the applicable Class, and each termination or reduction of the amount of the Commitments of a Class of Commitments or Final Maturity Date under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shall be applied to the respective Commitments of the Lenders of such Class of Commitments or Final Maturity Date, pro rata according to the amounts of their respective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5" w:name="page186"/>
    <w:bookmarkEnd w:id="185"/>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55" w:lineRule="exact"/>
        <w:rPr>
          <w:sz w:val="20"/>
          <w:szCs w:val="20"/>
          <w:color w:val="auto"/>
        </w:rPr>
      </w:pPr>
    </w:p>
    <w:p>
      <w:pPr>
        <w:ind w:firstLine="702"/>
        <w:spacing w:after="0" w:line="252" w:lineRule="auto"/>
        <w:tabs>
          <w:tab w:leader="none" w:pos="97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397" w:lineRule="exact"/>
        <w:rPr>
          <w:rFonts w:ascii="Times New Roman" w:cs="Times New Roman" w:eastAsia="Times New Roman" w:hAnsi="Times New Roman"/>
          <w:sz w:val="19"/>
          <w:szCs w:val="19"/>
          <w:color w:val="auto"/>
        </w:rPr>
      </w:pPr>
    </w:p>
    <w:p>
      <w:pPr>
        <w:ind w:right="180" w:firstLine="702"/>
        <w:spacing w:after="0" w:line="257" w:lineRule="auto"/>
        <w:tabs>
          <w:tab w:leader="none" w:pos="96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Presumptions of Payment</w:t>
      </w:r>
      <w:r>
        <w:rPr>
          <w:rFonts w:ascii="Times New Roman" w:cs="Times New Roman" w:eastAsia="Times New Roman" w:hAnsi="Times New Roman"/>
          <w:sz w:val="19"/>
          <w:szCs w:val="19"/>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6" w:name="page187"/>
    <w:bookmarkEnd w:id="186"/>
    <w:p>
      <w:pPr>
        <w:spacing w:after="0" w:line="2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44" w:lineRule="exact"/>
        <w:rPr>
          <w:sz w:val="20"/>
          <w:szCs w:val="20"/>
          <w:color w:val="auto"/>
        </w:rPr>
      </w:pPr>
    </w:p>
    <w:p>
      <w:pPr>
        <w:ind w:right="60" w:firstLine="702"/>
        <w:spacing w:after="0" w:line="262" w:lineRule="auto"/>
        <w:tabs>
          <w:tab w:leader="none" w:pos="93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Deductions by the Administrative Agent</w:t>
      </w:r>
      <w:r>
        <w:rPr>
          <w:rFonts w:ascii="Times New Roman" w:cs="Times New Roman" w:eastAsia="Times New Roman" w:hAnsi="Times New Roman"/>
          <w:sz w:val="19"/>
          <w:szCs w:val="19"/>
          <w:color w:val="auto"/>
        </w:rPr>
        <w:t xml:space="preserve">. If any Lender shall fail to make any payment required to be made by it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2.06(a)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2.17(e)</w:t>
      </w:r>
      <w:r>
        <w:rPr>
          <w:rFonts w:ascii="Times New Roman" w:cs="Times New Roman" w:eastAsia="Times New Roman" w:hAnsi="Times New Roman"/>
          <w:sz w:val="19"/>
          <w:szCs w:val="19"/>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20" w:firstLine="702"/>
        <w:spacing w:after="0" w:line="262" w:lineRule="auto"/>
        <w:tabs>
          <w:tab w:leader="none" w:pos="96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62" w:lineRule="exact"/>
        <w:rPr>
          <w:rFonts w:ascii="Times New Roman" w:cs="Times New Roman" w:eastAsia="Times New Roman" w:hAnsi="Times New Roman"/>
          <w:sz w:val="19"/>
          <w:szCs w:val="19"/>
          <w:color w:val="auto"/>
        </w:rPr>
      </w:pPr>
    </w:p>
    <w:p>
      <w:pPr>
        <w:ind w:right="40" w:firstLine="702"/>
        <w:spacing w:after="0" w:line="253" w:lineRule="auto"/>
        <w:tabs>
          <w:tab w:leader="none" w:pos="97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if any Lender becomes a Defaulting Lender or is a Non-Consenting Lender (as provided in </w:t>
      </w:r>
      <w:r>
        <w:rPr>
          <w:rFonts w:ascii="Times New Roman" w:cs="Times New Roman" w:eastAsia="Times New Roman" w:hAnsi="Times New Roman"/>
          <w:sz w:val="19"/>
          <w:szCs w:val="19"/>
          <w:u w:val="single" w:color="auto"/>
          <w:color w:val="auto"/>
        </w:rPr>
        <w:t>Section 9.02(d)</w:t>
      </w:r>
      <w:r>
        <w:rPr>
          <w:rFonts w:ascii="Times New Roman" w:cs="Times New Roman" w:eastAsia="Times New Roman" w:hAnsi="Times New Roman"/>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such assignment is reasonably expected at the time of such assignment request to result in a reduction in such compensation or payments. A Lender shall not be required to make any such assignment and delegation if prior thereto, as a result of a waiver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889000</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7" w:name="page188"/>
    <w:bookmarkEnd w:id="18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otherwise, the circumstances entitling the Borrower to require such assignment and delegation cease to apply.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2.19.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702"/>
        <w:spacing w:after="0" w:line="268" w:lineRule="auto"/>
        <w:tabs>
          <w:tab w:leader="none" w:pos="96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44" w:lineRule="exact"/>
        <w:rPr>
          <w:rFonts w:ascii="Times New Roman" w:cs="Times New Roman" w:eastAsia="Times New Roman" w:hAnsi="Times New Roman"/>
          <w:sz w:val="19"/>
          <w:szCs w:val="19"/>
          <w:color w:val="auto"/>
        </w:rPr>
      </w:pPr>
    </w:p>
    <w:p>
      <w:pPr>
        <w:ind w:left="700" w:right="60" w:firstLine="746"/>
        <w:spacing w:after="0" w:line="251" w:lineRule="auto"/>
        <w:tabs>
          <w:tab w:leader="none" w:pos="1672"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or otherwise) or received by Administrative Agent from a Defaulting Lender pursuant to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shall be applied at such time or times as may be determined by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each Issuing Bank’s Fronting Exposure with respect to such Defaulting Lender in the manner described in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w:t>
      </w:r>
    </w:p>
    <w:p>
      <w:pPr>
        <w:spacing w:after="0" w:line="13" w:lineRule="exact"/>
        <w:rPr>
          <w:rFonts w:ascii="Times New Roman" w:cs="Times New Roman" w:eastAsia="Times New Roman" w:hAnsi="Times New Roman"/>
          <w:sz w:val="19"/>
          <w:szCs w:val="19"/>
          <w:color w:val="auto"/>
        </w:rPr>
      </w:pPr>
    </w:p>
    <w:p>
      <w:pPr>
        <w:ind w:left="700" w:firstLine="2"/>
        <w:spacing w:after="0" w:line="252" w:lineRule="auto"/>
        <w:tabs>
          <w:tab w:leader="none" w:pos="972"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Any payments, prepayments or other amounts paid or payable to a Defaulting Lender that are applied (or held)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8" w:name="page189"/>
    <w:bookmarkEnd w:id="188"/>
    <w:p>
      <w:pPr>
        <w:spacing w:after="0" w:line="26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 xml:space="preserve">amounts owed by a Defaulting Lender or to post Cash Collateral pursuant to this </w:t>
      </w:r>
      <w:r>
        <w:rPr>
          <w:rFonts w:ascii="Times New Roman" w:cs="Times New Roman" w:eastAsia="Times New Roman" w:hAnsi="Times New Roman"/>
          <w:sz w:val="19"/>
          <w:szCs w:val="19"/>
          <w:u w:val="single" w:color="auto"/>
          <w:color w:val="auto"/>
        </w:rPr>
        <w:t>Section 2.19(a)(i)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127" w:lineRule="exact"/>
        <w:rPr>
          <w:sz w:val="20"/>
          <w:szCs w:val="20"/>
          <w:color w:val="auto"/>
        </w:rPr>
      </w:pPr>
    </w:p>
    <w:p>
      <w:pPr>
        <w:ind w:left="1040" w:hanging="294"/>
        <w:spacing w:after="0"/>
        <w:tabs>
          <w:tab w:leader="none" w:pos="104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Fees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20" w:right="280" w:firstLine="795"/>
        <w:spacing w:after="0" w:line="257" w:lineRule="auto"/>
        <w:tabs>
          <w:tab w:leader="none" w:pos="1839"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pursuant to </w:t>
      </w:r>
      <w:r>
        <w:rPr>
          <w:rFonts w:ascii="Times New Roman" w:cs="Times New Roman" w:eastAsia="Times New Roman" w:hAnsi="Times New Roman"/>
          <w:sz w:val="19"/>
          <w:szCs w:val="19"/>
          <w:u w:val="single" w:color="auto"/>
          <w:color w:val="auto"/>
        </w:rPr>
        <w:t>Sections 2.11(a)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Defaulting Lender shall be entitled to receive fees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720" w:firstLine="795"/>
        <w:spacing w:after="0" w:line="256" w:lineRule="auto"/>
        <w:tabs>
          <w:tab w:leader="none" w:pos="182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fees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390" w:lineRule="exact"/>
        <w:rPr>
          <w:rFonts w:ascii="Times New Roman" w:cs="Times New Roman" w:eastAsia="Times New Roman" w:hAnsi="Times New Roman"/>
          <w:sz w:val="19"/>
          <w:szCs w:val="19"/>
          <w:color w:val="auto"/>
        </w:rPr>
      </w:pPr>
    </w:p>
    <w:p>
      <w:pPr>
        <w:ind w:right="40" w:firstLine="746"/>
        <w:spacing w:after="0" w:line="253" w:lineRule="auto"/>
        <w:tabs>
          <w:tab w:leader="none" w:pos="108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Participations to Reduce Fronting Exposure</w:t>
      </w:r>
      <w:r>
        <w:rPr>
          <w:rFonts w:ascii="Times New Roman" w:cs="Times New Roman" w:eastAsia="Times New Roman" w:hAnsi="Times New Roman"/>
          <w:sz w:val="19"/>
          <w:szCs w:val="19"/>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5" w:lineRule="exact"/>
        <w:rPr>
          <w:rFonts w:ascii="Times New Roman" w:cs="Times New Roman" w:eastAsia="Times New Roman" w:hAnsi="Times New Roman"/>
          <w:sz w:val="19"/>
          <w:szCs w:val="19"/>
          <w:color w:val="auto"/>
        </w:rPr>
      </w:pPr>
    </w:p>
    <w:p>
      <w:pPr>
        <w:ind w:right="180" w:firstLine="746"/>
        <w:spacing w:after="0" w:line="262" w:lineRule="auto"/>
        <w:tabs>
          <w:tab w:leader="none" w:pos="106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883920</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189" w:name="page190"/>
    <w:bookmarkEnd w:id="189"/>
    <w:p>
      <w:pPr>
        <w:spacing w:after="0" w:line="2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 xml:space="preserve">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57" w:lineRule="exact"/>
        <w:rPr>
          <w:sz w:val="20"/>
          <w:szCs w:val="20"/>
          <w:color w:val="auto"/>
        </w:rPr>
      </w:pPr>
    </w:p>
    <w:p>
      <w:pPr>
        <w:ind w:right="80" w:firstLine="746"/>
        <w:spacing w:after="0" w:line="255" w:lineRule="auto"/>
        <w:tabs>
          <w:tab w:leader="none" w:pos="102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 xml:space="preserve"> 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w:t>
      </w:r>
      <w:r>
        <w:rPr>
          <w:rFonts w:ascii="Times New Roman" w:cs="Times New Roman" w:eastAsia="Times New Roman" w:hAnsi="Times New Roman"/>
          <w:sz w:val="19"/>
          <w:szCs w:val="19"/>
          <w:u w:val="single" w:color="auto"/>
          <w:color w:val="auto"/>
        </w:rPr>
        <w:t>Section 2.19(a)(ii)</w:t>
      </w:r>
      <w:r>
        <w:rPr>
          <w:rFonts w:ascii="Times New Roman" w:cs="Times New Roman" w:eastAsia="Times New Roman" w:hAnsi="Times New Roman"/>
          <w:sz w:val="19"/>
          <w:szCs w:val="19"/>
          <w:color w:val="auto"/>
        </w:rPr>
        <w:t xml:space="preserve"> shall apply in all respects.</w:t>
      </w:r>
    </w:p>
    <w:p>
      <w:pPr>
        <w:spacing w:after="0" w:line="159" w:lineRule="exact"/>
        <w:rPr>
          <w:rFonts w:ascii="Times New Roman" w:cs="Times New Roman" w:eastAsia="Times New Roman" w:hAnsi="Times New Roman"/>
          <w:sz w:val="19"/>
          <w:szCs w:val="19"/>
          <w:color w:val="auto"/>
        </w:rPr>
      </w:pPr>
    </w:p>
    <w:p>
      <w:pPr>
        <w:ind w:left="-700" w:firstLine="702"/>
        <w:spacing w:after="0" w:line="253" w:lineRule="auto"/>
        <w:tabs>
          <w:tab w:leader="none" w:pos="27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65" w:lineRule="exact"/>
        <w:rPr>
          <w:rFonts w:ascii="Times New Roman" w:cs="Times New Roman" w:eastAsia="Times New Roman" w:hAnsi="Times New Roman"/>
          <w:sz w:val="19"/>
          <w:szCs w:val="19"/>
          <w:color w:val="auto"/>
        </w:rPr>
      </w:pPr>
    </w:p>
    <w:p>
      <w:pPr>
        <w:ind w:left="-700" w:right="20" w:firstLine="702"/>
        <w:spacing w:after="0" w:line="259" w:lineRule="auto"/>
        <w:tabs>
          <w:tab w:leader="none" w:pos="2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New Swingline Loans/Letters of Credit</w:t>
      </w:r>
      <w:r>
        <w:rPr>
          <w:rFonts w:ascii="Times New Roman" w:cs="Times New Roman" w:eastAsia="Times New Roman" w:hAnsi="Times New Roman"/>
          <w:sz w:val="19"/>
          <w:szCs w:val="19"/>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885825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90" w:name="page191"/>
    <w:bookmarkEnd w:id="190"/>
    <w:p>
      <w:pPr>
        <w:spacing w:after="0" w:line="26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9"/>
          <w:szCs w:val="19"/>
          <w:color w:val="auto"/>
        </w:rPr>
        <w:t xml:space="preserve">renewed or increased Letter of Credit has been or will be fully allocated among the Non-Defaulting Lenders in a manner consistent with </w:t>
      </w:r>
      <w:r>
        <w:rPr>
          <w:rFonts w:ascii="Times New Roman" w:cs="Times New Roman" w:eastAsia="Times New Roman" w:hAnsi="Times New Roman"/>
          <w:sz w:val="19"/>
          <w:szCs w:val="19"/>
          <w:u w:val="single" w:color="auto"/>
          <w:color w:val="auto"/>
        </w:rPr>
        <w:t>clause (a)(iii)</w:t>
      </w:r>
      <w:r>
        <w:rPr>
          <w:rFonts w:ascii="Times New Roman" w:cs="Times New Roman" w:eastAsia="Times New Roman" w:hAnsi="Times New Roman"/>
          <w:sz w:val="19"/>
          <w:szCs w:val="19"/>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60" w:firstLine="702"/>
        <w:spacing w:after="0" w:line="262" w:lineRule="auto"/>
        <w:tabs>
          <w:tab w:leader="none" w:pos="97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19"/>
          <w:szCs w:val="19"/>
          <w:u w:val="single" w:color="auto"/>
          <w:color w:val="auto"/>
        </w:rPr>
        <w:t>Section 2.19(a)(iii)</w:t>
      </w:r>
      <w:r>
        <w:rPr>
          <w:rFonts w:ascii="Times New Roman" w:cs="Times New Roman" w:eastAsia="Times New Roman" w:hAnsi="Times New Roman"/>
          <w:sz w:val="19"/>
          <w:szCs w:val="19"/>
          <w:color w:val="auto"/>
        </w:rPr>
        <w:t xml:space="preserve"> and any Cash Collateral provided by such Defaulting Lender) in an amount not less than the Minimum Collateral Amount.</w:t>
      </w:r>
    </w:p>
    <w:p>
      <w:pPr>
        <w:spacing w:after="0" w:line="150" w:lineRule="exact"/>
        <w:rPr>
          <w:rFonts w:ascii="Times New Roman" w:cs="Times New Roman" w:eastAsia="Times New Roman" w:hAnsi="Times New Roman"/>
          <w:sz w:val="19"/>
          <w:szCs w:val="19"/>
          <w:color w:val="auto"/>
        </w:rPr>
      </w:pPr>
    </w:p>
    <w:p>
      <w:pPr>
        <w:ind w:left="700" w:right="20" w:firstLine="746"/>
        <w:spacing w:after="0" w:line="253" w:lineRule="auto"/>
        <w:tabs>
          <w:tab w:leader="none" w:pos="1672"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65" w:lineRule="exact"/>
        <w:rPr>
          <w:rFonts w:ascii="Times New Roman" w:cs="Times New Roman" w:eastAsia="Times New Roman" w:hAnsi="Times New Roman"/>
          <w:sz w:val="19"/>
          <w:szCs w:val="19"/>
          <w:color w:val="auto"/>
        </w:rPr>
      </w:pPr>
    </w:p>
    <w:p>
      <w:pPr>
        <w:ind w:left="700" w:firstLine="746"/>
        <w:spacing w:after="0" w:line="259" w:lineRule="auto"/>
        <w:tabs>
          <w:tab w:leader="none" w:pos="1732"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xml:space="preserve">. Notwithstanding anything to the contrary contained in this Agreement, Cash Collateral provided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53" w:lineRule="exact"/>
        <w:rPr>
          <w:rFonts w:ascii="Times New Roman" w:cs="Times New Roman" w:eastAsia="Times New Roman" w:hAnsi="Times New Roman"/>
          <w:sz w:val="19"/>
          <w:szCs w:val="19"/>
          <w:color w:val="auto"/>
        </w:rPr>
      </w:pPr>
    </w:p>
    <w:p>
      <w:pPr>
        <w:ind w:left="700" w:right="120" w:firstLine="746"/>
        <w:spacing w:after="0" w:line="256" w:lineRule="auto"/>
        <w:tabs>
          <w:tab w:leader="none" w:pos="178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Requirement</w:t>
      </w:r>
      <w:r>
        <w:rPr>
          <w:rFonts w:ascii="Times New Roman" w:cs="Times New Roman" w:eastAsia="Times New Roman" w:hAnsi="Times New Roman"/>
          <w:sz w:val="19"/>
          <w:szCs w:val="19"/>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subject to the other provisions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 Person providing Cash Collateral and each Issuing Bank may agree that Cash Collateral shall be held to support future anticipated Fronting Exposure;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that such Cash Collateral was provided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1" w:name="page192"/>
    <w:bookmarkEnd w:id="191"/>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Cash Collateral shall remain subject to the security interest granted pursuant to the Loan Documents.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Reallocation Following a Non-Extended Commitment Termination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60" w:hanging="258"/>
        <w:spacing w:after="0"/>
        <w:tabs>
          <w:tab w:leader="none" w:pos="26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Participations and Loans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firstLine="746"/>
        <w:spacing w:after="0" w:line="252" w:lineRule="auto"/>
        <w:tabs>
          <w:tab w:leader="none" w:pos="973"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(a) in connection with the reduction or termination of any Non-Extending Lender’s Commitments in accordance with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on any date prior to the Non-Extended Commitment Termination Date for such Non-Extending Lender, the Borrower shall be permitted to request a Loan be made ratably among the Extending Lenders and Non-Extending Lenders for which the Non-Extended Commitment Termination Date shall not have occurred in accordance with the provisions of </w:t>
      </w:r>
      <w:r>
        <w:rPr>
          <w:rFonts w:ascii="Times New Roman" w:cs="Times New Roman" w:eastAsia="Times New Roman" w:hAnsi="Times New Roman"/>
          <w:sz w:val="19"/>
          <w:szCs w:val="19"/>
          <w:u w:val="single" w:color="auto"/>
          <w:color w:val="auto"/>
        </w:rPr>
        <w:t>Sections 2.02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Loan to be made ratably among the Extending Lenders and Non-Extending Lenders for which the Non-Extended Commitment Termination Date shall not have occurred in accordance with </w:t>
      </w:r>
      <w:r>
        <w:rPr>
          <w:rFonts w:ascii="Times New Roman" w:cs="Times New Roman" w:eastAsia="Times New Roman" w:hAnsi="Times New Roman"/>
          <w:sz w:val="19"/>
          <w:szCs w:val="19"/>
          <w:u w:val="single" w:color="auto"/>
          <w:color w:val="auto"/>
        </w:rPr>
        <w:t>Sections 2.02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2.17(c)</w:t>
      </w:r>
      <w:r>
        <w:rPr>
          <w:rFonts w:ascii="Times New Roman" w:cs="Times New Roman" w:eastAsia="Times New Roman" w:hAnsi="Times New Roman"/>
          <w:sz w:val="19"/>
          <w:szCs w:val="19"/>
          <w:color w:val="auto"/>
        </w:rPr>
        <w:t xml:space="preserve"> in an amount up to the Revolving Credit Exposure of each Non-Extending Lender for which the Non-Extended Commitment Termination Date shall have occurred, in each case, so long as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394" w:lineRule="exact"/>
        <w:rPr>
          <w:rFonts w:ascii="Times New Roman" w:cs="Times New Roman" w:eastAsia="Times New Roman" w:hAnsi="Times New Roman"/>
          <w:sz w:val="19"/>
          <w:szCs w:val="19"/>
          <w:color w:val="auto"/>
        </w:rPr>
      </w:pPr>
    </w:p>
    <w:p>
      <w:pPr>
        <w:ind w:right="20" w:firstLine="746"/>
        <w:spacing w:after="0" w:line="255" w:lineRule="auto"/>
        <w:tabs>
          <w:tab w:leader="none" w:pos="102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889635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192" w:name="page193"/>
    <w:bookmarkEnd w:id="192"/>
    <w:p>
      <w:pPr>
        <w:spacing w:after="0" w:line="269"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57" w:lineRule="exact"/>
        <w:rPr>
          <w:sz w:val="20"/>
          <w:szCs w:val="20"/>
          <w:color w:val="auto"/>
        </w:rPr>
      </w:pPr>
    </w:p>
    <w:p>
      <w:pPr>
        <w:ind w:right="100" w:firstLine="702"/>
        <w:spacing w:after="0" w:line="252" w:lineRule="auto"/>
        <w:tabs>
          <w:tab w:leader="none" w:pos="972"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19"/>
          <w:szCs w:val="19"/>
          <w:u w:val="single" w:color="auto"/>
          <w:color w:val="auto"/>
        </w:rPr>
        <w:t>clause (a)(i)</w:t>
      </w:r>
      <w:r>
        <w:rPr>
          <w:rFonts w:ascii="Times New Roman" w:cs="Times New Roman" w:eastAsia="Times New Roman" w:hAnsi="Times New Roman"/>
          <w:sz w:val="19"/>
          <w:szCs w:val="19"/>
          <w:color w:val="auto"/>
        </w:rPr>
        <w:t xml:space="preserve"> above or any reallocation described in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19"/>
          <w:szCs w:val="19"/>
          <w:u w:val="single" w:color="auto"/>
          <w:color w:val="auto"/>
        </w:rPr>
        <w:t>Section 2.08(f)</w:t>
      </w:r>
      <w:r>
        <w:rPr>
          <w:rFonts w:ascii="Times New Roman" w:cs="Times New Roman" w:eastAsia="Times New Roman" w:hAnsi="Times New Roman"/>
          <w:sz w:val="19"/>
          <w:szCs w:val="19"/>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w:t>
      </w:r>
    </w:p>
    <w:p>
      <w:pPr>
        <w:spacing w:after="0" w:line="8" w:lineRule="exact"/>
        <w:rPr>
          <w:rFonts w:ascii="Times New Roman" w:cs="Times New Roman" w:eastAsia="Times New Roman" w:hAnsi="Times New Roman"/>
          <w:sz w:val="19"/>
          <w:szCs w:val="19"/>
          <w:color w:val="auto"/>
        </w:rPr>
      </w:pPr>
    </w:p>
    <w:p>
      <w:pPr>
        <w:ind w:right="160" w:firstLine="6"/>
        <w:spacing w:after="0" w:line="253" w:lineRule="auto"/>
        <w:tabs>
          <w:tab w:leader="none" w:pos="27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19"/>
          <w:szCs w:val="19"/>
          <w:u w:val="single" w:color="auto"/>
          <w:color w:val="auto"/>
        </w:rPr>
        <w:t>clause (a)(i)(z) above</w:t>
      </w:r>
      <w:r>
        <w:rPr>
          <w:rFonts w:ascii="Times New Roman" w:cs="Times New Roman" w:eastAsia="Times New Roman" w:hAnsi="Times New Roman"/>
          <w:sz w:val="19"/>
          <w:szCs w:val="19"/>
          <w:color w:val="auto"/>
        </w:rPr>
        <w:t xml:space="preserve"> exceeds such Non-Extending Lender’s Commitment after giving effect to any reduction in such Non-Extending Lender’s Commitment.</w:t>
      </w:r>
    </w:p>
    <w:p>
      <w:pPr>
        <w:spacing w:after="0" w:line="159"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2.21. </w:t>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If any Change in Law shall make it unlawful or impossible for any Lender to perform any of 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 (B) immediately if such Lender shall determine that it may not lawfully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3" w:name="page194"/>
    <w:bookmarkEnd w:id="193"/>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w:t>
      </w:r>
    </w:p>
    <w:p>
      <w:pPr>
        <w:spacing w:after="0" w:line="13" w:lineRule="exact"/>
        <w:rPr>
          <w:sz w:val="20"/>
          <w:szCs w:val="20"/>
          <w:color w:val="auto"/>
        </w:rPr>
      </w:pPr>
    </w:p>
    <w:p>
      <w:pPr>
        <w:ind w:right="20" w:firstLine="6"/>
        <w:spacing w:after="0" w:line="251" w:lineRule="auto"/>
        <w:tabs>
          <w:tab w:leader="none" w:pos="27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1037590</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4" w:name="page195"/>
    <w:bookmarkEnd w:id="194"/>
    <w:p>
      <w:pPr>
        <w:spacing w:after="0" w:line="2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 xml:space="preserve">lawfully continue to maintain such Loan to such date or (y) immediately if such Lender shall determine that it may not lawfully continue to maintain such Term Benchmark Loan to such date, or (3) be prepaid in full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cs="Times New Roman" w:eastAsia="Times New Roman" w:hAnsi="Times New Roman"/>
          <w:sz w:val="19"/>
          <w:szCs w:val="19"/>
          <w:u w:val="single" w:color="auto"/>
          <w:color w:val="auto"/>
        </w:rPr>
        <w:t>clause (iv)(B)(1)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(v)(B)(1)</w:t>
      </w:r>
      <w:r>
        <w:rPr>
          <w:rFonts w:ascii="Times New Roman" w:cs="Times New Roman" w:eastAsia="Times New Roman" w:hAnsi="Times New Roman"/>
          <w:sz w:val="19"/>
          <w:szCs w:val="19"/>
          <w:color w:val="auto"/>
        </w:rPr>
        <w:t xml:space="preserve"> 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2.22. </w:t>
      </w:r>
      <w:r>
        <w:rPr>
          <w:rFonts w:ascii="Times New Roman" w:cs="Times New Roman" w:eastAsia="Times New Roman" w:hAnsi="Times New Roman"/>
          <w:sz w:val="19"/>
          <w:szCs w:val="19"/>
          <w:u w:val="single" w:color="auto"/>
          <w:color w:val="auto"/>
        </w:rPr>
        <w:t>Effect of Benchmark Transition Event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2" w:lineRule="auto"/>
        <w:tabs>
          <w:tab w:leader="none" w:pos="96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170" w:lineRule="exact"/>
        <w:rPr>
          <w:rFonts w:ascii="Times New Roman" w:cs="Times New Roman" w:eastAsia="Times New Roman" w:hAnsi="Times New Roman"/>
          <w:sz w:val="19"/>
          <w:szCs w:val="19"/>
          <w:color w:val="auto"/>
        </w:rPr>
      </w:pPr>
    </w:p>
    <w:p>
      <w:pPr>
        <w:ind w:right="100" w:firstLine="702"/>
        <w:spacing w:after="0" w:line="259" w:lineRule="auto"/>
        <w:tabs>
          <w:tab w:leader="none" w:pos="97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5" w:name="page196"/>
    <w:bookmarkEnd w:id="195"/>
    <w:p>
      <w:pPr>
        <w:spacing w:after="0" w:line="269" w:lineRule="exact"/>
        <w:rPr>
          <w:sz w:val="20"/>
          <w:szCs w:val="20"/>
          <w:color w:val="auto"/>
        </w:rPr>
      </w:pPr>
    </w:p>
    <w:p>
      <w:pPr>
        <w:ind w:left="-6" w:firstLine="702"/>
        <w:spacing w:after="0" w:line="254" w:lineRule="auto"/>
        <w:tabs>
          <w:tab w:leader="none" w:pos="954"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391" w:lineRule="exact"/>
        <w:rPr>
          <w:rFonts w:ascii="Times New Roman" w:cs="Times New Roman" w:eastAsia="Times New Roman" w:hAnsi="Times New Roman"/>
          <w:sz w:val="19"/>
          <w:szCs w:val="19"/>
          <w:color w:val="auto"/>
        </w:rPr>
      </w:pPr>
    </w:p>
    <w:p>
      <w:pPr>
        <w:ind w:left="-6" w:right="20" w:firstLine="702"/>
        <w:spacing w:after="0" w:line="252" w:lineRule="auto"/>
        <w:tabs>
          <w:tab w:leader="none" w:pos="966"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w:t>
      </w:r>
    </w:p>
    <w:p>
      <w:pPr>
        <w:spacing w:after="0" w:line="8" w:lineRule="exact"/>
        <w:rPr>
          <w:rFonts w:ascii="Times New Roman" w:cs="Times New Roman" w:eastAsia="Times New Roman" w:hAnsi="Times New Roman"/>
          <w:sz w:val="19"/>
          <w:szCs w:val="19"/>
          <w:color w:val="auto"/>
        </w:rPr>
      </w:pPr>
    </w:p>
    <w:p>
      <w:pPr>
        <w:ind w:left="-6" w:right="180" w:firstLine="6"/>
        <w:spacing w:after="0" w:line="256" w:lineRule="auto"/>
        <w:tabs>
          <w:tab w:leader="none" w:pos="29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55" w:lineRule="exact"/>
        <w:rPr>
          <w:rFonts w:ascii="Times New Roman" w:cs="Times New Roman" w:eastAsia="Times New Roman" w:hAnsi="Times New Roman"/>
          <w:sz w:val="19"/>
          <w:szCs w:val="19"/>
          <w:color w:val="auto"/>
        </w:rPr>
      </w:pPr>
    </w:p>
    <w:p>
      <w:pPr>
        <w:ind w:left="-6" w:right="40" w:firstLine="702"/>
        <w:spacing w:after="0" w:line="254" w:lineRule="auto"/>
        <w:tabs>
          <w:tab w:leader="none" w:pos="954"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890270</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4"/>
          </w:cols>
          <w:pgMar w:left="666" w:top="1440" w:right="660" w:bottom="1440" w:gutter="0" w:footer="0" w:header="0"/>
        </w:sectPr>
      </w:pPr>
    </w:p>
    <w:bookmarkStart w:id="196" w:name="page197"/>
    <w:bookmarkEnd w:id="196"/>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902335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97" w:name="page198"/>
    <w:bookmarkEnd w:id="197"/>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III</w:t>
      </w:r>
    </w:p>
    <w:p>
      <w:pPr>
        <w:spacing w:after="0" w:line="238" w:lineRule="exact"/>
        <w:rPr>
          <w:sz w:val="20"/>
          <w:szCs w:val="20"/>
          <w:color w:val="auto"/>
        </w:rPr>
      </w:pPr>
    </w:p>
    <w:p>
      <w:pPr>
        <w:ind w:left="1420" w:right="3520" w:firstLine="2101"/>
        <w:spacing w:after="0" w:line="461" w:lineRule="auto"/>
        <w:rPr>
          <w:sz w:val="20"/>
          <w:szCs w:val="20"/>
          <w:color w:val="auto"/>
        </w:rPr>
      </w:pPr>
      <w:r>
        <w:rPr>
          <w:rFonts w:ascii="Times New Roman" w:cs="Times New Roman" w:eastAsia="Times New Roman" w:hAnsi="Times New Roman"/>
          <w:sz w:val="19"/>
          <w:szCs w:val="19"/>
          <w:color w:val="auto"/>
        </w:rPr>
        <w:t>REPRESENTATIONS AND WARRANTIES The Borrower represents and warrants to the Lenders that:</w:t>
      </w:r>
    </w:p>
    <w:p>
      <w:pPr>
        <w:spacing w:after="0" w:line="1"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 xml:space="preserve">SECTION 3.01.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xml:space="preserve"> .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spacing w:after="0" w:line="154" w:lineRule="exact"/>
        <w:rPr>
          <w:sz w:val="20"/>
          <w:szCs w:val="20"/>
          <w:color w:val="auto"/>
        </w:rPr>
      </w:pPr>
    </w:p>
    <w:p>
      <w:pPr>
        <w:ind w:right="100" w:firstLine="696"/>
        <w:spacing w:after="0" w:line="256"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57"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xml:space="preserve"> 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3.04. </w:t>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702"/>
        <w:spacing w:after="0" w:line="259" w:lineRule="auto"/>
        <w:tabs>
          <w:tab w:leader="none" w:pos="9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8" w:name="page199"/>
    <w:bookmarkEnd w:id="198"/>
    <w:p>
      <w:pPr>
        <w:spacing w:after="0" w:line="269" w:lineRule="exact"/>
        <w:rPr>
          <w:sz w:val="20"/>
          <w:szCs w:val="20"/>
          <w:color w:val="auto"/>
        </w:rPr>
      </w:pPr>
    </w:p>
    <w:p>
      <w:pPr>
        <w:ind w:right="40" w:firstLine="702"/>
        <w:spacing w:after="0" w:line="257" w:lineRule="auto"/>
        <w:tabs>
          <w:tab w:leader="none" w:pos="97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Material Adverse Change</w:t>
      </w:r>
      <w:r>
        <w:rPr>
          <w:rFonts w:ascii="Times New Roman" w:cs="Times New Roman" w:eastAsia="Times New Roman" w:hAnsi="Times New Roman"/>
          <w:sz w:val="19"/>
          <w:szCs w:val="19"/>
          <w:color w:val="auto"/>
        </w:rPr>
        <w:t>. Since the date of the most recent Applicable Financial Statements, there has not been any event, development or circumstance (herein, a “</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57" w:lineRule="exact"/>
        <w:rPr>
          <w:sz w:val="20"/>
          <w:szCs w:val="20"/>
          <w:color w:val="auto"/>
        </w:rPr>
      </w:pPr>
    </w:p>
    <w:p>
      <w:pPr>
        <w:ind w:right="400" w:firstLine="696"/>
        <w:spacing w:after="0" w:line="259"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investigations or proceedings by or before any arbitrator or 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spacing w:after="0" w:line="154" w:lineRule="exact"/>
        <w:rPr>
          <w:sz w:val="20"/>
          <w:szCs w:val="20"/>
          <w:color w:val="auto"/>
        </w:rPr>
      </w:pPr>
    </w:p>
    <w:p>
      <w:pPr>
        <w:ind w:right="20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Compliance with Laws and Agreements</w:t>
      </w:r>
      <w:r>
        <w:rPr>
          <w:rFonts w:ascii="Times New Roman" w:cs="Times New Roman" w:eastAsia="Times New Roman" w:hAnsi="Times New Roman"/>
          <w:sz w:val="19"/>
          <w:szCs w:val="19"/>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spacing w:after="0" w:line="157"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50" w:lineRule="exact"/>
        <w:rPr>
          <w:sz w:val="20"/>
          <w:szCs w:val="20"/>
          <w:color w:val="auto"/>
        </w:rPr>
      </w:pPr>
    </w:p>
    <w:p>
      <w:pPr>
        <w:ind w:right="22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3.08.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1036955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9" w:name="page200"/>
    <w:bookmarkEnd w:id="199"/>
    <w:p>
      <w:pPr>
        <w:spacing w:after="0" w:line="2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 xml:space="preserve">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3.10. </w:t>
      </w:r>
      <w:r>
        <w:rPr>
          <w:rFonts w:ascii="Times New Roman" w:cs="Times New Roman" w:eastAsia="Times New Roman" w:hAnsi="Times New Roman"/>
          <w:sz w:val="19"/>
          <w:szCs w:val="19"/>
          <w:u w:val="single" w:color="auto"/>
          <w:color w:val="auto"/>
        </w:rPr>
        <w:t>Investment Company Act; Margin Regulations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702"/>
        <w:spacing w:after="0" w:line="286" w:lineRule="auto"/>
        <w:tabs>
          <w:tab w:leader="none" w:pos="96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as Business Development Company</w:t>
      </w:r>
      <w:r>
        <w:rPr>
          <w:rFonts w:ascii="Times New Roman" w:cs="Times New Roman" w:eastAsia="Times New Roman" w:hAnsi="Times New Roman"/>
          <w:sz w:val="19"/>
          <w:szCs w:val="19"/>
          <w:color w:val="auto"/>
        </w:rPr>
        <w:t>. The Borrower has elected to be regulated as a “business development company” within the meaning of the Investment Company Act and qualifies as a RIC.</w:t>
      </w:r>
    </w:p>
    <w:p>
      <w:pPr>
        <w:spacing w:after="0" w:line="127" w:lineRule="exact"/>
        <w:rPr>
          <w:rFonts w:ascii="Times New Roman" w:cs="Times New Roman" w:eastAsia="Times New Roman" w:hAnsi="Times New Roman"/>
          <w:sz w:val="19"/>
          <w:szCs w:val="19"/>
          <w:color w:val="auto"/>
        </w:rPr>
      </w:pPr>
    </w:p>
    <w:p>
      <w:pPr>
        <w:ind w:right="140" w:firstLine="702"/>
        <w:spacing w:after="0" w:line="259" w:lineRule="auto"/>
        <w:tabs>
          <w:tab w:leader="none" w:pos="972"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Investment Company Act</w:t>
      </w:r>
      <w:r>
        <w:rPr>
          <w:rFonts w:ascii="Times New Roman" w:cs="Times New Roman" w:eastAsia="Times New Roman" w:hAnsi="Times New Roman"/>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53" w:lineRule="exact"/>
        <w:rPr>
          <w:rFonts w:ascii="Times New Roman" w:cs="Times New Roman" w:eastAsia="Times New Roman" w:hAnsi="Times New Roman"/>
          <w:sz w:val="19"/>
          <w:szCs w:val="19"/>
          <w:color w:val="auto"/>
        </w:rPr>
      </w:pPr>
    </w:p>
    <w:p>
      <w:pPr>
        <w:jc w:val="both"/>
        <w:ind w:right="240" w:firstLine="702"/>
        <w:spacing w:after="0" w:line="268" w:lineRule="auto"/>
        <w:tabs>
          <w:tab w:leader="none" w:pos="96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The Borrower is in compliance in all respects with the Investment Policies (after giving effect to any Permitted Policy Amendments), except to the extent that the failure to so comply would not reasonably be expected to have a Material Adverse Effect.</w:t>
      </w:r>
    </w:p>
    <w:p>
      <w:pPr>
        <w:spacing w:after="0" w:line="144" w:lineRule="exact"/>
        <w:rPr>
          <w:rFonts w:ascii="Times New Roman" w:cs="Times New Roman" w:eastAsia="Times New Roman" w:hAnsi="Times New Roman"/>
          <w:sz w:val="19"/>
          <w:szCs w:val="19"/>
          <w:color w:val="auto"/>
        </w:rPr>
      </w:pPr>
    </w:p>
    <w:p>
      <w:pPr>
        <w:ind w:firstLine="702"/>
        <w:spacing w:after="0" w:line="257" w:lineRule="auto"/>
        <w:tabs>
          <w:tab w:leader="none" w:pos="972"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 of Credit</w:t>
      </w:r>
      <w:r>
        <w:rPr>
          <w:rFonts w:ascii="Times New Roman" w:cs="Times New Roman" w:eastAsia="Times New Roman" w:hAnsi="Times New Roman"/>
          <w:sz w:val="19"/>
          <w:szCs w:val="19"/>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3.11. </w:t>
      </w:r>
      <w:r>
        <w:rPr>
          <w:rFonts w:ascii="Times New Roman" w:cs="Times New Roman" w:eastAsia="Times New Roman" w:hAnsi="Times New Roman"/>
          <w:sz w:val="19"/>
          <w:szCs w:val="19"/>
          <w:u w:val="single" w:color="auto"/>
          <w:color w:val="auto"/>
        </w:rPr>
        <w:t>Material Agreements and 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702"/>
        <w:spacing w:after="0" w:line="259" w:lineRule="auto"/>
        <w:tabs>
          <w:tab w:leader="none" w:pos="9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Material Agreements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Times New Roman" w:cs="Times New Roman" w:eastAsia="Times New Roman" w:hAnsi="Times New Roman"/>
          <w:sz w:val="19"/>
          <w:szCs w:val="19"/>
          <w:u w:val="single" w:color="auto"/>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right="260" w:firstLine="702"/>
        <w:spacing w:after="0" w:line="262" w:lineRule="auto"/>
        <w:tabs>
          <w:tab w:leader="none" w:pos="972"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 3.11</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0" w:name="page201"/>
    <w:bookmarkEnd w:id="200"/>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3.12. </w:t>
      </w:r>
      <w:r>
        <w:rPr>
          <w:rFonts w:ascii="Times New Roman" w:cs="Times New Roman" w:eastAsia="Times New Roman" w:hAnsi="Times New Roman"/>
          <w:sz w:val="19"/>
          <w:szCs w:val="19"/>
          <w:u w:val="single" w:color="auto"/>
          <w:color w:val="auto"/>
        </w:rPr>
        <w:t>Subsidiaries and Investments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960" w:hanging="258"/>
        <w:spacing w:after="0"/>
        <w:tabs>
          <w:tab w:leader="none" w:pos="96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3.12(a)</w:t>
      </w:r>
      <w:r>
        <w:rPr>
          <w:rFonts w:ascii="Times New Roman" w:cs="Times New Roman" w:eastAsia="Times New Roman" w:hAnsi="Times New Roman"/>
          <w:sz w:val="19"/>
          <w:szCs w:val="19"/>
          <w:color w:val="auto"/>
        </w:rPr>
        <w:t xml:space="preserve"> is a list of the Borrower’s Subsidiaries as of the Original Effective Date.</w:t>
      </w:r>
    </w:p>
    <w:p>
      <w:pPr>
        <w:spacing w:after="0" w:line="201" w:lineRule="exact"/>
        <w:rPr>
          <w:rFonts w:ascii="Times New Roman" w:cs="Times New Roman" w:eastAsia="Times New Roman" w:hAnsi="Times New Roman"/>
          <w:sz w:val="19"/>
          <w:szCs w:val="19"/>
          <w:color w:val="auto"/>
        </w:rPr>
      </w:pPr>
    </w:p>
    <w:p>
      <w:pPr>
        <w:ind w:firstLine="702"/>
        <w:spacing w:after="0" w:line="257" w:lineRule="auto"/>
        <w:tabs>
          <w:tab w:leader="none" w:pos="972"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 xml:space="preserve"> is a complete and correct list, as of the Original Effective Date, of all Investments (other than Investments of the types referred to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19"/>
          <w:szCs w:val="19"/>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3.13.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100" w:firstLine="702"/>
        <w:spacing w:after="0" w:line="262" w:lineRule="auto"/>
        <w:tabs>
          <w:tab w:leader="none" w:pos="96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 Generally</w:t>
      </w:r>
      <w:r>
        <w:rPr>
          <w:rFonts w:ascii="Times New Roman" w:cs="Times New Roman" w:eastAsia="Times New Roman" w:hAnsi="Times New Roman"/>
          <w:sz w:val="19"/>
          <w:szCs w:val="19"/>
          <w:color w:val="auto"/>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pacing w:after="0" w:line="150" w:lineRule="exact"/>
        <w:rPr>
          <w:rFonts w:ascii="Times New Roman" w:cs="Times New Roman" w:eastAsia="Times New Roman" w:hAnsi="Times New Roman"/>
          <w:sz w:val="19"/>
          <w:szCs w:val="19"/>
          <w:color w:val="auto"/>
        </w:rPr>
      </w:pPr>
    </w:p>
    <w:p>
      <w:pPr>
        <w:ind w:right="80" w:firstLine="702"/>
        <w:spacing w:after="0" w:line="259" w:lineRule="auto"/>
        <w:tabs>
          <w:tab w:leader="none" w:pos="972"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pacing w:after="0" w:line="154" w:lineRule="exact"/>
        <w:rPr>
          <w:sz w:val="20"/>
          <w:szCs w:val="20"/>
          <w:color w:val="auto"/>
        </w:rPr>
      </w:pPr>
    </w:p>
    <w:p>
      <w:pPr>
        <w:ind w:right="26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Affiliate Agreements</w:t>
      </w:r>
      <w:r>
        <w:rPr>
          <w:rFonts w:ascii="Times New Roman" w:cs="Times New Roman" w:eastAsia="Times New Roman" w:hAnsi="Times New Roman"/>
          <w:sz w:val="19"/>
          <w:szCs w:val="19"/>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702"/>
        <w:spacing w:after="0" w:line="257" w:lineRule="auto"/>
        <w:tabs>
          <w:tab w:leader="none" w:pos="95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1" w:name="page202"/>
    <w:bookmarkEnd w:id="201"/>
    <w:p>
      <w:pPr>
        <w:spacing w:after="0" w:line="269" w:lineRule="exact"/>
        <w:rPr>
          <w:sz w:val="20"/>
          <w:szCs w:val="20"/>
          <w:color w:val="auto"/>
        </w:rPr>
      </w:pPr>
    </w:p>
    <w:p>
      <w:pPr>
        <w:ind w:right="160" w:firstLine="702"/>
        <w:spacing w:after="0" w:line="268" w:lineRule="auto"/>
        <w:tabs>
          <w:tab w:leader="none" w:pos="9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44"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3.16.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xml:space="preserve"> .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19"/>
          <w:szCs w:val="19"/>
          <w:u w:val="single" w:color="auto"/>
          <w:color w:val="auto"/>
        </w:rPr>
        <w:t>Anti -Corruption Laws</w:t>
      </w:r>
      <w:r>
        <w:rPr>
          <w:rFonts w:ascii="Times New Roman" w:cs="Times New Roman" w:eastAsia="Times New Roman" w:hAnsi="Times New Roman"/>
          <w:sz w:val="19"/>
          <w:szCs w:val="19"/>
          <w:color w:val="auto"/>
        </w:rPr>
        <w:t xml:space="preserve"> ”)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spacing w:after="0" w:line="165"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3.17.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spacing w:after="0" w:line="160" w:lineRule="exact"/>
        <w:rPr>
          <w:sz w:val="20"/>
          <w:szCs w:val="20"/>
          <w:color w:val="auto"/>
        </w:rPr>
      </w:pPr>
    </w:p>
    <w:p>
      <w:pPr>
        <w:jc w:val="center"/>
        <w:ind w:right="40"/>
        <w:spacing w:after="0" w:line="481" w:lineRule="auto"/>
        <w:rPr>
          <w:sz w:val="20"/>
          <w:szCs w:val="20"/>
          <w:color w:val="auto"/>
        </w:rPr>
      </w:pPr>
      <w:r>
        <w:rPr>
          <w:rFonts w:ascii="Times New Roman" w:cs="Times New Roman" w:eastAsia="Times New Roman" w:hAnsi="Times New Roman"/>
          <w:sz w:val="19"/>
          <w:szCs w:val="19"/>
          <w:color w:val="auto"/>
        </w:rPr>
        <w:t xml:space="preserve">SECTION 3.18. </w:t>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Subsidiary is an EEA Financial Institution. ARTICLE IV</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202" w:lineRule="exact"/>
        <w:rPr>
          <w:sz w:val="20"/>
          <w:szCs w:val="20"/>
          <w:color w:val="auto"/>
        </w:rPr>
      </w:pPr>
    </w:p>
    <w:p>
      <w:pPr>
        <w:jc w:val="both"/>
        <w:ind w:right="14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2" w:name="page203"/>
    <w:bookmarkEnd w:id="202"/>
    <w:p>
      <w:pPr>
        <w:spacing w:after="0" w:line="269" w:lineRule="exact"/>
        <w:rPr>
          <w:sz w:val="20"/>
          <w:szCs w:val="20"/>
          <w:color w:val="auto"/>
        </w:rPr>
      </w:pPr>
    </w:p>
    <w:p>
      <w:pPr>
        <w:ind w:right="80" w:firstLine="702"/>
        <w:spacing w:after="0" w:line="286" w:lineRule="auto"/>
        <w:tabs>
          <w:tab w:leader="none" w:pos="96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Documents</w:t>
      </w:r>
      <w:r>
        <w:rPr>
          <w:rFonts w:ascii="Times New Roman" w:cs="Times New Roman" w:eastAsia="Times New Roman" w:hAnsi="Times New Roman"/>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27" w:lineRule="exact"/>
        <w:rPr>
          <w:rFonts w:ascii="Times New Roman" w:cs="Times New Roman" w:eastAsia="Times New Roman" w:hAnsi="Times New Roman"/>
          <w:sz w:val="19"/>
          <w:szCs w:val="19"/>
          <w:color w:val="auto"/>
        </w:rPr>
      </w:pPr>
    </w:p>
    <w:p>
      <w:pPr>
        <w:ind w:left="700" w:right="80" w:firstLine="746"/>
        <w:spacing w:after="0" w:line="268" w:lineRule="auto"/>
        <w:tabs>
          <w:tab w:leader="none" w:pos="1672"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Executed Counterparts</w:t>
      </w:r>
      <w:r>
        <w:rPr>
          <w:rFonts w:ascii="Times New Roman" w:cs="Times New Roman" w:eastAsia="Times New Roman" w:hAnsi="Times New Roman"/>
          <w:sz w:val="19"/>
          <w:szCs w:val="19"/>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44" w:lineRule="exact"/>
        <w:rPr>
          <w:rFonts w:ascii="Times New Roman" w:cs="Times New Roman" w:eastAsia="Times New Roman" w:hAnsi="Times New Roman"/>
          <w:sz w:val="19"/>
          <w:szCs w:val="19"/>
          <w:color w:val="auto"/>
        </w:rPr>
      </w:pPr>
    </w:p>
    <w:p>
      <w:pPr>
        <w:ind w:left="700" w:right="100" w:firstLine="746"/>
        <w:spacing w:after="0" w:line="259" w:lineRule="auto"/>
        <w:tabs>
          <w:tab w:leader="none" w:pos="1732"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Counsel to the Borrower</w:t>
      </w:r>
      <w:r>
        <w:rPr>
          <w:rFonts w:ascii="Times New Roman" w:cs="Times New Roman" w:eastAsia="Times New Roman" w:hAnsi="Times New Roman"/>
          <w:sz w:val="19"/>
          <w:szCs w:val="19"/>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53" w:lineRule="exact"/>
        <w:rPr>
          <w:rFonts w:ascii="Times New Roman" w:cs="Times New Roman" w:eastAsia="Times New Roman" w:hAnsi="Times New Roman"/>
          <w:sz w:val="19"/>
          <w:szCs w:val="19"/>
          <w:color w:val="auto"/>
        </w:rPr>
      </w:pPr>
    </w:p>
    <w:p>
      <w:pPr>
        <w:ind w:left="700" w:right="40" w:firstLine="746"/>
        <w:spacing w:after="0" w:line="262" w:lineRule="auto"/>
        <w:tabs>
          <w:tab w:leader="none" w:pos="178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50" w:lineRule="exact"/>
        <w:rPr>
          <w:rFonts w:ascii="Times New Roman" w:cs="Times New Roman" w:eastAsia="Times New Roman" w:hAnsi="Times New Roman"/>
          <w:sz w:val="19"/>
          <w:szCs w:val="19"/>
          <w:color w:val="auto"/>
        </w:rPr>
      </w:pPr>
    </w:p>
    <w:p>
      <w:pPr>
        <w:jc w:val="both"/>
        <w:ind w:left="700" w:right="400" w:firstLine="746"/>
        <w:spacing w:after="0" w:line="268" w:lineRule="auto"/>
        <w:tabs>
          <w:tab w:leader="none" w:pos="1768"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Officer’s Certificate</w:t>
      </w:r>
      <w:r>
        <w:rPr>
          <w:rFonts w:ascii="Times New Roman" w:cs="Times New Roman" w:eastAsia="Times New Roman" w:hAnsi="Times New Roman"/>
          <w:sz w:val="19"/>
          <w:szCs w:val="19"/>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right="20" w:firstLine="702"/>
        <w:spacing w:after="0" w:line="268" w:lineRule="auto"/>
        <w:tabs>
          <w:tab w:leader="none" w:pos="97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 and Expenses</w:t>
      </w:r>
      <w:r>
        <w:rPr>
          <w:rFonts w:ascii="Times New Roman" w:cs="Times New Roman" w:eastAsia="Times New Roman" w:hAnsi="Times New Roman"/>
          <w:sz w:val="19"/>
          <w:szCs w:val="19"/>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44" w:lineRule="exact"/>
        <w:rPr>
          <w:sz w:val="20"/>
          <w:szCs w:val="20"/>
          <w:color w:val="auto"/>
        </w:rPr>
      </w:pPr>
    </w:p>
    <w:p>
      <w:pPr>
        <w:ind w:right="50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Each Credit Event</w:t>
      </w:r>
      <w:r>
        <w:rPr>
          <w:rFonts w:ascii="Times New Roman" w:cs="Times New Roman" w:eastAsia="Times New Roman" w:hAnsi="Times New Roman"/>
          <w:sz w:val="19"/>
          <w:szCs w:val="19"/>
          <w:color w:val="auto"/>
        </w:rPr>
        <w:t>. The obligation of each Lender to make any Loan, and of each Issuing Bank to issue, amend, renew or extend any Letter of Credit, is additionally subject to the satisfaction of the following conditions:</w:t>
      </w:r>
    </w:p>
    <w:p>
      <w:pPr>
        <w:spacing w:after="0" w:line="127" w:lineRule="exact"/>
        <w:rPr>
          <w:sz w:val="20"/>
          <w:szCs w:val="20"/>
          <w:color w:val="auto"/>
        </w:rPr>
      </w:pPr>
    </w:p>
    <w:p>
      <w:pPr>
        <w:ind w:firstLine="702"/>
        <w:spacing w:after="0" w:line="262" w:lineRule="auto"/>
        <w:tabs>
          <w:tab w:leader="none" w:pos="957"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50" w:lineRule="exact"/>
        <w:rPr>
          <w:rFonts w:ascii="Times New Roman" w:cs="Times New Roman" w:eastAsia="Times New Roman" w:hAnsi="Times New Roman"/>
          <w:sz w:val="19"/>
          <w:szCs w:val="19"/>
          <w:color w:val="auto"/>
        </w:rPr>
      </w:pPr>
    </w:p>
    <w:p>
      <w:pPr>
        <w:ind w:right="300" w:firstLine="702"/>
        <w:spacing w:after="0" w:line="286" w:lineRule="auto"/>
        <w:tabs>
          <w:tab w:leader="none" w:pos="96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and immediately after giving effect to such Loan or the issuance, amendment, renewal or extension of such Letter of Credit, as applicable, no Default shall have occurred and be continuing;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3" w:name="page204"/>
    <w:bookmarkEnd w:id="203"/>
    <w:p>
      <w:pPr>
        <w:spacing w:after="0" w:line="269" w:lineRule="exact"/>
        <w:rPr>
          <w:sz w:val="20"/>
          <w:szCs w:val="20"/>
          <w:color w:val="auto"/>
        </w:rPr>
      </w:pPr>
    </w:p>
    <w:p>
      <w:pPr>
        <w:ind w:firstLine="702"/>
        <w:spacing w:after="0" w:line="257" w:lineRule="auto"/>
        <w:tabs>
          <w:tab w:leader="none" w:pos="957"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57"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AFFIRMATIVE COVENANTS</w:t>
      </w:r>
    </w:p>
    <w:p>
      <w:pPr>
        <w:spacing w:after="0" w:line="202"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spacing w:after="0" w:line="150" w:lineRule="exact"/>
        <w:rPr>
          <w:sz w:val="20"/>
          <w:szCs w:val="20"/>
          <w:color w:val="auto"/>
        </w:rPr>
      </w:pPr>
    </w:p>
    <w:p>
      <w:pPr>
        <w:ind w:right="46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5.01. </w:t>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Borrower will furnish to the Administrative Agent (for distribution to each Lender):</w:t>
      </w:r>
    </w:p>
    <w:p>
      <w:pPr>
        <w:spacing w:after="0" w:line="127" w:lineRule="exact"/>
        <w:rPr>
          <w:sz w:val="20"/>
          <w:szCs w:val="20"/>
          <w:color w:val="auto"/>
        </w:rPr>
      </w:pPr>
    </w:p>
    <w:p>
      <w:pPr>
        <w:ind w:right="120" w:firstLine="702"/>
        <w:spacing w:after="0" w:line="255" w:lineRule="auto"/>
        <w:tabs>
          <w:tab w:leader="none" w:pos="957"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may be fulfilled by providing to the Administrative Agent the report of the Borrower to the SEC on Form 10-K for the applicable fiscal year;</w:t>
      </w:r>
    </w:p>
    <w:p>
      <w:pPr>
        <w:spacing w:after="0" w:line="155" w:lineRule="exact"/>
        <w:rPr>
          <w:rFonts w:ascii="Times New Roman" w:cs="Times New Roman" w:eastAsia="Times New Roman" w:hAnsi="Times New Roman"/>
          <w:sz w:val="19"/>
          <w:szCs w:val="19"/>
          <w:color w:val="auto"/>
        </w:rPr>
      </w:pPr>
    </w:p>
    <w:p>
      <w:pPr>
        <w:ind w:right="200" w:firstLine="702"/>
        <w:spacing w:after="0" w:line="259" w:lineRule="auto"/>
        <w:tabs>
          <w:tab w:leader="none" w:pos="968"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4" w:name="page205"/>
    <w:bookmarkEnd w:id="204"/>
    <w:p>
      <w:pPr>
        <w:spacing w:after="0" w:line="2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 xml:space="preserve">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may be fulfilled by providing to the Administrative Agent the report of the Borrower to the SEC on Form 10-Q for the applicable quarterly period;</w:t>
      </w:r>
    </w:p>
    <w:p>
      <w:pPr>
        <w:spacing w:after="0" w:line="157" w:lineRule="exact"/>
        <w:rPr>
          <w:sz w:val="20"/>
          <w:szCs w:val="20"/>
          <w:color w:val="auto"/>
        </w:rPr>
      </w:pPr>
    </w:p>
    <w:p>
      <w:pPr>
        <w:ind w:firstLine="702"/>
        <w:spacing w:after="0" w:line="254" w:lineRule="auto"/>
        <w:tabs>
          <w:tab w:leader="none" w:pos="95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any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9"/>
          <w:szCs w:val="19"/>
          <w:u w:val="single" w:color="auto"/>
          <w:color w:val="auto"/>
        </w:rPr>
        <w:t>Sections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6.07</w:t>
      </w:r>
      <w:r>
        <w:rPr>
          <w:rFonts w:ascii="Times New Roman" w:cs="Times New Roman" w:eastAsia="Times New Roman" w:hAnsi="Times New Roman"/>
          <w:sz w:val="19"/>
          <w:szCs w:val="19"/>
          <w:color w:val="auto"/>
        </w:rPr>
        <w:t xml:space="preserve"> 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requirements set forth in this clause (c)(iii) may be fulfilled by providing to the Administrative Agent the report of the Borrower to the SEC on Form 10-Q for the applicable quarterly period;</w:t>
      </w:r>
    </w:p>
    <w:p>
      <w:pPr>
        <w:spacing w:after="0" w:line="160" w:lineRule="exact"/>
        <w:rPr>
          <w:rFonts w:ascii="Times New Roman" w:cs="Times New Roman" w:eastAsia="Times New Roman" w:hAnsi="Times New Roman"/>
          <w:sz w:val="19"/>
          <w:szCs w:val="19"/>
          <w:color w:val="auto"/>
        </w:rPr>
      </w:pPr>
    </w:p>
    <w:p>
      <w:pPr>
        <w:ind w:right="120" w:firstLine="702"/>
        <w:spacing w:after="0" w:line="257" w:lineRule="auto"/>
        <w:tabs>
          <w:tab w:leader="none" w:pos="968"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cs="Times New Roman" w:eastAsia="Times New Roman" w:hAnsi="Times New Roman"/>
          <w:sz w:val="19"/>
          <w:szCs w:val="19"/>
          <w:u w:val="single" w:color="auto"/>
          <w:color w:val="auto"/>
        </w:rPr>
        <w:t>Section 6.05(d)</w:t>
      </w:r>
      <w:r>
        <w:rPr>
          <w:rFonts w:ascii="Times New Roman" w:cs="Times New Roman" w:eastAsia="Times New Roman" w:hAnsi="Times New Roman"/>
          <w:sz w:val="19"/>
          <w:szCs w:val="19"/>
          <w:color w:val="auto"/>
        </w:rPr>
        <w:t xml:space="preserve">, such Borrowing Base Certificate shall certify that the condition set forth in </w:t>
      </w:r>
      <w:r>
        <w:rPr>
          <w:rFonts w:ascii="Times New Roman" w:cs="Times New Roman" w:eastAsia="Times New Roman" w:hAnsi="Times New Roman"/>
          <w:sz w:val="19"/>
          <w:szCs w:val="19"/>
          <w:u w:val="single" w:color="auto"/>
          <w:color w:val="auto"/>
        </w:rPr>
        <w:t>Section 6.05(d)(x)</w:t>
      </w:r>
      <w:r>
        <w:rPr>
          <w:rFonts w:ascii="Times New Roman" w:cs="Times New Roman" w:eastAsia="Times New Roman" w:hAnsi="Times New Roman"/>
          <w:sz w:val="19"/>
          <w:szCs w:val="19"/>
          <w:color w:val="auto"/>
        </w:rPr>
        <w:t xml:space="preserve"> was satisfied on the date of each such Restricted Payment;</w:t>
      </w:r>
    </w:p>
    <w:p>
      <w:pPr>
        <w:spacing w:after="0" w:line="156" w:lineRule="exact"/>
        <w:rPr>
          <w:rFonts w:ascii="Times New Roman" w:cs="Times New Roman" w:eastAsia="Times New Roman" w:hAnsi="Times New Roman"/>
          <w:sz w:val="19"/>
          <w:szCs w:val="19"/>
          <w:color w:val="auto"/>
        </w:rPr>
      </w:pPr>
    </w:p>
    <w:p>
      <w:pPr>
        <w:ind w:right="20" w:firstLine="702"/>
        <w:spacing w:after="0" w:line="259" w:lineRule="auto"/>
        <w:tabs>
          <w:tab w:leader="none" w:pos="95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53" w:lineRule="exact"/>
        <w:rPr>
          <w:rFonts w:ascii="Times New Roman" w:cs="Times New Roman" w:eastAsia="Times New Roman" w:hAnsi="Times New Roman"/>
          <w:sz w:val="19"/>
          <w:szCs w:val="19"/>
          <w:color w:val="auto"/>
        </w:rPr>
      </w:pPr>
    </w:p>
    <w:p>
      <w:pPr>
        <w:ind w:right="40" w:firstLine="702"/>
        <w:spacing w:after="0" w:line="262" w:lineRule="auto"/>
        <w:tabs>
          <w:tab w:leader="none" w:pos="93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5" w:name="page206"/>
    <w:bookmarkEnd w:id="205"/>
    <w:p>
      <w:pPr>
        <w:spacing w:after="0" w:line="2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auto"/>
        </w:rPr>
        <w:t>the periodic reports that the Borrower’s independent auditors provide, in the ordinary course, to the audit committee of the Borrower’s board of directors);</w:t>
      </w:r>
    </w:p>
    <w:p>
      <w:pPr>
        <w:spacing w:after="0" w:line="127" w:lineRule="exact"/>
        <w:rPr>
          <w:sz w:val="20"/>
          <w:szCs w:val="20"/>
          <w:color w:val="auto"/>
        </w:rPr>
      </w:pPr>
    </w:p>
    <w:p>
      <w:pPr>
        <w:ind w:right="40" w:firstLine="702"/>
        <w:spacing w:after="0" w:line="268" w:lineRule="auto"/>
        <w:tabs>
          <w:tab w:leader="none" w:pos="968"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44" w:lineRule="exact"/>
        <w:rPr>
          <w:rFonts w:ascii="Times New Roman" w:cs="Times New Roman" w:eastAsia="Times New Roman" w:hAnsi="Times New Roman"/>
          <w:sz w:val="19"/>
          <w:szCs w:val="19"/>
          <w:color w:val="auto"/>
        </w:rPr>
      </w:pPr>
    </w:p>
    <w:p>
      <w:pPr>
        <w:ind w:right="200" w:firstLine="702"/>
        <w:spacing w:after="0" w:line="268" w:lineRule="auto"/>
        <w:tabs>
          <w:tab w:leader="none" w:pos="968"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pacing w:after="0" w:line="144" w:lineRule="exact"/>
        <w:rPr>
          <w:rFonts w:ascii="Times New Roman" w:cs="Times New Roman" w:eastAsia="Times New Roman" w:hAnsi="Times New Roman"/>
          <w:sz w:val="19"/>
          <w:szCs w:val="19"/>
          <w:color w:val="auto"/>
        </w:rPr>
      </w:pPr>
    </w:p>
    <w:p>
      <w:pPr>
        <w:ind w:right="60" w:firstLine="702"/>
        <w:spacing w:after="0" w:line="255" w:lineRule="auto"/>
        <w:tabs>
          <w:tab w:leader="none" w:pos="925"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or otherwise are being distributed through IntraLinks/IntraAgency, SyndTrak or another relevant website or other information platform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of this Agreement).</w:t>
      </w:r>
    </w:p>
    <w:p>
      <w:pPr>
        <w:spacing w:after="0" w:line="155"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the requirements to deliver documents set forth in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w:t>
      </w:r>
    </w:p>
    <w:p>
      <w:pPr>
        <w:spacing w:after="0" w:line="31" w:lineRule="exact"/>
        <w:rPr>
          <w:rFonts w:ascii="Times New Roman" w:cs="Times New Roman" w:eastAsia="Times New Roman" w:hAnsi="Times New Roman"/>
          <w:sz w:val="19"/>
          <w:szCs w:val="19"/>
          <w:color w:val="auto"/>
        </w:rPr>
      </w:pPr>
    </w:p>
    <w:p>
      <w:pPr>
        <w:ind w:right="80" w:firstLine="6"/>
        <w:spacing w:after="0" w:line="256" w:lineRule="auto"/>
        <w:tabs>
          <w:tab w:leader="none" w:pos="276" w:val="left"/>
        </w:tabs>
        <w:numPr>
          <w:ilvl w:val="0"/>
          <w:numId w:val="13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will be fulfilled by filing by the Borrower of the applicable documents for public availability on the SEC’s Electronic Data Gathering and Retrieval system;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Borrower shall notify the Administrative Agent (by telecopier or electronic mail) of the posting of any such documents.</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The Borrower will furnish to the Administrative Agent (for distribution to each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 prompt written notice upon any Responsible Officer obtaining knowledge of the following:</w:t>
      </w:r>
    </w:p>
    <w:p>
      <w:pPr>
        <w:spacing w:after="0" w:line="180" w:lineRule="exact"/>
        <w:rPr>
          <w:sz w:val="20"/>
          <w:szCs w:val="20"/>
          <w:color w:val="auto"/>
        </w:rPr>
      </w:pPr>
    </w:p>
    <w:p>
      <w:pPr>
        <w:ind w:left="960" w:hanging="258"/>
        <w:spacing w:after="0"/>
        <w:tabs>
          <w:tab w:leader="none" w:pos="96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Default;</w:t>
      </w:r>
    </w:p>
    <w:p>
      <w:pPr>
        <w:spacing w:after="0" w:line="201" w:lineRule="exact"/>
        <w:rPr>
          <w:rFonts w:ascii="Times New Roman" w:cs="Times New Roman" w:eastAsia="Times New Roman" w:hAnsi="Times New Roman"/>
          <w:sz w:val="19"/>
          <w:szCs w:val="19"/>
          <w:color w:val="auto"/>
        </w:rPr>
      </w:pPr>
    </w:p>
    <w:p>
      <w:pPr>
        <w:ind w:firstLine="702"/>
        <w:spacing w:after="0" w:line="286" w:lineRule="auto"/>
        <w:tabs>
          <w:tab w:leader="none" w:pos="96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spacing w:after="0" w:line="127" w:lineRule="exact"/>
        <w:rPr>
          <w:rFonts w:ascii="Times New Roman" w:cs="Times New Roman" w:eastAsia="Times New Roman" w:hAnsi="Times New Roman"/>
          <w:sz w:val="19"/>
          <w:szCs w:val="19"/>
          <w:color w:val="auto"/>
        </w:rPr>
      </w:pPr>
    </w:p>
    <w:p>
      <w:pPr>
        <w:ind w:right="60" w:firstLine="702"/>
        <w:spacing w:after="0" w:line="268" w:lineRule="auto"/>
        <w:tabs>
          <w:tab w:leader="none" w:pos="957"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6" w:name="page207"/>
    <w:bookmarkEnd w:id="206"/>
    <w:p>
      <w:pPr>
        <w:spacing w:after="0" w:line="269" w:lineRule="exact"/>
        <w:rPr>
          <w:sz w:val="20"/>
          <w:szCs w:val="20"/>
          <w:color w:val="auto"/>
        </w:rPr>
      </w:pPr>
    </w:p>
    <w:p>
      <w:pPr>
        <w:jc w:val="both"/>
        <w:ind w:right="200" w:firstLine="702"/>
        <w:spacing w:after="0" w:line="268" w:lineRule="auto"/>
        <w:tabs>
          <w:tab w:leader="none" w:pos="968"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pacing w:after="0" w:line="144"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4" w:lineRule="exact"/>
        <w:rPr>
          <w:sz w:val="20"/>
          <w:szCs w:val="20"/>
          <w:color w:val="auto"/>
        </w:rPr>
      </w:pPr>
    </w:p>
    <w:p>
      <w:pPr>
        <w:ind w:right="22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not prohibited under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57" w:lineRule="exact"/>
        <w:rPr>
          <w:sz w:val="20"/>
          <w:szCs w:val="20"/>
          <w:color w:val="auto"/>
        </w:rPr>
      </w:pPr>
    </w:p>
    <w:p>
      <w:pPr>
        <w:ind w:right="180" w:firstLine="696"/>
        <w:spacing w:after="0" w:line="256"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Maintenance of Properties; Insurance</w:t>
      </w:r>
      <w:r>
        <w:rPr>
          <w:rFonts w:ascii="Times New Roman" w:cs="Times New Roman" w:eastAsia="Times New Roman" w:hAnsi="Times New Roman"/>
          <w:sz w:val="19"/>
          <w:szCs w:val="19"/>
          <w:color w:val="auto"/>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5.06. </w:t>
      </w:r>
      <w:r>
        <w:rPr>
          <w:rFonts w:ascii="Times New Roman" w:cs="Times New Roman" w:eastAsia="Times New Roman" w:hAnsi="Times New Roman"/>
          <w:sz w:val="19"/>
          <w:szCs w:val="19"/>
          <w:u w:val="single" w:color="auto"/>
          <w:color w:val="auto"/>
        </w:rPr>
        <w:t>Books and Records; Inspection and Audit Rights</w:t>
      </w:r>
      <w:r>
        <w:rPr>
          <w:rFonts w:ascii="Times New Roman" w:cs="Times New Roman" w:eastAsia="Times New Roman" w:hAnsi="Times New Roman"/>
          <w:sz w:val="19"/>
          <w:szCs w:val="19"/>
          <w:color w:val="auto"/>
        </w:rPr>
        <w:t>.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7" w:name="page208"/>
    <w:bookmarkEnd w:id="207"/>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 xml:space="preserve">without violation of law, rule, regulation or contract;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50" w:lineRule="exact"/>
        <w:rPr>
          <w:sz w:val="20"/>
          <w:szCs w:val="20"/>
          <w:color w:val="auto"/>
        </w:rPr>
      </w:pPr>
    </w:p>
    <w:p>
      <w:pPr>
        <w:ind w:right="24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5.07.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SECTION 5.08. Certain Obligations Respecting Subsidiaries; Further Assurances.</w:t>
      </w:r>
    </w:p>
    <w:p>
      <w:pPr>
        <w:spacing w:after="0" w:line="202" w:lineRule="exact"/>
        <w:rPr>
          <w:sz w:val="20"/>
          <w:szCs w:val="20"/>
          <w:color w:val="auto"/>
        </w:rPr>
      </w:pPr>
    </w:p>
    <w:p>
      <w:pPr>
        <w:ind w:firstLine="702"/>
        <w:spacing w:after="0" w:line="262" w:lineRule="auto"/>
        <w:tabs>
          <w:tab w:leader="none" w:pos="96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Subsidiary Guarantors</w:t>
      </w:r>
      <w:r>
        <w:rPr>
          <w:rFonts w:ascii="Times New Roman" w:cs="Times New Roman" w:eastAsia="Times New Roman" w:hAnsi="Times New Roman"/>
          <w:sz w:val="19"/>
          <w:szCs w:val="19"/>
          <w:color w:val="auto"/>
        </w:rPr>
        <w:t>. In the event that (i) the Borrower or any the Subsidiary Guarantors shall form or acquire any new Subsidiary (other than a Financing Subsidiary, a Foreign Subsidiary, an Immaterial Subsidiary or a Subsidiary of a Foreign Subsidiary) or</w:t>
      </w:r>
    </w:p>
    <w:p>
      <w:pPr>
        <w:spacing w:after="0" w:line="1" w:lineRule="exact"/>
        <w:rPr>
          <w:rFonts w:ascii="Times New Roman" w:cs="Times New Roman" w:eastAsia="Times New Roman" w:hAnsi="Times New Roman"/>
          <w:sz w:val="19"/>
          <w:szCs w:val="19"/>
          <w:color w:val="auto"/>
        </w:rPr>
      </w:pPr>
    </w:p>
    <w:p>
      <w:pPr>
        <w:ind w:right="60" w:firstLine="6"/>
        <w:spacing w:after="0" w:line="252" w:lineRule="auto"/>
        <w:tabs>
          <w:tab w:leader="none" w:pos="282"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Financing Subsidiary, Foreign Subsidiary, Immaterial Subsidiary or Subsidiary of a Foreign Subsidiary shall no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upon the Effective Date or as the Administrative Agent shall have reasonably requested.</w:t>
      </w:r>
    </w:p>
    <w:p>
      <w:pPr>
        <w:spacing w:after="0" w:line="159" w:lineRule="exact"/>
        <w:rPr>
          <w:rFonts w:ascii="Times New Roman" w:cs="Times New Roman" w:eastAsia="Times New Roman" w:hAnsi="Times New Roman"/>
          <w:sz w:val="19"/>
          <w:szCs w:val="19"/>
          <w:color w:val="auto"/>
        </w:rPr>
      </w:pPr>
    </w:p>
    <w:p>
      <w:pPr>
        <w:ind w:right="60" w:firstLine="702"/>
        <w:spacing w:after="0" w:line="286" w:lineRule="auto"/>
        <w:tabs>
          <w:tab w:leader="none" w:pos="972"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Subsidiaries</w:t>
      </w:r>
      <w:r>
        <w:rPr>
          <w:rFonts w:ascii="Times New Roman" w:cs="Times New Roman" w:eastAsia="Times New Roman" w:hAnsi="Times New Roman"/>
          <w:sz w:val="19"/>
          <w:szCs w:val="19"/>
          <w:color w:val="auto"/>
        </w:rPr>
        <w:t>. The Borrower will, and will cause each of its Subsidiaries to, take such action from time to time as shall be necessary to ensure that each of its Subsidiaries is a wholly owned Subsidiary.</w:t>
      </w:r>
    </w:p>
    <w:p>
      <w:pPr>
        <w:spacing w:after="0" w:line="127" w:lineRule="exact"/>
        <w:rPr>
          <w:rFonts w:ascii="Times New Roman" w:cs="Times New Roman" w:eastAsia="Times New Roman" w:hAnsi="Times New Roman"/>
          <w:sz w:val="19"/>
          <w:szCs w:val="19"/>
          <w:color w:val="auto"/>
        </w:rPr>
      </w:pPr>
    </w:p>
    <w:p>
      <w:pPr>
        <w:ind w:right="140" w:firstLine="702"/>
        <w:spacing w:after="0" w:line="255" w:lineRule="auto"/>
        <w:tabs>
          <w:tab w:leader="none" w:pos="960"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security interest or Lien shall be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8" w:name="page209"/>
    <w:bookmarkEnd w:id="208"/>
    <w:p>
      <w:pPr>
        <w:spacing w:after="0" w:line="2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to the relevant requirements of the Security Documents, (ii) in the case of any Portfolio Investment consisting of a Bank Loan (as defined in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61"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5.09.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cs="Times New Roman" w:eastAsia="Times New Roman" w:hAnsi="Times New Roman"/>
          <w:sz w:val="19"/>
          <w:szCs w:val="19"/>
          <w:u w:val="single" w:color="auto"/>
          <w:color w:val="auto"/>
        </w:rPr>
        <w:t>Section 3.16</w:t>
      </w:r>
      <w:r>
        <w:rPr>
          <w:rFonts w:ascii="Times New Roman" w:cs="Times New Roman" w:eastAsia="Times New Roman" w:hAnsi="Times New Roman"/>
          <w:sz w:val="19"/>
          <w:szCs w:val="19"/>
          <w:color w:val="auto"/>
        </w:rPr>
        <w:t>. Margin Stock shall be purchased by the Obligors only with the proceeds of Indebtedness not directly or indirectly secured by Margin Stock, or with the proceeds of equity capital of the Borrower.</w:t>
      </w:r>
    </w:p>
    <w:p>
      <w:pPr>
        <w:spacing w:after="0" w:line="160"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Status of RIC and BDC</w:t>
      </w:r>
      <w:r>
        <w:rPr>
          <w:rFonts w:ascii="Times New Roman" w:cs="Times New Roman" w:eastAsia="Times New Roman" w:hAnsi="Times New Roman"/>
          <w:sz w:val="19"/>
          <w:szCs w:val="19"/>
          <w:color w:val="auto"/>
        </w:rPr>
        <w:t>. The Borrower shall at all times, subject to applicable grace periods set forth in the Code, maintain its status as a RIC under the Code, and as a “business development company” under the Investment Company Act.</w:t>
      </w:r>
    </w:p>
    <w:p>
      <w:pPr>
        <w:spacing w:after="0" w:line="127" w:lineRule="exact"/>
        <w:rPr>
          <w:sz w:val="20"/>
          <w:szCs w:val="20"/>
          <w:color w:val="auto"/>
        </w:rPr>
      </w:pPr>
    </w:p>
    <w:p>
      <w:pPr>
        <w:ind w:right="7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Investment Policies</w:t>
      </w:r>
      <w:r>
        <w:rPr>
          <w:rFonts w:ascii="Times New Roman" w:cs="Times New Roman" w:eastAsia="Times New Roman" w:hAnsi="Times New Roman"/>
          <w:sz w:val="19"/>
          <w:szCs w:val="19"/>
          <w:color w:val="auto"/>
        </w:rPr>
        <w:t xml:space="preserve"> . The Borrower shall at all times be in compliance in all material respects with its Investment Policies (after giving effect to any Permitted Policy Amendments).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5.12. </w:t>
      </w:r>
      <w:r>
        <w:rPr>
          <w:rFonts w:ascii="Times New Roman" w:cs="Times New Roman" w:eastAsia="Times New Roman" w:hAnsi="Times New Roman"/>
          <w:sz w:val="19"/>
          <w:szCs w:val="19"/>
          <w:u w:val="single" w:color="auto"/>
          <w:color w:val="auto"/>
        </w:rPr>
        <w:t>Portfolio Valuation and Diversification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120" w:firstLine="702"/>
        <w:spacing w:after="0" w:line="268" w:lineRule="auto"/>
        <w:tabs>
          <w:tab w:leader="none" w:pos="96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Industry Classification Groups</w:t>
      </w:r>
      <w:r>
        <w:rPr>
          <w:rFonts w:ascii="Times New Roman" w:cs="Times New Roman" w:eastAsia="Times New Roman" w:hAnsi="Times New Roman"/>
          <w:sz w:val="19"/>
          <w:szCs w:val="19"/>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9" w:name="page210"/>
    <w:bookmarkEnd w:id="209"/>
    <w:p>
      <w:pPr>
        <w:spacing w:after="0" w:line="2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44" w:lineRule="exact"/>
        <w:rPr>
          <w:sz w:val="20"/>
          <w:szCs w:val="20"/>
          <w:color w:val="auto"/>
        </w:rPr>
      </w:pPr>
    </w:p>
    <w:p>
      <w:pPr>
        <w:ind w:left="980" w:hanging="278"/>
        <w:spacing w:after="0"/>
        <w:tabs>
          <w:tab w:leader="none" w:pos="98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Portfolio Valuation Etc</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00" w:right="120" w:firstLine="746"/>
        <w:spacing w:after="0" w:line="259" w:lineRule="auto"/>
        <w:tabs>
          <w:tab w:leader="none" w:pos="1672"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Date Basis</w:t>
      </w:r>
      <w:r>
        <w:rPr>
          <w:rFonts w:ascii="Times New Roman" w:cs="Times New Roman" w:eastAsia="Times New Roman" w:hAnsi="Times New Roman"/>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investment shall be included as a Portfolio Investment to the extent it has not been paid for in full.</w:t>
      </w:r>
    </w:p>
    <w:p>
      <w:pPr>
        <w:spacing w:after="0" w:line="153" w:lineRule="exact"/>
        <w:rPr>
          <w:rFonts w:ascii="Times New Roman" w:cs="Times New Roman" w:eastAsia="Times New Roman" w:hAnsi="Times New Roman"/>
          <w:sz w:val="19"/>
          <w:szCs w:val="19"/>
          <w:color w:val="auto"/>
        </w:rPr>
      </w:pPr>
    </w:p>
    <w:p>
      <w:pPr>
        <w:ind w:left="700" w:right="180" w:firstLine="746"/>
        <w:spacing w:after="0" w:line="286" w:lineRule="auto"/>
        <w:tabs>
          <w:tab w:leader="none" w:pos="1732"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Values</w:t>
      </w:r>
      <w:r>
        <w:rPr>
          <w:rFonts w:ascii="Times New Roman" w:cs="Times New Roman" w:eastAsia="Times New Roman" w:hAnsi="Times New Roman"/>
          <w:sz w:val="19"/>
          <w:szCs w:val="19"/>
          <w:color w:val="auto"/>
        </w:rPr>
        <w:t>. The Borrower will conduct reviews of the value to be assigned to each of its Portfolio Investments as follows:</w:t>
      </w:r>
    </w:p>
    <w:p>
      <w:pPr>
        <w:spacing w:after="0" w:line="127" w:lineRule="exact"/>
        <w:rPr>
          <w:rFonts w:ascii="Times New Roman" w:cs="Times New Roman" w:eastAsia="Times New Roman" w:hAnsi="Times New Roman"/>
          <w:sz w:val="19"/>
          <w:szCs w:val="19"/>
          <w:color w:val="auto"/>
        </w:rPr>
      </w:pPr>
    </w:p>
    <w:p>
      <w:pPr>
        <w:ind w:left="1420" w:right="120" w:firstLine="795"/>
        <w:spacing w:after="0" w:line="262" w:lineRule="auto"/>
        <w:tabs>
          <w:tab w:leader="none" w:pos="2536"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Quoted Investments - External Review</w:t>
      </w:r>
      <w:r>
        <w:rPr>
          <w:rFonts w:ascii="Times New Roman" w:cs="Times New Roman" w:eastAsia="Times New Roman" w:hAnsi="Times New Roman"/>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50" w:lineRule="exact"/>
        <w:rPr>
          <w:rFonts w:ascii="Times New Roman" w:cs="Times New Roman" w:eastAsia="Times New Roman" w:hAnsi="Times New Roman"/>
          <w:sz w:val="19"/>
          <w:szCs w:val="19"/>
          <w:color w:val="auto"/>
        </w:rPr>
      </w:pPr>
    </w:p>
    <w:p>
      <w:pPr>
        <w:ind w:left="2120" w:right="160" w:firstLine="875"/>
        <w:spacing w:after="0" w:line="286" w:lineRule="auto"/>
        <w:tabs>
          <w:tab w:leader="none" w:pos="3311" w:val="left"/>
        </w:tabs>
        <w:numPr>
          <w:ilvl w:val="3"/>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public and 144A securities, the average of the bid prices as determined by two Approved Dealers selected by the Borrower,</w:t>
      </w:r>
    </w:p>
    <w:p>
      <w:pPr>
        <w:spacing w:after="0" w:line="127" w:lineRule="exact"/>
        <w:rPr>
          <w:rFonts w:ascii="Times New Roman" w:cs="Times New Roman" w:eastAsia="Times New Roman" w:hAnsi="Times New Roman"/>
          <w:sz w:val="19"/>
          <w:szCs w:val="19"/>
          <w:color w:val="auto"/>
        </w:rPr>
      </w:pPr>
    </w:p>
    <w:p>
      <w:pPr>
        <w:ind w:left="3260" w:hanging="265"/>
        <w:spacing w:after="0"/>
        <w:tabs>
          <w:tab w:leader="none" w:pos="3260" w:val="left"/>
        </w:tabs>
        <w:numPr>
          <w:ilvl w:val="3"/>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bank loans, the bid price as determined by one Approved Dealer selected by the</w:t>
      </w:r>
    </w:p>
    <w:p>
      <w:pPr>
        <w:spacing w:after="0" w:line="31" w:lineRule="exact"/>
        <w:rPr>
          <w:rFonts w:ascii="Times New Roman" w:cs="Times New Roman" w:eastAsia="Times New Roman" w:hAnsi="Times New Roman"/>
          <w:sz w:val="19"/>
          <w:szCs w:val="19"/>
          <w:color w:val="auto"/>
        </w:rPr>
      </w:pPr>
    </w:p>
    <w:p>
      <w:pPr>
        <w:ind w:left="21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179" w:lineRule="exact"/>
        <w:rPr>
          <w:rFonts w:ascii="Times New Roman" w:cs="Times New Roman" w:eastAsia="Times New Roman" w:hAnsi="Times New Roman"/>
          <w:sz w:val="19"/>
          <w:szCs w:val="19"/>
          <w:color w:val="auto"/>
        </w:rPr>
      </w:pPr>
    </w:p>
    <w:p>
      <w:pPr>
        <w:ind w:left="2120" w:right="500" w:firstLine="875"/>
        <w:spacing w:after="0" w:line="286" w:lineRule="auto"/>
        <w:tabs>
          <w:tab w:leader="none" w:pos="3268" w:val="left"/>
        </w:tabs>
        <w:numPr>
          <w:ilvl w:val="3"/>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Portfolio Investment traded on an exchange, the closing price for such Portfolio Investment most recently posted on such exchange, and</w:t>
      </w:r>
    </w:p>
    <w:p>
      <w:pPr>
        <w:spacing w:after="0" w:line="127" w:lineRule="exact"/>
        <w:rPr>
          <w:rFonts w:ascii="Times New Roman" w:cs="Times New Roman" w:eastAsia="Times New Roman" w:hAnsi="Times New Roman"/>
          <w:sz w:val="19"/>
          <w:szCs w:val="19"/>
          <w:color w:val="auto"/>
        </w:rPr>
      </w:pPr>
    </w:p>
    <w:p>
      <w:pPr>
        <w:ind w:left="2120" w:firstLine="875"/>
        <w:spacing w:after="0" w:line="286" w:lineRule="auto"/>
        <w:tabs>
          <w:tab w:leader="none" w:pos="3257" w:val="left"/>
        </w:tabs>
        <w:numPr>
          <w:ilvl w:val="3"/>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other Portfolio Investment, the fair market value thereof as determined by an Approved Pricing Service selected by the Borrower; and</w:t>
      </w:r>
    </w:p>
    <w:p>
      <w:pPr>
        <w:spacing w:after="0" w:line="127" w:lineRule="exact"/>
        <w:rPr>
          <w:rFonts w:ascii="Times New Roman" w:cs="Times New Roman" w:eastAsia="Times New Roman" w:hAnsi="Times New Roman"/>
          <w:sz w:val="19"/>
          <w:szCs w:val="19"/>
          <w:color w:val="auto"/>
        </w:rPr>
      </w:pPr>
    </w:p>
    <w:p>
      <w:pPr>
        <w:ind w:left="1420" w:right="20" w:firstLine="795"/>
        <w:spacing w:after="0" w:line="257" w:lineRule="auto"/>
        <w:tabs>
          <w:tab w:leader="none" w:pos="2524"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Unquoted Investments- External Review</w:t>
      </w:r>
      <w:r>
        <w:rPr>
          <w:rFonts w:ascii="Times New Roman" w:cs="Times New Roman" w:eastAsia="Times New Roman" w:hAnsi="Times New Roman"/>
          <w:sz w:val="19"/>
          <w:szCs w:val="19"/>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19"/>
          <w:szCs w:val="19"/>
          <w:u w:val="single" w:color="auto"/>
          <w:color w:val="auto"/>
        </w:rPr>
        <w:t>Testing Quarter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0" w:name="page211"/>
    <w:bookmarkEnd w:id="210"/>
    <w:p>
      <w:pPr>
        <w:spacing w:after="0" w:line="269" w:lineRule="exact"/>
        <w:rPr>
          <w:sz w:val="20"/>
          <w:szCs w:val="20"/>
          <w:color w:val="auto"/>
        </w:rPr>
      </w:pPr>
    </w:p>
    <w:p>
      <w:pPr>
        <w:ind w:left="1340" w:right="80" w:firstLine="875"/>
        <w:spacing w:after="0" w:line="259" w:lineRule="auto"/>
        <w:tabs>
          <w:tab w:leader="none" w:pos="2488"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as at the last day of the next succeeding Testing Quarter with respect to such Portfolio Investment;</w:t>
      </w:r>
    </w:p>
    <w:p>
      <w:pPr>
        <w:spacing w:after="0" w:line="153" w:lineRule="exact"/>
        <w:rPr>
          <w:rFonts w:ascii="Times New Roman" w:cs="Times New Roman" w:eastAsia="Times New Roman" w:hAnsi="Times New Roman"/>
          <w:sz w:val="19"/>
          <w:szCs w:val="19"/>
          <w:color w:val="auto"/>
        </w:rPr>
      </w:pPr>
    </w:p>
    <w:p>
      <w:pPr>
        <w:ind w:left="1340" w:firstLine="875"/>
        <w:spacing w:after="0" w:line="254" w:lineRule="auto"/>
        <w:tabs>
          <w:tab w:leader="none" w:pos="2488"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60" w:lineRule="exact"/>
        <w:rPr>
          <w:rFonts w:ascii="Times New Roman" w:cs="Times New Roman" w:eastAsia="Times New Roman" w:hAnsi="Times New Roman"/>
          <w:sz w:val="19"/>
          <w:szCs w:val="19"/>
          <w:color w:val="auto"/>
        </w:rPr>
      </w:pPr>
    </w:p>
    <w:p>
      <w:pPr>
        <w:ind w:left="1340" w:right="60" w:firstLine="875"/>
        <w:spacing w:after="0" w:line="268" w:lineRule="auto"/>
        <w:tabs>
          <w:tab w:leader="none" w:pos="2477"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44" w:lineRule="exact"/>
        <w:rPr>
          <w:rFonts w:ascii="Times New Roman" w:cs="Times New Roman" w:eastAsia="Times New Roman" w:hAnsi="Times New Roman"/>
          <w:sz w:val="19"/>
          <w:szCs w:val="19"/>
          <w:color w:val="auto"/>
        </w:rPr>
      </w:pPr>
    </w:p>
    <w:p>
      <w:pPr>
        <w:ind w:left="640" w:right="20" w:firstLine="795"/>
        <w:spacing w:after="0" w:line="254" w:lineRule="auto"/>
        <w:tabs>
          <w:tab w:leader="none" w:pos="174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Internal Review</w:t>
      </w:r>
      <w:r>
        <w:rPr>
          <w:rFonts w:ascii="Times New Roman" w:cs="Times New Roman" w:eastAsia="Times New Roman" w:hAnsi="Times New Roman"/>
          <w:sz w:val="19"/>
          <w:szCs w:val="19"/>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19"/>
          <w:szCs w:val="19"/>
          <w:u w:val="single" w:color="auto"/>
          <w:color w:val="auto"/>
        </w:rPr>
        <w:t>Section 5.12(b)(ii)(C)</w:t>
      </w:r>
      <w:r>
        <w:rPr>
          <w:rFonts w:ascii="Times New Roman" w:cs="Times New Roman" w:eastAsia="Times New Roman" w:hAnsi="Times New Roman"/>
          <w:sz w:val="19"/>
          <w:szCs w:val="19"/>
          <w:color w:val="auto"/>
        </w:rPr>
        <w:t xml:space="preserve"> is lower than the value of such Portfolio Investment as most recently determined pursuant to </w:t>
      </w:r>
      <w:r>
        <w:rPr>
          <w:rFonts w:ascii="Times New Roman" w:cs="Times New Roman" w:eastAsia="Times New Roman" w:hAnsi="Times New Roman"/>
          <w:sz w:val="19"/>
          <w:szCs w:val="19"/>
          <w:u w:val="single" w:color="auto"/>
          <w:color w:val="auto"/>
        </w:rPr>
        <w:t>Section 5.12(b)(ii)(A)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such lower value shall be deemed to be the “Value” of such Portfolio Investment for purposes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57" w:lineRule="exact"/>
        <w:rPr>
          <w:rFonts w:ascii="Times New Roman" w:cs="Times New Roman" w:eastAsia="Times New Roman" w:hAnsi="Times New Roman"/>
          <w:sz w:val="19"/>
          <w:szCs w:val="19"/>
          <w:color w:val="auto"/>
        </w:rPr>
      </w:pPr>
    </w:p>
    <w:p>
      <w:pPr>
        <w:ind w:left="640" w:right="740" w:firstLine="795"/>
        <w:spacing w:after="0" w:line="286" w:lineRule="auto"/>
        <w:tabs>
          <w:tab w:leader="none" w:pos="175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Determine Values</w:t>
      </w:r>
      <w:r>
        <w:rPr>
          <w:rFonts w:ascii="Times New Roman" w:cs="Times New Roman" w:eastAsia="Times New Roman" w:hAnsi="Times New Roman"/>
          <w:sz w:val="19"/>
          <w:szCs w:val="19"/>
          <w:color w:val="auto"/>
        </w:rPr>
        <w:t>. If the Borrower shall fail to determine the value of any Portfolio Investment as at any date pursuant to the requirements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869315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1440" w:top="1440" w:right="720" w:bottom="1440" w:gutter="0" w:footer="0" w:header="0"/>
        </w:sectPr>
      </w:pPr>
    </w:p>
    <w:bookmarkStart w:id="211" w:name="page212"/>
    <w:bookmarkEnd w:id="211"/>
    <w:p>
      <w:pPr>
        <w:spacing w:after="0" w:line="269" w:lineRule="exact"/>
        <w:rPr>
          <w:sz w:val="20"/>
          <w:szCs w:val="20"/>
          <w:color w:val="auto"/>
        </w:rPr>
      </w:pPr>
    </w:p>
    <w:p>
      <w:pPr>
        <w:ind w:left="640" w:right="580"/>
        <w:spacing w:after="0" w:line="286" w:lineRule="auto"/>
        <w:rPr>
          <w:sz w:val="20"/>
          <w:szCs w:val="20"/>
          <w:color w:val="auto"/>
        </w:rPr>
      </w:pPr>
      <w:r>
        <w:rPr>
          <w:rFonts w:ascii="Times New Roman" w:cs="Times New Roman" w:eastAsia="Times New Roman" w:hAnsi="Times New Roman"/>
          <w:sz w:val="19"/>
          <w:szCs w:val="19"/>
          <w:color w:val="auto"/>
        </w:rPr>
        <w:t xml:space="preserve">the foregoing </w:t>
      </w:r>
      <w:r>
        <w:rPr>
          <w:rFonts w:ascii="Times New Roman" w:cs="Times New Roman" w:eastAsia="Times New Roman" w:hAnsi="Times New Roman"/>
          <w:sz w:val="19"/>
          <w:szCs w:val="19"/>
          <w:u w:val="single" w:color="auto"/>
          <w:color w:val="auto"/>
        </w:rPr>
        <w:t>sub-clauses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then the “Value” of such Portfolio Investment as at such date shall be deemed to be zero.</w:t>
      </w:r>
    </w:p>
    <w:p>
      <w:pPr>
        <w:spacing w:after="0" w:line="127" w:lineRule="exact"/>
        <w:rPr>
          <w:sz w:val="20"/>
          <w:szCs w:val="20"/>
          <w:color w:val="auto"/>
        </w:rPr>
      </w:pPr>
    </w:p>
    <w:p>
      <w:pPr>
        <w:ind w:left="1720" w:hanging="285"/>
        <w:spacing w:after="0"/>
        <w:tabs>
          <w:tab w:leader="none" w:pos="172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Testing of Values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340" w:right="80" w:firstLine="875"/>
        <w:spacing w:after="0" w:line="255" w:lineRule="auto"/>
        <w:tabs>
          <w:tab w:leader="none" w:pos="2536"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19"/>
          <w:szCs w:val="19"/>
          <w:u w:val="single" w:color="auto"/>
          <w:color w:val="auto"/>
        </w:rPr>
        <w:t>Testing Period</w:t>
      </w:r>
      <w:r>
        <w:rPr>
          <w:rFonts w:ascii="Times New Roman" w:cs="Times New Roman" w:eastAsia="Times New Roman" w:hAnsi="Times New Roman"/>
          <w:sz w:val="19"/>
          <w:szCs w:val="19"/>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19"/>
          <w:szCs w:val="19"/>
          <w:u w:val="single" w:color="auto"/>
          <w:color w:val="auto"/>
        </w:rPr>
        <w:t>sub-clause (F)</w:t>
      </w:r>
      <w:r>
        <w:rPr>
          <w:rFonts w:ascii="Times New Roman" w:cs="Times New Roman" w:eastAsia="Times New Roman" w:hAnsi="Times New Roman"/>
          <w:sz w:val="19"/>
          <w:szCs w:val="19"/>
          <w:color w:val="auto"/>
        </w:rPr>
        <w:t xml:space="preserve"> below.</w:t>
      </w:r>
    </w:p>
    <w:p>
      <w:pPr>
        <w:spacing w:after="0" w:line="155" w:lineRule="exact"/>
        <w:rPr>
          <w:rFonts w:ascii="Times New Roman" w:cs="Times New Roman" w:eastAsia="Times New Roman" w:hAnsi="Times New Roman"/>
          <w:sz w:val="19"/>
          <w:szCs w:val="19"/>
          <w:color w:val="auto"/>
        </w:rPr>
      </w:pPr>
    </w:p>
    <w:p>
      <w:pPr>
        <w:ind w:left="1340" w:firstLine="875"/>
        <w:spacing w:after="0" w:line="246" w:lineRule="auto"/>
        <w:tabs>
          <w:tab w:leader="none" w:pos="2488"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19"/>
          <w:szCs w:val="19"/>
          <w:u w:val="single" w:color="auto"/>
          <w:color w:val="auto"/>
        </w:rPr>
        <w:t>Administrative Agent Appraisal Testing Period</w:t>
      </w:r>
      <w:r>
        <w:rPr>
          <w:rFonts w:ascii="Times New Roman" w:cs="Times New Roman" w:eastAsia="Times New Roman" w:hAnsi="Times New Roman"/>
          <w:sz w:val="19"/>
          <w:szCs w:val="19"/>
          <w:color w:val="auto"/>
        </w:rPr>
        <w:t>”) and would be reflected in the Borrowing Base Certificate for such month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Approved Third-Party Appraiser delivers such valuation at least seven (7) Business Days before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6" w:lineRule="exact"/>
        <w:rPr>
          <w:sz w:val="20"/>
          <w:szCs w:val="20"/>
          <w:color w:val="auto"/>
        </w:rPr>
      </w:pPr>
    </w:p>
    <w:p>
      <w:pPr>
        <w:ind w:left="1340" w:right="840"/>
        <w:spacing w:after="0" w:line="286" w:lineRule="auto"/>
        <w:rPr>
          <w:sz w:val="20"/>
          <w:szCs w:val="20"/>
          <w:color w:val="auto"/>
        </w:rPr>
      </w:pPr>
      <w:r>
        <w:rPr>
          <w:rFonts w:ascii="Times New Roman" w:cs="Times New Roman" w:eastAsia="Times New Roman" w:hAnsi="Times New Roman"/>
          <w:sz w:val="19"/>
          <w:szCs w:val="19"/>
          <w:color w:val="auto"/>
        </w:rPr>
        <w:t xml:space="preserve">For the avoidance of doubt, all calculations of value pursuant to this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shall be determined without application of the Advance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869315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60"/>
          </w:cols>
          <w:pgMar w:left="1440" w:top="1440" w:right="700" w:bottom="1440" w:gutter="0" w:footer="0" w:header="0"/>
        </w:sectPr>
      </w:pPr>
    </w:p>
    <w:bookmarkStart w:id="212" w:name="page213"/>
    <w:bookmarkEnd w:id="212"/>
    <w:p>
      <w:pPr>
        <w:spacing w:after="0" w:line="269" w:lineRule="exact"/>
        <w:rPr>
          <w:sz w:val="20"/>
          <w:szCs w:val="20"/>
          <w:color w:val="auto"/>
        </w:rPr>
      </w:pPr>
    </w:p>
    <w:p>
      <w:pPr>
        <w:ind w:left="1420" w:firstLine="795"/>
        <w:spacing w:after="0" w:line="253" w:lineRule="auto"/>
        <w:tabs>
          <w:tab w:leader="none" w:pos="2512"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Valuation Dispute Resolution</w:t>
      </w:r>
      <w:r>
        <w:rPr>
          <w:rFonts w:ascii="Times New Roman" w:cs="Times New Roman" w:eastAsia="Times New Roman" w:hAnsi="Times New Roman"/>
          <w:sz w:val="19"/>
          <w:szCs w:val="19"/>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19"/>
          <w:szCs w:val="19"/>
          <w:u w:val="single" w:color="auto"/>
          <w:color w:val="auto"/>
        </w:rPr>
        <w:t>Section 5.12(b)(ii)(B)</w:t>
      </w:r>
      <w:r>
        <w:rPr>
          <w:rFonts w:ascii="Times New Roman" w:cs="Times New Roman" w:eastAsia="Times New Roman" w:hAnsi="Times New Roman"/>
          <w:sz w:val="19"/>
          <w:szCs w:val="19"/>
          <w:color w:val="auto"/>
        </w:rPr>
        <w:t xml:space="preserve"> and the valuation of any Approved Third-Party Appraiser selected by the Administrative Agent pursuant to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65" w:lineRule="exact"/>
        <w:rPr>
          <w:rFonts w:ascii="Times New Roman" w:cs="Times New Roman" w:eastAsia="Times New Roman" w:hAnsi="Times New Roman"/>
          <w:sz w:val="19"/>
          <w:szCs w:val="19"/>
          <w:color w:val="auto"/>
        </w:rPr>
      </w:pPr>
    </w:p>
    <w:p>
      <w:pPr>
        <w:ind w:right="80" w:firstLine="702"/>
        <w:spacing w:after="0" w:line="268" w:lineRule="auto"/>
        <w:tabs>
          <w:tab w:leader="none" w:pos="96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RIC Diversification Requirements</w:t>
      </w:r>
      <w:r>
        <w:rPr>
          <w:rFonts w:ascii="Times New Roman" w:cs="Times New Roman" w:eastAsia="Times New Roman" w:hAnsi="Times New Roman"/>
          <w:sz w:val="19"/>
          <w:szCs w:val="19"/>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44" w:lineRule="exact"/>
        <w:rPr>
          <w:sz w:val="20"/>
          <w:szCs w:val="20"/>
          <w:color w:val="auto"/>
        </w:rPr>
      </w:pPr>
    </w:p>
    <w:p>
      <w:pPr>
        <w:ind w:right="16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Calculation of Borrowing Base</w:t>
      </w:r>
      <w:r>
        <w:rPr>
          <w:rFonts w:ascii="Times New Roman" w:cs="Times New Roman" w:eastAsia="Times New Roman" w:hAnsi="Times New Roman"/>
          <w:sz w:val="19"/>
          <w:szCs w:val="19"/>
          <w:color w:val="auto"/>
        </w:rPr>
        <w:t>. For purposes of this Agreement, the “</w:t>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19"/>
          <w:szCs w:val="19"/>
          <w:u w:val="single" w:color="auto"/>
          <w:color w:val="auto"/>
        </w:rPr>
        <w:t>Section 2.05(k)</w:t>
      </w:r>
      <w:r>
        <w:rPr>
          <w:rFonts w:ascii="Times New Roman" w:cs="Times New Roman" w:eastAsia="Times New Roman" w:hAnsi="Times New Roman"/>
          <w:sz w:val="19"/>
          <w:szCs w:val="19"/>
          <w:color w:val="auto"/>
        </w:rPr>
        <w:t xml:space="preserve"> or the last paragraph of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44" w:lineRule="exact"/>
        <w:rPr>
          <w:sz w:val="20"/>
          <w:szCs w:val="20"/>
          <w:color w:val="auto"/>
        </w:rPr>
      </w:pPr>
    </w:p>
    <w:p>
      <w:pPr>
        <w:ind w:right="140" w:firstLine="702"/>
        <w:spacing w:after="0" w:line="262" w:lineRule="auto"/>
        <w:tabs>
          <w:tab w:leader="none" w:pos="95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19"/>
          <w:szCs w:val="19"/>
          <w:u w:val="single" w:color="auto"/>
          <w:color w:val="auto"/>
        </w:rPr>
        <w:t>Consolidated Group</w:t>
      </w:r>
      <w:r>
        <w:rPr>
          <w:rFonts w:ascii="Times New Roman" w:cs="Times New Roman" w:eastAsia="Times New Roman" w:hAnsi="Times New Roman"/>
          <w:sz w:val="19"/>
          <w:szCs w:val="19"/>
          <w:color w:val="auto"/>
        </w:rPr>
        <w:t>”), in accordance with GAAP, that exceeds 6% of the aggregate Value of all Portfolio Investments in the Collateral Pool as of the end of the most recent quarter shall be 50% of the Advance Rate otherwise applicable;</w:t>
      </w:r>
    </w:p>
    <w:p>
      <w:pPr>
        <w:spacing w:after="0" w:line="150" w:lineRule="exact"/>
        <w:rPr>
          <w:rFonts w:ascii="Times New Roman" w:cs="Times New Roman" w:eastAsia="Times New Roman" w:hAnsi="Times New Roman"/>
          <w:sz w:val="19"/>
          <w:szCs w:val="19"/>
          <w:color w:val="auto"/>
        </w:rPr>
      </w:pPr>
    </w:p>
    <w:p>
      <w:pPr>
        <w:ind w:right="220" w:firstLine="702"/>
        <w:spacing w:after="0" w:line="268" w:lineRule="auto"/>
        <w:tabs>
          <w:tab w:leader="none" w:pos="96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44" w:lineRule="exact"/>
        <w:rPr>
          <w:rFonts w:ascii="Times New Roman" w:cs="Times New Roman" w:eastAsia="Times New Roman" w:hAnsi="Times New Roman"/>
          <w:sz w:val="19"/>
          <w:szCs w:val="19"/>
          <w:color w:val="auto"/>
        </w:rPr>
      </w:pPr>
    </w:p>
    <w:p>
      <w:pPr>
        <w:ind w:firstLine="702"/>
        <w:spacing w:after="0" w:line="259" w:lineRule="auto"/>
        <w:tabs>
          <w:tab w:leader="none" w:pos="95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3" w:name="page214"/>
    <w:bookmarkEnd w:id="213"/>
    <w:p>
      <w:pPr>
        <w:spacing w:after="0" w:line="2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Industry Classification Group exceeds 30% of the aggregate Value of all Portfolio Investments in the Collateral Pool as of the end of the most recent quarter shall the Advance Rate applicable to such excess Value be 0%;</w:t>
      </w:r>
    </w:p>
    <w:p>
      <w:pPr>
        <w:spacing w:after="0" w:line="127" w:lineRule="exact"/>
        <w:rPr>
          <w:sz w:val="20"/>
          <w:szCs w:val="20"/>
          <w:color w:val="auto"/>
        </w:rPr>
      </w:pPr>
    </w:p>
    <w:p>
      <w:pPr>
        <w:ind w:right="20" w:firstLine="702"/>
        <w:spacing w:after="0" w:line="262" w:lineRule="auto"/>
        <w:tabs>
          <w:tab w:leader="none" w:pos="96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50" w:lineRule="exact"/>
        <w:rPr>
          <w:rFonts w:ascii="Times New Roman" w:cs="Times New Roman" w:eastAsia="Times New Roman" w:hAnsi="Times New Roman"/>
          <w:sz w:val="19"/>
          <w:szCs w:val="19"/>
          <w:color w:val="auto"/>
        </w:rPr>
      </w:pPr>
    </w:p>
    <w:p>
      <w:pPr>
        <w:ind w:right="260" w:firstLine="702"/>
        <w:spacing w:after="0" w:line="286" w:lineRule="auto"/>
        <w:tabs>
          <w:tab w:leader="none" w:pos="957"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27" w:lineRule="exact"/>
        <w:rPr>
          <w:rFonts w:ascii="Times New Roman" w:cs="Times New Roman" w:eastAsia="Times New Roman" w:hAnsi="Times New Roman"/>
          <w:sz w:val="19"/>
          <w:szCs w:val="19"/>
          <w:color w:val="auto"/>
        </w:rPr>
      </w:pPr>
    </w:p>
    <w:p>
      <w:pPr>
        <w:ind w:right="100" w:firstLine="702"/>
        <w:spacing w:after="0" w:line="286" w:lineRule="auto"/>
        <w:tabs>
          <w:tab w:leader="none" w:pos="936"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Equity Interests shall not exceed 10% (it being understood that in no event shall Equity Interests of Financing Subsidiaries be included in the Borrowing Base);</w:t>
      </w:r>
    </w:p>
    <w:p>
      <w:pPr>
        <w:spacing w:after="0" w:line="127" w:lineRule="exact"/>
        <w:rPr>
          <w:rFonts w:ascii="Times New Roman" w:cs="Times New Roman" w:eastAsia="Times New Roman" w:hAnsi="Times New Roman"/>
          <w:sz w:val="19"/>
          <w:szCs w:val="19"/>
          <w:color w:val="auto"/>
        </w:rPr>
      </w:pPr>
    </w:p>
    <w:p>
      <w:pPr>
        <w:ind w:right="340" w:firstLine="702"/>
        <w:spacing w:after="0" w:line="268" w:lineRule="auto"/>
        <w:tabs>
          <w:tab w:leader="none" w:pos="96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44" w:lineRule="exact"/>
        <w:rPr>
          <w:rFonts w:ascii="Times New Roman" w:cs="Times New Roman" w:eastAsia="Times New Roman" w:hAnsi="Times New Roman"/>
          <w:sz w:val="19"/>
          <w:szCs w:val="19"/>
          <w:color w:val="auto"/>
        </w:rPr>
      </w:pPr>
    </w:p>
    <w:p>
      <w:pPr>
        <w:ind w:right="340" w:firstLine="702"/>
        <w:spacing w:after="0" w:line="268" w:lineRule="auto"/>
        <w:tabs>
          <w:tab w:leader="none" w:pos="96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44" w:lineRule="exact"/>
        <w:rPr>
          <w:rFonts w:ascii="Times New Roman" w:cs="Times New Roman" w:eastAsia="Times New Roman" w:hAnsi="Times New Roman"/>
          <w:sz w:val="19"/>
          <w:szCs w:val="19"/>
          <w:color w:val="auto"/>
        </w:rPr>
      </w:pPr>
    </w:p>
    <w:p>
      <w:pPr>
        <w:ind w:right="100" w:firstLine="702"/>
        <w:spacing w:after="0" w:line="268" w:lineRule="auto"/>
        <w:tabs>
          <w:tab w:leader="none" w:pos="92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44" w:lineRule="exact"/>
        <w:rPr>
          <w:rFonts w:ascii="Times New Roman" w:cs="Times New Roman" w:eastAsia="Times New Roman" w:hAnsi="Times New Roman"/>
          <w:sz w:val="19"/>
          <w:szCs w:val="19"/>
          <w:color w:val="auto"/>
        </w:rPr>
      </w:pPr>
    </w:p>
    <w:p>
      <w:pPr>
        <w:ind w:right="100" w:firstLine="702"/>
        <w:spacing w:after="0" w:line="268" w:lineRule="auto"/>
        <w:tabs>
          <w:tab w:leader="none" w:pos="92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used herein, the following terms have the following meanings: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Advance Rate</w:t>
      </w:r>
      <w:r>
        <w:rPr>
          <w:rFonts w:ascii="Times New Roman" w:cs="Times New Roman" w:eastAsia="Times New Roman" w:hAnsi="Times New Roman"/>
          <w:sz w:val="19"/>
          <w:szCs w:val="19"/>
          <w:color w:val="auto"/>
        </w:rPr>
        <w:t xml:space="preserve">” means, as to any Portfolio Investment and subject to adjustment as provided in </w:t>
      </w:r>
      <w:r>
        <w:rPr>
          <w:rFonts w:ascii="Times New Roman" w:cs="Times New Roman" w:eastAsia="Times New Roman" w:hAnsi="Times New Roman"/>
          <w:sz w:val="19"/>
          <w:szCs w:val="19"/>
          <w:u w:val="single" w:color="auto"/>
          <w:color w:val="auto"/>
        </w:rPr>
        <w:t>Section 5.13(a)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the following percentages with respect to such Portfolio Investment: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Portfolio Investment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Quoted</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Unquoted</w:t>
            </w:r>
          </w:p>
        </w:tc>
      </w:tr>
      <w:tr>
        <w:trPr>
          <w:trHeight w:val="20"/>
        </w:trPr>
        <w:tc>
          <w:tcPr>
            <w:tcW w:w="3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5"/>
        </w:trPr>
        <w:tc>
          <w:tcPr>
            <w:tcW w:w="7320" w:type="dxa"/>
            <w:vAlign w:val="bottom"/>
            <w:gridSpan w:val="3"/>
          </w:tcPr>
          <w:p>
            <w:pPr>
              <w:ind w:left="1060"/>
              <w:spacing w:after="0"/>
              <w:rPr>
                <w:sz w:val="20"/>
                <w:szCs w:val="20"/>
                <w:color w:val="auto"/>
              </w:rPr>
            </w:pPr>
            <w:r>
              <w:rPr>
                <w:rFonts w:ascii="Times New Roman" w:cs="Times New Roman" w:eastAsia="Times New Roman" w:hAnsi="Times New Roman"/>
                <w:sz w:val="19"/>
                <w:szCs w:val="19"/>
                <w:color w:val="auto"/>
              </w:rPr>
              <w:t>Cash, Cash Equivalents and</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1"/>
        </w:trPr>
        <w:tc>
          <w:tcPr>
            <w:tcW w:w="7320" w:type="dxa"/>
            <w:vAlign w:val="bottom"/>
            <w:gridSpan w:val="3"/>
          </w:tcPr>
          <w:p>
            <w:pPr>
              <w:ind w:left="1200"/>
              <w:spacing w:after="0"/>
              <w:rPr>
                <w:sz w:val="20"/>
                <w:szCs w:val="20"/>
                <w:color w:val="auto"/>
              </w:rPr>
            </w:pPr>
            <w:r>
              <w:rPr>
                <w:rFonts w:ascii="Times New Roman" w:cs="Times New Roman" w:eastAsia="Times New Roman" w:hAnsi="Times New Roman"/>
                <w:sz w:val="19"/>
                <w:szCs w:val="19"/>
                <w:color w:val="auto"/>
              </w:rPr>
              <w:t>Short-Term U.S. Government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c>
          <w:tcPr>
            <w:tcW w:w="1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tcPr>
          <w:p>
            <w:pPr>
              <w:spacing w:after="0"/>
              <w:rPr>
                <w:sz w:val="21"/>
                <w:szCs w:val="21"/>
                <w:color w:val="auto"/>
              </w:rPr>
            </w:pPr>
          </w:p>
        </w:tc>
      </w:tr>
      <w:tr>
        <w:trPr>
          <w:trHeight w:val="252"/>
        </w:trPr>
        <w:tc>
          <w:tcPr>
            <w:tcW w:w="7320" w:type="dxa"/>
            <w:vAlign w:val="bottom"/>
            <w:gridSpan w:val="3"/>
          </w:tcPr>
          <w:p>
            <w:pPr>
              <w:ind w:left="1060"/>
              <w:spacing w:after="0"/>
              <w:rPr>
                <w:sz w:val="20"/>
                <w:szCs w:val="20"/>
                <w:color w:val="auto"/>
              </w:rPr>
            </w:pPr>
            <w:r>
              <w:rPr>
                <w:rFonts w:ascii="Times New Roman" w:cs="Times New Roman" w:eastAsia="Times New Roman" w:hAnsi="Times New Roman"/>
                <w:sz w:val="19"/>
                <w:szCs w:val="19"/>
                <w:color w:val="auto"/>
              </w:rPr>
              <w:t>Long-Term U.S. Government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95%</w:t>
            </w:r>
          </w:p>
        </w:tc>
        <w:tc>
          <w:tcPr>
            <w:tcW w:w="1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w:t>
            </w:r>
          </w:p>
        </w:tc>
        <w:tc>
          <w:tcPr>
            <w:tcW w:w="800" w:type="dxa"/>
            <w:vAlign w:val="bottom"/>
          </w:tcPr>
          <w:p>
            <w:pPr>
              <w:spacing w:after="0"/>
              <w:rPr>
                <w:sz w:val="21"/>
                <w:szCs w:val="21"/>
                <w:color w:val="auto"/>
              </w:rPr>
            </w:pPr>
          </w:p>
        </w:tc>
      </w:tr>
      <w:tr>
        <w:trPr>
          <w:trHeight w:val="252"/>
        </w:trPr>
        <w:tc>
          <w:tcPr>
            <w:tcW w:w="7320" w:type="dxa"/>
            <w:vAlign w:val="bottom"/>
            <w:gridSpan w:val="3"/>
          </w:tcPr>
          <w:p>
            <w:pPr>
              <w:ind w:left="1060"/>
              <w:spacing w:after="0"/>
              <w:rPr>
                <w:sz w:val="20"/>
                <w:szCs w:val="20"/>
                <w:color w:val="auto"/>
              </w:rPr>
            </w:pPr>
            <w:r>
              <w:rPr>
                <w:rFonts w:ascii="Times New Roman" w:cs="Times New Roman" w:eastAsia="Times New Roman" w:hAnsi="Times New Roman"/>
                <w:sz w:val="19"/>
                <w:szCs w:val="19"/>
                <w:color w:val="auto"/>
              </w:rPr>
              <w:t>Performing First Lien Bank Loans</w:t>
            </w:r>
          </w:p>
        </w:tc>
        <w:tc>
          <w:tcPr>
            <w:tcW w:w="5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85%</w:t>
            </w:r>
          </w:p>
        </w:tc>
        <w:tc>
          <w:tcPr>
            <w:tcW w:w="1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75%</w:t>
            </w:r>
          </w:p>
        </w:tc>
        <w:tc>
          <w:tcPr>
            <w:tcW w:w="800" w:type="dxa"/>
            <w:vAlign w:val="bottom"/>
          </w:tcPr>
          <w:p>
            <w:pPr>
              <w:spacing w:after="0"/>
              <w:rPr>
                <w:sz w:val="21"/>
                <w:szCs w:val="21"/>
                <w:color w:val="auto"/>
              </w:rPr>
            </w:pPr>
          </w:p>
        </w:tc>
      </w:tr>
      <w:tr>
        <w:trPr>
          <w:trHeight w:val="1262"/>
        </w:trPr>
        <w:tc>
          <w:tcPr>
            <w:tcW w:w="316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25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4" w:name="page215"/>
    <w:bookmarkEnd w:id="214"/>
    <w:p>
      <w:pPr>
        <w:spacing w:after="0" w:line="305" w:lineRule="exact"/>
        <w:rPr>
          <w:sz w:val="20"/>
          <w:szCs w:val="20"/>
          <w:color w:val="auto"/>
        </w:rPr>
      </w:pPr>
    </w:p>
    <w:tbl>
      <w:tblPr>
        <w:tblLayout w:type="fixed"/>
        <w:tblInd w:w="1060" w:type="dxa"/>
        <w:tblCellMar>
          <w:top w:w="0" w:type="dxa"/>
          <w:left w:w="0" w:type="dxa"/>
          <w:bottom w:w="0" w:type="dxa"/>
          <w:right w:w="0" w:type="dxa"/>
        </w:tblCellMar>
      </w:tblPr>
      <w:tr>
        <w:trPr>
          <w:trHeight w:val="251"/>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Unitranche Loans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80%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70%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Second Lien Bank Loans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75%</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65%</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High Yield Securities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70%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60%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Mezzanine Investments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65%</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55%</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High Yield Securities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60%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50%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Mezzanine Investments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55%</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45%</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First Lien Bank Loans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45%</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45%</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Unitranche Loans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40%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40%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Second Lien Bank Loans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40%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30%</w:t>
            </w:r>
          </w:p>
        </w:tc>
      </w:tr>
      <w:tr>
        <w:trPr>
          <w:trHeight w:val="324"/>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High Yield Securities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30%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Cash Pay Mezzanine Investments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25%</w:t>
            </w: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Common Equity (and zero cost or</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w w:val="97"/>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20%</w:t>
            </w:r>
          </w:p>
        </w:tc>
      </w:tr>
      <w:tr>
        <w:trPr>
          <w:trHeight w:val="251"/>
        </w:trPr>
        <w:tc>
          <w:tcPr>
            <w:tcW w:w="51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penny warrants with performing debt)</w:t>
            </w:r>
          </w:p>
        </w:tc>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Common Equity</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rPr>
              <w:t>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0%</w:t>
            </w:r>
          </w:p>
        </w:tc>
      </w:tr>
      <w:tr>
        <w:trPr>
          <w:trHeight w:val="252"/>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Structured Finance Obligations and Finance Leases</w:t>
            </w:r>
          </w:p>
        </w:tc>
        <w:tc>
          <w:tcPr>
            <w:tcW w:w="2280" w:type="dxa"/>
            <w:vAlign w:val="bottom"/>
          </w:tcPr>
          <w:p>
            <w:pPr>
              <w:jc w:val="center"/>
              <w:ind w:left="404"/>
              <w:spacing w:after="0"/>
              <w:rPr>
                <w:sz w:val="20"/>
                <w:szCs w:val="20"/>
                <w:color w:val="auto"/>
              </w:rPr>
            </w:pPr>
            <w:r>
              <w:rPr>
                <w:rFonts w:ascii="Times New Roman" w:cs="Times New Roman" w:eastAsia="Times New Roman" w:hAnsi="Times New Roman"/>
                <w:sz w:val="19"/>
                <w:szCs w:val="19"/>
                <w:color w:val="auto"/>
              </w:rPr>
              <w:t>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0%</w:t>
            </w:r>
          </w:p>
        </w:tc>
      </w:tr>
    </w:tbl>
    <w:p>
      <w:pPr>
        <w:spacing w:after="0" w:line="217"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 Loans</w:t>
      </w:r>
      <w:r>
        <w:rPr>
          <w:rFonts w:ascii="Times New Roman" w:cs="Times New Roman" w:eastAsia="Times New Roman" w:hAnsi="Times New Roman"/>
          <w:sz w:val="19"/>
          <w:szCs w:val="19"/>
          <w:color w:val="auto"/>
        </w:rPr>
        <w:t>” means debt obligations (including term loans, notes, revolving loans, debtor -in-possession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50"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w:t>
      </w:r>
    </w:p>
    <w:p>
      <w:pPr>
        <w:spacing w:after="0" w:line="202"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Finance Lease</w:t>
      </w:r>
      <w:r>
        <w:rPr>
          <w:rFonts w:ascii="Times New Roman" w:cs="Times New Roman" w:eastAsia="Times New Roman" w:hAnsi="Times New Roman"/>
          <w:sz w:val="19"/>
          <w:szCs w:val="19"/>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27" w:lineRule="exact"/>
        <w:rPr>
          <w:sz w:val="20"/>
          <w:szCs w:val="20"/>
          <w:color w:val="auto"/>
        </w:rPr>
      </w:pPr>
    </w:p>
    <w:p>
      <w:pPr>
        <w:ind w:right="4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Bank Loan</w:t>
      </w:r>
      <w:r>
        <w:rPr>
          <w:rFonts w:ascii="Times New Roman" w:cs="Times New Roman" w:eastAsia="Times New Roman" w:hAnsi="Times New Roman"/>
          <w:sz w:val="19"/>
          <w:szCs w:val="19"/>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High Yield Securities</w:t>
      </w:r>
      <w:r>
        <w:rPr>
          <w:rFonts w:ascii="Times New Roman" w:cs="Times New Roman" w:eastAsia="Times New Roman" w:hAnsi="Times New Roman"/>
          <w:sz w:val="19"/>
          <w:szCs w:val="19"/>
          <w:color w:val="auto"/>
        </w:rPr>
        <w:t>” means debt Securities and Preferred Stock, in each case (a) issued by public or private issuers,</w:t>
      </w:r>
    </w:p>
    <w:p>
      <w:pPr>
        <w:spacing w:after="0" w:line="32" w:lineRule="exact"/>
        <w:rPr>
          <w:sz w:val="20"/>
          <w:szCs w:val="20"/>
          <w:color w:val="auto"/>
        </w:rPr>
      </w:pPr>
    </w:p>
    <w:p>
      <w:pPr>
        <w:ind w:right="160" w:firstLine="6"/>
        <w:spacing w:after="0" w:line="262" w:lineRule="auto"/>
        <w:tabs>
          <w:tab w:leader="none" w:pos="27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883285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15" w:name="page216"/>
    <w:bookmarkEnd w:id="215"/>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Long-Term U.S. Government Securities</w:t>
      </w:r>
      <w:r>
        <w:rPr>
          <w:rFonts w:ascii="Times New Roman" w:cs="Times New Roman" w:eastAsia="Times New Roman" w:hAnsi="Times New Roman"/>
          <w:sz w:val="19"/>
          <w:szCs w:val="19"/>
          <w:color w:val="auto"/>
        </w:rPr>
        <w:t>” means U.S. Government Securities maturing more than one year from the applicable date of determination.</w:t>
      </w:r>
    </w:p>
    <w:p>
      <w:pPr>
        <w:spacing w:after="0" w:line="127" w:lineRule="exact"/>
        <w:rPr>
          <w:sz w:val="20"/>
          <w:szCs w:val="20"/>
          <w:color w:val="auto"/>
        </w:rPr>
      </w:pPr>
    </w:p>
    <w:p>
      <w:pPr>
        <w:jc w:val="both"/>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Mezzanine Investments</w:t>
      </w:r>
      <w:r>
        <w:rPr>
          <w:rFonts w:ascii="Times New Roman" w:cs="Times New Roman" w:eastAsia="Times New Roman" w:hAnsi="Times New Roman"/>
          <w:sz w:val="19"/>
          <w:szCs w:val="19"/>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50"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Common Equity</w:t>
      </w:r>
      <w:r>
        <w:rPr>
          <w:rFonts w:ascii="Times New Roman" w:cs="Times New Roman" w:eastAsia="Times New Roman" w:hAnsi="Times New Roman"/>
          <w:sz w:val="19"/>
          <w:szCs w:val="19"/>
          <w:color w:val="auto"/>
        </w:rPr>
        <w:t>” means Capital Stock (other than Preferred Stock) and warrants of an issuer having any debt outstanding that is non-Performing.</w:t>
      </w:r>
    </w:p>
    <w:p>
      <w:pPr>
        <w:spacing w:after="0" w:line="127" w:lineRule="exact"/>
        <w:rPr>
          <w:sz w:val="20"/>
          <w:szCs w:val="20"/>
          <w:color w:val="auto"/>
        </w:rPr>
      </w:pPr>
    </w:p>
    <w:p>
      <w:pPr>
        <w:ind w:left="1420" w:right="80"/>
        <w:spacing w:after="0" w:line="3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First Lien Bank Loans</w:t>
      </w:r>
      <w:r>
        <w:rPr>
          <w:rFonts w:ascii="Times New Roman" w:cs="Times New Roman" w:eastAsia="Times New Roman" w:hAnsi="Times New Roman"/>
          <w:sz w:val="19"/>
          <w:szCs w:val="19"/>
          <w:color w:val="auto"/>
        </w:rPr>
        <w:t>” means First Lien Bank Loans other than Performing First Lien Bank Loans. “</w:t>
      </w:r>
      <w:r>
        <w:rPr>
          <w:rFonts w:ascii="Times New Roman" w:cs="Times New Roman" w:eastAsia="Times New Roman" w:hAnsi="Times New Roman"/>
          <w:sz w:val="19"/>
          <w:szCs w:val="19"/>
          <w:u w:val="single" w:color="auto"/>
          <w:color w:val="auto"/>
        </w:rPr>
        <w:t>Non-Performing High Yield Securities</w:t>
      </w:r>
      <w:r>
        <w:rPr>
          <w:rFonts w:ascii="Times New Roman" w:cs="Times New Roman" w:eastAsia="Times New Roman" w:hAnsi="Times New Roman"/>
          <w:sz w:val="19"/>
          <w:szCs w:val="19"/>
          <w:color w:val="auto"/>
        </w:rPr>
        <w:t>” means High Yield Securities other than Performing High Yield Securities. “</w:t>
      </w:r>
      <w:r>
        <w:rPr>
          <w:rFonts w:ascii="Times New Roman" w:cs="Times New Roman" w:eastAsia="Times New Roman" w:hAnsi="Times New Roman"/>
          <w:sz w:val="19"/>
          <w:szCs w:val="19"/>
          <w:u w:val="single" w:color="auto"/>
          <w:color w:val="auto"/>
        </w:rPr>
        <w:t>Non-Performing Mezzanine Investments</w:t>
      </w:r>
      <w:r>
        <w:rPr>
          <w:rFonts w:ascii="Times New Roman" w:cs="Times New Roman" w:eastAsia="Times New Roman" w:hAnsi="Times New Roman"/>
          <w:sz w:val="19"/>
          <w:szCs w:val="19"/>
          <w:color w:val="auto"/>
        </w:rPr>
        <w:t>” means Mezzanine Investments other than Performing Mezzanine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w:t>
      </w:r>
    </w:p>
    <w:p>
      <w:pPr>
        <w:spacing w:after="0" w:line="180"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 -Performing Portfolio Investment</w:t>
      </w:r>
      <w:r>
        <w:rPr>
          <w:rFonts w:ascii="Times New Roman" w:cs="Times New Roman" w:eastAsia="Times New Roman" w:hAnsi="Times New Roman"/>
          <w:sz w:val="19"/>
          <w:szCs w:val="19"/>
          <w:color w:val="auto"/>
        </w:rPr>
        <w:t xml:space="preserve"> ” means Portfolio Investments for which the issuer is in default of any payment obligations of principal or interest in respect thereof after the expiration of any applicable grace period.</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Second Lien Bank Loans</w:t>
      </w:r>
      <w:r>
        <w:rPr>
          <w:rFonts w:ascii="Times New Roman" w:cs="Times New Roman" w:eastAsia="Times New Roman" w:hAnsi="Times New Roman"/>
          <w:sz w:val="19"/>
          <w:szCs w:val="19"/>
          <w:color w:val="auto"/>
        </w:rPr>
        <w:t>” means Second Lien Bank Loans other than Performing Second Lien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Loans.</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Non-Performing Unitranche Loans</w:t>
      </w:r>
      <w:r>
        <w:rPr>
          <w:rFonts w:ascii="Times New Roman" w:cs="Times New Roman" w:eastAsia="Times New Roman" w:hAnsi="Times New Roman"/>
          <w:sz w:val="19"/>
          <w:szCs w:val="19"/>
          <w:color w:val="auto"/>
        </w:rPr>
        <w:t>” means Unitranche Loans other than Performing Unitranche Loans.</w:t>
      </w:r>
    </w:p>
    <w:p>
      <w:pPr>
        <w:spacing w:after="0" w:line="202"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w:t>
      </w:r>
      <w:r>
        <w:rPr>
          <w:rFonts w:ascii="Times New Roman" w:cs="Times New Roman" w:eastAsia="Times New Roman" w:hAnsi="Times New Roman"/>
          <w:sz w:val="19"/>
          <w:szCs w:val="19"/>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50"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High Yield Securities</w:t>
      </w:r>
      <w:r>
        <w:rPr>
          <w:rFonts w:ascii="Times New Roman" w:cs="Times New Roman" w:eastAsia="Times New Roman" w:hAnsi="Times New Roman"/>
          <w:sz w:val="19"/>
          <w:szCs w:val="19"/>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4"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Cash Pay Mezzanine Investments</w:t>
      </w:r>
      <w:r>
        <w:rPr>
          <w:rFonts w:ascii="Times New Roman" w:cs="Times New Roman" w:eastAsia="Times New Roman" w:hAnsi="Times New Roman"/>
          <w:sz w:val="19"/>
          <w:szCs w:val="19"/>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6" w:name="page217"/>
    <w:bookmarkEnd w:id="216"/>
    <w:p>
      <w:pPr>
        <w:spacing w:after="0" w:line="2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Common Equity</w:t>
      </w:r>
      <w:r>
        <w:rPr>
          <w:rFonts w:ascii="Times New Roman" w:cs="Times New Roman" w:eastAsia="Times New Roman" w:hAnsi="Times New Roman"/>
          <w:sz w:val="19"/>
          <w:szCs w:val="19"/>
          <w:color w:val="auto"/>
        </w:rPr>
        <w:t>” means Capital Stock (other than Preferred Stock) and warrants of an issuer all of whose outstanding debt is Performing.</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First Lien Bank Loans</w:t>
      </w:r>
      <w:r>
        <w:rPr>
          <w:rFonts w:ascii="Times New Roman" w:cs="Times New Roman" w:eastAsia="Times New Roman" w:hAnsi="Times New Roman"/>
          <w:sz w:val="19"/>
          <w:szCs w:val="19"/>
          <w:color w:val="auto"/>
        </w:rPr>
        <w:t>” means First Lien Bank Loans which are Performing.</w:t>
      </w:r>
    </w:p>
    <w:p>
      <w:pPr>
        <w:spacing w:after="0" w:line="202"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Non-Cash Pay High Yield Securities</w:t>
      </w:r>
      <w:r>
        <w:rPr>
          <w:rFonts w:ascii="Times New Roman" w:cs="Times New Roman" w:eastAsia="Times New Roman" w:hAnsi="Times New Roman"/>
          <w:sz w:val="19"/>
          <w:szCs w:val="19"/>
          <w:color w:val="auto"/>
        </w:rPr>
        <w:t>” means Performing High Yield Securities other than Performing Cash Pay High Yield Securities.</w:t>
      </w:r>
    </w:p>
    <w:p>
      <w:pPr>
        <w:spacing w:after="0" w:line="127"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Non-Cash Pay Mezzanine Investments</w:t>
      </w:r>
      <w:r>
        <w:rPr>
          <w:rFonts w:ascii="Times New Roman" w:cs="Times New Roman" w:eastAsia="Times New Roman" w:hAnsi="Times New Roman"/>
          <w:sz w:val="19"/>
          <w:szCs w:val="19"/>
          <w:color w:val="auto"/>
        </w:rPr>
        <w:t>” means Performing Mezzanine Investments other than Performing Cash Pay Mezzanine Investments.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Performing Second Lien Bank Loans</w:t>
      </w:r>
      <w:r>
        <w:rPr>
          <w:rFonts w:ascii="Times New Roman" w:cs="Times New Roman" w:eastAsia="Times New Roman" w:hAnsi="Times New Roman"/>
          <w:sz w:val="19"/>
          <w:szCs w:val="19"/>
          <w:color w:val="auto"/>
        </w:rPr>
        <w:t>” means Second Lien Bank Loans which are Performing.</w:t>
      </w:r>
    </w:p>
    <w:p>
      <w:pPr>
        <w:spacing w:after="0" w:line="202"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54"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Second Lien Bank Loan</w:t>
      </w:r>
      <w:r>
        <w:rPr>
          <w:rFonts w:ascii="Times New Roman" w:cs="Times New Roman" w:eastAsia="Times New Roman" w:hAnsi="Times New Roman"/>
          <w:sz w:val="19"/>
          <w:szCs w:val="19"/>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4"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w:t>
      </w:r>
      <w:r>
        <w:rPr>
          <w:rFonts w:ascii="Times New Roman" w:cs="Times New Roman" w:eastAsia="Times New Roman" w:hAnsi="Times New Roman"/>
          <w:sz w:val="19"/>
          <w:szCs w:val="19"/>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United States Securities Act of 1933, as amended.</w:t>
      </w:r>
    </w:p>
    <w:p>
      <w:pPr>
        <w:spacing w:after="0" w:line="202" w:lineRule="exact"/>
        <w:rPr>
          <w:sz w:val="20"/>
          <w:szCs w:val="20"/>
          <w:color w:val="auto"/>
        </w:rPr>
      </w:pPr>
    </w:p>
    <w:p>
      <w:pPr>
        <w:ind w:right="680" w:firstLine="1404"/>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Short-Term U.S. Government Securities</w:t>
      </w:r>
      <w:r>
        <w:rPr>
          <w:rFonts w:ascii="Times New Roman" w:cs="Times New Roman" w:eastAsia="Times New Roman" w:hAnsi="Times New Roman"/>
          <w:sz w:val="19"/>
          <w:szCs w:val="19"/>
          <w:color w:val="auto"/>
        </w:rPr>
        <w:t>” means U.S. Government Securities maturing within one year of the applicable date of determination.</w:t>
      </w:r>
    </w:p>
    <w:p>
      <w:pPr>
        <w:spacing w:after="0" w:line="127"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Structured Finance Obligation</w:t>
      </w:r>
      <w:r>
        <w:rPr>
          <w:rFonts w:ascii="Times New Roman" w:cs="Times New Roman" w:eastAsia="Times New Roman" w:hAnsi="Times New Roman"/>
          <w:sz w:val="19"/>
          <w:szCs w:val="19"/>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7" w:name="page218"/>
    <w:bookmarkEnd w:id="217"/>
    <w:p>
      <w:pPr>
        <w:spacing w:after="0" w:line="269"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Unitranche Loan</w:t>
      </w:r>
      <w:r>
        <w:rPr>
          <w:rFonts w:ascii="Times New Roman" w:cs="Times New Roman" w:eastAsia="Times New Roman" w:hAnsi="Times New Roman"/>
          <w:sz w:val="19"/>
          <w:szCs w:val="19"/>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means, with respect to any Portfolio Investment, the lower of:</w:t>
      </w:r>
    </w:p>
    <w:p>
      <w:pPr>
        <w:spacing w:after="0" w:line="202" w:lineRule="exact"/>
        <w:rPr>
          <w:sz w:val="20"/>
          <w:szCs w:val="20"/>
          <w:color w:val="auto"/>
        </w:rPr>
      </w:pPr>
    </w:p>
    <w:p>
      <w:pPr>
        <w:ind w:left="1680" w:hanging="234"/>
        <w:spacing w:after="0"/>
        <w:tabs>
          <w:tab w:leader="none" w:pos="16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most recent internal market value as determined pursuant to </w:t>
      </w:r>
      <w:r>
        <w:rPr>
          <w:rFonts w:ascii="Times New Roman" w:cs="Times New Roman" w:eastAsia="Times New Roman" w:hAnsi="Times New Roman"/>
          <w:sz w:val="19"/>
          <w:szCs w:val="19"/>
          <w:u w:val="single" w:color="auto"/>
          <w:color w:val="auto"/>
        </w:rPr>
        <w:t>Section 5.12(b)(ii)(C)</w:t>
      </w:r>
      <w:r>
        <w:rPr>
          <w:rFonts w:ascii="Times New Roman" w:cs="Times New Roman" w:eastAsia="Times New Roman" w:hAnsi="Times New Roman"/>
          <w:sz w:val="19"/>
          <w:szCs w:val="19"/>
          <w:color w:val="auto"/>
        </w:rPr>
        <w:t xml:space="preserve"> and</w:t>
      </w:r>
    </w:p>
    <w:p>
      <w:pPr>
        <w:spacing w:after="0" w:line="201"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most recent external market value as determined pursuant to </w:t>
      </w:r>
      <w:r>
        <w:rPr>
          <w:rFonts w:ascii="Times New Roman" w:cs="Times New Roman" w:eastAsia="Times New Roman" w:hAnsi="Times New Roman"/>
          <w:sz w:val="19"/>
          <w:szCs w:val="19"/>
          <w:u w:val="single" w:color="auto"/>
          <w:color w:val="auto"/>
        </w:rPr>
        <w:t>Section 5.12(b)(ii)(A)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4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VI</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NEGATIVE COVENANTS</w:t>
      </w:r>
    </w:p>
    <w:p>
      <w:pPr>
        <w:spacing w:after="0" w:line="202"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spacing w:after="0" w:line="150"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6.01. </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Subject to the last sentence of this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the Borrower will not, nor will it permit any of the Subsidiary Guarantors to, create, incur, assume or permit to exist any Indebtedness, except:</w:t>
      </w:r>
    </w:p>
    <w:p>
      <w:pPr>
        <w:spacing w:after="0" w:line="127" w:lineRule="exact"/>
        <w:rPr>
          <w:sz w:val="20"/>
          <w:szCs w:val="20"/>
          <w:color w:val="auto"/>
        </w:rPr>
      </w:pPr>
    </w:p>
    <w:p>
      <w:pPr>
        <w:ind w:left="960" w:hanging="258"/>
        <w:spacing w:after="0"/>
        <w:tabs>
          <w:tab w:leader="none" w:pos="96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created hereunder or under any other Loan Document;</w:t>
      </w:r>
    </w:p>
    <w:p>
      <w:pPr>
        <w:spacing w:after="0" w:line="201" w:lineRule="exact"/>
        <w:rPr>
          <w:rFonts w:ascii="Times New Roman" w:cs="Times New Roman" w:eastAsia="Times New Roman" w:hAnsi="Times New Roman"/>
          <w:sz w:val="19"/>
          <w:szCs w:val="19"/>
          <w:color w:val="auto"/>
        </w:rPr>
      </w:pPr>
    </w:p>
    <w:p>
      <w:pPr>
        <w:ind w:firstLine="702"/>
        <w:spacing w:after="0" w:line="259" w:lineRule="auto"/>
        <w:tabs>
          <w:tab w:leader="none" w:pos="968"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(iii) prior to and immediately after giving effect to the incurrence of any Secured Longer-Term Indebtedness, the Covered Debt Amount does not or would not exceed the Borrowing Base then in effect;</w:t>
      </w:r>
    </w:p>
    <w:p>
      <w:pPr>
        <w:spacing w:after="0" w:line="153"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Permitted Indebtedness;</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of Indebtedness otherwise permitted hereunder;</w:t>
      </w:r>
    </w:p>
    <w:p>
      <w:pPr>
        <w:spacing w:after="0" w:line="201" w:lineRule="exact"/>
        <w:rPr>
          <w:rFonts w:ascii="Times New Roman" w:cs="Times New Roman" w:eastAsia="Times New Roman" w:hAnsi="Times New Roman"/>
          <w:sz w:val="19"/>
          <w:szCs w:val="19"/>
          <w:color w:val="auto"/>
        </w:rPr>
      </w:pPr>
    </w:p>
    <w:p>
      <w:pPr>
        <w:ind w:right="480" w:firstLine="702"/>
        <w:spacing w:after="0" w:line="286" w:lineRule="auto"/>
        <w:tabs>
          <w:tab w:leader="none" w:pos="957"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Obligor owing to any other Obligor or, if such Indebtedness is subject to subordination terms and conditions that are satisfactory to the Administrative Agent, any other Subsidiary of the Borrower;</w:t>
      </w:r>
    </w:p>
    <w:p>
      <w:pPr>
        <w:spacing w:after="0" w:line="127"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Financing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18" w:name="page219"/>
    <w:bookmarkEnd w:id="218"/>
    <w:p>
      <w:pPr>
        <w:spacing w:after="0" w:line="269" w:lineRule="exact"/>
        <w:rPr>
          <w:sz w:val="20"/>
          <w:szCs w:val="20"/>
          <w:color w:val="auto"/>
        </w:rPr>
      </w:pPr>
    </w:p>
    <w:p>
      <w:pPr>
        <w:ind w:left="278" w:hanging="278"/>
        <w:spacing w:after="0"/>
        <w:tabs>
          <w:tab w:leader="none" w:pos="27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arising in the ordinary course of business with respect to U.S. Government Securities;</w:t>
      </w:r>
    </w:p>
    <w:p>
      <w:pPr>
        <w:spacing w:after="0" w:line="201" w:lineRule="exact"/>
        <w:rPr>
          <w:rFonts w:ascii="Times New Roman" w:cs="Times New Roman" w:eastAsia="Times New Roman" w:hAnsi="Times New Roman"/>
          <w:sz w:val="19"/>
          <w:szCs w:val="19"/>
          <w:color w:val="auto"/>
        </w:rPr>
      </w:pPr>
    </w:p>
    <w:p>
      <w:pPr>
        <w:ind w:left="-702" w:right="560" w:firstLine="702"/>
        <w:spacing w:after="0" w:line="286" w:lineRule="auto"/>
        <w:tabs>
          <w:tab w:leader="none" w:pos="266"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payable to clearing agencies, brokers or dealers in connection with the purchase or sale of securities in the ordinary course of business;</w:t>
      </w:r>
    </w:p>
    <w:p>
      <w:pPr>
        <w:spacing w:after="0" w:line="127" w:lineRule="exact"/>
        <w:rPr>
          <w:rFonts w:ascii="Times New Roman" w:cs="Times New Roman" w:eastAsia="Times New Roman" w:hAnsi="Times New Roman"/>
          <w:sz w:val="19"/>
          <w:szCs w:val="19"/>
          <w:color w:val="auto"/>
        </w:rPr>
      </w:pPr>
    </w:p>
    <w:p>
      <w:pPr>
        <w:ind w:left="-702" w:right="160" w:firstLine="702"/>
        <w:spacing w:after="0" w:line="257" w:lineRule="auto"/>
        <w:tabs>
          <w:tab w:leader="none" w:pos="223"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(iv) prior to and immediately after giving effect to the incurrence of any such Indebtedness, the Covered Debt Amount does not or would not exceed the Borrowing Base then in effect;</w:t>
      </w:r>
    </w:p>
    <w:p>
      <w:pPr>
        <w:spacing w:after="0" w:line="156" w:lineRule="exact"/>
        <w:rPr>
          <w:rFonts w:ascii="Times New Roman" w:cs="Times New Roman" w:eastAsia="Times New Roman" w:hAnsi="Times New Roman"/>
          <w:sz w:val="19"/>
          <w:szCs w:val="19"/>
          <w:color w:val="auto"/>
        </w:rPr>
      </w:pPr>
    </w:p>
    <w:p>
      <w:pPr>
        <w:ind w:left="238" w:hanging="238"/>
        <w:spacing w:after="0"/>
        <w:tabs>
          <w:tab w:leader="none" w:pos="23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(including Guarantees) in respect of Standard Securitization Undertakings;</w:t>
      </w:r>
    </w:p>
    <w:p>
      <w:pPr>
        <w:spacing w:after="0" w:line="201" w:lineRule="exact"/>
        <w:rPr>
          <w:rFonts w:ascii="Times New Roman" w:cs="Times New Roman" w:eastAsia="Times New Roman" w:hAnsi="Times New Roman"/>
          <w:sz w:val="19"/>
          <w:szCs w:val="19"/>
          <w:color w:val="auto"/>
        </w:rPr>
      </w:pPr>
    </w:p>
    <w:p>
      <w:pPr>
        <w:ind w:left="278" w:hanging="278"/>
        <w:spacing w:after="0"/>
        <w:tabs>
          <w:tab w:leader="none" w:pos="27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SBIC Guarantees;</w:t>
      </w:r>
    </w:p>
    <w:p>
      <w:pPr>
        <w:spacing w:after="0" w:line="201" w:lineRule="exact"/>
        <w:rPr>
          <w:rFonts w:ascii="Times New Roman" w:cs="Times New Roman" w:eastAsia="Times New Roman" w:hAnsi="Times New Roman"/>
          <w:sz w:val="19"/>
          <w:szCs w:val="19"/>
          <w:color w:val="auto"/>
        </w:rPr>
      </w:pPr>
    </w:p>
    <w:p>
      <w:pPr>
        <w:ind w:left="238" w:hanging="238"/>
        <w:spacing w:after="0"/>
        <w:tabs>
          <w:tab w:leader="none" w:pos="23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pursuant to the 2024 Notes, the 2026 Notes, the 2028 Notes or the 2029 Notes;</w:t>
      </w:r>
    </w:p>
    <w:p>
      <w:pPr>
        <w:spacing w:after="0" w:line="201" w:lineRule="exact"/>
        <w:rPr>
          <w:rFonts w:ascii="Times New Roman" w:cs="Times New Roman" w:eastAsia="Times New Roman" w:hAnsi="Times New Roman"/>
          <w:sz w:val="19"/>
          <w:szCs w:val="19"/>
          <w:color w:val="auto"/>
        </w:rPr>
      </w:pPr>
    </w:p>
    <w:p>
      <w:pPr>
        <w:ind w:left="-702" w:firstLine="702"/>
        <w:spacing w:after="0" w:line="255" w:lineRule="auto"/>
        <w:tabs>
          <w:tab w:leader="none" w:pos="319"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$500,000,000,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does not exceed $1,000,000,000,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(v) prior to and immediately after giving effect to the incurrence of any such Indebtedness, the Covered Debt Amount does not or would not exceed the Borrowing Base then in effect;</w:t>
      </w:r>
    </w:p>
    <w:p>
      <w:pPr>
        <w:spacing w:after="0" w:line="159" w:lineRule="exact"/>
        <w:rPr>
          <w:rFonts w:ascii="Times New Roman" w:cs="Times New Roman" w:eastAsia="Times New Roman" w:hAnsi="Times New Roman"/>
          <w:sz w:val="19"/>
          <w:szCs w:val="19"/>
          <w:color w:val="auto"/>
        </w:rPr>
      </w:pPr>
    </w:p>
    <w:p>
      <w:pPr>
        <w:ind w:left="-702" w:right="20" w:firstLine="702"/>
        <w:spacing w:after="0" w:line="256" w:lineRule="auto"/>
        <w:tabs>
          <w:tab w:leader="none" w:pos="266"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Special Unsecured Indebtedness so long as (i) no Default exists at the time of the incurrence thereof, (ii) the aggregate amount (determined at the time of the incurrence of such Indebtedness) of such Indebtedness does not exceed $1,000,000,000, (iii) the aggregate amount (determined at the time of the incurrence of such Indebtedness) of such Indebtedness, taken together with then-outstanding Unsecured Shorter-Term Indebtedness incurred pursuant to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does not exceed $1,000,000,000,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and (v) prior to and immediately after giving effect to the incurrence of any such Indebtedness, the Covered Debt Amount does not or would not exceed the Borrowing Base then in effect; and</w:t>
      </w:r>
    </w:p>
    <w:p>
      <w:pPr>
        <w:spacing w:after="0" w:line="157" w:lineRule="exact"/>
        <w:rPr>
          <w:rFonts w:ascii="Times New Roman" w:cs="Times New Roman" w:eastAsia="Times New Roman" w:hAnsi="Times New Roman"/>
          <w:sz w:val="19"/>
          <w:szCs w:val="19"/>
          <w:color w:val="auto"/>
        </w:rPr>
      </w:pPr>
    </w:p>
    <w:p>
      <w:pPr>
        <w:ind w:left="278" w:hanging="278"/>
        <w:spacing w:after="0"/>
        <w:tabs>
          <w:tab w:leader="none" w:pos="27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not to exceed the greater of (i) $25,000,000 and (ii) 5% of Shareholders’ Equity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916305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78"/>
          </w:cols>
          <w:pgMar w:left="1362" w:top="1440" w:right="660" w:bottom="1440" w:gutter="0" w:footer="0" w:header="0"/>
        </w:sectPr>
      </w:pPr>
    </w:p>
    <w:bookmarkStart w:id="219" w:name="page220"/>
    <w:bookmarkEnd w:id="219"/>
    <w:p>
      <w:pPr>
        <w:spacing w:after="0" w:line="269" w:lineRule="exact"/>
        <w:rPr>
          <w:sz w:val="20"/>
          <w:szCs w:val="20"/>
          <w:color w:val="auto"/>
        </w:rPr>
      </w:pPr>
    </w:p>
    <w:p>
      <w:pPr>
        <w:ind w:right="14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6.02.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44" w:lineRule="exact"/>
        <w:rPr>
          <w:sz w:val="20"/>
          <w:szCs w:val="20"/>
          <w:color w:val="auto"/>
        </w:rPr>
      </w:pPr>
    </w:p>
    <w:p>
      <w:pPr>
        <w:ind w:right="20" w:firstLine="702"/>
        <w:spacing w:after="0" w:line="259" w:lineRule="auto"/>
        <w:tabs>
          <w:tab w:leader="none" w:pos="957"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property or asset of the Borrower existing on the Original Effective Date and set forth in </w:t>
      </w:r>
      <w:r>
        <w:rPr>
          <w:rFonts w:ascii="Times New Roman" w:cs="Times New Roman" w:eastAsia="Times New Roman" w:hAnsi="Times New Roman"/>
          <w:sz w:val="19"/>
          <w:szCs w:val="19"/>
          <w:u w:val="single" w:color="auto"/>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such Lien shall extend to any other property or asset of the Borrower or any of the Subsidiary Guarantors (other than proceeds thereof of accessions thereto), and (ii) any such Lien shall secure only those obligations which it secures on the Original Effective Date and extensions, renewals and replacements thereof that do not increase the outstanding principal amount thereof except to the extent not prohibited hereunder;</w:t>
      </w:r>
    </w:p>
    <w:p>
      <w:pPr>
        <w:spacing w:after="0" w:line="153" w:lineRule="exact"/>
        <w:rPr>
          <w:rFonts w:ascii="Times New Roman" w:cs="Times New Roman" w:eastAsia="Times New Roman" w:hAnsi="Times New Roman"/>
          <w:sz w:val="19"/>
          <w:szCs w:val="19"/>
          <w:color w:val="auto"/>
        </w:rPr>
      </w:pPr>
    </w:p>
    <w:p>
      <w:pPr>
        <w:ind w:right="400" w:firstLine="702"/>
        <w:spacing w:after="0" w:line="286" w:lineRule="auto"/>
        <w:tabs>
          <w:tab w:leader="none" w:pos="968"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created pursuant to this Agreement (including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or any of the Security Documents (including Liens in favor of the Designated Indebtedness Holders (as defined in the Guarantee and Security Agreement));</w:t>
      </w:r>
    </w:p>
    <w:p>
      <w:pPr>
        <w:spacing w:after="0" w:line="127"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assets of a Financing Subsidiary securing obligations of such Financing Subsidiary;</w:t>
      </w:r>
    </w:p>
    <w:p>
      <w:pPr>
        <w:spacing w:after="0" w:line="201" w:lineRule="exact"/>
        <w:rPr>
          <w:rFonts w:ascii="Times New Roman" w:cs="Times New Roman" w:eastAsia="Times New Roman" w:hAnsi="Times New Roman"/>
          <w:sz w:val="19"/>
          <w:szCs w:val="19"/>
          <w:color w:val="auto"/>
        </w:rPr>
      </w:pPr>
    </w:p>
    <w:p>
      <w:pPr>
        <w:ind w:right="520" w:firstLine="702"/>
        <w:spacing w:after="0" w:line="286" w:lineRule="auto"/>
        <w:tabs>
          <w:tab w:leader="none" w:pos="968"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19"/>
          <w:szCs w:val="19"/>
          <w:u w:val="single" w:color="auto"/>
          <w:color w:val="auto"/>
        </w:rPr>
        <w:t>Special Equity Interests</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Indebtedness or other obligations in an aggregate principal amount not exceeding the greater of (i)</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9"/>
          <w:szCs w:val="19"/>
          <w:color w:val="auto"/>
        </w:rPr>
        <w:t xml:space="preserve">$25,000,000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does not exceed the lesser of (i) the Borrowing Base and (ii) the amount required to comply with the provisions of </w:t>
      </w:r>
      <w:r>
        <w:rPr>
          <w:rFonts w:ascii="Times New Roman" w:cs="Times New Roman" w:eastAsia="Times New Roman" w:hAnsi="Times New Roman"/>
          <w:sz w:val="19"/>
          <w:szCs w:val="19"/>
          <w:u w:val="single" w:color="auto"/>
          <w:color w:val="auto"/>
        </w:rPr>
        <w:t>Sections 6.07(c)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940" w:hanging="238"/>
        <w:spacing w:after="0"/>
        <w:tabs>
          <w:tab w:leader="none" w:pos="9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Liens;</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Equity Interests in any SBIC Subsidiary created in favor of the SBA;</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firstLine="702"/>
        <w:spacing w:after="0" w:line="255" w:lineRule="auto"/>
        <w:tabs>
          <w:tab w:leader="none" w:pos="925"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(x) Liens securing Hedging Agreements permitted under </w:t>
      </w:r>
      <w:r>
        <w:rPr>
          <w:rFonts w:ascii="Times New Roman" w:cs="Times New Roman" w:eastAsia="Times New Roman" w:hAnsi="Times New Roman"/>
          <w:sz w:val="19"/>
          <w:szCs w:val="19"/>
          <w:u w:val="single" w:color="auto"/>
          <w:color w:val="auto"/>
        </w:rPr>
        <w:t>Section 6.04(c)</w:t>
      </w:r>
      <w:r>
        <w:rPr>
          <w:rFonts w:ascii="Times New Roman" w:cs="Times New Roman" w:eastAsia="Times New Roman" w:hAnsi="Times New Roman"/>
          <w:sz w:val="19"/>
          <w:szCs w:val="19"/>
          <w:color w:val="auto"/>
        </w:rPr>
        <w:t xml:space="preserve"> and not otherwise permitted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19"/>
          <w:szCs w:val="19"/>
          <w:u w:val="single" w:color="auto"/>
          <w:color w:val="auto"/>
        </w:rPr>
        <w:t>sub-clause (y)</w:t>
      </w:r>
      <w:r>
        <w:rPr>
          <w:rFonts w:ascii="Times New Roman" w:cs="Times New Roman" w:eastAsia="Times New Roman" w:hAnsi="Times New Roman"/>
          <w:sz w:val="19"/>
          <w:szCs w:val="19"/>
          <w:color w:val="auto"/>
        </w:rPr>
        <w:t xml:space="preserve"> even if such Lender has assigned all of its Loans and other interests in this Agreement and thus has ceased to be a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Obligor be permitted to create, incur or assume any Lien pursuant to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increase the aggregate amount of collateral securing any Liens previously permitted under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0" w:name="page221"/>
    <w:bookmarkEnd w:id="220"/>
    <w:p>
      <w:pPr>
        <w:spacing w:after="0" w:line="2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(j) Liens securing repurchase obligations arising in the ordinary course of business with respect to U.S. Government Securities.</w:t>
      </w:r>
    </w:p>
    <w:p>
      <w:pPr>
        <w:spacing w:after="0" w:line="202"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6.03. </w:t>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 day business activities of the Borrower and its Subsidiaries) and (y) subject to the provisions of clauses (d) and (e) below, Portfolio Investments.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Notwithstanding the foregoing provisions of this Section:</w:t>
      </w:r>
    </w:p>
    <w:p>
      <w:pPr>
        <w:spacing w:after="0" w:line="202" w:lineRule="exact"/>
        <w:rPr>
          <w:sz w:val="20"/>
          <w:szCs w:val="20"/>
          <w:color w:val="auto"/>
        </w:rPr>
      </w:pPr>
    </w:p>
    <w:p>
      <w:pPr>
        <w:jc w:val="both"/>
        <w:ind w:right="20" w:firstLine="702"/>
        <w:spacing w:after="0" w:line="268" w:lineRule="auto"/>
        <w:tabs>
          <w:tab w:leader="none" w:pos="957"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transaction shall be between a Subsidiary Guarantor and a wholly owned Subsidiary Guarantor, the wholly owned Subsidiary Guarantor shall be the continuing or surviving entity;</w:t>
      </w:r>
    </w:p>
    <w:p>
      <w:pPr>
        <w:spacing w:after="0" w:line="144" w:lineRule="exact"/>
        <w:rPr>
          <w:rFonts w:ascii="Times New Roman" w:cs="Times New Roman" w:eastAsia="Times New Roman" w:hAnsi="Times New Roman"/>
          <w:sz w:val="19"/>
          <w:szCs w:val="19"/>
          <w:color w:val="auto"/>
        </w:rPr>
      </w:pPr>
    </w:p>
    <w:p>
      <w:pPr>
        <w:jc w:val="both"/>
        <w:ind w:right="60" w:firstLine="702"/>
        <w:spacing w:after="0" w:line="268" w:lineRule="auto"/>
        <w:tabs>
          <w:tab w:leader="none" w:pos="96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spacing w:after="0" w:line="144" w:lineRule="exact"/>
        <w:rPr>
          <w:rFonts w:ascii="Times New Roman" w:cs="Times New Roman" w:eastAsia="Times New Roman" w:hAnsi="Times New Roman"/>
          <w:sz w:val="19"/>
          <w:szCs w:val="19"/>
          <w:color w:val="auto"/>
        </w:rPr>
      </w:pPr>
    </w:p>
    <w:p>
      <w:pPr>
        <w:ind w:right="220" w:firstLine="702"/>
        <w:spacing w:after="0" w:line="286" w:lineRule="auto"/>
        <w:tabs>
          <w:tab w:leader="none" w:pos="957"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stock of any Subsidiary of the Borrower may be sold, transferred (including a deemed transfer resulting from a division or plan of division) or otherwise disposed of to the Borrower or any wholly owned Subsidiary Guarantor of the Borrower;</w:t>
      </w:r>
    </w:p>
    <w:p>
      <w:pPr>
        <w:spacing w:after="0" w:line="127" w:lineRule="exact"/>
        <w:rPr>
          <w:rFonts w:ascii="Times New Roman" w:cs="Times New Roman" w:eastAsia="Times New Roman" w:hAnsi="Times New Roman"/>
          <w:sz w:val="19"/>
          <w:szCs w:val="19"/>
          <w:color w:val="auto"/>
        </w:rPr>
      </w:pPr>
    </w:p>
    <w:p>
      <w:pPr>
        <w:ind w:firstLine="702"/>
        <w:spacing w:after="0" w:line="259" w:lineRule="auto"/>
        <w:tabs>
          <w:tab w:leader="none" w:pos="96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Obligors may sell, transfer (including a deemed transfer resulting from a division or plan of division)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53" w:lineRule="exact"/>
        <w:rPr>
          <w:rFonts w:ascii="Times New Roman" w:cs="Times New Roman" w:eastAsia="Times New Roman" w:hAnsi="Times New Roman"/>
          <w:sz w:val="19"/>
          <w:szCs w:val="19"/>
          <w:color w:val="auto"/>
        </w:rPr>
      </w:pPr>
    </w:p>
    <w:p>
      <w:pPr>
        <w:ind w:right="540" w:firstLine="702"/>
        <w:spacing w:after="0" w:line="286" w:lineRule="auto"/>
        <w:tabs>
          <w:tab w:leader="none" w:pos="957"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Obligors may sell, transfer (including a deemed transfer resulting from a division or plan of division) or otherwise dispose of Portfolio Investments to a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1" w:name="page222"/>
    <w:bookmarkEnd w:id="221"/>
    <w:p>
      <w:pPr>
        <w:spacing w:after="0" w:line="26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9"/>
          <w:szCs w:val="19"/>
          <w:color w:val="auto"/>
        </w:rPr>
        <w:t>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57" w:lineRule="exact"/>
        <w:rPr>
          <w:sz w:val="20"/>
          <w:szCs w:val="20"/>
          <w:color w:val="auto"/>
        </w:rPr>
      </w:pPr>
    </w:p>
    <w:p>
      <w:pPr>
        <w:ind w:firstLine="702"/>
        <w:spacing w:after="0" w:line="268" w:lineRule="auto"/>
        <w:tabs>
          <w:tab w:leader="none" w:pos="93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w:t>
      </w:r>
    </w:p>
    <w:p>
      <w:pPr>
        <w:spacing w:after="0" w:line="144" w:lineRule="exact"/>
        <w:rPr>
          <w:rFonts w:ascii="Times New Roman" w:cs="Times New Roman" w:eastAsia="Times New Roman" w:hAnsi="Times New Roman"/>
          <w:sz w:val="19"/>
          <w:szCs w:val="19"/>
          <w:color w:val="auto"/>
        </w:rPr>
      </w:pPr>
    </w:p>
    <w:p>
      <w:pPr>
        <w:ind w:right="100" w:firstLine="702"/>
        <w:spacing w:after="0" w:line="268" w:lineRule="auto"/>
        <w:tabs>
          <w:tab w:leader="none" w:pos="96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 and</w:t>
      </w:r>
    </w:p>
    <w:p>
      <w:pPr>
        <w:spacing w:after="0" w:line="144" w:lineRule="exact"/>
        <w:rPr>
          <w:rFonts w:ascii="Times New Roman" w:cs="Times New Roman" w:eastAsia="Times New Roman" w:hAnsi="Times New Roman"/>
          <w:sz w:val="19"/>
          <w:szCs w:val="19"/>
          <w:color w:val="auto"/>
        </w:rPr>
      </w:pPr>
    </w:p>
    <w:p>
      <w:pPr>
        <w:ind w:right="40" w:firstLine="702"/>
        <w:spacing w:after="0" w:line="262" w:lineRule="auto"/>
        <w:tabs>
          <w:tab w:leader="none" w:pos="96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of the Subsidiary Guarantors may dissolve or liquidate (i) any Immaterial Subsidiary or (ii) any other Subsidiary so long as, with respect to this clause (ii), (A) in connection with such dissolution or liquidation, any and all of the assets of such Subsidiary shall be distributed or otherwise transferred to an Obligor and (B) such dissolution or liquidation is not materially adverse to the Lenders and the Borrower determines in good faith that such dissolution or liquidation is in its best interests.</w:t>
      </w:r>
    </w:p>
    <w:p>
      <w:pPr>
        <w:spacing w:after="0" w:line="150" w:lineRule="exact"/>
        <w:rPr>
          <w:sz w:val="20"/>
          <w:szCs w:val="20"/>
          <w:color w:val="auto"/>
        </w:rPr>
      </w:pPr>
    </w:p>
    <w:p>
      <w:pPr>
        <w:ind w:right="18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6.04. </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The Borrower will not, nor will it permit any of the Subsidiary Guarantors to, acquire, make or enter into, or hold, any Investments except:</w:t>
      </w:r>
    </w:p>
    <w:p>
      <w:pPr>
        <w:spacing w:after="0" w:line="127" w:lineRule="exact"/>
        <w:rPr>
          <w:sz w:val="20"/>
          <w:szCs w:val="20"/>
          <w:color w:val="auto"/>
        </w:rPr>
      </w:pPr>
    </w:p>
    <w:p>
      <w:pPr>
        <w:ind w:left="960" w:hanging="258"/>
        <w:spacing w:after="0"/>
        <w:tabs>
          <w:tab w:leader="none" w:pos="96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deposit accounts with banks;</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and the Subsidiary Guarantors in the Borrower and the Subsidiary Guarantors;</w:t>
      </w:r>
    </w:p>
    <w:p>
      <w:pPr>
        <w:spacing w:after="0" w:line="201"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Agreements entered into in the ordinary course of the Borrower’s financial planning and not for speculative</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purposes;</w:t>
      </w:r>
    </w:p>
    <w:p>
      <w:pPr>
        <w:spacing w:after="0" w:line="179" w:lineRule="exact"/>
        <w:rPr>
          <w:rFonts w:ascii="Times New Roman" w:cs="Times New Roman" w:eastAsia="Times New Roman" w:hAnsi="Times New Roman"/>
          <w:sz w:val="19"/>
          <w:szCs w:val="19"/>
          <w:color w:val="auto"/>
        </w:rPr>
      </w:pPr>
    </w:p>
    <w:p>
      <w:pPr>
        <w:ind w:right="160" w:firstLine="702"/>
        <w:spacing w:after="0" w:line="286" w:lineRule="auto"/>
        <w:tabs>
          <w:tab w:leader="none" w:pos="968"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27" w:lineRule="exact"/>
        <w:rPr>
          <w:rFonts w:ascii="Times New Roman" w:cs="Times New Roman" w:eastAsia="Times New Roman" w:hAnsi="Times New Roman"/>
          <w:sz w:val="19"/>
          <w:szCs w:val="19"/>
          <w:color w:val="auto"/>
        </w:rPr>
      </w:pPr>
    </w:p>
    <w:p>
      <w:pPr>
        <w:ind w:right="140" w:firstLine="702"/>
        <w:spacing w:after="0" w:line="262" w:lineRule="auto"/>
        <w:tabs>
          <w:tab w:leader="none" w:pos="957"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that occur after the Extended Commitment Termination Date and (y) all Investments under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below that occur after the Extended Commitment Termination Date, shall not exceed $10,000,000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2" w:name="page223"/>
    <w:bookmarkEnd w:id="222"/>
    <w:p>
      <w:pPr>
        <w:spacing w:after="0" w:line="269" w:lineRule="exact"/>
        <w:rPr>
          <w:sz w:val="20"/>
          <w:szCs w:val="20"/>
          <w:color w:val="auto"/>
        </w:rPr>
      </w:pPr>
    </w:p>
    <w:p>
      <w:pPr>
        <w:ind w:right="280" w:firstLine="702"/>
        <w:spacing w:after="0" w:line="268" w:lineRule="auto"/>
        <w:tabs>
          <w:tab w:leader="none" w:pos="93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Investments up to but not exceeding $15,000,000 in the aggregate;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sum of (x) all Investments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that occur after the Extended Commitment Termination Date and (y) all Investments under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above that occur after the Extended Commitment Termination Date, shall not exceed $10,000,000 in the aggregate;</w:t>
      </w:r>
    </w:p>
    <w:p>
      <w:pPr>
        <w:spacing w:after="0" w:line="144"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Cash and Cash Equivalents;</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described on </w:t>
      </w:r>
      <w:r>
        <w:rPr>
          <w:rFonts w:ascii="Times New Roman" w:cs="Times New Roman" w:eastAsia="Times New Roman" w:hAnsi="Times New Roman"/>
          <w:sz w:val="19"/>
          <w:szCs w:val="19"/>
          <w:u w:val="single" w:color="auto"/>
          <w:color w:val="auto"/>
        </w:rPr>
        <w:t>Schedule 3.12(b)</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a Financing Subsidiary; and</w:t>
      </w:r>
    </w:p>
    <w:p>
      <w:pPr>
        <w:spacing w:after="0" w:line="201"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the form of Guarantees permitted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 xml:space="preserve">For purposes of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dividends, distributions or other payments received in cash in respect of such Investment;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7"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6.05.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The Borrower will not, nor will it permit any of the Subsidiary Guarantors to, declare or make, or agree to pay or make, directly or indirectly, any Restricted Payment, except that the Borrower may declare and pay:</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 dividends with respect to the capital stock of the Borrower payable solely in additional shares of the Borrower’s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w:t>
      </w:r>
    </w:p>
    <w:p>
      <w:pPr>
        <w:spacing w:after="0" w:line="180" w:lineRule="exact"/>
        <w:rPr>
          <w:sz w:val="20"/>
          <w:szCs w:val="20"/>
          <w:color w:val="auto"/>
        </w:rPr>
      </w:pPr>
    </w:p>
    <w:p>
      <w:pPr>
        <w:ind w:right="120" w:firstLine="702"/>
        <w:spacing w:after="0" w:line="262" w:lineRule="auto"/>
        <w:tabs>
          <w:tab w:leader="none" w:pos="96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50" w:lineRule="exact"/>
        <w:rPr>
          <w:rFonts w:ascii="Times New Roman" w:cs="Times New Roman" w:eastAsia="Times New Roman" w:hAnsi="Times New Roman"/>
          <w:sz w:val="19"/>
          <w:szCs w:val="19"/>
          <w:color w:val="auto"/>
        </w:rPr>
      </w:pPr>
    </w:p>
    <w:p>
      <w:pPr>
        <w:ind w:right="40" w:firstLine="702"/>
        <w:spacing w:after="0" w:line="268" w:lineRule="auto"/>
        <w:tabs>
          <w:tab w:leader="none" w:pos="957"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so long as on the date of such Restricted Payment and after giving effect thereto:</w:t>
      </w:r>
    </w:p>
    <w:p>
      <w:pPr>
        <w:spacing w:after="0" w:line="144"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shall have occurred and be continuing or would result therefrom; and</w:t>
      </w:r>
    </w:p>
    <w:p>
      <w:pPr>
        <w:spacing w:after="0" w:line="201" w:lineRule="exact"/>
        <w:rPr>
          <w:rFonts w:ascii="Times New Roman" w:cs="Times New Roman" w:eastAsia="Times New Roman" w:hAnsi="Times New Roman"/>
          <w:sz w:val="19"/>
          <w:szCs w:val="19"/>
          <w:color w:val="auto"/>
        </w:rPr>
      </w:pPr>
    </w:p>
    <w:p>
      <w:pPr>
        <w:ind w:left="700" w:right="180" w:firstLine="746"/>
        <w:spacing w:after="0" w:line="268" w:lineRule="auto"/>
        <w:tabs>
          <w:tab w:leader="none" w:pos="1727"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19"/>
          <w:szCs w:val="19"/>
          <w:u w:val="single" w:color="auto"/>
          <w:color w:val="auto"/>
        </w:rPr>
        <w:t>subparagraphs (A)</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3" w:name="page224"/>
    <w:bookmarkEnd w:id="223"/>
    <w:p>
      <w:pPr>
        <w:spacing w:after="0" w:line="269" w:lineRule="exact"/>
        <w:rPr>
          <w:sz w:val="20"/>
          <w:szCs w:val="20"/>
          <w:color w:val="auto"/>
        </w:rPr>
      </w:pPr>
    </w:p>
    <w:p>
      <w:pPr>
        <w:ind w:left="700" w:right="60" w:firstLine="2"/>
        <w:spacing w:after="0" w:line="262" w:lineRule="auto"/>
        <w:tabs>
          <w:tab w:leader="none" w:pos="1000" w:val="left"/>
        </w:tabs>
        <w:numPr>
          <w:ilvl w:val="0"/>
          <w:numId w:val="16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thereof,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amount, if any, by which dividends and distributions made during such taxable year pursuant to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such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for such taxable year.</w:t>
      </w:r>
    </w:p>
    <w:p>
      <w:pPr>
        <w:spacing w:after="0" w:line="150" w:lineRule="exact"/>
        <w:rPr>
          <w:sz w:val="20"/>
          <w:szCs w:val="20"/>
          <w:color w:val="auto"/>
        </w:rPr>
      </w:pPr>
    </w:p>
    <w:p>
      <w:pPr>
        <w:ind w:right="220" w:firstLine="702"/>
        <w:spacing w:after="0" w:line="268" w:lineRule="auto"/>
        <w:tabs>
          <w:tab w:leader="none" w:pos="968"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44"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Nothing herein shall be deemed to prohibit the payment of Restricted Payments by any Subsidiary of the Borrower to the Borrower or to any other Subsidiary Guarantor.</w:t>
      </w:r>
    </w:p>
    <w:p>
      <w:pPr>
        <w:spacing w:after="0" w:line="12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6.06. </w:t>
      </w:r>
      <w:r>
        <w:rPr>
          <w:rFonts w:ascii="Times New Roman" w:cs="Times New Roman" w:eastAsia="Times New Roman" w:hAnsi="Times New Roman"/>
          <w:sz w:val="19"/>
          <w:szCs w:val="19"/>
          <w:u w:val="single" w:color="auto"/>
          <w:color w:val="auto"/>
        </w:rPr>
        <w:t>Certain Restrictions on Subsidiaries</w:t>
      </w:r>
      <w:r>
        <w:rPr>
          <w:rFonts w:ascii="Times New Roman" w:cs="Times New Roman" w:eastAsia="Times New Roman" w:hAnsi="Times New Roman"/>
          <w:sz w:val="19"/>
          <w:szCs w:val="19"/>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6.07. </w:t>
      </w:r>
      <w:r>
        <w:rPr>
          <w:rFonts w:ascii="Times New Roman" w:cs="Times New Roman" w:eastAsia="Times New Roman" w:hAnsi="Times New Roman"/>
          <w:sz w:val="19"/>
          <w:szCs w:val="19"/>
          <w:u w:val="single" w:color="auto"/>
          <w:color w:val="auto"/>
        </w:rPr>
        <w:t>Certain 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702"/>
        <w:spacing w:after="0" w:line="262" w:lineRule="auto"/>
        <w:tabs>
          <w:tab w:leader="none" w:pos="96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Shareholders’ Equity</w:t>
      </w:r>
      <w:r>
        <w:rPr>
          <w:rFonts w:ascii="Times New Roman" w:cs="Times New Roman" w:eastAsia="Times New Roman" w:hAnsi="Times New Roman"/>
          <w:sz w:val="19"/>
          <w:szCs w:val="19"/>
          <w:color w:val="auto"/>
        </w:rPr>
        <w:t>. The Borrower will not permit Shareholders’ Equity at the last day of any fiscal quarter of the Borrower to be less than $650,000,000 plus 25% of the net proceeds of the sale of Equity Interests by the Borrower and its Subsidiaries after the Fifteenth Amendment Effective Date (other than proceeds of sales of Equity Interests by and among the Borrower and its Subsidiaries).</w:t>
      </w:r>
    </w:p>
    <w:p>
      <w:pPr>
        <w:spacing w:after="0" w:line="150"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right="320" w:firstLine="702"/>
        <w:spacing w:after="0" w:line="286" w:lineRule="auto"/>
        <w:tabs>
          <w:tab w:leader="none" w:pos="96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Borrower Asset Coverage Ratio</w:t>
      </w:r>
      <w:r>
        <w:rPr>
          <w:rFonts w:ascii="Times New Roman" w:cs="Times New Roman" w:eastAsia="Times New Roman" w:hAnsi="Times New Roman"/>
          <w:sz w:val="19"/>
          <w:szCs w:val="19"/>
          <w:color w:val="auto"/>
        </w:rPr>
        <w:t>. The Borrower will not permit the Borrower Asset Coverage Ratio at the last day of any fiscal quarter of the Borrower to be less than 2.00 to 1 at any time.</w:t>
      </w:r>
    </w:p>
    <w:p>
      <w:pPr>
        <w:spacing w:after="0" w:line="127" w:lineRule="exact"/>
        <w:rPr>
          <w:rFonts w:ascii="Times New Roman" w:cs="Times New Roman" w:eastAsia="Times New Roman" w:hAnsi="Times New Roman"/>
          <w:sz w:val="19"/>
          <w:szCs w:val="19"/>
          <w:color w:val="auto"/>
        </w:rPr>
      </w:pPr>
    </w:p>
    <w:p>
      <w:pPr>
        <w:ind w:right="80" w:firstLine="702"/>
        <w:spacing w:after="0" w:line="286" w:lineRule="auto"/>
        <w:tabs>
          <w:tab w:leader="none" w:pos="972"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Asset Coverage Ratio</w:t>
      </w:r>
      <w:r>
        <w:rPr>
          <w:rFonts w:ascii="Times New Roman" w:cs="Times New Roman" w:eastAsia="Times New Roman" w:hAnsi="Times New Roman"/>
          <w:sz w:val="19"/>
          <w:szCs w:val="19"/>
          <w:color w:val="auto"/>
        </w:rPr>
        <w:t>. The Borrower will not permit the Consolidated Asset Coverage Ratio at the last day of any fiscal quarter of the Borrower to be less than 1.50 to 1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4" w:name="page225"/>
    <w:bookmarkEnd w:id="224"/>
    <w:p>
      <w:pPr>
        <w:spacing w:after="0" w:line="269"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6.08.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(d) the Affiliate Agreements and the transactions provided in the Affiliate Agreements, (e) transactions described on </w:t>
      </w:r>
      <w:r>
        <w:rPr>
          <w:rFonts w:ascii="Times New Roman" w:cs="Times New Roman" w:eastAsia="Times New Roman" w:hAnsi="Times New Roman"/>
          <w:sz w:val="19"/>
          <w:szCs w:val="19"/>
          <w:u w:val="single" w:color="auto"/>
          <w:color w:val="auto"/>
        </w:rPr>
        <w:t>Schedule 6.08</w:t>
      </w:r>
      <w:r>
        <w:rPr>
          <w:rFonts w:ascii="Times New Roman" w:cs="Times New Roman" w:eastAsia="Times New Roman" w:hAnsi="Times New Roman"/>
          <w:sz w:val="19"/>
          <w:szCs w:val="19"/>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392"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6.09. </w:t>
      </w:r>
      <w:r>
        <w:rPr>
          <w:rFonts w:ascii="Times New Roman" w:cs="Times New Roman" w:eastAsia="Times New Roman" w:hAnsi="Times New Roman"/>
          <w:sz w:val="19"/>
          <w:szCs w:val="19"/>
          <w:u w:val="single" w:color="auto"/>
          <w:color w:val="auto"/>
        </w:rPr>
        <w:t>Lines of Business</w:t>
      </w:r>
      <w:r>
        <w:rPr>
          <w:rFonts w:ascii="Times New Roman" w:cs="Times New Roman" w:eastAsia="Times New Roman" w:hAnsi="Times New Roman"/>
          <w:sz w:val="19"/>
          <w:szCs w:val="19"/>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44"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No Further Negative Pledge</w:t>
      </w:r>
      <w:r>
        <w:rPr>
          <w:rFonts w:ascii="Times New Roman" w:cs="Times New Roman" w:eastAsia="Times New Roman" w:hAnsi="Times New Roman"/>
          <w:sz w:val="19"/>
          <w:szCs w:val="19"/>
          <w:color w:val="auto"/>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19"/>
          <w:szCs w:val="19"/>
          <w:u w:val="single" w:color="auto"/>
          <w:color w:val="auto"/>
        </w:rPr>
        <w:t>Section 6.01(b),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(b) covenants in documents creating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63" w:lineRule="exact"/>
        <w:rPr>
          <w:sz w:val="20"/>
          <w:szCs w:val="20"/>
          <w:color w:val="auto"/>
        </w:rPr>
      </w:pPr>
    </w:p>
    <w:p>
      <w:pPr>
        <w:ind w:right="6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6.11. </w:t>
      </w:r>
      <w:r>
        <w:rPr>
          <w:rFonts w:ascii="Times New Roman" w:cs="Times New Roman" w:eastAsia="Times New Roman" w:hAnsi="Times New Roman"/>
          <w:sz w:val="19"/>
          <w:szCs w:val="19"/>
          <w:u w:val="single" w:color="auto"/>
          <w:color w:val="auto"/>
        </w:rPr>
        <w:t>Modifications of Longer-Term Indebtedness Documents</w:t>
      </w:r>
      <w:r>
        <w:rPr>
          <w:rFonts w:ascii="Times New Roman" w:cs="Times New Roman" w:eastAsia="Times New Roman" w:hAnsi="Times New Roman"/>
          <w:sz w:val="19"/>
          <w:szCs w:val="19"/>
          <w:color w:val="auto"/>
        </w:rPr>
        <w:t>. The Borrower will not consent to any modification, supplement or waiver of:</w:t>
      </w:r>
    </w:p>
    <w:p>
      <w:pPr>
        <w:spacing w:after="0" w:line="127" w:lineRule="exact"/>
        <w:rPr>
          <w:sz w:val="20"/>
          <w:szCs w:val="20"/>
          <w:color w:val="auto"/>
        </w:rPr>
      </w:pPr>
    </w:p>
    <w:p>
      <w:pPr>
        <w:ind w:right="100" w:firstLine="702"/>
        <w:spacing w:after="0" w:line="262" w:lineRule="auto"/>
        <w:tabs>
          <w:tab w:leader="none" w:pos="957"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Agreement, unless (i) in the case of Secured Longer-Term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5" w:name="page226"/>
    <w:bookmarkEnd w:id="225"/>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 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57" w:lineRule="exact"/>
        <w:rPr>
          <w:sz w:val="20"/>
          <w:szCs w:val="20"/>
          <w:color w:val="auto"/>
        </w:rPr>
      </w:pPr>
    </w:p>
    <w:p>
      <w:pPr>
        <w:ind w:right="460" w:firstLine="702"/>
        <w:spacing w:after="0" w:line="268" w:lineRule="auto"/>
        <w:tabs>
          <w:tab w:leader="none" w:pos="96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4"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6.12. </w:t>
      </w:r>
      <w:r>
        <w:rPr>
          <w:rFonts w:ascii="Times New Roman" w:cs="Times New Roman" w:eastAsia="Times New Roman" w:hAnsi="Times New Roman"/>
          <w:sz w:val="19"/>
          <w:szCs w:val="19"/>
          <w:u w:val="single" w:color="auto"/>
          <w:color w:val="auto"/>
        </w:rPr>
        <w:t>Payments of Longer- Term Indebtedness, the 2024 Notes, the 2026 Notes, the 2028 Notes and the 2029 Notes</w:t>
      </w:r>
      <w:r>
        <w:rPr>
          <w:rFonts w:ascii="Times New Roman" w:cs="Times New Roman" w:eastAsia="Times New Roman" w:hAnsi="Times New Roman"/>
          <w:sz w:val="19"/>
          <w:szCs w:val="19"/>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2024 Notes, the 2026 Notes, the 2028 Notes or the 2029 Notes (other than the refinancing of Secured Longer-Term Indebtedness, Unsecured Longer-Term Indebtedness, Special Unsecured Indebtedness, the 2024 Notes, the 2026 Notes, the 2028 Notes or the 2029 Notes with Indebtedness permitted under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except for</w:t>
      </w:r>
    </w:p>
    <w:p>
      <w:pPr>
        <w:spacing w:after="0" w:line="160" w:lineRule="exact"/>
        <w:rPr>
          <w:sz w:val="20"/>
          <w:szCs w:val="20"/>
          <w:color w:val="auto"/>
        </w:rPr>
      </w:pPr>
    </w:p>
    <w:p>
      <w:pPr>
        <w:ind w:right="60" w:firstLine="702"/>
        <w:spacing w:after="0" w:line="259" w:lineRule="auto"/>
        <w:tabs>
          <w:tab w:leader="none" w:pos="95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right="560" w:firstLine="702"/>
        <w:spacing w:after="0" w:line="286" w:lineRule="auto"/>
        <w:tabs>
          <w:tab w:leader="none" w:pos="96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shall exist or be continuing, any payment that, if treated as a Restricted Payment for purposes of </w:t>
      </w:r>
      <w:r>
        <w:rPr>
          <w:rFonts w:ascii="Times New Roman" w:cs="Times New Roman" w:eastAsia="Times New Roman" w:hAnsi="Times New Roman"/>
          <w:sz w:val="19"/>
          <w:szCs w:val="19"/>
          <w:u w:val="single" w:color="auto"/>
          <w:color w:val="auto"/>
        </w:rPr>
        <w:t>Section 6.05(d)</w:t>
      </w:r>
      <w:r>
        <w:rPr>
          <w:rFonts w:ascii="Times New Roman" w:cs="Times New Roman" w:eastAsia="Times New Roman" w:hAnsi="Times New Roman"/>
          <w:sz w:val="19"/>
          <w:szCs w:val="19"/>
          <w:color w:val="auto"/>
        </w:rPr>
        <w:t xml:space="preserve">, would be permitted to be made pursuant to the provisions set forth in </w:t>
      </w:r>
      <w:r>
        <w:rPr>
          <w:rFonts w:ascii="Times New Roman" w:cs="Times New Roman" w:eastAsia="Times New Roman" w:hAnsi="Times New Roman"/>
          <w:sz w:val="19"/>
          <w:szCs w:val="19"/>
          <w:u w:val="single" w:color="auto"/>
          <w:color w:val="auto"/>
        </w:rPr>
        <w:t>Section 6.05(d)</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right="80" w:firstLine="702"/>
        <w:spacing w:after="0" w:line="268" w:lineRule="auto"/>
        <w:tabs>
          <w:tab w:leader="none" w:pos="95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and (ii) no Default shall exist or be continuing;</w:t>
      </w:r>
    </w:p>
    <w:p>
      <w:pPr>
        <w:spacing w:after="0" w:line="144" w:lineRule="exact"/>
        <w:rPr>
          <w:rFonts w:ascii="Times New Roman" w:cs="Times New Roman" w:eastAsia="Times New Roman" w:hAnsi="Times New Roman"/>
          <w:sz w:val="19"/>
          <w:szCs w:val="19"/>
          <w:color w:val="auto"/>
        </w:rPr>
      </w:pPr>
    </w:p>
    <w:p>
      <w:pPr>
        <w:jc w:val="both"/>
        <w:ind w:firstLine="702"/>
        <w:spacing w:after="0" w:line="268" w:lineRule="auto"/>
        <w:tabs>
          <w:tab w:leader="none" w:pos="96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mandatory payments, required prepayments or mandatory redemptions of any other convertible notes constituting Unsecured Longer-Term Indebtedness or Special Unsecured Indebtedness in Cash (including any cash payment elected to be paid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6" w:name="page227"/>
    <w:bookmarkEnd w:id="226"/>
    <w:p>
      <w:pPr>
        <w:spacing w:after="0" w:line="2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settlement by the Borrower of any conversion at the option of any holder of convertible notes pursuant to the conversion features thereunder), the 2023 Notes, the 2024 Notes, the 2026 Notes, the 2028 Notes and the 2029 Notes so long as both before and after giving effect to such payment (i) no Event of Default shall exist or be continuing and (ii) the Covered Debt Amount does not exceed the Borrowing Base; and</w:t>
      </w:r>
    </w:p>
    <w:p>
      <w:pPr>
        <w:spacing w:after="0" w:line="150" w:lineRule="exact"/>
        <w:rPr>
          <w:sz w:val="20"/>
          <w:szCs w:val="20"/>
          <w:color w:val="auto"/>
        </w:rPr>
      </w:pPr>
    </w:p>
    <w:p>
      <w:pPr>
        <w:ind w:right="300" w:firstLine="702"/>
        <w:spacing w:after="0" w:line="268" w:lineRule="auto"/>
        <w:tabs>
          <w:tab w:leader="none" w:pos="957"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4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6.13. </w:t>
      </w:r>
      <w:r>
        <w:rPr>
          <w:rFonts w:ascii="Times New Roman" w:cs="Times New Roman" w:eastAsia="Times New Roman" w:hAnsi="Times New Roman"/>
          <w:sz w:val="19"/>
          <w:szCs w:val="19"/>
          <w:u w:val="single" w:color="auto"/>
          <w:color w:val="auto"/>
        </w:rPr>
        <w:t>Accounting Changes</w:t>
      </w:r>
      <w:r>
        <w:rPr>
          <w:rFonts w:ascii="Times New Roman" w:cs="Times New Roman" w:eastAsia="Times New Roman" w:hAnsi="Times New Roman"/>
          <w:sz w:val="19"/>
          <w:szCs w:val="19"/>
          <w:color w:val="auto"/>
        </w:rPr>
        <w:t>. The Borrower will not, nor will it permit any of its Subsidiaries to, make any change in</w:t>
      </w:r>
    </w:p>
    <w:p>
      <w:pPr>
        <w:spacing w:after="0" w:line="32" w:lineRule="exact"/>
        <w:rPr>
          <w:sz w:val="20"/>
          <w:szCs w:val="20"/>
          <w:color w:val="auto"/>
        </w:rPr>
      </w:pPr>
    </w:p>
    <w:p>
      <w:pPr>
        <w:ind w:right="900" w:firstLine="6"/>
        <w:spacing w:after="0" w:line="262" w:lineRule="auto"/>
        <w:tabs>
          <w:tab w:leader="none" w:pos="261"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accounting policies or reporting practices, except as permitted under GAAP or required by law or rule or regulation of any Governmental Authority, or (b) its fiscal year.</w:t>
      </w:r>
    </w:p>
    <w:p>
      <w:pPr>
        <w:spacing w:after="0" w:line="149" w:lineRule="exact"/>
        <w:rPr>
          <w:sz w:val="20"/>
          <w:szCs w:val="20"/>
          <w:color w:val="auto"/>
        </w:rPr>
      </w:pPr>
    </w:p>
    <w:p>
      <w:pPr>
        <w:ind w:right="480" w:firstLine="696"/>
        <w:spacing w:after="0" w:line="286" w:lineRule="auto"/>
        <w:rPr>
          <w:sz w:val="20"/>
          <w:szCs w:val="20"/>
          <w:color w:val="auto"/>
        </w:rPr>
      </w:pPr>
      <w:r>
        <w:rPr>
          <w:rFonts w:ascii="Times New Roman" w:cs="Times New Roman" w:eastAsia="Times New Roman" w:hAnsi="Times New Roman"/>
          <w:sz w:val="19"/>
          <w:szCs w:val="19"/>
          <w:color w:val="auto"/>
        </w:rPr>
        <w:t xml:space="preserve">SECTION 6.14. </w:t>
      </w:r>
      <w:r>
        <w:rPr>
          <w:rFonts w:ascii="Times New Roman" w:cs="Times New Roman" w:eastAsia="Times New Roman" w:hAnsi="Times New Roman"/>
          <w:sz w:val="19"/>
          <w:szCs w:val="19"/>
          <w:u w:val="single" w:color="auto"/>
          <w:color w:val="auto"/>
        </w:rPr>
        <w:t>SBIC Guarantee</w:t>
      </w:r>
      <w:r>
        <w:rPr>
          <w:rFonts w:ascii="Times New Roman" w:cs="Times New Roman" w:eastAsia="Times New Roman" w:hAnsi="Times New Roman"/>
          <w:sz w:val="19"/>
          <w:szCs w:val="19"/>
          <w:color w:val="auto"/>
        </w:rPr>
        <w:t>. The Borrower will not, nor will it permit any of its Subsidiaries to, cause or permit the occurrence of any event or condition that would result in any recourse to any Obligor under any Permitted SBIC Guarantee.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u w:val="single" w:color="auto"/>
          <w:color w:val="auto"/>
        </w:rPr>
        <w:t>EVENTS OF DEFAULT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If any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occur and be continuing:</w:t>
      </w:r>
    </w:p>
    <w:p>
      <w:pPr>
        <w:spacing w:after="0" w:line="202" w:lineRule="exact"/>
        <w:rPr>
          <w:sz w:val="20"/>
          <w:szCs w:val="20"/>
          <w:color w:val="auto"/>
        </w:rPr>
      </w:pPr>
    </w:p>
    <w:p>
      <w:pPr>
        <w:ind w:right="220" w:firstLine="702"/>
        <w:spacing w:after="0" w:line="262" w:lineRule="auto"/>
        <w:tabs>
          <w:tab w:leader="none" w:pos="957"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on the Extended Commitment Termination Date or as required by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on the date so required;</w:t>
      </w:r>
    </w:p>
    <w:p>
      <w:pPr>
        <w:spacing w:after="0" w:line="150" w:lineRule="exact"/>
        <w:rPr>
          <w:rFonts w:ascii="Times New Roman" w:cs="Times New Roman" w:eastAsia="Times New Roman" w:hAnsi="Times New Roman"/>
          <w:sz w:val="19"/>
          <w:szCs w:val="19"/>
          <w:color w:val="auto"/>
        </w:rPr>
      </w:pPr>
    </w:p>
    <w:p>
      <w:pPr>
        <w:ind w:right="60" w:firstLine="702"/>
        <w:spacing w:after="0" w:line="268" w:lineRule="auto"/>
        <w:tabs>
          <w:tab w:leader="none" w:pos="968"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this Article) payable under this Agreement or under any other Loan Document, when and as the same shall become due and payable, and such failure shall continue unremedied for a period of five (5) or more Business Days;</w:t>
      </w:r>
    </w:p>
    <w:p>
      <w:pPr>
        <w:spacing w:after="0" w:line="144" w:lineRule="exact"/>
        <w:rPr>
          <w:rFonts w:ascii="Times New Roman" w:cs="Times New Roman" w:eastAsia="Times New Roman" w:hAnsi="Times New Roman"/>
          <w:sz w:val="19"/>
          <w:szCs w:val="19"/>
          <w:color w:val="auto"/>
        </w:rPr>
      </w:pPr>
    </w:p>
    <w:p>
      <w:pPr>
        <w:ind w:firstLine="702"/>
        <w:spacing w:after="0" w:line="268" w:lineRule="auto"/>
        <w:tabs>
          <w:tab w:leader="none" w:pos="957"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7" w:name="page228"/>
    <w:bookmarkEnd w:id="227"/>
    <w:p>
      <w:pPr>
        <w:spacing w:after="0" w:line="2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pacing w:after="0" w:line="150" w:lineRule="exact"/>
        <w:rPr>
          <w:sz w:val="20"/>
          <w:szCs w:val="20"/>
          <w:color w:val="auto"/>
        </w:rPr>
      </w:pPr>
    </w:p>
    <w:p>
      <w:pPr>
        <w:ind w:right="80" w:firstLine="702"/>
        <w:spacing w:after="0" w:line="259" w:lineRule="auto"/>
        <w:tabs>
          <w:tab w:leader="none" w:pos="9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fail to observe or perform any covenant, condition or agreement contained in (i)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(with respect to the Borrower’s existence) or </w:t>
      </w:r>
      <w:r>
        <w:rPr>
          <w:rFonts w:ascii="Times New Roman" w:cs="Times New Roman" w:eastAsia="Times New Roman" w:hAnsi="Times New Roman"/>
          <w:sz w:val="19"/>
          <w:szCs w:val="19"/>
          <w:u w:val="single" w:color="auto"/>
          <w:color w:val="auto"/>
        </w:rPr>
        <w:t>Sections 5.08(a)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or any Obligor shall default in the performance of any of its obligations contained in Sections 3 and 7 of the Guarantee and Security Agreement or (ii) </w:t>
      </w:r>
      <w:r>
        <w:rPr>
          <w:rFonts w:ascii="Times New Roman" w:cs="Times New Roman" w:eastAsia="Times New Roman" w:hAnsi="Times New Roman"/>
          <w:sz w:val="19"/>
          <w:szCs w:val="19"/>
          <w:u w:val="single" w:color="auto"/>
          <w:color w:val="auto"/>
        </w:rPr>
        <w:t>Sections 5.01 (d)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xml:space="preserve"> and such failure shall continue unremedied for a period of five (5) or more days after notice thereof by the Administrative Agent (given at the request of any Lender) to the Borrower;</w:t>
      </w:r>
    </w:p>
    <w:p>
      <w:pPr>
        <w:spacing w:after="0" w:line="153" w:lineRule="exact"/>
        <w:rPr>
          <w:rFonts w:ascii="Times New Roman" w:cs="Times New Roman" w:eastAsia="Times New Roman" w:hAnsi="Times New Roman"/>
          <w:sz w:val="19"/>
          <w:szCs w:val="19"/>
          <w:color w:val="auto"/>
        </w:rPr>
      </w:pPr>
    </w:p>
    <w:p>
      <w:pPr>
        <w:ind w:right="80" w:firstLine="702"/>
        <w:spacing w:after="0" w:line="257" w:lineRule="auto"/>
        <w:tabs>
          <w:tab w:leader="none" w:pos="95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19"/>
          <w:szCs w:val="19"/>
          <w:u w:val="single" w:color="auto"/>
          <w:color w:val="auto"/>
        </w:rPr>
        <w:t>Section 5.01(e)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(5) Business Days permitted for delivery of such plan), so long as such Borrowing Base Deficiency is cured within such 30-Business Day period;</w:t>
      </w:r>
    </w:p>
    <w:p>
      <w:pPr>
        <w:spacing w:after="0" w:line="156" w:lineRule="exact"/>
        <w:rPr>
          <w:rFonts w:ascii="Times New Roman" w:cs="Times New Roman" w:eastAsia="Times New Roman" w:hAnsi="Times New Roman"/>
          <w:sz w:val="19"/>
          <w:szCs w:val="19"/>
          <w:color w:val="auto"/>
        </w:rPr>
      </w:pPr>
    </w:p>
    <w:p>
      <w:pPr>
        <w:ind w:right="40" w:firstLine="702"/>
        <w:spacing w:after="0" w:line="262" w:lineRule="auto"/>
        <w:tabs>
          <w:tab w:leader="none" w:pos="93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w:t>
      </w:r>
      <w:r>
        <w:rPr>
          <w:rFonts w:ascii="Times New Roman" w:cs="Times New Roman" w:eastAsia="Times New Roman" w:hAnsi="Times New Roman"/>
          <w:sz w:val="19"/>
          <w:szCs w:val="19"/>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50" w:lineRule="exact"/>
        <w:rPr>
          <w:rFonts w:ascii="Times New Roman" w:cs="Times New Roman" w:eastAsia="Times New Roman" w:hAnsi="Times New Roman"/>
          <w:sz w:val="19"/>
          <w:szCs w:val="19"/>
          <w:color w:val="auto"/>
        </w:rPr>
      </w:pPr>
    </w:p>
    <w:p>
      <w:pPr>
        <w:ind w:right="40" w:firstLine="702"/>
        <w:spacing w:after="0" w:line="268" w:lineRule="auto"/>
        <w:tabs>
          <w:tab w:leader="none" w:pos="9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4" w:lineRule="exact"/>
        <w:rPr>
          <w:rFonts w:ascii="Times New Roman" w:cs="Times New Roman" w:eastAsia="Times New Roman" w:hAnsi="Times New Roman"/>
          <w:sz w:val="19"/>
          <w:szCs w:val="19"/>
          <w:color w:val="auto"/>
        </w:rPr>
      </w:pPr>
    </w:p>
    <w:p>
      <w:pPr>
        <w:ind w:firstLine="702"/>
        <w:spacing w:after="0" w:line="255" w:lineRule="auto"/>
        <w:tabs>
          <w:tab w:leader="none" w:pos="968"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55" w:lineRule="exact"/>
        <w:rPr>
          <w:rFonts w:ascii="Times New Roman" w:cs="Times New Roman" w:eastAsia="Times New Roman" w:hAnsi="Times New Roman"/>
          <w:sz w:val="19"/>
          <w:szCs w:val="19"/>
          <w:color w:val="auto"/>
        </w:rPr>
      </w:pPr>
    </w:p>
    <w:p>
      <w:pPr>
        <w:ind w:right="40" w:firstLine="702"/>
        <w:spacing w:after="0" w:line="286" w:lineRule="auto"/>
        <w:tabs>
          <w:tab w:leader="none" w:pos="92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Borrower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8" w:name="page229"/>
    <w:bookmarkEnd w:id="228"/>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54" w:lineRule="exact"/>
        <w:rPr>
          <w:sz w:val="20"/>
          <w:szCs w:val="20"/>
          <w:color w:val="auto"/>
        </w:rPr>
      </w:pPr>
    </w:p>
    <w:p>
      <w:pPr>
        <w:ind w:firstLine="702"/>
        <w:spacing w:after="0" w:line="255" w:lineRule="auto"/>
        <w:tabs>
          <w:tab w:leader="none" w:pos="925"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391" w:lineRule="exact"/>
        <w:rPr>
          <w:rFonts w:ascii="Times New Roman" w:cs="Times New Roman" w:eastAsia="Times New Roman" w:hAnsi="Times New Roman"/>
          <w:sz w:val="19"/>
          <w:szCs w:val="19"/>
          <w:color w:val="auto"/>
        </w:rPr>
      </w:pPr>
    </w:p>
    <w:p>
      <w:pPr>
        <w:ind w:right="620" w:firstLine="702"/>
        <w:spacing w:after="0" w:line="286" w:lineRule="auto"/>
        <w:tabs>
          <w:tab w:leader="none" w:pos="968"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(other than Immaterial Subsidiaries) shall become unable, admit in writing its inability or fail generally to pay its debts as they become due;</w:t>
      </w:r>
    </w:p>
    <w:p>
      <w:pPr>
        <w:spacing w:after="0" w:line="127" w:lineRule="exact"/>
        <w:rPr>
          <w:rFonts w:ascii="Times New Roman" w:cs="Times New Roman" w:eastAsia="Times New Roman" w:hAnsi="Times New Roman"/>
          <w:sz w:val="19"/>
          <w:szCs w:val="19"/>
          <w:color w:val="auto"/>
        </w:rPr>
      </w:pPr>
    </w:p>
    <w:p>
      <w:pPr>
        <w:ind w:right="80" w:firstLine="702"/>
        <w:spacing w:after="0" w:line="259" w:lineRule="auto"/>
        <w:tabs>
          <w:tab w:leader="none" w:pos="925"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53" w:lineRule="exact"/>
        <w:rPr>
          <w:rFonts w:ascii="Times New Roman" w:cs="Times New Roman" w:eastAsia="Times New Roman" w:hAnsi="Times New Roman"/>
          <w:sz w:val="19"/>
          <w:szCs w:val="19"/>
          <w:color w:val="auto"/>
        </w:rPr>
      </w:pPr>
    </w:p>
    <w:p>
      <w:pPr>
        <w:ind w:right="600" w:firstLine="702"/>
        <w:spacing w:after="0" w:line="286" w:lineRule="auto"/>
        <w:tabs>
          <w:tab w:leader="none" w:pos="1021"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in the opinion of the Required Lenders, when taken together with all other ERISA Events that have occurred, would reasonably be expected to result in a Material Adverse Effect;</w:t>
      </w:r>
    </w:p>
    <w:p>
      <w:pPr>
        <w:spacing w:after="0" w:line="127"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Control shall occur;</w:t>
      </w:r>
    </w:p>
    <w:p>
      <w:pPr>
        <w:spacing w:after="0" w:line="20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cease to be managed by the External Manager or an Affiliate thereof;</w:t>
      </w:r>
    </w:p>
    <w:p>
      <w:pPr>
        <w:spacing w:after="0" w:line="201" w:lineRule="exact"/>
        <w:rPr>
          <w:rFonts w:ascii="Times New Roman" w:cs="Times New Roman" w:eastAsia="Times New Roman" w:hAnsi="Times New Roman"/>
          <w:sz w:val="19"/>
          <w:szCs w:val="19"/>
          <w:color w:val="auto"/>
        </w:rPr>
      </w:pPr>
    </w:p>
    <w:p>
      <w:pPr>
        <w:ind w:right="40" w:firstLine="702"/>
        <w:spacing w:after="0" w:line="259" w:lineRule="auto"/>
        <w:tabs>
          <w:tab w:leader="none" w:pos="968"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9" w:name="page230"/>
    <w:bookmarkEnd w:id="229"/>
    <w:p>
      <w:pPr>
        <w:spacing w:after="0" w:line="269" w:lineRule="exact"/>
        <w:rPr>
          <w:sz w:val="20"/>
          <w:szCs w:val="20"/>
          <w:color w:val="auto"/>
        </w:rPr>
      </w:pPr>
    </w:p>
    <w:p>
      <w:pPr>
        <w:ind w:right="60" w:firstLine="702"/>
        <w:spacing w:after="0" w:line="257" w:lineRule="auto"/>
        <w:tabs>
          <w:tab w:leader="none" w:pos="96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6" w:lineRule="exact"/>
        <w:rPr>
          <w:rFonts w:ascii="Times New Roman" w:cs="Times New Roman" w:eastAsia="Times New Roman" w:hAnsi="Times New Roman"/>
          <w:sz w:val="19"/>
          <w:szCs w:val="19"/>
          <w:color w:val="auto"/>
        </w:rPr>
      </w:pPr>
    </w:p>
    <w:p>
      <w:pPr>
        <w:ind w:right="220" w:firstLine="702"/>
        <w:spacing w:after="0" w:line="268" w:lineRule="auto"/>
        <w:tabs>
          <w:tab w:leader="none" w:pos="93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44" w:lineRule="exact"/>
        <w:rPr>
          <w:rFonts w:ascii="Times New Roman" w:cs="Times New Roman" w:eastAsia="Times New Roman" w:hAnsi="Times New Roman"/>
          <w:sz w:val="19"/>
          <w:szCs w:val="19"/>
          <w:color w:val="auto"/>
        </w:rPr>
      </w:pPr>
    </w:p>
    <w:p>
      <w:pPr>
        <w:ind w:right="300" w:firstLine="702"/>
        <w:spacing w:after="0" w:line="268" w:lineRule="auto"/>
        <w:tabs>
          <w:tab w:leader="none" w:pos="947"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44" w:lineRule="exact"/>
        <w:rPr>
          <w:rFonts w:ascii="Times New Roman" w:cs="Times New Roman" w:eastAsia="Times New Roman" w:hAnsi="Times New Roman"/>
          <w:sz w:val="19"/>
          <w:szCs w:val="19"/>
          <w:color w:val="auto"/>
        </w:rPr>
      </w:pPr>
    </w:p>
    <w:p>
      <w:pPr>
        <w:ind w:firstLine="702"/>
        <w:spacing w:after="0" w:line="286" w:lineRule="auto"/>
        <w:tabs>
          <w:tab w:leader="none" w:pos="92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of its Subsidiaries shall cause or permit the occurrence of any condition or event that would result in any recourse to any Obligor under any Permitted SBIC Guarantee;</w:t>
      </w:r>
    </w:p>
    <w:p>
      <w:pPr>
        <w:spacing w:after="0" w:line="1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65"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0" w:name="page231"/>
    <w:bookmarkEnd w:id="230"/>
    <w:p>
      <w:pPr>
        <w:spacing w:after="0" w:line="2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 xml:space="preserve">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this Article.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VIII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THE ADMINISTRATIVE AGENT</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8.01. </w:t>
      </w:r>
      <w:r>
        <w:rPr>
          <w:rFonts w:ascii="Times New Roman" w:cs="Times New Roman" w:eastAsia="Times New Roman" w:hAnsi="Times New Roman"/>
          <w:sz w:val="19"/>
          <w:szCs w:val="19"/>
          <w:u w:val="single" w:color="auto"/>
          <w:color w:val="auto"/>
        </w:rPr>
        <w:t>Appointment of the Administrative Agent</w:t>
      </w:r>
      <w:r>
        <w:rPr>
          <w:rFonts w:ascii="Times New Roman" w:cs="Times New Roman" w:eastAsia="Times New Roman" w:hAnsi="Times New Roman"/>
          <w:sz w:val="19"/>
          <w:szCs w:val="19"/>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spacing w:after="0" w:line="155" w:lineRule="exact"/>
        <w:rPr>
          <w:sz w:val="20"/>
          <w:szCs w:val="20"/>
          <w:color w:val="auto"/>
        </w:rPr>
      </w:pPr>
    </w:p>
    <w:p>
      <w:pPr>
        <w:ind w:right="4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8.02. </w:t>
      </w:r>
      <w:r>
        <w:rPr>
          <w:rFonts w:ascii="Times New Roman" w:cs="Times New Roman" w:eastAsia="Times New Roman" w:hAnsi="Times New Roman"/>
          <w:sz w:val="19"/>
          <w:szCs w:val="19"/>
          <w:u w:val="single" w:color="auto"/>
          <w:color w:val="auto"/>
        </w:rPr>
        <w:t>Capacity as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0"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8.03. </w:t>
      </w:r>
      <w:r>
        <w:rPr>
          <w:rFonts w:ascii="Times New Roman" w:cs="Times New Roman" w:eastAsia="Times New Roman" w:hAnsi="Times New Roman"/>
          <w:sz w:val="19"/>
          <w:szCs w:val="19"/>
          <w:u w:val="single" w:color="auto"/>
          <w:color w:val="auto"/>
        </w:rPr>
        <w:t>Limitation of Duties; Exculpation</w:t>
      </w:r>
      <w:r>
        <w:rPr>
          <w:rFonts w:ascii="Times New Roman" w:cs="Times New Roman" w:eastAsia="Times New Roman" w:hAnsi="Times New Roman"/>
          <w:sz w:val="19"/>
          <w:szCs w:val="19"/>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891540</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1" w:name="page232"/>
    <w:bookmarkEnd w:id="231"/>
    <w:p>
      <w:pPr>
        <w:spacing w:after="0" w:line="26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 xml:space="preserve">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or therein, other than to confirm receipt of items expressly required to be delivered to the Administrative Agent.</w:t>
      </w:r>
    </w:p>
    <w:p>
      <w:pPr>
        <w:spacing w:after="0" w:line="154"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 xml:space="preserve">SECTION 8.04. </w:t>
      </w:r>
      <w:r>
        <w:rPr>
          <w:rFonts w:ascii="Times New Roman" w:cs="Times New Roman" w:eastAsia="Times New Roman" w:hAnsi="Times New Roman"/>
          <w:sz w:val="19"/>
          <w:szCs w:val="19"/>
          <w:u w:val="single" w:color="auto"/>
          <w:color w:val="auto"/>
        </w:rPr>
        <w:t>Reliance</w:t>
      </w:r>
      <w:r>
        <w:rPr>
          <w:rFonts w:ascii="Times New Roman" w:cs="Times New Roman" w:eastAsia="Times New Roman" w:hAnsi="Times New Roman"/>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8.05. </w:t>
      </w:r>
      <w:r>
        <w:rPr>
          <w:rFonts w:ascii="Times New Roman" w:cs="Times New Roman" w:eastAsia="Times New Roman" w:hAnsi="Times New Roman"/>
          <w:sz w:val="19"/>
          <w:szCs w:val="19"/>
          <w:u w:val="single" w:color="auto"/>
          <w:color w:val="auto"/>
        </w:rPr>
        <w:t>Sub -Agents</w:t>
      </w:r>
      <w:r>
        <w:rPr>
          <w:rFonts w:ascii="Times New Roman" w:cs="Times New Roman" w:eastAsia="Times New Roman" w:hAnsi="Times New Roman"/>
          <w:sz w:val="19"/>
          <w:szCs w:val="19"/>
          <w:color w:val="auto"/>
        </w:rPr>
        <w:t xml:space="preserve"> . The Administrative Agent may perform any and all of its duties and exercise its rights and powers by or through any one or more sub- 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spacing w:after="0" w:line="160"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8.06. </w:t>
      </w:r>
      <w:r>
        <w:rPr>
          <w:rFonts w:ascii="Times New Roman" w:cs="Times New Roman" w:eastAsia="Times New Roman" w:hAnsi="Times New Roman"/>
          <w:sz w:val="19"/>
          <w:szCs w:val="19"/>
          <w:u w:val="single" w:color="auto"/>
          <w:color w:val="auto"/>
        </w:rPr>
        <w:t>Resignation; Successor Administrative Agent</w:t>
      </w:r>
      <w:r>
        <w:rPr>
          <w:rFonts w:ascii="Times New Roman" w:cs="Times New Roman" w:eastAsia="Times New Roman" w:hAnsi="Times New Roman"/>
          <w:sz w:val="19"/>
          <w:szCs w:val="19"/>
          <w:color w:val="auto"/>
        </w:rPr>
        <w:t>.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893445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2" w:name="page233"/>
    <w:bookmarkEnd w:id="232"/>
    <w:p>
      <w:pPr>
        <w:spacing w:after="0" w:line="2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acting as Administrative Agent.</w:t>
      </w:r>
    </w:p>
    <w:p>
      <w:pPr>
        <w:spacing w:after="0" w:line="157"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9"/>
          <w:szCs w:val="19"/>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7"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8.07. </w:t>
      </w:r>
      <w:r>
        <w:rPr>
          <w:rFonts w:ascii="Times New Roman" w:cs="Times New Roman" w:eastAsia="Times New Roman" w:hAnsi="Times New Roman"/>
          <w:sz w:val="19"/>
          <w:szCs w:val="19"/>
          <w:u w:val="single" w:color="auto"/>
          <w:color w:val="auto"/>
        </w:rPr>
        <w:t>Reliance by Lenders</w:t>
      </w:r>
      <w:r>
        <w:rPr>
          <w:rFonts w:ascii="Times New Roman" w:cs="Times New Roman" w:eastAsia="Times New Roman" w:hAnsi="Times New Roman"/>
          <w:sz w:val="19"/>
          <w:szCs w:val="19"/>
          <w:color w:val="auto"/>
        </w:rPr>
        <w:t>. Each Lender acknowledges that it has, independently and without reliance 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60" w:lineRule="exact"/>
        <w:rPr>
          <w:sz w:val="20"/>
          <w:szCs w:val="20"/>
          <w:color w:val="auto"/>
        </w:rPr>
      </w:pPr>
    </w:p>
    <w:p>
      <w:pPr>
        <w:ind w:firstLine="696"/>
        <w:spacing w:after="0" w:line="268" w:lineRule="auto"/>
        <w:rPr>
          <w:sz w:val="20"/>
          <w:szCs w:val="20"/>
          <w:color w:val="auto"/>
        </w:rPr>
      </w:pPr>
      <w:r>
        <w:rPr>
          <w:rFonts w:ascii="Times New Roman" w:cs="Times New Roman" w:eastAsia="Times New Roman" w:hAnsi="Times New Roman"/>
          <w:sz w:val="19"/>
          <w:szCs w:val="19"/>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4" w:lineRule="exact"/>
        <w:rPr>
          <w:sz w:val="20"/>
          <w:szCs w:val="20"/>
          <w:color w:val="auto"/>
        </w:rPr>
      </w:pPr>
    </w:p>
    <w:p>
      <w:pPr>
        <w:jc w:val="both"/>
        <w:ind w:right="18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8.08. </w:t>
      </w:r>
      <w:r>
        <w:rPr>
          <w:rFonts w:ascii="Times New Roman" w:cs="Times New Roman" w:eastAsia="Times New Roman" w:hAnsi="Times New Roman"/>
          <w:sz w:val="19"/>
          <w:szCs w:val="19"/>
          <w:u w:val="single" w:color="auto"/>
          <w:color w:val="auto"/>
        </w:rPr>
        <w:t>Modifications to Loan Documents</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the prior consent of each Lender,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3" w:name="page234"/>
    <w:bookmarkEnd w:id="233"/>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w:t>
      </w:r>
    </w:p>
    <w:p>
      <w:pPr>
        <w:spacing w:after="0" w:line="3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8.09. </w:t>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3" w:lineRule="auto"/>
        <w:tabs>
          <w:tab w:leader="none" w:pos="957"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an Issuing Bank or any Person who has received funds on behalf of a Lender or an Issuing Bank (any such Lender, Issuing Bank or other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889000</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4" w:name="page235"/>
    <w:bookmarkEnd w:id="234"/>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 xml:space="preserve">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conclusive, absent manifest error.</w:t>
      </w:r>
    </w:p>
    <w:p>
      <w:pPr>
        <w:spacing w:after="0" w:line="127" w:lineRule="exact"/>
        <w:rPr>
          <w:sz w:val="20"/>
          <w:szCs w:val="20"/>
          <w:color w:val="auto"/>
        </w:rPr>
      </w:pPr>
    </w:p>
    <w:p>
      <w:pPr>
        <w:ind w:firstLine="702"/>
        <w:spacing w:after="0" w:line="255" w:lineRule="auto"/>
        <w:tabs>
          <w:tab w:leader="none" w:pos="96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spacing w:after="0" w:line="159" w:lineRule="exact"/>
        <w:rPr>
          <w:rFonts w:ascii="Times New Roman" w:cs="Times New Roman" w:eastAsia="Times New Roman" w:hAnsi="Times New Roman"/>
          <w:sz w:val="19"/>
          <w:szCs w:val="19"/>
          <w:color w:val="auto"/>
        </w:rPr>
      </w:pPr>
    </w:p>
    <w:p>
      <w:pPr>
        <w:jc w:val="both"/>
        <w:ind w:left="700" w:right="40" w:firstLine="746"/>
        <w:spacing w:after="0" w:line="268" w:lineRule="auto"/>
        <w:tabs>
          <w:tab w:leader="none" w:pos="1673"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 the case of immediately preceding </w:t>
      </w:r>
      <w:r>
        <w:rPr>
          <w:rFonts w:ascii="Times New Roman" w:cs="Times New Roman" w:eastAsia="Times New Roman" w:hAnsi="Times New Roman"/>
          <w:sz w:val="19"/>
          <w:szCs w:val="19"/>
          <w:u w:val="single" w:color="auto"/>
          <w:color w:val="auto"/>
        </w:rPr>
        <w:t>clauses (x)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9"/>
          <w:szCs w:val="19"/>
          <w:u w:val="single" w:color="auto"/>
          <w:color w:val="auto"/>
        </w:rPr>
        <w:t>clause (z)</w:t>
      </w:r>
      <w:r>
        <w:rPr>
          <w:rFonts w:ascii="Times New Roman" w:cs="Times New Roman" w:eastAsia="Times New Roman" w:hAnsi="Times New Roman"/>
          <w:sz w:val="19"/>
          <w:szCs w:val="19"/>
          <w:color w:val="auto"/>
        </w:rPr>
        <w:t>), in each case, with respect to such payment, prepayment or repayment; and</w:t>
      </w:r>
    </w:p>
    <w:p>
      <w:pPr>
        <w:spacing w:after="0" w:line="144" w:lineRule="exact"/>
        <w:rPr>
          <w:rFonts w:ascii="Times New Roman" w:cs="Times New Roman" w:eastAsia="Times New Roman" w:hAnsi="Times New Roman"/>
          <w:sz w:val="19"/>
          <w:szCs w:val="19"/>
          <w:color w:val="auto"/>
        </w:rPr>
      </w:pPr>
    </w:p>
    <w:p>
      <w:pPr>
        <w:jc w:val="both"/>
        <w:ind w:left="700" w:firstLine="746"/>
        <w:spacing w:after="0" w:line="262" w:lineRule="auto"/>
        <w:tabs>
          <w:tab w:leader="none" w:pos="1727"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9"/>
          <w:szCs w:val="19"/>
          <w:u w:val="single" w:color="auto"/>
          <w:color w:val="auto"/>
        </w:rPr>
        <w:t>Section 8.09(b)</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right="80" w:firstLine="702"/>
        <w:spacing w:after="0" w:line="262" w:lineRule="auto"/>
        <w:tabs>
          <w:tab w:leader="none" w:pos="957"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firstLine="702"/>
        <w:spacing w:after="0" w:line="254" w:lineRule="auto"/>
        <w:tabs>
          <w:tab w:leader="none" w:pos="96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235" w:name="page236"/>
    <w:bookmarkEnd w:id="235"/>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cs="Times New Roman" w:eastAsia="Times New Roman" w:hAnsi="Times New Roman"/>
          <w:sz w:val="19"/>
          <w:szCs w:val="19"/>
          <w:u w:val="single" w:color="auto"/>
          <w:color w:val="auto"/>
        </w:rPr>
        <w:t>Section 9.04(b)</w:t>
      </w:r>
      <w:r>
        <w:rPr>
          <w:rFonts w:ascii="Times New Roman" w:cs="Times New Roman" w:eastAsia="Times New Roman" w:hAnsi="Times New Roman"/>
          <w:sz w:val="19"/>
          <w:szCs w:val="19"/>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60" w:firstLine="702"/>
        <w:spacing w:after="0" w:line="255" w:lineRule="auto"/>
        <w:tabs>
          <w:tab w:leader="none" w:pos="957"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hereto agree that an Erroneous Payment shall not pay, prepay, repay, discharge or otherwise satisfy any Revolving Credit Exposure or other obligations owed by the Borrower or any other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8.09(e)</w:t>
      </w:r>
      <w:r>
        <w:rPr>
          <w:rFonts w:ascii="Times New Roman" w:cs="Times New Roman" w:eastAsia="Times New Roman" w:hAnsi="Times New Roman"/>
          <w:sz w:val="19"/>
          <w:szCs w:val="19"/>
          <w:color w:val="auto"/>
        </w:rPr>
        <w:t xml:space="preserv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59" w:lineRule="exact"/>
        <w:rPr>
          <w:rFonts w:ascii="Times New Roman" w:cs="Times New Roman" w:eastAsia="Times New Roman" w:hAnsi="Times New Roman"/>
          <w:sz w:val="19"/>
          <w:szCs w:val="19"/>
          <w:color w:val="auto"/>
        </w:rPr>
      </w:pPr>
    </w:p>
    <w:p>
      <w:pPr>
        <w:ind w:right="300" w:firstLine="702"/>
        <w:spacing w:after="0" w:line="268" w:lineRule="auto"/>
        <w:tabs>
          <w:tab w:leader="none" w:pos="93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6" w:name="page237"/>
    <w:bookmarkEnd w:id="23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without limitation waiver of any defense based on “discharge for value” or any similar doctrine.</w:t>
      </w:r>
    </w:p>
    <w:p>
      <w:pPr>
        <w:spacing w:after="0" w:line="202" w:lineRule="exact"/>
        <w:rPr>
          <w:sz w:val="20"/>
          <w:szCs w:val="20"/>
          <w:color w:val="auto"/>
        </w:rPr>
      </w:pPr>
    </w:p>
    <w:p>
      <w:pPr>
        <w:ind w:right="60" w:firstLine="702"/>
        <w:spacing w:after="0" w:line="268" w:lineRule="auto"/>
        <w:tabs>
          <w:tab w:leader="none" w:pos="968"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agreements and waivers under this </w:t>
      </w:r>
      <w:r>
        <w:rPr>
          <w:rFonts w:ascii="Times New Roman" w:cs="Times New Roman" w:eastAsia="Times New Roman" w:hAnsi="Times New Roman"/>
          <w:sz w:val="19"/>
          <w:szCs w:val="19"/>
          <w:u w:val="single" w:color="auto"/>
          <w:color w:val="auto"/>
        </w:rPr>
        <w:t>Section 8.09</w:t>
      </w:r>
      <w:r>
        <w:rPr>
          <w:rFonts w:ascii="Times New Roman" w:cs="Times New Roman" w:eastAsia="Times New Roman" w:hAnsi="Times New Roman"/>
          <w:sz w:val="19"/>
          <w:szCs w:val="19"/>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IX</w:t>
      </w: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9.01. </w:t>
      </w:r>
      <w:r>
        <w:rPr>
          <w:rFonts w:ascii="Times New Roman" w:cs="Times New Roman" w:eastAsia="Times New Roman" w:hAnsi="Times New Roman"/>
          <w:sz w:val="19"/>
          <w:szCs w:val="19"/>
          <w:u w:val="single" w:color="auto"/>
          <w:color w:val="auto"/>
        </w:rPr>
        <w:t>Notices; Electronic Communications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702"/>
        <w:spacing w:after="0" w:line="268" w:lineRule="auto"/>
        <w:tabs>
          <w:tab w:leader="none" w:pos="9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pacing w:after="0" w:line="144"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Borrower,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Sixth Street Specialty Lending, Inc.</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888 Seventh Avenue, 41st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New York, New York 10019</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Ian Simmonds</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Telephone:</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(ii) if to the Administrative Agent or Truist, in its capacity as a Swingline Lender,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3333 Peachtree Road, 8th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Georgia 30326</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Hays Wood</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902335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7" w:name="page238"/>
    <w:bookmarkEnd w:id="237"/>
    <w:p>
      <w:pPr>
        <w:spacing w:after="0" w:line="2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(iii) if to Truist, in its capacity as Issuing Bank,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820" w:right="1560" w:hanging="1374"/>
        <w:spacing w:after="0" w:line="461" w:lineRule="auto"/>
        <w:tabs>
          <w:tab w:leader="none" w:pos="1777"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JPMorgan Chase Bank, N.A., in its capacity as a Swingline Lender and an Issuing Bank: JPMorgan Chase Bank, N.A.</w:t>
      </w:r>
    </w:p>
    <w:p>
      <w:pPr>
        <w:ind w:left="2820" w:right="3200"/>
        <w:spacing w:after="0" w:line="4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Ground floor, 1st to 6th floors, Platina 3, Kodbis, Floor 03 Bengaluru, 560 103, India</w:t>
      </w:r>
    </w:p>
    <w:p>
      <w:pPr>
        <w:ind w:left="2820" w:right="5680"/>
        <w:spacing w:after="0" w:line="49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Sneha Machani Telecopy Number:</w:t>
      </w:r>
    </w:p>
    <w:p>
      <w:pPr>
        <w:spacing w:after="0" w:line="355" w:lineRule="exact"/>
        <w:rPr>
          <w:rFonts w:ascii="Times New Roman" w:cs="Times New Roman" w:eastAsia="Times New Roman" w:hAnsi="Times New Roman"/>
          <w:sz w:val="19"/>
          <w:szCs w:val="19"/>
          <w:color w:val="auto"/>
        </w:rPr>
      </w:pPr>
    </w:p>
    <w:p>
      <w:pPr>
        <w:ind w:left="1720" w:hanging="274"/>
        <w:spacing w:after="0"/>
        <w:tabs>
          <w:tab w:leader="none" w:pos="172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it at its address (or telecopy number) set forth in its Administrative Questionnaire.</w:t>
      </w:r>
    </w:p>
    <w:p>
      <w:pPr>
        <w:spacing w:after="0" w:line="202"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below, shall be effective as provided in said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firstLine="702"/>
        <w:spacing w:after="0" w:line="256" w:lineRule="auto"/>
        <w:tabs>
          <w:tab w:leader="none" w:pos="972"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or any Issuing Bank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57" w:lineRule="exact"/>
        <w:rPr>
          <w:rFonts w:ascii="Times New Roman" w:cs="Times New Roman" w:eastAsia="Times New Roman" w:hAnsi="Times New Roman"/>
          <w:sz w:val="19"/>
          <w:szCs w:val="19"/>
          <w:color w:val="auto"/>
        </w:rPr>
      </w:pPr>
    </w:p>
    <w:p>
      <w:pPr>
        <w:jc w:val="both"/>
        <w:ind w:left="700" w:right="40" w:firstLine="746"/>
        <w:spacing w:after="0" w:line="268" w:lineRule="auto"/>
        <w:tabs>
          <w:tab w:leader="none" w:pos="1673"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and other communications sent to an e-mail address shall be deemed received upon the sender’s receipt of an acknowledgement from the intended recipient (such as by the “return receipt requested” function, as available, return e-mail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38" w:name="page239"/>
    <w:bookmarkEnd w:id="238"/>
    <w:p>
      <w:pPr>
        <w:spacing w:after="0" w:line="269" w:lineRule="exact"/>
        <w:rPr>
          <w:sz w:val="20"/>
          <w:szCs w:val="20"/>
          <w:color w:val="auto"/>
        </w:rPr>
      </w:pPr>
    </w:p>
    <w:p>
      <w:pPr>
        <w:ind w:left="700" w:right="100"/>
        <w:spacing w:after="0" w:line="259" w:lineRule="auto"/>
        <w:rPr>
          <w:sz w:val="20"/>
          <w:szCs w:val="20"/>
          <w:color w:val="auto"/>
        </w:rPr>
      </w:pPr>
      <w:r>
        <w:rPr>
          <w:rFonts w:ascii="Times New Roman" w:cs="Times New Roman" w:eastAsia="Times New Roman" w:hAnsi="Times New Roman"/>
          <w:sz w:val="19"/>
          <w:szCs w:val="19"/>
          <w:color w:val="auto"/>
        </w:rPr>
        <w:t xml:space="preserve">other written acknowledgement);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w:t>
      </w:r>
    </w:p>
    <w:p>
      <w:pPr>
        <w:spacing w:after="0" w:line="15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60" w:lineRule="exact"/>
        <w:rPr>
          <w:sz w:val="20"/>
          <w:szCs w:val="20"/>
          <w:color w:val="auto"/>
        </w:rPr>
      </w:pPr>
    </w:p>
    <w:p>
      <w:pPr>
        <w:ind w:right="20" w:firstLine="702"/>
        <w:spacing w:after="0" w:line="254" w:lineRule="auto"/>
        <w:tabs>
          <w:tab w:leader="none" w:pos="96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Side Information Contacts</w:t>
      </w:r>
      <w:r>
        <w:rPr>
          <w:rFonts w:ascii="Times New Roman" w:cs="Times New Roman" w:eastAsia="Times New Roman" w:hAnsi="Times New Roman"/>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0" w:lineRule="exact"/>
        <w:rPr>
          <w:rFonts w:ascii="Times New Roman" w:cs="Times New Roman" w:eastAsia="Times New Roman" w:hAnsi="Times New Roman"/>
          <w:sz w:val="19"/>
          <w:szCs w:val="19"/>
          <w:color w:val="auto"/>
        </w:rPr>
      </w:pPr>
    </w:p>
    <w:p>
      <w:pPr>
        <w:ind w:right="40" w:firstLine="702"/>
        <w:spacing w:after="0" w:line="257" w:lineRule="auto"/>
        <w:tabs>
          <w:tab w:leader="none" w:pos="97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Documents to be Delivered under Sections 5.01 and 5.12(a)</w:t>
      </w:r>
      <w:r>
        <w:rPr>
          <w:rFonts w:ascii="Times New Roman" w:cs="Times New Roman" w:eastAsia="Times New Roman" w:hAnsi="Times New Roman"/>
          <w:sz w:val="19"/>
          <w:szCs w:val="19"/>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19"/>
          <w:szCs w:val="19"/>
          <w:u w:val="single" w:color="auto"/>
          <w:color w:val="auto"/>
        </w:rPr>
        <w:t>Sections 5.01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5.12(a)</w:t>
      </w:r>
      <w:r>
        <w:rPr>
          <w:rFonts w:ascii="Times New Roman" w:cs="Times New Roman" w:eastAsia="Times New Roman" w:hAnsi="Times New Roman"/>
          <w:sz w:val="19"/>
          <w:szCs w:val="19"/>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have no responsibility to maintain access to Intralinks™ or an equivalent website.</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9.02. </w:t>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239" w:name="page240"/>
    <w:bookmarkEnd w:id="239"/>
    <w:p>
      <w:pPr>
        <w:spacing w:after="0" w:line="269" w:lineRule="exact"/>
        <w:rPr>
          <w:sz w:val="20"/>
          <w:szCs w:val="20"/>
          <w:color w:val="auto"/>
        </w:rPr>
      </w:pPr>
    </w:p>
    <w:p>
      <w:pPr>
        <w:ind w:firstLine="702"/>
        <w:spacing w:after="0" w:line="254" w:lineRule="auto"/>
        <w:tabs>
          <w:tab w:leader="none" w:pos="96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Deemed Waivers Remedies Cumulative</w:t>
      </w:r>
      <w:r>
        <w:rPr>
          <w:rFonts w:ascii="Times New Roman" w:cs="Times New Roman" w:eastAsia="Times New Roman" w:hAnsi="Times New Roman"/>
          <w:sz w:val="19"/>
          <w:szCs w:val="19"/>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57" w:lineRule="exact"/>
        <w:rPr>
          <w:rFonts w:ascii="Times New Roman" w:cs="Times New Roman" w:eastAsia="Times New Roman" w:hAnsi="Times New Roman"/>
          <w:sz w:val="19"/>
          <w:szCs w:val="19"/>
          <w:color w:val="auto"/>
        </w:rPr>
      </w:pPr>
    </w:p>
    <w:p>
      <w:pPr>
        <w:ind w:right="140" w:firstLine="702"/>
        <w:spacing w:after="0" w:line="262" w:lineRule="auto"/>
        <w:tabs>
          <w:tab w:leader="none" w:pos="97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this Agreement</w:t>
      </w:r>
      <w:r>
        <w:rPr>
          <w:rFonts w:ascii="Times New Roman" w:cs="Times New Roman" w:eastAsia="Times New Roman" w:hAnsi="Times New Roman"/>
          <w:sz w:val="19"/>
          <w:szCs w:val="19"/>
          <w:color w:val="auto"/>
        </w:rPr>
        <w:t xml:space="preserve">. Except as provided in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w:t>
      </w:r>
    </w:p>
    <w:p>
      <w:pPr>
        <w:spacing w:after="0" w:line="150"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the Commitment of any Lender without the written consent of such Lender,</w:t>
      </w:r>
    </w:p>
    <w:p>
      <w:pPr>
        <w:spacing w:after="0" w:line="201" w:lineRule="exact"/>
        <w:rPr>
          <w:rFonts w:ascii="Times New Roman" w:cs="Times New Roman" w:eastAsia="Times New Roman" w:hAnsi="Times New Roman"/>
          <w:sz w:val="19"/>
          <w:szCs w:val="19"/>
          <w:color w:val="auto"/>
        </w:rPr>
      </w:pPr>
    </w:p>
    <w:p>
      <w:pPr>
        <w:ind w:left="700" w:right="120" w:firstLine="746"/>
        <w:spacing w:after="0" w:line="286" w:lineRule="auto"/>
        <w:tabs>
          <w:tab w:leader="none" w:pos="1727"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amount of any Loan or LC Disbursement or reduce the rate of interest thereon, or reduce any fees payable hereunder, without the written consent of each Lender affected thereby,</w:t>
      </w:r>
    </w:p>
    <w:p>
      <w:pPr>
        <w:spacing w:after="0" w:line="127" w:lineRule="exact"/>
        <w:rPr>
          <w:rFonts w:ascii="Times New Roman" w:cs="Times New Roman" w:eastAsia="Times New Roman" w:hAnsi="Times New Roman"/>
          <w:sz w:val="19"/>
          <w:szCs w:val="19"/>
          <w:color w:val="auto"/>
        </w:rPr>
      </w:pPr>
    </w:p>
    <w:p>
      <w:pPr>
        <w:ind w:left="700" w:right="80" w:firstLine="746"/>
        <w:spacing w:after="0" w:line="268" w:lineRule="auto"/>
        <w:tabs>
          <w:tab w:leader="none" w:pos="178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44" w:lineRule="exact"/>
        <w:rPr>
          <w:rFonts w:ascii="Times New Roman" w:cs="Times New Roman" w:eastAsia="Times New Roman" w:hAnsi="Times New Roman"/>
          <w:sz w:val="19"/>
          <w:szCs w:val="19"/>
          <w:color w:val="auto"/>
        </w:rPr>
      </w:pPr>
    </w:p>
    <w:p>
      <w:pPr>
        <w:ind w:left="700" w:right="180" w:firstLine="746"/>
        <w:spacing w:after="0" w:line="286" w:lineRule="auto"/>
        <w:tabs>
          <w:tab w:leader="none" w:pos="1769"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in a manner that would alter the pro rata sharing of payments required thereby without the written consent of each Lender affected thereby, or</w:t>
      </w:r>
    </w:p>
    <w:p>
      <w:pPr>
        <w:spacing w:after="0" w:line="127" w:lineRule="exact"/>
        <w:rPr>
          <w:rFonts w:ascii="Times New Roman" w:cs="Times New Roman" w:eastAsia="Times New Roman" w:hAnsi="Times New Roman"/>
          <w:sz w:val="19"/>
          <w:szCs w:val="19"/>
          <w:color w:val="auto"/>
        </w:rPr>
      </w:pPr>
    </w:p>
    <w:p>
      <w:pPr>
        <w:ind w:left="700" w:right="220" w:firstLine="746"/>
        <w:spacing w:after="0" w:line="268" w:lineRule="auto"/>
        <w:tabs>
          <w:tab w:leader="none" w:pos="1716"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0" w:name="page241"/>
    <w:bookmarkEnd w:id="240"/>
    <w:p>
      <w:pPr>
        <w:spacing w:after="0" w:line="2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 xml:space="preserve">Credit Exposure and unused Commitments will be required (A) for any adverse change affecting the provisions of this Agreement relating to the determination of the Borrowing Base (excluding changes to the provisions of </w:t>
      </w:r>
      <w:r>
        <w:rPr>
          <w:rFonts w:ascii="Times New Roman" w:cs="Times New Roman" w:eastAsia="Times New Roman" w:hAnsi="Times New Roman"/>
          <w:sz w:val="19"/>
          <w:szCs w:val="19"/>
          <w:u w:val="single" w:color="auto"/>
          <w:color w:val="auto"/>
        </w:rPr>
        <w:t>Section 5.12(b)(ii)(E)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but including changes to the provisions of </w:t>
      </w:r>
      <w:r>
        <w:rPr>
          <w:rFonts w:ascii="Times New Roman" w:cs="Times New Roman" w:eastAsia="Times New Roman" w:hAnsi="Times New Roman"/>
          <w:sz w:val="19"/>
          <w:szCs w:val="19"/>
          <w:u w:val="single" w:color="auto"/>
          <w:color w:val="auto"/>
        </w:rPr>
        <w:t>Section 5.12(c)(ii)</w:t>
      </w:r>
      <w:r>
        <w:rPr>
          <w:rFonts w:ascii="Times New Roman" w:cs="Times New Roman" w:eastAsia="Times New Roman" w:hAnsi="Times New Roman"/>
          <w:sz w:val="19"/>
          <w:szCs w:val="19"/>
          <w:color w:val="auto"/>
        </w:rPr>
        <w:t xml:space="preserve"> and the definitions set forth in </w:t>
      </w:r>
      <w:r>
        <w:rPr>
          <w:rFonts w:ascii="Times New Roman" w:cs="Times New Roman" w:eastAsia="Times New Roman" w:hAnsi="Times New Roman"/>
          <w:sz w:val="19"/>
          <w:szCs w:val="19"/>
          <w:u w:val="single" w:color="auto"/>
          <w:color w:val="auto"/>
        </w:rPr>
        <w:t>Section 5. 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any release of any material portion of the Collateral other than for fair value or as otherwise permitted hereunder or under the other Loan Documents.</w:t>
      </w:r>
    </w:p>
    <w:p>
      <w:pPr>
        <w:spacing w:after="0" w:line="150" w:lineRule="exact"/>
        <w:rPr>
          <w:sz w:val="20"/>
          <w:szCs w:val="20"/>
          <w:color w:val="auto"/>
        </w:rPr>
      </w:pPr>
    </w:p>
    <w:p>
      <w:pPr>
        <w:ind w:right="100" w:firstLine="1404"/>
        <w:spacing w:after="0" w:line="256" w:lineRule="auto"/>
        <w:rPr>
          <w:sz w:val="20"/>
          <w:szCs w:val="20"/>
          <w:color w:val="auto"/>
        </w:rPr>
      </w:pPr>
      <w:r>
        <w:rPr>
          <w:rFonts w:ascii="Times New Roman" w:cs="Times New Roman" w:eastAsia="Times New Roman" w:hAnsi="Times New Roman"/>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57" w:lineRule="exact"/>
        <w:rPr>
          <w:sz w:val="20"/>
          <w:szCs w:val="20"/>
          <w:color w:val="auto"/>
        </w:rPr>
      </w:pPr>
    </w:p>
    <w:p>
      <w:pPr>
        <w:ind w:firstLine="702"/>
        <w:spacing w:after="0" w:line="252" w:lineRule="auto"/>
        <w:tabs>
          <w:tab w:leader="none" w:pos="96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Security Documents</w:t>
      </w:r>
      <w:r>
        <w:rPr>
          <w:rFonts w:ascii="Times New Roman" w:cs="Times New Roman" w:eastAsia="Times New Roman" w:hAnsi="Times New Roman"/>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19"/>
          <w:szCs w:val="19"/>
          <w:u w:val="single" w:color="auto"/>
          <w:color w:val="auto"/>
        </w:rPr>
        <w:t>Section 2.08(e)</w:t>
      </w:r>
      <w:r>
        <w:rPr>
          <w:rFonts w:ascii="Times New Roman" w:cs="Times New Roman" w:eastAsia="Times New Roman" w:hAnsi="Times New Roman"/>
          <w:sz w:val="19"/>
          <w:szCs w:val="19"/>
          <w:color w:val="auto"/>
        </w:rPr>
        <w:t xml:space="preserve"> to an amount not greater than $2,000,000,000)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70" w:lineRule="exact"/>
        <w:rPr>
          <w:rFonts w:ascii="Times New Roman" w:cs="Times New Roman" w:eastAsia="Times New Roman" w:hAnsi="Times New Roman"/>
          <w:sz w:val="19"/>
          <w:szCs w:val="19"/>
          <w:color w:val="auto"/>
        </w:rPr>
      </w:pPr>
    </w:p>
    <w:p>
      <w:pPr>
        <w:ind w:right="20" w:firstLine="702"/>
        <w:spacing w:after="0" w:line="259" w:lineRule="auto"/>
        <w:tabs>
          <w:tab w:leader="none" w:pos="97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Non-Consenting Lender</w:t>
      </w:r>
      <w:r>
        <w:rPr>
          <w:rFonts w:ascii="Times New Roman" w:cs="Times New Roman" w:eastAsia="Times New Roman" w:hAnsi="Times New Roman"/>
          <w:sz w:val="19"/>
          <w:szCs w:val="19"/>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the consent of the Required Lenders shall have been obtained but the consent of one or more Lenders (each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whose consent is required for such proposed change, waiver, discharge or termination is not obtained, then (so long as no Event of Default has occurred and is continuing) the Borrower shall have the right, at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1" w:name="page242"/>
    <w:bookmarkEnd w:id="241"/>
    <w:p>
      <w:pPr>
        <w:spacing w:after="0" w:line="2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 xml:space="preserve">cost and expense, to replace each such Non-Consenting Lender or Lenders with one or more replacement Lenders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2.18(b)</w:t>
      </w:r>
      <w:r>
        <w:rPr>
          <w:rFonts w:ascii="Times New Roman" w:cs="Times New Roman" w:eastAsia="Times New Roman" w:hAnsi="Times New Roman"/>
          <w:sz w:val="19"/>
          <w:szCs w:val="19"/>
          <w:color w:val="auto"/>
        </w:rPr>
        <w:t xml:space="preserve"> so long as at the time of such replacement, each such replacement Lender consents to the proposed change, waiver, discharge or termination.</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9.03.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3" w:lineRule="auto"/>
        <w:tabs>
          <w:tab w:leader="none" w:pos="96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58" w:lineRule="exact"/>
        <w:rPr>
          <w:rFonts w:ascii="Times New Roman" w:cs="Times New Roman" w:eastAsia="Times New Roman" w:hAnsi="Times New Roman"/>
          <w:sz w:val="19"/>
          <w:szCs w:val="19"/>
          <w:color w:val="auto"/>
        </w:rPr>
      </w:pPr>
    </w:p>
    <w:p>
      <w:pPr>
        <w:ind w:right="20" w:firstLine="702"/>
        <w:spacing w:after="0" w:line="253" w:lineRule="auto"/>
        <w:tabs>
          <w:tab w:leader="none" w:pos="972"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the Administrative Agent, each Joint Lead Arranger, each Issuing Bank, each Swingline Lender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including the fees, charges and disbursements of any counsel for any Indemnitee, incurred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2" w:name="page243"/>
    <w:bookmarkEnd w:id="242"/>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w:t>
      </w:r>
    </w:p>
    <w:p>
      <w:pPr>
        <w:spacing w:after="0" w:line="4" w:lineRule="exact"/>
        <w:rPr>
          <w:sz w:val="20"/>
          <w:szCs w:val="20"/>
          <w:color w:val="auto"/>
        </w:rPr>
      </w:pPr>
    </w:p>
    <w:p>
      <w:pPr>
        <w:ind w:left="320" w:hanging="314"/>
        <w:spacing w:after="0"/>
        <w:tabs>
          <w:tab w:leader="none" w:pos="32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determined by a court of competent jurisdiction by final and nonappealable judgment to have resulted from the fraud, willful</w:t>
      </w:r>
    </w:p>
    <w:p>
      <w:pPr>
        <w:spacing w:after="0" w:line="9" w:lineRule="exact"/>
        <w:rPr>
          <w:rFonts w:ascii="Times New Roman" w:cs="Times New Roman" w:eastAsia="Times New Roman" w:hAnsi="Times New Roman"/>
          <w:sz w:val="19"/>
          <w:szCs w:val="19"/>
          <w:color w:val="auto"/>
        </w:rPr>
      </w:pPr>
    </w:p>
    <w:p>
      <w:pPr>
        <w:ind w:right="4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limitation shall not be deemed to impair or affect the obligations of the Borrower under the preceding provisions of this subsection.</w:t>
      </w:r>
    </w:p>
    <w:p>
      <w:pPr>
        <w:spacing w:after="0" w:line="150" w:lineRule="exact"/>
        <w:rPr>
          <w:sz w:val="20"/>
          <w:szCs w:val="20"/>
          <w:color w:val="auto"/>
        </w:rPr>
      </w:pPr>
    </w:p>
    <w:p>
      <w:pPr>
        <w:ind w:right="20" w:firstLine="702"/>
        <w:spacing w:after="0" w:line="256" w:lineRule="auto"/>
        <w:tabs>
          <w:tab w:leader="none" w:pos="96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Borrower fails to pay any amount required to be paid by it to the Administrative Agent, any Issuing Bank or any Swingline Lender under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57" w:lineRule="exact"/>
        <w:rPr>
          <w:rFonts w:ascii="Times New Roman" w:cs="Times New Roman" w:eastAsia="Times New Roman" w:hAnsi="Times New Roman"/>
          <w:sz w:val="19"/>
          <w:szCs w:val="19"/>
          <w:color w:val="auto"/>
        </w:rPr>
      </w:pPr>
    </w:p>
    <w:p>
      <w:pPr>
        <w:ind w:right="80" w:firstLine="702"/>
        <w:spacing w:after="0" w:line="257" w:lineRule="auto"/>
        <w:tabs>
          <w:tab w:leader="none" w:pos="972"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887730</wp:posOffset>
            </wp:positionV>
            <wp:extent cx="673290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3" w:name="page244"/>
    <w:bookmarkEnd w:id="243"/>
    <w:p>
      <w:pPr>
        <w:spacing w:after="0" w:line="269"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9"/>
          <w:szCs w:val="19"/>
          <w:color w:val="auto"/>
        </w:rPr>
        <w:t>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44" w:lineRule="exact"/>
        <w:rPr>
          <w:sz w:val="20"/>
          <w:szCs w:val="20"/>
          <w:color w:val="auto"/>
        </w:rPr>
      </w:pPr>
    </w:p>
    <w:p>
      <w:pPr>
        <w:ind w:left="700" w:right="1600" w:firstLine="2"/>
        <w:spacing w:after="0" w:line="461" w:lineRule="auto"/>
        <w:tabs>
          <w:tab w:leader="none" w:pos="964"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xml:space="preserve">. All amounts due under this Section shall be payable promptly after written demand therefor. SECTION 9.04.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firstLine="702"/>
        <w:spacing w:after="0" w:line="255" w:lineRule="auto"/>
        <w:tabs>
          <w:tab w:leader="none" w:pos="96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Generally</w:t>
      </w:r>
      <w:r>
        <w:rPr>
          <w:rFonts w:ascii="Times New Roman" w:cs="Times New Roman" w:eastAsia="Times New Roman" w:hAnsi="Times New Roman"/>
          <w:sz w:val="19"/>
          <w:szCs w:val="19"/>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55"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700" w:firstLine="746"/>
        <w:spacing w:after="0" w:line="259" w:lineRule="auto"/>
        <w:tabs>
          <w:tab w:leader="none" w:pos="1672"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Generally</w:t>
      </w:r>
      <w:r>
        <w:rPr>
          <w:rFonts w:ascii="Times New Roman" w:cs="Times New Roman" w:eastAsia="Times New Roman" w:hAnsi="Times New Roman"/>
          <w:sz w:val="19"/>
          <w:szCs w:val="19"/>
          <w:color w:val="auto"/>
        </w:rPr>
        <w:t xml:space="preserve">. Subject to the conditions set forth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53" w:lineRule="exact"/>
        <w:rPr>
          <w:rFonts w:ascii="Times New Roman" w:cs="Times New Roman" w:eastAsia="Times New Roman" w:hAnsi="Times New Roman"/>
          <w:sz w:val="19"/>
          <w:szCs w:val="19"/>
          <w:color w:val="auto"/>
        </w:rPr>
      </w:pPr>
    </w:p>
    <w:p>
      <w:pPr>
        <w:ind w:left="1420" w:right="20" w:firstLine="795"/>
        <w:spacing w:after="0" w:line="259" w:lineRule="auto"/>
        <w:tabs>
          <w:tab w:leader="none" w:pos="2539" w:val="left"/>
        </w:tabs>
        <w:numPr>
          <w:ilvl w:val="2"/>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or, if any Event of Default has occurred and is continuing, any other assignee;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 shall be deemed to have consented to any such assignment unless it shall have objected thereto by written notice to the Administrative Agent within ten (10) Business Days after having received notice thereof; and</w:t>
      </w:r>
    </w:p>
    <w:p>
      <w:pPr>
        <w:spacing w:after="0" w:line="153" w:lineRule="exact"/>
        <w:rPr>
          <w:rFonts w:ascii="Times New Roman" w:cs="Times New Roman" w:eastAsia="Times New Roman" w:hAnsi="Times New Roman"/>
          <w:sz w:val="19"/>
          <w:szCs w:val="19"/>
          <w:color w:val="auto"/>
        </w:rPr>
      </w:pPr>
    </w:p>
    <w:p>
      <w:pPr>
        <w:ind w:left="1420" w:right="40" w:firstLine="795"/>
        <w:spacing w:after="0" w:line="268" w:lineRule="auto"/>
        <w:tabs>
          <w:tab w:leader="none" w:pos="2528" w:val="left"/>
        </w:tabs>
        <w:numPr>
          <w:ilvl w:val="2"/>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each Swingline Lender and each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 the Swingline Lenders or the Issuing Banks shall be required for an assignment by a Lender to an Affiliate of such Lender.</w:t>
      </w:r>
    </w:p>
    <w:p>
      <w:pPr>
        <w:spacing w:after="0" w:line="144" w:lineRule="exact"/>
        <w:rPr>
          <w:rFonts w:ascii="Times New Roman" w:cs="Times New Roman" w:eastAsia="Times New Roman" w:hAnsi="Times New Roman"/>
          <w:sz w:val="19"/>
          <w:szCs w:val="19"/>
          <w:color w:val="auto"/>
        </w:rPr>
      </w:pPr>
    </w:p>
    <w:p>
      <w:pPr>
        <w:ind w:left="1740" w:hanging="294"/>
        <w:spacing w:after="0"/>
        <w:tabs>
          <w:tab w:leader="none" w:pos="1740"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Conditions to Assignments</w:t>
      </w:r>
      <w:r>
        <w:rPr>
          <w:rFonts w:ascii="Times New Roman" w:cs="Times New Roman" w:eastAsia="Times New Roman" w:hAnsi="Times New Roman"/>
          <w:sz w:val="19"/>
          <w:szCs w:val="19"/>
          <w:color w:val="auto"/>
        </w:rPr>
        <w:t>. Assignments shall be subject to the following additional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916305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4" w:name="page245"/>
    <w:bookmarkEnd w:id="244"/>
    <w:p>
      <w:pPr>
        <w:spacing w:after="0" w:line="269" w:lineRule="exact"/>
        <w:rPr>
          <w:sz w:val="20"/>
          <w:szCs w:val="20"/>
          <w:color w:val="auto"/>
        </w:rPr>
      </w:pPr>
    </w:p>
    <w:p>
      <w:pPr>
        <w:ind w:left="640" w:right="20" w:firstLine="795"/>
        <w:spacing w:after="0" w:line="256" w:lineRule="auto"/>
        <w:tabs>
          <w:tab w:leader="none" w:pos="1759"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 continuing;</w:t>
      </w:r>
    </w:p>
    <w:p>
      <w:pPr>
        <w:spacing w:after="0" w:line="157" w:lineRule="exact"/>
        <w:rPr>
          <w:rFonts w:ascii="Times New Roman" w:cs="Times New Roman" w:eastAsia="Times New Roman" w:hAnsi="Times New Roman"/>
          <w:sz w:val="19"/>
          <w:szCs w:val="19"/>
          <w:color w:val="auto"/>
        </w:rPr>
      </w:pPr>
    </w:p>
    <w:p>
      <w:pPr>
        <w:ind w:left="640" w:right="80" w:firstLine="795"/>
        <w:spacing w:after="0" w:line="268" w:lineRule="auto"/>
        <w:tabs>
          <w:tab w:leader="none" w:pos="1748"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44" w:lineRule="exact"/>
        <w:rPr>
          <w:rFonts w:ascii="Times New Roman" w:cs="Times New Roman" w:eastAsia="Times New Roman" w:hAnsi="Times New Roman"/>
          <w:sz w:val="19"/>
          <w:szCs w:val="19"/>
          <w:color w:val="auto"/>
        </w:rPr>
      </w:pPr>
    </w:p>
    <w:p>
      <w:pPr>
        <w:ind w:left="640" w:firstLine="795"/>
        <w:spacing w:after="0" w:line="262" w:lineRule="auto"/>
        <w:tabs>
          <w:tab w:leader="none" w:pos="1748"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together with a processing and recordation fee of U.S. $3,500 (which fee shall not be payable in connection with an assignment to a Lender or to an Affiliate of a Lender), for which the Borrower and the Subsidiary Guarantors shall not be obligated;</w:t>
      </w:r>
    </w:p>
    <w:p>
      <w:pPr>
        <w:spacing w:after="0" w:line="150" w:lineRule="exact"/>
        <w:rPr>
          <w:rFonts w:ascii="Times New Roman" w:cs="Times New Roman" w:eastAsia="Times New Roman" w:hAnsi="Times New Roman"/>
          <w:sz w:val="19"/>
          <w:szCs w:val="19"/>
          <w:color w:val="auto"/>
        </w:rPr>
      </w:pPr>
    </w:p>
    <w:p>
      <w:pPr>
        <w:ind w:left="640" w:right="1160" w:firstLine="795"/>
        <w:spacing w:after="0" w:line="286" w:lineRule="auto"/>
        <w:tabs>
          <w:tab w:leader="none" w:pos="1759"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if it shall not already be a Lender of the applicable Class, shall deliver to the Administrative Agent an Administrative Questionnaire; and</w:t>
      </w:r>
    </w:p>
    <w:p>
      <w:pPr>
        <w:spacing w:after="0" w:line="127" w:lineRule="exact"/>
        <w:rPr>
          <w:rFonts w:ascii="Times New Roman" w:cs="Times New Roman" w:eastAsia="Times New Roman" w:hAnsi="Times New Roman"/>
          <w:sz w:val="19"/>
          <w:szCs w:val="19"/>
          <w:color w:val="auto"/>
        </w:rPr>
      </w:pPr>
    </w:p>
    <w:p>
      <w:pPr>
        <w:ind w:left="640" w:right="280" w:firstLine="795"/>
        <w:spacing w:after="0" w:line="286" w:lineRule="auto"/>
        <w:tabs>
          <w:tab w:leader="none" w:pos="1737"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shall deliver to the Borrower and the Administrative Agent those documents specified in Section 2.16(f).</w:t>
      </w:r>
    </w:p>
    <w:p>
      <w:pPr>
        <w:spacing w:after="0" w:line="127" w:lineRule="exact"/>
        <w:rPr>
          <w:rFonts w:ascii="Times New Roman" w:cs="Times New Roman" w:eastAsia="Times New Roman" w:hAnsi="Times New Roman"/>
          <w:sz w:val="19"/>
          <w:szCs w:val="19"/>
          <w:color w:val="auto"/>
        </w:rPr>
      </w:pPr>
    </w:p>
    <w:p>
      <w:pPr>
        <w:ind w:left="-80" w:right="60" w:firstLine="746"/>
        <w:spacing w:after="0" w:line="253" w:lineRule="auto"/>
        <w:tabs>
          <w:tab w:leader="none" w:pos="100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Effectiveness of Assignments</w:t>
      </w:r>
      <w:r>
        <w:rPr>
          <w:rFonts w:ascii="Times New Roman" w:cs="Times New Roman" w:eastAsia="Times New Roman" w:hAnsi="Times New Roman"/>
          <w:sz w:val="19"/>
          <w:szCs w:val="19"/>
          <w:color w:val="auto"/>
        </w:rPr>
        <w:t xml:space="preserve">. Subject to acceptance and recording thereof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9.04(b)(ii)</w:t>
      </w:r>
      <w:r>
        <w:rPr>
          <w:rFonts w:ascii="Times New Roman" w:cs="Times New Roman" w:eastAsia="Times New Roman" w:hAnsi="Times New Roman"/>
          <w:sz w:val="19"/>
          <w:szCs w:val="19"/>
          <w:color w:val="auto"/>
        </w:rPr>
        <w:t xml:space="preserve"> or otherwise, the parties to the assignment shall make such additional payments to Administrative Agent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891540</wp:posOffset>
            </wp:positionV>
            <wp:extent cx="673290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245" w:name="page246"/>
    <w:bookmarkEnd w:id="245"/>
    <w:p>
      <w:pPr>
        <w:spacing w:after="0" w:line="2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0" w:lineRule="exact"/>
        <w:rPr>
          <w:sz w:val="20"/>
          <w:szCs w:val="20"/>
          <w:color w:val="auto"/>
        </w:rPr>
      </w:pPr>
    </w:p>
    <w:p>
      <w:pPr>
        <w:ind w:left="-700" w:firstLine="702"/>
        <w:spacing w:after="0" w:line="255" w:lineRule="auto"/>
        <w:tabs>
          <w:tab w:leader="none" w:pos="26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Registers by Administrative Agent</w:t>
      </w:r>
      <w:r>
        <w:rPr>
          <w:rFonts w:ascii="Times New Roman" w:cs="Times New Roman" w:eastAsia="Times New Roman" w:hAnsi="Times New Roman"/>
          <w:sz w:val="19"/>
          <w:szCs w:val="19"/>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19"/>
          <w:szCs w:val="19"/>
          <w:u w:val="single" w:color="auto"/>
          <w:color w:val="auto"/>
        </w:rPr>
        <w:t>Registers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59" w:lineRule="exact"/>
        <w:rPr>
          <w:rFonts w:ascii="Times New Roman" w:cs="Times New Roman" w:eastAsia="Times New Roman" w:hAnsi="Times New Roman"/>
          <w:sz w:val="19"/>
          <w:szCs w:val="19"/>
          <w:color w:val="auto"/>
        </w:rPr>
      </w:pPr>
    </w:p>
    <w:p>
      <w:pPr>
        <w:ind w:left="-700" w:right="100" w:firstLine="702"/>
        <w:spacing w:after="0" w:line="257" w:lineRule="auto"/>
        <w:tabs>
          <w:tab w:leader="none" w:pos="27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of Assignments by Administrative Agent</w:t>
      </w:r>
      <w:r>
        <w:rPr>
          <w:rFonts w:ascii="Times New Roman" w:cs="Times New Roman" w:eastAsia="Times New Roman" w:hAnsi="Times New Roman"/>
          <w:sz w:val="19"/>
          <w:szCs w:val="19"/>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any written consent to such assignment required by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6" w:lineRule="exact"/>
        <w:rPr>
          <w:rFonts w:ascii="Times New Roman" w:cs="Times New Roman" w:eastAsia="Times New Roman" w:hAnsi="Times New Roman"/>
          <w:sz w:val="19"/>
          <w:szCs w:val="19"/>
          <w:color w:val="auto"/>
        </w:rPr>
      </w:pPr>
    </w:p>
    <w:p>
      <w:pPr>
        <w:ind w:left="-700" w:right="20" w:firstLine="702"/>
        <w:spacing w:after="0" w:line="255" w:lineRule="auto"/>
        <w:tabs>
          <w:tab w:leader="none" w:pos="26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Purposes Vehicles</w:t>
      </w:r>
      <w:r>
        <w:rPr>
          <w:rFonts w:ascii="Times New Roman" w:cs="Times New Roman" w:eastAsia="Times New Roman" w:hAnsi="Times New Roman"/>
          <w:sz w:val="19"/>
          <w:szCs w:val="19"/>
          <w:color w:val="auto"/>
        </w:rPr>
        <w:t>. Notwithstanding anything to the contrary contained herein, any Lender (a “</w:t>
      </w:r>
      <w:r>
        <w:rPr>
          <w:rFonts w:ascii="Times New Roman" w:cs="Times New Roman" w:eastAsia="Times New Roman" w:hAnsi="Times New Roman"/>
          <w:sz w:val="19"/>
          <w:szCs w:val="19"/>
          <w:u w:val="single" w:color="auto"/>
          <w:color w:val="auto"/>
        </w:rPr>
        <w:t>Granting Lender</w:t>
      </w:r>
      <w:r>
        <w:rPr>
          <w:rFonts w:ascii="Times New Roman" w:cs="Times New Roman" w:eastAsia="Times New Roman" w:hAnsi="Times New Roman"/>
          <w:sz w:val="19"/>
          <w:szCs w:val="19"/>
          <w:color w:val="auto"/>
        </w:rPr>
        <w:t>”) may grant to a special purpose funding vehicle (an “</w:t>
      </w:r>
      <w:r>
        <w:rPr>
          <w:rFonts w:ascii="Times New Roman" w:cs="Times New Roman" w:eastAsia="Times New Roman" w:hAnsi="Times New Roman"/>
          <w:sz w:val="19"/>
          <w:szCs w:val="19"/>
          <w:u w:val="single" w:color="auto"/>
          <w:color w:val="auto"/>
        </w:rPr>
        <w:t>SPC</w:t>
      </w:r>
      <w:r>
        <w:rPr>
          <w:rFonts w:ascii="Times New Roman" w:cs="Times New Roman" w:eastAsia="Times New Roman" w:hAnsi="Times New Roman"/>
          <w:sz w:val="19"/>
          <w:szCs w:val="19"/>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1036955</wp:posOffset>
            </wp:positionV>
            <wp:extent cx="673290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46" w:name="page247"/>
    <w:bookmarkEnd w:id="246"/>
    <w:p>
      <w:pPr>
        <w:spacing w:after="0" w:line="26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 xml:space="preserve">contained, and (iv) no SPC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57" w:lineRule="exact"/>
        <w:rPr>
          <w:sz w:val="20"/>
          <w:szCs w:val="20"/>
          <w:color w:val="auto"/>
        </w:rPr>
      </w:pPr>
    </w:p>
    <w:p>
      <w:pPr>
        <w:ind w:firstLine="960"/>
        <w:spacing w:after="0" w:line="253" w:lineRule="auto"/>
        <w:rPr>
          <w:sz w:val="20"/>
          <w:szCs w:val="20"/>
          <w:color w:val="auto"/>
        </w:rPr>
      </w:pPr>
      <w:r>
        <w:rPr>
          <w:rFonts w:ascii="Times New Roman" w:cs="Times New Roman" w:eastAsia="Times New Roman" w:hAnsi="Times New Roman"/>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below, and (ii) disclose on a confidential basis (in the same manner described in </w:t>
      </w:r>
      <w:r>
        <w:rPr>
          <w:rFonts w:ascii="Times New Roman" w:cs="Times New Roman" w:eastAsia="Times New Roman" w:hAnsi="Times New Roman"/>
          <w:sz w:val="19"/>
          <w:szCs w:val="19"/>
          <w:u w:val="single" w:color="auto"/>
          <w:color w:val="auto"/>
        </w:rPr>
        <w:t>Section 9. 13(b)</w:t>
      </w:r>
      <w:r>
        <w:rPr>
          <w:rFonts w:ascii="Times New Roman" w:cs="Times New Roman" w:eastAsia="Times New Roman" w:hAnsi="Times New Roman"/>
          <w:sz w:val="19"/>
          <w:szCs w:val="19"/>
          <w:color w:val="auto"/>
        </w:rPr>
        <w:t>) any non-public information relating to its Loans to any rating agency, commercial paper dealer or provider of a surety, guarantee or credit or liquidity enhancement to such SPC.</w:t>
      </w:r>
    </w:p>
    <w:p>
      <w:pPr>
        <w:spacing w:after="0" w:line="158" w:lineRule="exact"/>
        <w:rPr>
          <w:sz w:val="20"/>
          <w:szCs w:val="20"/>
          <w:color w:val="auto"/>
        </w:rPr>
      </w:pPr>
    </w:p>
    <w:p>
      <w:pPr>
        <w:ind w:right="60" w:firstLine="702"/>
        <w:spacing w:after="0" w:line="253" w:lineRule="auto"/>
        <w:tabs>
          <w:tab w:leader="none" w:pos="93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893445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7" w:name="page248"/>
    <w:bookmarkEnd w:id="247"/>
    <w:p>
      <w:pPr>
        <w:spacing w:after="0" w:line="2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 xml:space="preserve">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Subject to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w:t>
      </w:r>
      <w:r>
        <w:rPr>
          <w:rFonts w:ascii="Times New Roman" w:cs="Times New Roman" w:eastAsia="Times New Roman" w:hAnsi="Times New Roman"/>
          <w:sz w:val="19"/>
          <w:szCs w:val="19"/>
          <w:u w:val="single" w:color="auto"/>
          <w:color w:val="auto"/>
        </w:rPr>
        <w:t>Sections 2. 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Participant shall be entitled to the benefits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provided such Participant agrees to be subject to </w:t>
      </w:r>
      <w:r>
        <w:rPr>
          <w:rFonts w:ascii="Times New Roman" w:cs="Times New Roman" w:eastAsia="Times New Roman" w:hAnsi="Times New Roman"/>
          <w:sz w:val="19"/>
          <w:szCs w:val="19"/>
          <w:u w:val="single" w:color="auto"/>
          <w:color w:val="auto"/>
        </w:rPr>
        <w:t>Section 2.17(d)</w:t>
      </w:r>
      <w:r>
        <w:rPr>
          <w:rFonts w:ascii="Times New Roman" w:cs="Times New Roman" w:eastAsia="Times New Roman" w:hAnsi="Times New Roman"/>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1" w:lineRule="exact"/>
        <w:rPr>
          <w:sz w:val="20"/>
          <w:szCs w:val="20"/>
          <w:color w:val="auto"/>
        </w:rPr>
      </w:pPr>
    </w:p>
    <w:p>
      <w:pPr>
        <w:ind w:firstLine="702"/>
        <w:spacing w:after="0" w:line="255" w:lineRule="auto"/>
        <w:tabs>
          <w:tab w:leader="none" w:pos="972"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Rights of Participants</w:t>
      </w:r>
      <w:r>
        <w:rPr>
          <w:rFonts w:ascii="Times New Roman" w:cs="Times New Roman" w:eastAsia="Times New Roman" w:hAnsi="Times New Roman"/>
          <w:sz w:val="19"/>
          <w:szCs w:val="19"/>
          <w:color w:val="auto"/>
        </w:rPr>
        <w:t xml:space="preserve">. A Participant shall not be entitled to receive any greater payment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9"/>
          <w:szCs w:val="19"/>
          <w:u w:val="single" w:color="auto"/>
          <w:color w:val="auto"/>
        </w:rPr>
        <w:t>paragraphs (e)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673290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8" w:name="page249"/>
    <w:bookmarkEnd w:id="248"/>
    <w:p>
      <w:pPr>
        <w:spacing w:after="0" w:line="269" w:lineRule="exact"/>
        <w:rPr>
          <w:sz w:val="20"/>
          <w:szCs w:val="20"/>
          <w:color w:val="auto"/>
        </w:rPr>
      </w:pPr>
    </w:p>
    <w:p>
      <w:pPr>
        <w:ind w:firstLine="702"/>
        <w:spacing w:after="0" w:line="259" w:lineRule="auto"/>
        <w:tabs>
          <w:tab w:leader="none" w:pos="972"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Pledges</w:t>
      </w:r>
      <w:r>
        <w:rPr>
          <w:rFonts w:ascii="Times New Roman" w:cs="Times New Roman" w:eastAsia="Times New Roman" w:hAnsi="Times New Roman"/>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53" w:lineRule="exact"/>
        <w:rPr>
          <w:rFonts w:ascii="Times New Roman" w:cs="Times New Roman" w:eastAsia="Times New Roman" w:hAnsi="Times New Roman"/>
          <w:sz w:val="19"/>
          <w:szCs w:val="19"/>
          <w:color w:val="auto"/>
        </w:rPr>
      </w:pPr>
    </w:p>
    <w:p>
      <w:pPr>
        <w:ind w:right="40" w:firstLine="702"/>
        <w:spacing w:after="0" w:line="268" w:lineRule="auto"/>
        <w:tabs>
          <w:tab w:leader="none" w:pos="92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Assignments to the Borrower or Affiliates</w:t>
      </w:r>
      <w:r>
        <w:rPr>
          <w:rFonts w:ascii="Times New Roman" w:cs="Times New Roman" w:eastAsia="Times New Roman" w:hAnsi="Times New Roman"/>
          <w:sz w:val="19"/>
          <w:szCs w:val="19"/>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44"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9.05.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9.06. </w:t>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702"/>
        <w:spacing w:after="0" w:line="254" w:lineRule="auto"/>
        <w:tabs>
          <w:tab w:leader="none" w:pos="96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391" w:lineRule="exact"/>
        <w:rPr>
          <w:rFonts w:ascii="Times New Roman" w:cs="Times New Roman" w:eastAsia="Times New Roman" w:hAnsi="Times New Roman"/>
          <w:sz w:val="19"/>
          <w:szCs w:val="19"/>
          <w:color w:val="auto"/>
        </w:rPr>
      </w:pPr>
    </w:p>
    <w:p>
      <w:pPr>
        <w:ind w:right="540" w:firstLine="702"/>
        <w:spacing w:after="0" w:line="286" w:lineRule="auto"/>
        <w:tabs>
          <w:tab w:leader="none" w:pos="97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Execution of Assignments</w:t>
      </w:r>
      <w:r>
        <w:rPr>
          <w:rFonts w:ascii="Times New Roman" w:cs="Times New Roman" w:eastAsia="Times New Roman" w:hAnsi="Times New Roman"/>
          <w:sz w:val="19"/>
          <w:szCs w:val="19"/>
          <w:color w:val="auto"/>
        </w:rPr>
        <w:t>. The words “execution,” “signed,” “signature,” and words of like import in any Assignment and Assumption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9" w:name="page250"/>
    <w:bookmarkEnd w:id="249"/>
    <w:p>
      <w:pPr>
        <w:spacing w:after="0" w:line="2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9.07.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0" w:lineRule="exact"/>
        <w:rPr>
          <w:sz w:val="20"/>
          <w:szCs w:val="20"/>
          <w:color w:val="auto"/>
        </w:rPr>
      </w:pPr>
    </w:p>
    <w:p>
      <w:pPr>
        <w:ind w:right="20" w:firstLine="696"/>
        <w:spacing w:after="0" w:line="253" w:lineRule="auto"/>
        <w:rPr>
          <w:sz w:val="20"/>
          <w:szCs w:val="20"/>
          <w:color w:val="auto"/>
        </w:rPr>
      </w:pPr>
      <w:r>
        <w:rPr>
          <w:rFonts w:ascii="Times New Roman" w:cs="Times New Roman" w:eastAsia="Times New Roman" w:hAnsi="Times New Roman"/>
          <w:sz w:val="19"/>
          <w:szCs w:val="19"/>
          <w:color w:val="auto"/>
        </w:rPr>
        <w:t xml:space="preserve">SECTION 9.08.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19"/>
          <w:szCs w:val="19"/>
          <w:u w:val="single" w:color="auto"/>
          <w:color w:val="auto"/>
        </w:rPr>
        <w:t>Sections 2.17(d)</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9.09. </w:t>
      </w:r>
      <w:r>
        <w:rPr>
          <w:rFonts w:ascii="Times New Roman" w:cs="Times New Roman" w:eastAsia="Times New Roman" w:hAnsi="Times New Roman"/>
          <w:sz w:val="19"/>
          <w:szCs w:val="19"/>
          <w:u w:val="single" w:color="auto"/>
          <w:color w:val="auto"/>
        </w:rPr>
        <w:t>Governing Law; Jurisdiction;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960" w:hanging="258"/>
        <w:spacing w:after="0"/>
        <w:tabs>
          <w:tab w:leader="none" w:pos="96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construed in accordance with and governed by the law of the State of New York.</w:t>
      </w:r>
    </w:p>
    <w:p>
      <w:pPr>
        <w:spacing w:after="0" w:line="201" w:lineRule="exact"/>
        <w:rPr>
          <w:rFonts w:ascii="Times New Roman" w:cs="Times New Roman" w:eastAsia="Times New Roman" w:hAnsi="Times New Roman"/>
          <w:sz w:val="19"/>
          <w:szCs w:val="19"/>
          <w:color w:val="auto"/>
        </w:rPr>
      </w:pPr>
    </w:p>
    <w:p>
      <w:pPr>
        <w:jc w:val="both"/>
        <w:ind w:firstLine="702"/>
        <w:spacing w:after="0" w:line="256" w:lineRule="auto"/>
        <w:tabs>
          <w:tab w:leader="none" w:pos="97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0" w:name="page251"/>
    <w:bookmarkEnd w:id="250"/>
    <w:p>
      <w:pPr>
        <w:spacing w:after="0" w:line="26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9"/>
          <w:szCs w:val="19"/>
          <w:color w:val="auto"/>
        </w:rPr>
        <w:t>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44" w:lineRule="exact"/>
        <w:rPr>
          <w:sz w:val="20"/>
          <w:szCs w:val="20"/>
          <w:color w:val="auto"/>
        </w:rPr>
      </w:pPr>
    </w:p>
    <w:p>
      <w:pPr>
        <w:ind w:firstLine="702"/>
        <w:spacing w:after="0" w:line="259" w:lineRule="auto"/>
        <w:tabs>
          <w:tab w:leader="none" w:pos="96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53" w:lineRule="exact"/>
        <w:rPr>
          <w:rFonts w:ascii="Times New Roman" w:cs="Times New Roman" w:eastAsia="Times New Roman" w:hAnsi="Times New Roman"/>
          <w:sz w:val="19"/>
          <w:szCs w:val="19"/>
          <w:color w:val="auto"/>
        </w:rPr>
      </w:pPr>
    </w:p>
    <w:p>
      <w:pPr>
        <w:ind w:right="20" w:firstLine="702"/>
        <w:spacing w:after="0" w:line="259" w:lineRule="auto"/>
        <w:tabs>
          <w:tab w:leader="none" w:pos="97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to this Agreement (i) irrevocably consents to service of process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and (ii) agrees that service as provided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54"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5"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This is an international loan transaction in which the specification of Dollars or any Foreign Currency, as the case may be (the “</w:t>
      </w:r>
      <w:r>
        <w:rPr>
          <w:rFonts w:ascii="Times New Roman" w:cs="Times New Roman" w:eastAsia="Times New Roman" w:hAnsi="Times New Roman"/>
          <w:sz w:val="19"/>
          <w:szCs w:val="19"/>
          <w:u w:val="single" w:color="auto"/>
          <w:color w:val="auto"/>
        </w:rPr>
        <w:t>Specified Currency</w:t>
      </w:r>
      <w:r>
        <w:rPr>
          <w:rFonts w:ascii="Times New Roman" w:cs="Times New Roman" w:eastAsia="Times New Roman" w:hAnsi="Times New Roman"/>
          <w:sz w:val="19"/>
          <w:szCs w:val="19"/>
          <w:color w:val="auto"/>
        </w:rPr>
        <w:t>”), and payment in New York City or the country of the Specified Currency, as the case may be (the “</w:t>
      </w:r>
      <w:r>
        <w:rPr>
          <w:rFonts w:ascii="Times New Roman" w:cs="Times New Roman" w:eastAsia="Times New Roman" w:hAnsi="Times New Roman"/>
          <w:sz w:val="19"/>
          <w:szCs w:val="19"/>
          <w:u w:val="single" w:color="auto"/>
          <w:color w:val="auto"/>
        </w:rPr>
        <w:t>Specified Place</w:t>
      </w:r>
      <w:r>
        <w:rPr>
          <w:rFonts w:ascii="Times New Roman" w:cs="Times New Roman" w:eastAsia="Times New Roman" w:hAnsi="Times New Roman"/>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51" w:name="page252"/>
    <w:bookmarkEnd w:id="251"/>
    <w:p>
      <w:pPr>
        <w:spacing w:after="0" w:line="2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Administrative Agent or any Lender hereunder or under any other Loan Document (in this Section called an “</w:t>
      </w:r>
      <w:r>
        <w:rPr>
          <w:rFonts w:ascii="Times New Roman" w:cs="Times New Roman" w:eastAsia="Times New Roman" w:hAnsi="Times New Roman"/>
          <w:sz w:val="19"/>
          <w:szCs w:val="19"/>
          <w:u w:val="single" w:color="auto"/>
          <w:color w:val="auto"/>
        </w:rPr>
        <w:t>Entitled Person</w:t>
      </w:r>
      <w:r>
        <w:rPr>
          <w:rFonts w:ascii="Times New Roman" w:cs="Times New Roman" w:eastAsia="Times New Roman" w:hAnsi="Times New Roman"/>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0" w:lineRule="exact"/>
        <w:rPr>
          <w:sz w:val="20"/>
          <w:szCs w:val="20"/>
          <w:color w:val="auto"/>
        </w:rPr>
      </w:pPr>
    </w:p>
    <w:p>
      <w:pPr>
        <w:ind w:right="180" w:firstLine="696"/>
        <w:spacing w:after="0" w:line="268"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 xml:space="preserve">SECTION 9.13. </w:t>
      </w:r>
      <w:r>
        <w:rPr>
          <w:rFonts w:ascii="Times New Roman" w:cs="Times New Roman" w:eastAsia="Times New Roman" w:hAnsi="Times New Roman"/>
          <w:sz w:val="19"/>
          <w:szCs w:val="19"/>
          <w:u w:val="single" w:color="auto"/>
          <w:color w:val="auto"/>
        </w:rPr>
        <w:t>Treatment of Certain Information; No Fiduciary Duty; Confidentiality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702"/>
        <w:spacing w:after="0" w:line="252" w:lineRule="auto"/>
        <w:tabs>
          <w:tab w:leader="none" w:pos="9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Information; No Fiduciary Duty; No Conflicts</w:t>
      </w:r>
      <w:r>
        <w:rPr>
          <w:rFonts w:ascii="Times New Roman" w:cs="Times New Roman" w:eastAsia="Times New Roman" w:hAnsi="Times New Roman"/>
          <w:sz w:val="19"/>
          <w:szCs w:val="19"/>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892175</wp:posOffset>
            </wp:positionV>
            <wp:extent cx="673290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2" w:name="page253"/>
    <w:bookmarkEnd w:id="252"/>
    <w:p>
      <w:pPr>
        <w:spacing w:after="0" w:line="2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57" w:lineRule="exact"/>
        <w:rPr>
          <w:sz w:val="20"/>
          <w:szCs w:val="20"/>
          <w:color w:val="auto"/>
        </w:rPr>
      </w:pPr>
    </w:p>
    <w:p>
      <w:pPr>
        <w:ind w:firstLine="702"/>
        <w:spacing w:after="0" w:line="252" w:lineRule="auto"/>
        <w:tabs>
          <w:tab w:leader="none" w:pos="972"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cs="Times New Roman" w:eastAsia="Times New Roman" w:hAnsi="Times New Roman"/>
          <w:sz w:val="19"/>
          <w:szCs w:val="19"/>
          <w:u w:val="single" w:color="auto"/>
          <w:color w:val="auto"/>
        </w:rPr>
        <w:t>Section 9.13(b)</w:t>
      </w:r>
      <w:r>
        <w:rPr>
          <w:rFonts w:ascii="Times New Roman" w:cs="Times New Roman" w:eastAsia="Times New Roman" w:hAnsi="Times New Roman"/>
          <w:sz w:val="19"/>
          <w:szCs w:val="19"/>
          <w:color w:val="auto"/>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spacing w:after="0" w:line="165"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or any of its Subsidiaries after the date hereof; such Information is clearly identified at the time of delivery as confidential. Any Person required to maintain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885825</wp:posOffset>
            </wp:positionV>
            <wp:extent cx="673290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53" w:name="page254"/>
    <w:bookmarkEnd w:id="253"/>
    <w:p>
      <w:pPr>
        <w:spacing w:after="0" w:line="26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4" w:lineRule="exact"/>
        <w:rPr>
          <w:sz w:val="20"/>
          <w:szCs w:val="20"/>
          <w:color w:val="auto"/>
        </w:rPr>
      </w:pPr>
    </w:p>
    <w:p>
      <w:pPr>
        <w:ind w:right="60" w:firstLine="696"/>
        <w:spacing w:after="0" w:line="233" w:lineRule="exact"/>
        <w:rPr>
          <w:sz w:val="20"/>
          <w:szCs w:val="20"/>
          <w:color w:val="auto"/>
        </w:rPr>
      </w:pPr>
      <w:r>
        <w:rPr>
          <w:rFonts w:ascii="Times New Roman" w:cs="Times New Roman" w:eastAsia="Times New Roman" w:hAnsi="Times New Roman"/>
          <w:sz w:val="19"/>
          <w:szCs w:val="19"/>
          <w:color w:val="auto"/>
        </w:rPr>
        <w:t xml:space="preserve">SECTION 9.14. </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Each Lender hereby notifies the Borrower that pursuant to the requirements of the USA PATRIOT Act (Title III of Pub. L. 107</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7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Effect of Amendment and Restatement of the Existing Credit Agreement</w:t>
      </w:r>
      <w:r>
        <w:rPr>
          <w:rFonts w:ascii="Times New Roman" w:cs="Times New Roman" w:eastAsia="Times New Roman" w:hAnsi="Times New Roman"/>
          <w:sz w:val="19"/>
          <w:szCs w:val="19"/>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SECTION 9.16. [</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696"/>
        <w:spacing w:after="0" w:line="257" w:lineRule="auto"/>
        <w:rPr>
          <w:sz w:val="20"/>
          <w:szCs w:val="20"/>
          <w:color w:val="auto"/>
        </w:rPr>
      </w:pPr>
      <w:r>
        <w:rPr>
          <w:rFonts w:ascii="Times New Roman" w:cs="Times New Roman" w:eastAsia="Times New Roman" w:hAnsi="Times New Roman"/>
          <w:sz w:val="19"/>
          <w:szCs w:val="19"/>
          <w:color w:val="auto"/>
        </w:rPr>
        <w:t xml:space="preserve">SECTION 9.17.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320" w:firstLine="702"/>
        <w:spacing w:after="0" w:line="286" w:lineRule="auto"/>
        <w:tabs>
          <w:tab w:leader="none" w:pos="957"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27"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01" w:lineRule="exact"/>
        <w:rPr>
          <w:rFonts w:ascii="Times New Roman" w:cs="Times New Roman" w:eastAsia="Times New Roman" w:hAnsi="Times New Roman"/>
          <w:sz w:val="19"/>
          <w:szCs w:val="19"/>
          <w:color w:val="auto"/>
        </w:rPr>
      </w:pPr>
    </w:p>
    <w:p>
      <w:pPr>
        <w:ind w:left="1680" w:hanging="234"/>
        <w:spacing w:after="0"/>
        <w:tabs>
          <w:tab w:leader="none" w:pos="168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1" w:lineRule="exact"/>
        <w:rPr>
          <w:rFonts w:ascii="Times New Roman" w:cs="Times New Roman" w:eastAsia="Times New Roman" w:hAnsi="Times New Roman"/>
          <w:sz w:val="19"/>
          <w:szCs w:val="19"/>
          <w:color w:val="auto"/>
        </w:rPr>
      </w:pPr>
    </w:p>
    <w:p>
      <w:pPr>
        <w:ind w:left="700" w:right="80" w:firstLine="746"/>
        <w:spacing w:after="0" w:line="268" w:lineRule="auto"/>
        <w:tabs>
          <w:tab w:leader="none" w:pos="1727"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4" w:name="page255"/>
    <w:bookmarkEnd w:id="254"/>
    <w:p>
      <w:pPr>
        <w:spacing w:after="0" w:line="26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9"/>
          <w:szCs w:val="19"/>
          <w:color w:val="auto"/>
        </w:rPr>
        <w:t>or other instruments of ownership will be accepted by it in lieu of any rights with respect to any such liability under this Agreement or any other Loan Document; or</w:t>
      </w:r>
    </w:p>
    <w:p>
      <w:pPr>
        <w:spacing w:after="0" w:line="127" w:lineRule="exact"/>
        <w:rPr>
          <w:sz w:val="20"/>
          <w:szCs w:val="20"/>
          <w:color w:val="auto"/>
        </w:rPr>
      </w:pPr>
    </w:p>
    <w:p>
      <w:pPr>
        <w:ind w:right="400" w:firstLine="746"/>
        <w:spacing w:after="0" w:line="286" w:lineRule="auto"/>
        <w:tabs>
          <w:tab w:leader="none" w:pos="108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9.18.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220" w:firstLine="702"/>
        <w:spacing w:after="0" w:line="262" w:lineRule="auto"/>
        <w:tabs>
          <w:tab w:leader="none" w:pos="257"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50" w:lineRule="exact"/>
        <w:rPr>
          <w:rFonts w:ascii="Times New Roman" w:cs="Times New Roman" w:eastAsia="Times New Roman" w:hAnsi="Times New Roman"/>
          <w:sz w:val="19"/>
          <w:szCs w:val="19"/>
          <w:color w:val="auto"/>
        </w:rPr>
      </w:pPr>
    </w:p>
    <w:p>
      <w:pPr>
        <w:ind w:right="160" w:firstLine="746"/>
        <w:spacing w:after="0" w:line="268" w:lineRule="auto"/>
        <w:tabs>
          <w:tab w:leader="none" w:pos="973"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Section 3(42) of ERISA) of one or more Benefit Plans with respect to such Lender’s entrance into, participation in, administration of and performance of the Loans, the Letters of Credit, the Commitments or this Agreement,</w:t>
      </w:r>
    </w:p>
    <w:p>
      <w:pPr>
        <w:spacing w:after="0" w:line="144" w:lineRule="exact"/>
        <w:rPr>
          <w:rFonts w:ascii="Times New Roman" w:cs="Times New Roman" w:eastAsia="Times New Roman" w:hAnsi="Times New Roman"/>
          <w:sz w:val="19"/>
          <w:szCs w:val="19"/>
          <w:color w:val="auto"/>
        </w:rPr>
      </w:pPr>
    </w:p>
    <w:p>
      <w:pPr>
        <w:ind w:right="120" w:firstLine="746"/>
        <w:spacing w:after="0" w:line="256" w:lineRule="auto"/>
        <w:tabs>
          <w:tab w:leader="none" w:pos="1027"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pacing w:after="0" w:line="157" w:lineRule="exact"/>
        <w:rPr>
          <w:rFonts w:ascii="Times New Roman" w:cs="Times New Roman" w:eastAsia="Times New Roman" w:hAnsi="Times New Roman"/>
          <w:sz w:val="19"/>
          <w:szCs w:val="19"/>
          <w:color w:val="auto"/>
        </w:rPr>
      </w:pPr>
    </w:p>
    <w:p>
      <w:pPr>
        <w:ind w:firstLine="746"/>
        <w:spacing w:after="0" w:line="255" w:lineRule="auto"/>
        <w:tabs>
          <w:tab w:leader="none" w:pos="108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391" w:lineRule="exact"/>
        <w:rPr>
          <w:rFonts w:ascii="Times New Roman" w:cs="Times New Roman" w:eastAsia="Times New Roman" w:hAnsi="Times New Roman"/>
          <w:sz w:val="19"/>
          <w:szCs w:val="19"/>
          <w:color w:val="auto"/>
        </w:rPr>
      </w:pPr>
    </w:p>
    <w:p>
      <w:pPr>
        <w:ind w:right="100" w:firstLine="746"/>
        <w:spacing w:after="0" w:line="286" w:lineRule="auto"/>
        <w:tabs>
          <w:tab w:leader="none" w:pos="1069"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27" w:lineRule="exact"/>
        <w:rPr>
          <w:rFonts w:ascii="Times New Roman" w:cs="Times New Roman" w:eastAsia="Times New Roman" w:hAnsi="Times New Roman"/>
          <w:sz w:val="19"/>
          <w:szCs w:val="19"/>
          <w:color w:val="auto"/>
        </w:rPr>
      </w:pPr>
    </w:p>
    <w:p>
      <w:pPr>
        <w:ind w:left="-700" w:right="260" w:firstLine="702"/>
        <w:spacing w:after="0" w:line="286" w:lineRule="auto"/>
        <w:tabs>
          <w:tab w:leader="none" w:pos="268"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is true with respect to a Lender or (2) a Lender has provided another representation, warranty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869315</wp:posOffset>
            </wp:positionV>
            <wp:extent cx="673290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55" w:name="page256"/>
    <w:bookmarkEnd w:id="255"/>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covenant in accordance with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60"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9.19.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0" w:lineRule="exact"/>
        <w:rPr>
          <w:sz w:val="20"/>
          <w:szCs w:val="20"/>
          <w:color w:val="auto"/>
        </w:rPr>
      </w:pPr>
    </w:p>
    <w:p>
      <w:pPr>
        <w:ind w:right="20" w:firstLine="702"/>
        <w:spacing w:after="0" w:line="253" w:lineRule="auto"/>
        <w:tabs>
          <w:tab w:leader="none" w:pos="95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9.19</w:t>
      </w:r>
      <w:r>
        <w:rPr>
          <w:rFonts w:ascii="Times New Roman" w:cs="Times New Roman" w:eastAsia="Times New Roman" w:hAnsi="Times New Roman"/>
          <w:sz w:val="19"/>
          <w:szCs w:val="19"/>
          <w:color w:val="auto"/>
        </w:rPr>
        <w:t>, the following terms have the following meanings:</w:t>
      </w:r>
    </w:p>
    <w:p>
      <w:pPr>
        <w:spacing w:after="0" w:line="201" w:lineRule="exact"/>
        <w:rPr>
          <w:rFonts w:ascii="Times New Roman" w:cs="Times New Roman" w:eastAsia="Times New Roman" w:hAnsi="Times New Roman"/>
          <w:sz w:val="19"/>
          <w:szCs w:val="19"/>
          <w:color w:val="auto"/>
        </w:rPr>
      </w:pPr>
    </w:p>
    <w:p>
      <w:pPr>
        <w:ind w:left="700" w:right="220" w:firstLine="746"/>
        <w:spacing w:after="0" w:line="286" w:lineRule="auto"/>
        <w:tabs>
          <w:tab w:leader="none" w:pos="1673"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1841(k))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6" w:name="page257"/>
    <w:bookmarkEnd w:id="256"/>
    <w:p>
      <w:pPr>
        <w:spacing w:after="0" w:line="269" w:lineRule="exact"/>
        <w:rPr>
          <w:sz w:val="20"/>
          <w:szCs w:val="20"/>
          <w:color w:val="auto"/>
        </w:rPr>
      </w:pPr>
    </w:p>
    <w:p>
      <w:pPr>
        <w:ind w:left="1720" w:hanging="274"/>
        <w:spacing w:after="0"/>
        <w:tabs>
          <w:tab w:leader="none" w:pos="1720"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2"/>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2"/>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01" w:lineRule="exact"/>
        <w:rPr>
          <w:rFonts w:ascii="Times New Roman" w:cs="Times New Roman" w:eastAsia="Times New Roman" w:hAnsi="Times New Roman"/>
          <w:sz w:val="19"/>
          <w:szCs w:val="19"/>
          <w:color w:val="auto"/>
        </w:rPr>
      </w:pPr>
    </w:p>
    <w:p>
      <w:pPr>
        <w:ind w:left="2520" w:hanging="305"/>
        <w:spacing w:after="0"/>
        <w:tabs>
          <w:tab w:leader="none" w:pos="2520" w:val="left"/>
        </w:tabs>
        <w:numPr>
          <w:ilvl w:val="2"/>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01" w:lineRule="exact"/>
        <w:rPr>
          <w:rFonts w:ascii="Times New Roman" w:cs="Times New Roman" w:eastAsia="Times New Roman" w:hAnsi="Times New Roman"/>
          <w:sz w:val="19"/>
          <w:szCs w:val="19"/>
          <w:color w:val="auto"/>
        </w:rPr>
      </w:pPr>
    </w:p>
    <w:p>
      <w:pPr>
        <w:ind w:left="1780" w:hanging="334"/>
        <w:spacing w:after="0"/>
        <w:tabs>
          <w:tab w:leader="none" w:pos="1780"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w:t>
      </w:r>
    </w:p>
    <w:p>
      <w:pPr>
        <w:spacing w:after="0" w:line="31" w:lineRule="exact"/>
        <w:rPr>
          <w:rFonts w:ascii="Times New Roman" w:cs="Times New Roman" w:eastAsia="Times New Roman" w:hAnsi="Times New Roman"/>
          <w:sz w:val="19"/>
          <w:szCs w:val="19"/>
          <w:color w:val="auto"/>
        </w:rPr>
      </w:pPr>
    </w:p>
    <w:p>
      <w:pPr>
        <w:ind w:left="940" w:hanging="238"/>
        <w:spacing w:after="0"/>
        <w:tabs>
          <w:tab w:leader="none" w:pos="94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252.81, 47.2 or 382.1, as applicable.</w:t>
      </w:r>
    </w:p>
    <w:p>
      <w:pPr>
        <w:spacing w:after="0" w:line="179" w:lineRule="exact"/>
        <w:rPr>
          <w:rFonts w:ascii="Times New Roman" w:cs="Times New Roman" w:eastAsia="Times New Roman" w:hAnsi="Times New Roman"/>
          <w:sz w:val="19"/>
          <w:szCs w:val="19"/>
          <w:color w:val="auto"/>
        </w:rPr>
      </w:pPr>
    </w:p>
    <w:p>
      <w:pPr>
        <w:ind w:left="700" w:right="740" w:firstLine="746"/>
        <w:spacing w:after="0" w:line="286" w:lineRule="auto"/>
        <w:tabs>
          <w:tab w:leader="none" w:pos="1769"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27"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 xml:space="preserve">SECTION 9.20. </w:t>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889635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420" w:hanging="222"/>
        <w:spacing w:after="0"/>
        <w:tabs>
          <w:tab w:leader="none" w:pos="4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Specialty Lending, Inc.;</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May 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240855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Joshua Easterly</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686435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9" w:right="66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CFO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420" w:hanging="222"/>
        <w:spacing w:after="0"/>
        <w:tabs>
          <w:tab w:leader="none" w:pos="42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Specialty Lending, Inc.;</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May 1,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13335</wp:posOffset>
            </wp:positionV>
            <wp:extent cx="240855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Ian Simmonds</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678815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259" w:name="page260"/>
    <w:bookmarkEnd w:id="259"/>
    <w:p>
      <w:pPr>
        <w:ind w:left="988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CEO and CFO Pursuant to</w:t>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45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In connection with the quarterly report on Form 10-Q of Sixth Street Specialty Lending, Inc. (the “Company”) for the quarterly period ended March 31,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700" w:hanging="226"/>
        <w:spacing w:after="0"/>
        <w:tabs>
          <w:tab w:leader="none" w:pos="7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92" w:lineRule="exact"/>
        <w:rPr>
          <w:rFonts w:ascii="Times New Roman" w:cs="Times New Roman" w:eastAsia="Times New Roman" w:hAnsi="Times New Roman"/>
          <w:sz w:val="16"/>
          <w:szCs w:val="16"/>
          <w:color w:val="auto"/>
        </w:rPr>
      </w:pPr>
    </w:p>
    <w:p>
      <w:pPr>
        <w:ind w:left="700" w:hanging="226"/>
        <w:spacing w:after="0"/>
        <w:tabs>
          <w:tab w:leader="none" w:pos="7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Joshua Easterly</w:t>
      </w:r>
    </w:p>
    <w:p>
      <w:pPr>
        <w:sectPr>
          <w:pgSz w:w="11900" w:h="16840" w:orient="portrait"/>
          <w:cols w:equalWidth="0" w:num="1">
            <w:col w:w="10600"/>
          </w:cols>
          <w:pgMar w:left="660" w:top="1131" w:right="640"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Joshua Easterly</w:t>
      </w:r>
    </w:p>
    <w:p>
      <w:pPr>
        <w:spacing w:after="0" w:line="43" w:lineRule="exact"/>
        <w:rPr>
          <w:sz w:val="20"/>
          <w:szCs w:val="20"/>
          <w:color w:val="auto"/>
        </w:rPr>
      </w:pPr>
    </w:p>
    <w:p>
      <w:pPr>
        <w:sectPr>
          <w:pgSz w:w="11900" w:h="16840" w:orient="portrait"/>
          <w:cols w:equalWidth="0" w:num="2">
            <w:col w:w="440" w:space="220"/>
            <w:col w:w="9940"/>
          </w:cols>
          <w:pgMar w:left="660" w:top="1131" w:right="6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3"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 2024</w:t>
      </w:r>
    </w:p>
    <w:p>
      <w:pPr>
        <w:spacing w:after="0" w:line="200"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Ian Simmonds</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 Simmonds</w:t>
      </w:r>
    </w:p>
    <w:p>
      <w:pPr>
        <w:spacing w:after="0" w:line="43" w:lineRule="exact"/>
        <w:rPr>
          <w:sz w:val="20"/>
          <w:szCs w:val="20"/>
          <w:color w:val="auto"/>
        </w:rPr>
      </w:pPr>
    </w:p>
    <w:p>
      <w:pPr>
        <w:sectPr>
          <w:pgSz w:w="11900" w:h="16840" w:orient="portrait"/>
          <w:cols w:equalWidth="0" w:num="2">
            <w:col w:w="440" w:space="220"/>
            <w:col w:w="9940"/>
          </w:cols>
          <w:pgMar w:left="660" w:top="1131" w:right="6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3"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40" w:orient="portrait"/>
          <w:cols w:equalWidth="0" w:num="1">
            <w:col w:w="10600"/>
          </w:cols>
          <w:pgMar w:left="660" w:top="1131" w:right="640"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 2024</w:t>
      </w:r>
    </w:p>
    <w:p>
      <w:pPr>
        <w:spacing w:after="0" w:line="200" w:lineRule="exact"/>
        <w:rPr>
          <w:sz w:val="20"/>
          <w:szCs w:val="20"/>
          <w:color w:val="auto"/>
        </w:rPr>
      </w:pPr>
    </w:p>
    <w:p>
      <w:pPr>
        <w:sectPr>
          <w:pgSz w:w="11900" w:h="16840" w:orient="portrait"/>
          <w:cols w:equalWidth="0" w:num="2">
            <w:col w:w="360" w:space="300"/>
            <w:col w:w="9940"/>
          </w:cols>
          <w:pgMar w:left="660" w:top="1131" w:right="640" w:bottom="1440" w:gutter="0" w:footer="0" w:header="0"/>
          <w:type w:val="continuous"/>
        </w:sectPr>
      </w:pP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579120</wp:posOffset>
            </wp:positionV>
            <wp:extent cx="673290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type w:val="continuous"/>
        </w:sectPr>
      </w:pPr>
    </w:p>
    <w:bookmarkStart w:id="260" w:name="page261"/>
    <w:bookmarkEnd w:id="26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upperLetter"/>
      <w:start w:val="44"/>
    </w:lvl>
  </w:abstractNum>
  <w:abstractNum w:abstractNumId="3">
    <w:nsid w:val="9DAF632"/>
    <w:multiLevelType w:val="hybridMultilevel"/>
    <w:lvl w:ilvl="0">
      <w:lvlJc w:val="left"/>
      <w:lvlText w:val="%1."/>
      <w:numFmt w:val="decimal"/>
      <w:start w:val="1"/>
    </w:lvl>
  </w:abstractNum>
  <w:abstractNum w:abstractNumId="4">
    <w:nsid w:val="53299938"/>
    <w:multiLevelType w:val="hybridMultilevel"/>
    <w:lvl w:ilvl="0">
      <w:lvlJc w:val="left"/>
      <w:lvlText w:val="%1."/>
      <w:numFmt w:val="decimal"/>
      <w:start w:val="2"/>
    </w:lvl>
  </w:abstractNum>
  <w:abstractNum w:abstractNumId="5">
    <w:nsid w:val="1FBFE8E0"/>
    <w:multiLevelType w:val="hybridMultilevel"/>
    <w:lvl w:ilvl="0">
      <w:lvlJc w:val="left"/>
      <w:lvlText w:val="%1."/>
      <w:numFmt w:val="decimal"/>
      <w:start w:val="3"/>
    </w:lvl>
  </w:abstractNum>
  <w:abstractNum w:abstractNumId="6">
    <w:nsid w:val="5092CA79"/>
    <w:multiLevelType w:val="hybridMultilevel"/>
    <w:lvl w:ilvl="0">
      <w:lvlJc w:val="left"/>
      <w:lvlText w:val="%1."/>
      <w:numFmt w:val="decimal"/>
      <w:start w:val="6"/>
    </w:lvl>
  </w:abstractNum>
  <w:abstractNum w:abstractNumId="7">
    <w:nsid w:val="1D545C4D"/>
    <w:multiLevelType w:val="hybridMultilevel"/>
    <w:lvl w:ilvl="0">
      <w:lvlJc w:val="left"/>
      <w:lvlText w:val="%1."/>
      <w:numFmt w:val="decimal"/>
      <w:start w:val="8"/>
    </w:lvl>
  </w:abstractNum>
  <w:abstractNum w:abstractNumId="8">
    <w:nsid w:val="59ADEA3D"/>
    <w:multiLevelType w:val="hybridMultilevel"/>
    <w:lvl w:ilvl="0">
      <w:lvlJc w:val="left"/>
      <w:lvlText w:val="%1."/>
      <w:numFmt w:val="decimal"/>
      <w:start w:val="10"/>
    </w:lvl>
  </w:abstractNum>
  <w:abstractNum w:abstractNumId="9">
    <w:nsid w:val="288F1A34"/>
    <w:multiLevelType w:val="hybridMultilevel"/>
    <w:lvl w:ilvl="0">
      <w:lvlJc w:val="left"/>
      <w:lvlText w:val="%1"/>
      <w:numFmt w:val="decimal"/>
      <w:start w:val="32"/>
    </w:lvl>
  </w:abstractNum>
  <w:abstractNum w:abstractNumId="10">
    <w:nsid w:val="2A155DBC"/>
    <w:multiLevelType w:val="hybridMultilevel"/>
    <w:lvl w:ilvl="0">
      <w:lvlJc w:val="left"/>
      <w:lvlText w:val="%1"/>
      <w:numFmt w:val="decimal"/>
      <w:start w:val="104"/>
    </w:lvl>
  </w:abstractNum>
  <w:abstractNum w:abstractNumId="11">
    <w:nsid w:val="1D9F6E5F"/>
    <w:multiLevelType w:val="hybridMultilevel"/>
    <w:lvl w:ilvl="0">
      <w:lvlJc w:val="left"/>
      <w:lvlText w:val="%1"/>
      <w:numFmt w:val="lowerLetter"/>
      <w:start w:val="1"/>
    </w:lvl>
    <w:lvl w:ilvl="1">
      <w:lvlJc w:val="left"/>
      <w:lvlText w:val="(%2)"/>
      <w:numFmt w:val="lowerLetter"/>
      <w:start w:val="1"/>
    </w:lvl>
  </w:abstractNum>
  <w:abstractNum w:abstractNumId="12">
    <w:nsid w:val="97E1B4E"/>
    <w:multiLevelType w:val="hybridMultilevel"/>
    <w:lvl w:ilvl="0">
      <w:lvlJc w:val="left"/>
      <w:lvlText w:val="(%1)"/>
      <w:numFmt w:val="lowerLetter"/>
      <w:start w:val="2"/>
    </w:lvl>
    <w:lvl w:ilvl="1">
      <w:lvlJc w:val="left"/>
      <w:lvlText w:val="%2"/>
      <w:numFmt w:val="lowerLetter"/>
      <w:start w:val="1"/>
    </w:lvl>
  </w:abstractNum>
  <w:abstractNum w:abstractNumId="13">
    <w:nsid w:val="51088277"/>
    <w:multiLevelType w:val="hybridMultilevel"/>
    <w:lvl w:ilvl="0">
      <w:lvlJc w:val="left"/>
      <w:lvlText w:val="(%1)"/>
      <w:numFmt w:val="lowerLetter"/>
      <w:start w:val="1"/>
    </w:lvl>
  </w:abstractNum>
  <w:abstractNum w:abstractNumId="14">
    <w:nsid w:val="1CA0C5FA"/>
    <w:multiLevelType w:val="hybridMultilevel"/>
    <w:lvl w:ilvl="0">
      <w:lvlJc w:val="left"/>
      <w:lvlText w:val="(%1)"/>
      <w:numFmt w:val="lowerLetter"/>
      <w:start w:val="2"/>
    </w:lvl>
  </w:abstractNum>
  <w:abstractNum w:abstractNumId="15">
    <w:nsid w:val="53584BCB"/>
    <w:multiLevelType w:val="hybridMultilevel"/>
    <w:lvl w:ilvl="0">
      <w:lvlJc w:val="left"/>
      <w:lvlText w:val="(%1)"/>
      <w:numFmt w:val="lowerLetter"/>
      <w:start w:val="2"/>
    </w:lvl>
  </w:abstractNum>
  <w:abstractNum w:abstractNumId="16">
    <w:nsid w:val="415E286C"/>
    <w:multiLevelType w:val="hybridMultilevel"/>
    <w:lvl w:ilvl="0">
      <w:lvlJc w:val="left"/>
      <w:lvlText w:val="%1"/>
      <w:numFmt w:val="lowerRoman"/>
      <w:start w:val="1"/>
    </w:lvl>
    <w:lvl w:ilvl="1">
      <w:lvlJc w:val="left"/>
      <w:lvlText w:val="(%2)"/>
      <w:numFmt w:val="decimal"/>
      <w:start w:val="1"/>
    </w:lvl>
  </w:abstractNum>
  <w:abstractNum w:abstractNumId="17">
    <w:nsid w:val="7C58FD05"/>
    <w:multiLevelType w:val="hybridMultilevel"/>
    <w:lvl w:ilvl="0">
      <w:lvlJc w:val="left"/>
      <w:lvlText w:val="(%1)"/>
      <w:numFmt w:val="lowerRoman"/>
      <w:start w:val="2"/>
    </w:lvl>
    <w:lvl w:ilvl="1">
      <w:lvlJc w:val="left"/>
      <w:lvlText w:val="%2"/>
      <w:numFmt w:val="decimal"/>
      <w:start w:val="1"/>
    </w:lvl>
  </w:abstractNum>
  <w:abstractNum w:abstractNumId="18">
    <w:nsid w:val="23D86AAC"/>
    <w:multiLevelType w:val="hybridMultilevel"/>
    <w:lvl w:ilvl="0">
      <w:lvlJc w:val="left"/>
      <w:lvlText w:val="(%1)"/>
      <w:numFmt w:val="decimal"/>
      <w:start w:val="1"/>
    </w:lvl>
  </w:abstractNum>
  <w:abstractNum w:abstractNumId="19">
    <w:nsid w:val="45E6D486"/>
    <w:multiLevelType w:val="hybridMultilevel"/>
    <w:lvl w:ilvl="0">
      <w:lvlJc w:val="left"/>
      <w:lvlText w:val="(%1)"/>
      <w:numFmt w:val="lowerLetter"/>
      <w:start w:val="2"/>
    </w:lvl>
  </w:abstractNum>
  <w:abstractNum w:abstractNumId="20">
    <w:nsid w:val="5C10FE21"/>
    <w:multiLevelType w:val="hybridMultilevel"/>
    <w:lvl w:ilvl="0">
      <w:lvlJc w:val="left"/>
      <w:lvlText w:val="(%1)"/>
      <w:numFmt w:val="decimal"/>
      <w:start w:val="2"/>
    </w:lvl>
  </w:abstractNum>
  <w:abstractNum w:abstractNumId="21">
    <w:nsid w:val="E7FFA2B"/>
    <w:multiLevelType w:val="hybridMultilevel"/>
    <w:lvl w:ilvl="0">
      <w:lvlJc w:val="left"/>
      <w:lvlText w:val="(%1)"/>
      <w:numFmt w:val="decimal"/>
      <w:start w:val="1"/>
    </w:lvl>
  </w:abstractNum>
  <w:abstractNum w:abstractNumId="22">
    <w:nsid w:val="3C5991AA"/>
    <w:multiLevelType w:val="hybridMultilevel"/>
    <w:lvl w:ilvl="0">
      <w:lvlJc w:val="left"/>
      <w:lvlText w:val="(%1)"/>
      <w:numFmt w:val="decimal"/>
      <w:start w:val="1"/>
    </w:lvl>
  </w:abstractNum>
  <w:abstractNum w:abstractNumId="23">
    <w:nsid w:val="4BD8591A"/>
    <w:multiLevelType w:val="hybridMultilevel"/>
    <w:lvl w:ilvl="0">
      <w:lvlJc w:val="left"/>
      <w:lvlText w:val="(%1)"/>
      <w:numFmt w:val="decimal"/>
      <w:start w:val="3"/>
    </w:lvl>
  </w:abstractNum>
  <w:abstractNum w:abstractNumId="24">
    <w:nsid w:val="78DF6A55"/>
    <w:multiLevelType w:val="hybridMultilevel"/>
    <w:lvl w:ilvl="0">
      <w:lvlJc w:val="left"/>
      <w:lvlText w:val="(%1)"/>
      <w:numFmt w:val="lowerLetter"/>
      <w:start w:val="2"/>
    </w:lvl>
  </w:abstractNum>
  <w:abstractNum w:abstractNumId="25">
    <w:nsid w:val="39B7AAA2"/>
    <w:multiLevelType w:val="hybridMultilevel"/>
    <w:lvl w:ilvl="0">
      <w:lvlJc w:val="left"/>
      <w:lvlText w:val="(%1)"/>
      <w:numFmt w:val="lowerLetter"/>
      <w:start w:val="2"/>
    </w:lvl>
  </w:abstractNum>
  <w:abstractNum w:abstractNumId="26">
    <w:nsid w:val="2B0D8DBE"/>
    <w:multiLevelType w:val="hybridMultilevel"/>
    <w:lvl w:ilvl="0">
      <w:lvlJc w:val="left"/>
      <w:lvlText w:val="%1"/>
      <w:numFmt w:val="lowerLetter"/>
      <w:start w:val="1"/>
    </w:lvl>
    <w:lvl w:ilvl="1">
      <w:lvlJc w:val="left"/>
      <w:lvlText w:val="(%2)"/>
      <w:numFmt w:val="lowerLetter"/>
      <w:start w:val="1"/>
    </w:lvl>
  </w:abstractNum>
  <w:abstractNum w:abstractNumId="27">
    <w:nsid w:val="6C80EC70"/>
    <w:multiLevelType w:val="hybridMultilevel"/>
    <w:lvl w:ilvl="0">
      <w:lvlJc w:val="left"/>
      <w:lvlText w:val="(%1)"/>
      <w:numFmt w:val="lowerLetter"/>
      <w:start w:val="3"/>
    </w:lvl>
    <w:lvl w:ilvl="1">
      <w:lvlJc w:val="left"/>
      <w:lvlText w:val="%2"/>
      <w:numFmt w:val="lowerLetter"/>
      <w:start w:val="1"/>
    </w:lvl>
  </w:abstractNum>
  <w:abstractNum w:abstractNumId="28">
    <w:nsid w:val="379E21B5"/>
    <w:multiLevelType w:val="hybridMultilevel"/>
    <w:lvl w:ilvl="0">
      <w:lvlJc w:val="left"/>
      <w:lvlText w:val="%1"/>
      <w:numFmt w:val="lowerLetter"/>
      <w:start w:val="1"/>
    </w:lvl>
    <w:lvl w:ilvl="1">
      <w:lvlJc w:val="left"/>
      <w:lvlText w:val="(%2)"/>
      <w:numFmt w:val="lowerLetter"/>
      <w:start w:val="5"/>
    </w:lvl>
  </w:abstractNum>
  <w:abstractNum w:abstractNumId="29">
    <w:nsid w:val="69E373"/>
    <w:multiLevelType w:val="hybridMultilevel"/>
    <w:lvl w:ilvl="0">
      <w:lvlJc w:val="left"/>
      <w:lvlText w:val="(%1)"/>
      <w:numFmt w:val="lowerLetter"/>
      <w:start w:val="6"/>
    </w:lvl>
    <w:lvl w:ilvl="1">
      <w:lvlJc w:val="left"/>
      <w:lvlText w:val="%2"/>
      <w:numFmt w:val="lowerLetter"/>
      <w:start w:val="1"/>
    </w:lvl>
  </w:abstractNum>
  <w:abstractNum w:abstractNumId="30">
    <w:nsid w:val="2C27173B"/>
    <w:multiLevelType w:val="hybridMultilevel"/>
    <w:lvl w:ilvl="0">
      <w:lvlJc w:val="left"/>
      <w:lvlText w:val="(%1)"/>
      <w:numFmt w:val="lowerLetter"/>
      <w:start w:val="1"/>
    </w:lvl>
  </w:abstractNum>
  <w:abstractNum w:abstractNumId="31">
    <w:nsid w:val="4C9B0904"/>
    <w:multiLevelType w:val="hybridMultilevel"/>
    <w:lvl w:ilvl="0">
      <w:lvlJc w:val="left"/>
      <w:lvlText w:val="(%1)"/>
      <w:numFmt w:val="lowerLetter"/>
      <w:start w:val="2"/>
    </w:lvl>
  </w:abstractNum>
  <w:abstractNum w:abstractNumId="32">
    <w:nsid w:val="6AA7B75C"/>
    <w:multiLevelType w:val="hybridMultilevel"/>
    <w:lvl w:ilvl="0">
      <w:lvlJc w:val="left"/>
      <w:lvlText w:val="(%1)"/>
      <w:numFmt w:val="lowerLetter"/>
      <w:start w:val="2"/>
    </w:lvl>
  </w:abstractNum>
  <w:abstractNum w:abstractNumId="33">
    <w:nsid w:val="1DF029D3"/>
    <w:multiLevelType w:val="hybridMultilevel"/>
    <w:lvl w:ilvl="0">
      <w:lvlJc w:val="left"/>
      <w:lvlText w:val="(%1)"/>
      <w:numFmt w:val="lowerLetter"/>
      <w:start w:val="1"/>
    </w:lvl>
  </w:abstractNum>
  <w:abstractNum w:abstractNumId="34">
    <w:nsid w:val="5675FF36"/>
    <w:multiLevelType w:val="hybridMultilevel"/>
    <w:lvl w:ilvl="0">
      <w:lvlJc w:val="left"/>
      <w:lvlText w:val="(%1)"/>
      <w:numFmt w:val="lowerLetter"/>
      <w:start w:val="2"/>
    </w:lvl>
  </w:abstractNum>
  <w:abstractNum w:abstractNumId="35">
    <w:nsid w:val="3DD15094"/>
    <w:multiLevelType w:val="hybridMultilevel"/>
    <w:lvl w:ilvl="0">
      <w:lvlJc w:val="left"/>
      <w:lvlText w:val="%1"/>
      <w:numFmt w:val="upperLetter"/>
      <w:start w:val="1"/>
    </w:lvl>
    <w:lvl w:ilvl="1">
      <w:lvlJc w:val="left"/>
      <w:lvlText w:val="(%2)"/>
      <w:numFmt w:val="lowerLetter"/>
      <w:start w:val="1"/>
    </w:lvl>
  </w:abstractNum>
  <w:abstractNum w:abstractNumId="36">
    <w:nsid w:val="3DB012B3"/>
    <w:multiLevelType w:val="hybridMultilevel"/>
    <w:lvl w:ilvl="0">
      <w:lvlJc w:val="left"/>
      <w:lvlText w:val="(%1)"/>
      <w:numFmt w:val="upperLetter"/>
      <w:start w:val="1"/>
    </w:lvl>
    <w:lvl w:ilvl="1">
      <w:lvlJc w:val="left"/>
      <w:lvlText w:val="(%2)"/>
      <w:numFmt w:val="lowerLetter"/>
      <w:start w:val="2"/>
    </w:lvl>
  </w:abstractNum>
  <w:abstractNum w:abstractNumId="37">
    <w:nsid w:val="2708C9AF"/>
    <w:multiLevelType w:val="hybridMultilevel"/>
    <w:lvl w:ilvl="0">
      <w:lvlJc w:val="left"/>
      <w:lvlText w:val="(%1)"/>
      <w:numFmt w:val="upperLetter"/>
      <w:start w:val="2"/>
    </w:lvl>
    <w:lvl w:ilvl="1">
      <w:lvlJc w:val="left"/>
      <w:lvlText w:val="(%2)"/>
      <w:numFmt w:val="lowerLetter"/>
      <w:start w:val="3"/>
    </w:lvl>
  </w:abstractNum>
  <w:abstractNum w:abstractNumId="38">
    <w:nsid w:val="5B25ACE2"/>
    <w:multiLevelType w:val="hybridMultilevel"/>
    <w:lvl w:ilvl="0">
      <w:lvlJc w:val="left"/>
      <w:lvlText w:val="(%1)"/>
      <w:numFmt w:val="lowerLetter"/>
      <w:start w:val="19"/>
    </w:lvl>
  </w:abstractNum>
  <w:abstractNum w:abstractNumId="39">
    <w:nsid w:val="175DFCF0"/>
    <w:multiLevelType w:val="hybridMultilevel"/>
    <w:lvl w:ilvl="0">
      <w:lvlJc w:val="left"/>
      <w:lvlText w:val="(%1)"/>
      <w:numFmt w:val="lowerLetter"/>
      <w:start w:val="1"/>
    </w:lvl>
  </w:abstractNum>
  <w:abstractNum w:abstractNumId="40">
    <w:nsid w:val="4F97E3E4"/>
    <w:multiLevelType w:val="hybridMultilevel"/>
    <w:lvl w:ilvl="0">
      <w:lvlJc w:val="left"/>
      <w:lvlText w:val="(%1)"/>
      <w:numFmt w:val="lowerLetter"/>
      <w:start w:val="1"/>
    </w:lvl>
  </w:abstractNum>
  <w:abstractNum w:abstractNumId="41">
    <w:nsid w:val="53B0A9E"/>
    <w:multiLevelType w:val="hybridMultilevel"/>
    <w:lvl w:ilvl="0">
      <w:lvlJc w:val="left"/>
      <w:lvlText w:val="(%1)"/>
      <w:numFmt w:val="lowerLetter"/>
      <w:start w:val="5"/>
    </w:lvl>
  </w:abstractNum>
  <w:abstractNum w:abstractNumId="42">
    <w:nsid w:val="34FD6B4F"/>
    <w:multiLevelType w:val="hybridMultilevel"/>
    <w:lvl w:ilvl="0">
      <w:lvlJc w:val="left"/>
      <w:lvlText w:val="(%1)"/>
      <w:numFmt w:val="lowerLetter"/>
      <w:start w:val="1"/>
    </w:lvl>
  </w:abstractNum>
  <w:abstractNum w:abstractNumId="43">
    <w:nsid w:val="5915FF32"/>
    <w:multiLevelType w:val="hybridMultilevel"/>
    <w:lvl w:ilvl="0">
      <w:lvlJc w:val="left"/>
      <w:lvlText w:val="(%1)"/>
      <w:numFmt w:val="lowerLetter"/>
      <w:start w:val="2"/>
    </w:lvl>
  </w:abstractNum>
  <w:abstractNum w:abstractNumId="44">
    <w:nsid w:val="56438D15"/>
    <w:multiLevelType w:val="hybridMultilevel"/>
    <w:lvl w:ilvl="0">
      <w:lvlJc w:val="left"/>
      <w:lvlText w:val="(%1)"/>
      <w:numFmt w:val="lowerLetter"/>
      <w:start w:val="4"/>
    </w:lvl>
  </w:abstractNum>
  <w:abstractNum w:abstractNumId="45">
    <w:nsid w:val="519E3149"/>
    <w:multiLevelType w:val="hybridMultilevel"/>
    <w:lvl w:ilvl="0">
      <w:lvlJc w:val="left"/>
      <w:lvlText w:val="(%1)"/>
      <w:numFmt w:val="lowerLetter"/>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Letter"/>
      <w:start w:val="2"/>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
    <w:nsid w:val="5EC6AFD4"/>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1"/>
    </w:lvl>
  </w:abstractNum>
  <w:abstractNum w:abstractNumId="53">
    <w:nsid w:val="19E21BB2"/>
    <w:multiLevelType w:val="hybridMultilevel"/>
    <w:lvl w:ilvl="0">
      <w:lvlJc w:val="left"/>
      <w:lvlText w:val="(%1)"/>
      <w:numFmt w:val="lowerLetter"/>
      <w:start w:val="4"/>
    </w:lvl>
  </w:abstractNum>
  <w:abstractNum w:abstractNumId="54">
    <w:nsid w:val="75E0858A"/>
    <w:multiLevelType w:val="hybridMultilevel"/>
    <w:lvl w:ilvl="0">
      <w:lvlJc w:val="left"/>
      <w:lvlText w:val="%1"/>
      <w:numFmt w:val="upperLetter"/>
      <w:start w:val="1"/>
    </w:lvl>
    <w:lvl w:ilvl="1">
      <w:lvlJc w:val="left"/>
      <w:lvlText w:val="(%2)"/>
      <w:numFmt w:val="lowerLetter"/>
      <w:start w:val="1"/>
    </w:lvl>
  </w:abstractNum>
  <w:abstractNum w:abstractNumId="55">
    <w:nsid w:val="57A61A29"/>
    <w:multiLevelType w:val="hybridMultilevel"/>
    <w:lvl w:ilvl="0">
      <w:lvlJc w:val="left"/>
      <w:lvlText w:val="(%1)"/>
      <w:numFmt w:val="upperLetter"/>
      <w:start w:val="2"/>
    </w:lvl>
    <w:lvl w:ilvl="1">
      <w:lvlJc w:val="left"/>
      <w:lvlText w:val="(%2)"/>
      <w:numFmt w:val="lowerLetter"/>
      <w:start w:val="2"/>
    </w:lvl>
  </w:abstractNum>
  <w:abstractNum w:abstractNumId="56">
    <w:nsid w:val="5399C654"/>
    <w:multiLevelType w:val="hybridMultilevel"/>
    <w:lvl w:ilvl="0">
      <w:lvlJc w:val="left"/>
      <w:lvlText w:val="(%1)"/>
      <w:numFmt w:val="lowerLetter"/>
      <w:start w:val="3"/>
    </w:lvl>
  </w:abstractNum>
  <w:abstractNum w:abstractNumId="57">
    <w:nsid w:val="20EE1348"/>
    <w:multiLevelType w:val="hybridMultilevel"/>
    <w:lvl w:ilvl="0">
      <w:lvlJc w:val="left"/>
      <w:lvlText w:val="(%1)"/>
      <w:numFmt w:val="lowerLetter"/>
      <w:start w:val="4"/>
    </w:lvl>
  </w:abstractNum>
  <w:abstractNum w:abstractNumId="58">
    <w:nsid w:val="4427069A"/>
    <w:multiLevelType w:val="hybridMultilevel"/>
    <w:lvl w:ilvl="0">
      <w:lvlJc w:val="left"/>
      <w:lvlText w:val="(%1)"/>
      <w:numFmt w:val="lowerLetter"/>
      <w:start w:val="1"/>
    </w:lvl>
  </w:abstractNum>
  <w:abstractNum w:abstractNumId="59">
    <w:nsid w:val="B37E80A"/>
    <w:multiLevelType w:val="hybridMultilevel"/>
    <w:lvl w:ilvl="0">
      <w:lvlJc w:val="left"/>
      <w:lvlText w:val="(%1)"/>
      <w:numFmt w:val="lowerLetter"/>
      <w:start w:val="2"/>
    </w:lvl>
  </w:abstractNum>
  <w:abstractNum w:abstractNumId="60">
    <w:nsid w:val="2157F6BC"/>
    <w:multiLevelType w:val="hybridMultilevel"/>
    <w:lvl w:ilvl="0">
      <w:lvlJc w:val="left"/>
      <w:lvlText w:val="(%1)"/>
      <w:numFmt w:val="lowerLetter"/>
      <w:start w:val="4"/>
    </w:lvl>
  </w:abstractNum>
  <w:abstractNum w:abstractNumId="61">
    <w:nsid w:val="704E1DD5"/>
    <w:multiLevelType w:val="hybridMultilevel"/>
    <w:lvl w:ilvl="0">
      <w:lvlJc w:val="left"/>
      <w:lvlText w:val="(%1)"/>
      <w:numFmt w:val="lowerLetter"/>
      <w:start w:val="6"/>
    </w:lvl>
  </w:abstractNum>
  <w:abstractNum w:abstractNumId="62">
    <w:nsid w:val="57D2F10E"/>
    <w:multiLevelType w:val="hybridMultilevel"/>
    <w:lvl w:ilvl="0">
      <w:lvlJc w:val="left"/>
      <w:lvlText w:val="(%1)"/>
      <w:numFmt w:val="lowerLetter"/>
      <w:start w:val="7"/>
    </w:lvl>
  </w:abstractNum>
  <w:abstractNum w:abstractNumId="63">
    <w:nsid w:val="BFFAE18"/>
    <w:multiLevelType w:val="hybridMultilevel"/>
    <w:lvl w:ilvl="0">
      <w:lvlJc w:val="left"/>
      <w:lvlText w:val="%1"/>
      <w:numFmt w:val="lowerLetter"/>
      <w:start w:val="1"/>
    </w:lvl>
    <w:lvl w:ilvl="1">
      <w:lvlJc w:val="left"/>
      <w:lvlText w:val="(%2)"/>
      <w:numFmt w:val="lowerRoman"/>
      <w:start w:val="1"/>
    </w:lvl>
  </w:abstractNum>
  <w:abstractNum w:abstractNumId="64">
    <w:nsid w:val="E3E47A8"/>
    <w:multiLevelType w:val="hybridMultilevel"/>
    <w:lvl w:ilvl="0">
      <w:lvlJc w:val="left"/>
      <w:lvlText w:val="(%1)"/>
      <w:numFmt w:val="lowerLetter"/>
      <w:start w:val="8"/>
    </w:lvl>
    <w:lvl w:ilvl="1">
      <w:lvlJc w:val="left"/>
      <w:lvlText w:val="%2"/>
      <w:numFmt w:val="lowerRoman"/>
      <w:start w:val="1"/>
    </w:lvl>
  </w:abstractNum>
  <w:abstractNum w:abstractNumId="65">
    <w:nsid w:val="2E48F044"/>
    <w:multiLevelType w:val="hybridMultilevel"/>
    <w:lvl w:ilvl="0">
      <w:lvlJc w:val="left"/>
      <w:lvlText w:val="(%1)"/>
      <w:numFmt w:val="lowerLetter"/>
      <w:start w:val="12"/>
    </w:lvl>
  </w:abstractNum>
  <w:abstractNum w:abstractNumId="66">
    <w:nsid w:val="49D0FEAC"/>
    <w:multiLevelType w:val="hybridMultilevel"/>
    <w:lvl w:ilvl="0">
      <w:lvlJc w:val="left"/>
      <w:lvlText w:val="(%1)"/>
      <w:numFmt w:val="lowerLetter"/>
      <w:start w:val="1"/>
    </w:lvl>
  </w:abstractNum>
  <w:abstractNum w:abstractNumId="67">
    <w:nsid w:val="4BEE5A5B"/>
    <w:multiLevelType w:val="hybridMultilevel"/>
    <w:lvl w:ilvl="0">
      <w:lvlJc w:val="left"/>
      <w:lvlText w:val="%1"/>
      <w:numFmt w:val="lowerLetter"/>
      <w:start w:val="1"/>
    </w:lvl>
    <w:lvl w:ilvl="1">
      <w:lvlJc w:val="left"/>
      <w:lvlText w:val="(%2)"/>
      <w:numFmt w:val="lowerLetter"/>
      <w:start w:val="1"/>
    </w:lvl>
  </w:abstractNum>
  <w:abstractNum w:abstractNumId="68">
    <w:nsid w:val="5551B9F3"/>
    <w:multiLevelType w:val="hybridMultilevel"/>
    <w:lvl w:ilvl="0">
      <w:lvlJc w:val="left"/>
      <w:lvlText w:val="(%1)"/>
      <w:numFmt w:val="lowerLetter"/>
      <w:start w:val="35"/>
    </w:lvl>
    <w:lvl w:ilvl="1">
      <w:lvlJc w:val="left"/>
      <w:lvlText w:val="%2"/>
      <w:numFmt w:val="lowerLetter"/>
      <w:start w:val="1"/>
    </w:lvl>
  </w:abstractNum>
  <w:abstractNum w:abstractNumId="69">
    <w:nsid w:val="24F6AB8E"/>
    <w:multiLevelType w:val="hybridMultilevel"/>
    <w:lvl w:ilvl="0">
      <w:lvlJc w:val="left"/>
      <w:lvlText w:val="(%1)"/>
      <w:numFmt w:val="lowerLetter"/>
      <w:start w:val="2"/>
    </w:lvl>
    <w:lvl w:ilvl="1">
      <w:lvlJc w:val="left"/>
      <w:lvlText w:val="(%2)"/>
      <w:numFmt w:val="lowerRoman"/>
      <w:start w:val="1"/>
    </w:lvl>
  </w:abstractNum>
  <w:abstractNum w:abstractNumId="70">
    <w:nsid w:val="634C574C"/>
    <w:multiLevelType w:val="hybridMultilevel"/>
    <w:lvl w:ilvl="0">
      <w:lvlJc w:val="left"/>
      <w:lvlText w:val="(%1)"/>
      <w:numFmt w:val="lowerLetter"/>
      <w:start w:val="1"/>
    </w:lvl>
  </w:abstractNum>
  <w:abstractNum w:abstractNumId="71">
    <w:nsid w:val="24E99DD7"/>
    <w:multiLevelType w:val="hybridMultilevel"/>
    <w:lvl w:ilvl="0">
      <w:lvlJc w:val="left"/>
      <w:lvlText w:val="(%1)"/>
      <w:numFmt w:val="lowerRoman"/>
      <w:start w:val="1"/>
    </w:lvl>
    <w:lvl w:ilvl="1">
      <w:lvlJc w:val="left"/>
      <w:lvlText w:val="(%2)"/>
      <w:numFmt w:val="upperLetter"/>
      <w:start w:val="1"/>
    </w:lvl>
  </w:abstractNum>
  <w:abstractNum w:abstractNumId="72">
    <w:nsid w:val="2A31B62D"/>
    <w:multiLevelType w:val="hybridMultilevel"/>
    <w:lvl w:ilvl="0">
      <w:lvlJc w:val="left"/>
      <w:lvlText w:val="(%1)"/>
      <w:numFmt w:val="lowerRoman"/>
      <w:start w:val="10"/>
    </w:lvl>
  </w:abstractNum>
  <w:abstractNum w:abstractNumId="73">
    <w:nsid w:val="1849C29B"/>
    <w:multiLevelType w:val="hybridMultilevel"/>
    <w:lvl w:ilvl="0">
      <w:lvlJc w:val="left"/>
      <w:lvlText w:val="(%1)"/>
      <w:numFmt w:val="lowerLetter"/>
      <w:start w:val="25"/>
    </w:lvl>
  </w:abstractNum>
  <w:abstractNum w:abstractNumId="74">
    <w:nsid w:val="7DFF9D09"/>
    <w:multiLevelType w:val="hybridMultilevel"/>
    <w:lvl w:ilvl="0">
      <w:lvlJc w:val="left"/>
      <w:lvlText w:val="%1"/>
      <w:numFmt w:val="lowerLetter"/>
      <w:start w:val="1"/>
    </w:lvl>
    <w:lvl w:ilvl="1">
      <w:lvlJc w:val="left"/>
      <w:lvlText w:val="(%2)"/>
      <w:numFmt w:val="lowerRoman"/>
      <w:start w:val="3"/>
    </w:lvl>
  </w:abstractNum>
  <w:abstractNum w:abstractNumId="75">
    <w:nsid w:val="754342"/>
    <w:multiLevelType w:val="hybridMultilevel"/>
    <w:lvl w:ilvl="0">
      <w:lvlJc w:val="left"/>
      <w:lvlText w:val="(%1)"/>
      <w:numFmt w:val="lowerLetter"/>
      <w:start w:val="6"/>
    </w:lvl>
    <w:lvl w:ilvl="1">
      <w:lvlJc w:val="left"/>
      <w:lvlText w:val="%2"/>
      <w:numFmt w:val="lowerRoman"/>
      <w:start w:val="1"/>
    </w:lvl>
  </w:abstractNum>
  <w:abstractNum w:abstractNumId="76">
    <w:nsid w:val="69E7F3E5"/>
    <w:multiLevelType w:val="hybridMultilevel"/>
    <w:lvl w:ilvl="0">
      <w:lvlJc w:val="left"/>
      <w:lvlText w:val="(%1)"/>
      <w:numFmt w:val="lowerRoman"/>
      <w:start w:val="1"/>
    </w:lvl>
  </w:abstractNum>
  <w:abstractNum w:abstractNumId="77">
    <w:nsid w:val="2A6DE806"/>
    <w:multiLevelType w:val="hybridMultilevel"/>
    <w:lvl w:ilvl="0">
      <w:lvlJc w:val="left"/>
      <w:lvlText w:val="(%1)"/>
      <w:numFmt w:val="lowerLetter"/>
      <w:start w:val="1"/>
    </w:lvl>
    <w:lvl w:ilvl="1">
      <w:lvlJc w:val="left"/>
      <w:lvlText w:val="(%2)"/>
      <w:numFmt w:val="lowerRoman"/>
      <w:start w:val="1"/>
    </w:lvl>
  </w:abstractNum>
  <w:abstractNum w:abstractNumId="78">
    <w:nsid w:val="1816F8C4"/>
    <w:multiLevelType w:val="hybridMultilevel"/>
    <w:lvl w:ilvl="0">
      <w:lvlJc w:val="left"/>
      <w:lvlText w:val="(%1)"/>
      <w:numFmt w:val="lowerLetter"/>
      <w:start w:val="2"/>
    </w:lvl>
  </w:abstractNum>
  <w:abstractNum w:abstractNumId="79">
    <w:nsid w:val="37DF2233"/>
    <w:multiLevelType w:val="hybridMultilevel"/>
    <w:lvl w:ilvl="0">
      <w:lvlJc w:val="left"/>
      <w:lvlText w:val="(%1)"/>
      <w:numFmt w:val="lowerLetter"/>
      <w:start w:val="3"/>
    </w:lvl>
  </w:abstractNum>
  <w:abstractNum w:abstractNumId="80">
    <w:nsid w:val="7AB49DAF"/>
    <w:multiLevelType w:val="hybridMultilevel"/>
    <w:lvl w:ilvl="0">
      <w:lvlJc w:val="left"/>
      <w:lvlText w:val="(%1)"/>
      <w:numFmt w:val="lowerLetter"/>
      <w:start w:val="1"/>
    </w:lvl>
  </w:abstractNum>
  <w:abstractNum w:abstractNumId="81">
    <w:nsid w:val="759F82CD"/>
    <w:multiLevelType w:val="hybridMultilevel"/>
    <w:lvl w:ilvl="0">
      <w:lvlJc w:val="left"/>
      <w:lvlText w:val="(%1)"/>
      <w:numFmt w:val="lowerLetter"/>
      <w:start w:val="2"/>
    </w:lvl>
    <w:lvl w:ilvl="1">
      <w:lvlJc w:val="left"/>
      <w:lvlText w:val="(%2)"/>
      <w:numFmt w:val="lowerRoman"/>
      <w:start w:val="1"/>
    </w:lvl>
  </w:abstractNum>
  <w:abstractNum w:abstractNumId="82">
    <w:nsid w:val="61E74EA3"/>
    <w:multiLevelType w:val="hybridMultilevel"/>
    <w:lvl w:ilvl="0">
      <w:lvlJc w:val="left"/>
      <w:lvlText w:val="(%1)"/>
      <w:numFmt w:val="lowerLetter"/>
      <w:start w:val="3"/>
    </w:lvl>
  </w:abstractNum>
  <w:abstractNum w:abstractNumId="83">
    <w:nsid w:val="597B4D84"/>
    <w:multiLevelType w:val="hybridMultilevel"/>
    <w:lvl w:ilvl="0">
      <w:lvlJc w:val="left"/>
      <w:lvlText w:val="(%1)"/>
      <w:numFmt w:val="lowerLetter"/>
      <w:start w:val="4"/>
    </w:lvl>
    <w:lvl w:ilvl="1">
      <w:lvlJc w:val="left"/>
      <w:lvlText w:val="(%2)"/>
      <w:numFmt w:val="lowerRoman"/>
      <w:start w:val="1"/>
    </w:lvl>
  </w:abstractNum>
  <w:abstractNum w:abstractNumId="84">
    <w:nsid w:val="F819E7F"/>
    <w:multiLevelType w:val="hybridMultilevel"/>
    <w:lvl w:ilvl="0">
      <w:lvlJc w:val="left"/>
      <w:lvlText w:val="(%1)"/>
      <w:numFmt w:val="lowerRoman"/>
      <w:start w:val="5"/>
    </w:lvl>
  </w:abstractNum>
  <w:abstractNum w:abstractNumId="85">
    <w:nsid w:val="57C7D42D"/>
    <w:multiLevelType w:val="hybridMultilevel"/>
    <w:lvl w:ilvl="0">
      <w:lvlJc w:val="left"/>
      <w:lvlText w:val="(%1)"/>
      <w:numFmt w:val="lowerLetter"/>
      <w:start w:val="5"/>
    </w:lvl>
  </w:abstractNum>
  <w:abstractNum w:abstractNumId="86">
    <w:nsid w:val="312167AD"/>
    <w:multiLevelType w:val="hybridMultilevel"/>
    <w:lvl w:ilvl="0">
      <w:lvlJc w:val="left"/>
      <w:lvlText w:val="(%1)"/>
      <w:numFmt w:val="lowerLetter"/>
      <w:start w:val="1"/>
    </w:lvl>
  </w:abstractNum>
  <w:abstractNum w:abstractNumId="87">
    <w:nsid w:val="631B64D4"/>
    <w:multiLevelType w:val="hybridMultilevel"/>
    <w:lvl w:ilvl="0">
      <w:lvlJc w:val="left"/>
      <w:lvlText w:val="(%1)"/>
      <w:numFmt w:val="lowerLetter"/>
      <w:start w:val="3"/>
    </w:lvl>
  </w:abstractNum>
  <w:abstractNum w:abstractNumId="88">
    <w:nsid w:val="78B5E776"/>
    <w:multiLevelType w:val="hybridMultilevel"/>
    <w:lvl w:ilvl="0">
      <w:lvlJc w:val="left"/>
      <w:lvlText w:val="(%1)"/>
      <w:numFmt w:val="lowerLetter"/>
      <w:start w:val="1"/>
    </w:lvl>
  </w:abstractNum>
  <w:abstractNum w:abstractNumId="89">
    <w:nsid w:val="75486E47"/>
    <w:multiLevelType w:val="hybridMultilevel"/>
    <w:lvl w:ilvl="0">
      <w:lvlJc w:val="left"/>
      <w:lvlText w:val="(%1)"/>
      <w:numFmt w:val="lowerLetter"/>
      <w:start w:val="7"/>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1"/>
    </w:lvl>
    <w:lvl w:ilvl="1">
      <w:lvlJc w:val="left"/>
      <w:lvlText w:val="(%2)"/>
      <w:numFmt w:val="lowerLetter"/>
      <w:start w:val="9"/>
    </w:lvl>
  </w:abstractNum>
  <w:abstractNum w:abstractNumId="92">
    <w:nsid w:val="65968C1C"/>
    <w:multiLevelType w:val="hybridMultilevel"/>
    <w:lvl w:ilvl="0">
      <w:lvlJc w:val="left"/>
      <w:lvlText w:val="(%1)"/>
      <w:numFmt w:val="lowerRoman"/>
      <w:start w:val="2"/>
    </w:lvl>
  </w:abstractNum>
  <w:abstractNum w:abstractNumId="93">
    <w:nsid w:val="46263DEC"/>
    <w:multiLevelType w:val="hybridMultilevel"/>
    <w:lvl w:ilvl="0">
      <w:lvlJc w:val="left"/>
      <w:lvlText w:val="(%1)"/>
      <w:numFmt w:val="lowerLetter"/>
      <w:start w:val="2"/>
    </w:lvl>
  </w:abstractNum>
  <w:abstractNum w:abstractNumId="94">
    <w:nsid w:val="260D8C4A"/>
    <w:multiLevelType w:val="hybridMultilevel"/>
    <w:lvl w:ilvl="0">
      <w:lvlJc w:val="left"/>
      <w:lvlText w:val="(%1)"/>
      <w:numFmt w:val="lowerLetter"/>
      <w:start w:val="4"/>
    </w:lvl>
  </w:abstractNum>
  <w:abstractNum w:abstractNumId="95">
    <w:nsid w:val="73D4D3C4"/>
    <w:multiLevelType w:val="hybridMultilevel"/>
    <w:lvl w:ilvl="0">
      <w:lvlJc w:val="left"/>
      <w:lvlText w:val="(%1)"/>
      <w:numFmt w:val="lowerRoman"/>
      <w:start w:val="1"/>
    </w:lvl>
  </w:abstractNum>
  <w:abstractNum w:abstractNumId="96">
    <w:nsid w:val="746F2E30"/>
    <w:multiLevelType w:val="hybridMultilevel"/>
    <w:lvl w:ilvl="0">
      <w:lvlJc w:val="left"/>
      <w:lvlText w:val="(%1)"/>
      <w:numFmt w:val="lowerLetter"/>
      <w:start w:val="1"/>
    </w:lvl>
  </w:abstractNum>
  <w:abstractNum w:abstractNumId="97">
    <w:nsid w:val="6FDE8AF6"/>
    <w:multiLevelType w:val="hybridMultilevel"/>
    <w:lvl w:ilvl="0">
      <w:lvlJc w:val="left"/>
      <w:lvlText w:val="(%1)"/>
      <w:numFmt w:val="lowerLetter"/>
      <w:start w:val="5"/>
    </w:lvl>
    <w:lvl w:ilvl="1">
      <w:lvlJc w:val="left"/>
      <w:lvlText w:val="(%2)"/>
      <w:numFmt w:val="lowerLetter"/>
      <w:start w:val="35"/>
    </w:lvl>
    <w:lvl w:ilvl="2">
      <w:lvlJc w:val="left"/>
      <w:lvlText w:val="(%3)"/>
      <w:numFmt w:val="upperLetter"/>
      <w:start w:val="1"/>
    </w:lvl>
    <w:lvl w:ilvl="3">
      <w:lvlJc w:val="left"/>
      <w:lvlText w:val="(%4)"/>
      <w:numFmt w:val="lowerLetter"/>
      <w:start w:val="23"/>
    </w:lvl>
  </w:abstractNum>
  <w:abstractNum w:abstractNumId="98">
    <w:nsid w:val="3FC32E2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99">
    <w:nsid w:val="49C0E823"/>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100">
    <w:nsid w:val="14D53685"/>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01">
    <w:nsid w:val="230F856C"/>
    <w:multiLevelType w:val="hybridMultilevel"/>
    <w:lvl w:ilvl="0">
      <w:lvlJc w:val="left"/>
      <w:lvlText w:val="(%1)"/>
      <w:numFmt w:val="lowerLetter"/>
      <w:start w:val="8"/>
    </w:lvl>
  </w:abstractNum>
  <w:abstractNum w:abstractNumId="102">
    <w:nsid w:val="6EAA85FB"/>
    <w:multiLevelType w:val="hybridMultilevel"/>
    <w:lvl w:ilvl="0">
      <w:lvlJc w:val="left"/>
      <w:lvlText w:val="(%1)"/>
      <w:numFmt w:val="lowerLetter"/>
      <w:start w:val="1"/>
    </w:lvl>
  </w:abstractNum>
  <w:abstractNum w:abstractNumId="103">
    <w:nsid w:val="3F06ECB2"/>
    <w:multiLevelType w:val="hybridMultilevel"/>
    <w:lvl w:ilvl="0">
      <w:lvlJc w:val="left"/>
      <w:lvlText w:val="(%1)"/>
      <w:numFmt w:val="lowerLetter"/>
      <w:start w:val="2"/>
    </w:lvl>
  </w:abstractNum>
  <w:abstractNum w:abstractNumId="104">
    <w:nsid w:val="3B594807"/>
    <w:multiLevelType w:val="hybridMultilevel"/>
    <w:lvl w:ilvl="0">
      <w:lvlJc w:val="left"/>
      <w:lvlText w:val="(%1)"/>
      <w:numFmt w:val="lowerLetter"/>
      <w:start w:val="4"/>
    </w:lvl>
  </w:abstractNum>
  <w:abstractNum w:abstractNumId="105">
    <w:nsid w:val="6CAA2304"/>
    <w:multiLevelType w:val="hybridMultilevel"/>
    <w:lvl w:ilvl="0">
      <w:lvlJc w:val="left"/>
      <w:lvlText w:val="(%1)"/>
      <w:numFmt w:val="lowerLetter"/>
      <w:start w:val="6"/>
    </w:lvl>
  </w:abstractNum>
  <w:abstractNum w:abstractNumId="106">
    <w:nsid w:val="3F7C2FF4"/>
    <w:multiLevelType w:val="hybridMultilevel"/>
    <w:lvl w:ilvl="0">
      <w:lvlJc w:val="left"/>
      <w:lvlText w:val="(%1)"/>
      <w:numFmt w:val="lowerLetter"/>
      <w:start w:val="1"/>
    </w:lvl>
  </w:abstractNum>
  <w:abstractNum w:abstractNumId="107">
    <w:nsid w:val="25413BEC"/>
    <w:multiLevelType w:val="hybridMultilevel"/>
    <w:lvl w:ilvl="0">
      <w:lvlJc w:val="left"/>
      <w:lvlText w:val="(%1)"/>
      <w:numFmt w:val="lowerLetter"/>
      <w:start w:val="1"/>
    </w:lvl>
    <w:lvl w:ilvl="1">
      <w:lvlJc w:val="left"/>
      <w:lvlText w:val="(%2)"/>
      <w:numFmt w:val="lowerLetter"/>
      <w:start w:val="9"/>
    </w:lvl>
  </w:abstractNum>
  <w:abstractNum w:abstractNumId="108">
    <w:nsid w:val="17180B0B"/>
    <w:multiLevelType w:val="hybridMultilevel"/>
    <w:lvl w:ilvl="0">
      <w:lvlJc w:val="left"/>
      <w:lvlText w:val="(%1)"/>
      <w:numFmt w:val="lowerLetter"/>
      <w:start w:val="25"/>
    </w:lvl>
    <w:lvl w:ilvl="1">
      <w:lvlJc w:val="left"/>
      <w:lvlText w:val="%2"/>
      <w:numFmt w:val="lowerLetter"/>
      <w:start w:val="1"/>
    </w:lvl>
  </w:abstractNum>
  <w:abstractNum w:abstractNumId="109">
    <w:nsid w:val="579328B9"/>
    <w:multiLevelType w:val="hybridMultilevel"/>
    <w:lvl w:ilvl="0">
      <w:lvlJc w:val="left"/>
      <w:lvlText w:val="(%1)"/>
      <w:numFmt w:val="lowerRoman"/>
      <w:start w:val="2"/>
    </w:lvl>
    <w:lvl w:ilvl="1">
      <w:lvlJc w:val="left"/>
      <w:lvlText w:val="(%2)"/>
      <w:numFmt w:val="upperLetter"/>
      <w:start w:val="1"/>
    </w:lvl>
  </w:abstractNum>
  <w:abstractNum w:abstractNumId="110">
    <w:nsid w:val="5D205E20"/>
    <w:multiLevelType w:val="hybridMultilevel"/>
    <w:lvl w:ilvl="0">
      <w:lvlJc w:val="left"/>
      <w:lvlText w:val="%1"/>
      <w:numFmt w:val="lowerLetter"/>
      <w:start w:val="1"/>
    </w:lvl>
    <w:lvl w:ilvl="1">
      <w:lvlJc w:val="left"/>
      <w:lvlText w:val="(%2)"/>
      <w:numFmt w:val="lowerLetter"/>
      <w:start w:val="22"/>
    </w:lvl>
  </w:abstractNum>
  <w:abstractNum w:abstractNumId="111">
    <w:nsid w:val="11CCA8BA"/>
    <w:multiLevelType w:val="hybridMultilevel"/>
    <w:lvl w:ilvl="0">
      <w:lvlJc w:val="left"/>
      <w:lvlText w:val="(%1)"/>
      <w:numFmt w:val="lowerLetter"/>
      <w:start w:val="2"/>
    </w:lvl>
    <w:lvl w:ilvl="1">
      <w:lvlJc w:val="left"/>
      <w:lvlText w:val="%2"/>
      <w:numFmt w:val="lowerLetter"/>
      <w:start w:val="1"/>
    </w:lvl>
  </w:abstractNum>
  <w:abstractNum w:abstractNumId="112">
    <w:nsid w:val="4D32AB86"/>
    <w:multiLevelType w:val="hybridMultilevel"/>
    <w:lvl w:ilvl="0">
      <w:lvlJc w:val="left"/>
      <w:lvlText w:val="(%1)"/>
      <w:numFmt w:val="lowerLetter"/>
      <w:start w:val="4"/>
    </w:lvl>
    <w:lvl w:ilvl="1">
      <w:lvlJc w:val="left"/>
      <w:lvlText w:val="(%2)"/>
      <w:numFmt w:val="lowerRoman"/>
      <w:start w:val="1"/>
    </w:lvl>
  </w:abstractNum>
  <w:abstractNum w:abstractNumId="113">
    <w:nsid w:val="3F07ACC3"/>
    <w:multiLevelType w:val="hybridMultilevel"/>
    <w:lvl w:ilvl="0">
      <w:lvlJc w:val="left"/>
      <w:lvlText w:val="(%1)"/>
      <w:numFmt w:val="lowerLetter"/>
      <w:start w:val="1"/>
    </w:lvl>
    <w:lvl w:ilvl="1">
      <w:lvlJc w:val="left"/>
      <w:lvlText w:val="(%2)"/>
      <w:numFmt w:val="lowerRoman"/>
      <w:start w:val="1"/>
    </w:lvl>
  </w:abstractNum>
  <w:abstractNum w:abstractNumId="114">
    <w:nsid w:val="6B47F63E"/>
    <w:multiLevelType w:val="hybridMultilevel"/>
    <w:lvl w:ilvl="0">
      <w:lvlJc w:val="left"/>
      <w:lvlText w:val="%1"/>
      <w:numFmt w:val="lowerLetter"/>
      <w:start w:val="1"/>
    </w:lvl>
    <w:lvl w:ilvl="1">
      <w:lvlJc w:val="left"/>
      <w:lvlText w:val="(%2)"/>
      <w:numFmt w:val="lowerLetter"/>
      <w:start w:val="2"/>
    </w:lvl>
  </w:abstractNum>
  <w:abstractNum w:abstractNumId="115">
    <w:nsid w:val="5CB44A05"/>
    <w:multiLevelType w:val="hybridMultilevel"/>
    <w:lvl w:ilvl="0">
      <w:lvlJc w:val="left"/>
      <w:lvlText w:val="(%1)"/>
      <w:numFmt w:val="lowerLetter"/>
      <w:start w:val="25"/>
    </w:lvl>
    <w:lvl w:ilvl="1">
      <w:lvlJc w:val="left"/>
      <w:lvlText w:val="%2"/>
      <w:numFmt w:val="lowerLetter"/>
      <w:start w:val="1"/>
    </w:lvl>
  </w:abstractNum>
  <w:abstractNum w:abstractNumId="116">
    <w:nsid w:val="16CF80F1"/>
    <w:multiLevelType w:val="hybridMultilevel"/>
    <w:lvl w:ilvl="0">
      <w:lvlJc w:val="left"/>
      <w:lvlText w:val="(%1)"/>
      <w:numFmt w:val="lowerRoman"/>
      <w:start w:val="5"/>
    </w:lvl>
  </w:abstractNum>
  <w:abstractNum w:abstractNumId="117">
    <w:nsid w:val="1C695DEC"/>
    <w:multiLevelType w:val="hybridMultilevel"/>
    <w:lvl w:ilvl="0">
      <w:lvlJc w:val="left"/>
      <w:lvlText w:val="(%1)"/>
      <w:numFmt w:val="lowerLetter"/>
      <w:start w:val="1"/>
    </w:lvl>
  </w:abstractNum>
  <w:abstractNum w:abstractNumId="118">
    <w:nsid w:val="3FCFAED9"/>
    <w:multiLevelType w:val="hybridMultilevel"/>
    <w:lvl w:ilvl="0">
      <w:lvlJc w:val="left"/>
      <w:lvlText w:val="%1"/>
      <w:numFmt w:val="upperLetter"/>
      <w:start w:val="1"/>
    </w:lvl>
    <w:lvl w:ilvl="1">
      <w:lvlJc w:val="left"/>
      <w:lvlText w:val="(%2)"/>
      <w:numFmt w:val="lowerLetter"/>
      <w:start w:val="3"/>
    </w:lvl>
  </w:abstractNum>
  <w:abstractNum w:abstractNumId="119">
    <w:nsid w:val="F856867"/>
    <w:multiLevelType w:val="hybridMultilevel"/>
    <w:lvl w:ilvl="0">
      <w:lvlJc w:val="left"/>
      <w:lvlText w:val="(%1)"/>
      <w:numFmt w:val="upperLetter"/>
      <w:start w:val="2"/>
    </w:lvl>
    <w:lvl w:ilvl="1">
      <w:lvlJc w:val="left"/>
      <w:lvlText w:val="(%2)"/>
      <w:numFmt w:val="lowerLetter"/>
      <w:start w:val="5"/>
    </w:lvl>
  </w:abstractNum>
  <w:abstractNum w:abstractNumId="120">
    <w:nsid w:val="11B1CC33"/>
    <w:multiLevelType w:val="hybridMultilevel"/>
    <w:lvl w:ilvl="0">
      <w:lvlJc w:val="left"/>
      <w:lvlText w:val="(%1)"/>
      <w:numFmt w:val="lowerLetter"/>
      <w:start w:val="1"/>
    </w:lvl>
  </w:abstractNum>
  <w:abstractNum w:abstractNumId="121">
    <w:nsid w:val="2E22FBB7"/>
    <w:multiLevelType w:val="hybridMultilevel"/>
    <w:lvl w:ilvl="0">
      <w:lvlJc w:val="left"/>
      <w:lvlText w:val="(%1)"/>
      <w:numFmt w:val="lowerLetter"/>
      <w:start w:val="2"/>
    </w:lvl>
  </w:abstractNum>
  <w:abstractNum w:abstractNumId="122">
    <w:nsid w:val="29934699"/>
    <w:multiLevelType w:val="hybridMultilevel"/>
    <w:lvl w:ilvl="0">
      <w:lvlJc w:val="left"/>
      <w:lvlText w:val="(%1)"/>
      <w:numFmt w:val="lowerLetter"/>
      <w:start w:val="1"/>
    </w:lvl>
  </w:abstractNum>
  <w:abstractNum w:abstractNumId="123">
    <w:nsid w:val="77485850"/>
    <w:multiLevelType w:val="hybridMultilevel"/>
    <w:lvl w:ilvl="0">
      <w:lvlJc w:val="left"/>
      <w:lvlText w:val="(%1)"/>
      <w:numFmt w:val="lowerLetter"/>
      <w:start w:val="1"/>
    </w:lvl>
  </w:abstractNum>
  <w:abstractNum w:abstractNumId="124">
    <w:nsid w:val="744939A3"/>
    <w:multiLevelType w:val="hybridMultilevel"/>
    <w:lvl w:ilvl="0">
      <w:lvlJc w:val="left"/>
      <w:lvlText w:val="(%1)"/>
      <w:numFmt w:val="lowerLetter"/>
      <w:start w:val="1"/>
    </w:lvl>
  </w:abstractNum>
  <w:abstractNum w:abstractNumId="125">
    <w:nsid w:val="4FA0D2E3"/>
    <w:multiLevelType w:val="hybridMultilevel"/>
    <w:lvl w:ilvl="0">
      <w:lvlJc w:val="left"/>
      <w:lvlText w:val="(%1)"/>
      <w:numFmt w:val="lowerLetter"/>
      <w:start w:val="1"/>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lowerLetter"/>
      <w:start w:val="2"/>
    </w:lvl>
  </w:abstractNum>
  <w:abstractNum w:abstractNumId="128">
    <w:nsid w:val="3F7F5DD9"/>
    <w:multiLevelType w:val="hybridMultilevel"/>
    <w:lvl w:ilvl="0">
      <w:lvlJc w:val="left"/>
      <w:lvlText w:val="(%1)"/>
      <w:numFmt w:val="lowerLetter"/>
      <w:start w:val="1"/>
    </w:lvl>
    <w:lvl w:ilvl="1">
      <w:lvlJc w:val="left"/>
      <w:lvlText w:val="(%2)"/>
      <w:numFmt w:val="lowerRoman"/>
      <w:start w:val="1"/>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3"/>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3"/>
    </w:lvl>
  </w:abstractNum>
  <w:abstractNum w:abstractNumId="133">
    <w:nsid w:val="2123D5F2"/>
    <w:multiLevelType w:val="hybridMultilevel"/>
    <w:lvl w:ilvl="0">
      <w:lvlJc w:val="left"/>
      <w:lvlText w:val="%1"/>
      <w:numFmt w:val="lowerLetter"/>
      <w:start w:val="1"/>
    </w:lvl>
    <w:lvl w:ilvl="1">
      <w:lvlJc w:val="left"/>
      <w:lvlText w:val="(%2)"/>
      <w:numFmt w:val="lowerLetter"/>
      <w:start w:val="7"/>
    </w:lvl>
  </w:abstractNum>
  <w:abstractNum w:abstractNumId="134">
    <w:nsid w:val="135B8110"/>
    <w:multiLevelType w:val="hybridMultilevel"/>
    <w:lvl w:ilvl="0">
      <w:lvlJc w:val="left"/>
      <w:lvlText w:val="(%1)"/>
      <w:numFmt w:val="lowerLetter"/>
      <w:start w:val="7"/>
    </w:lvl>
    <w:lvl w:ilvl="1">
      <w:lvlJc w:val="left"/>
      <w:lvlText w:val="%2"/>
      <w:numFmt w:val="lowerLetter"/>
      <w:start w:val="1"/>
    </w:lvl>
  </w:abstractNum>
  <w:abstractNum w:abstractNumId="135">
    <w:nsid w:val="94927A8"/>
    <w:multiLevelType w:val="hybridMultilevel"/>
    <w:lvl w:ilvl="0">
      <w:lvlJc w:val="left"/>
      <w:lvlText w:val="(%1)"/>
      <w:numFmt w:val="lowerLetter"/>
      <w:start w:val="1"/>
    </w:lvl>
  </w:abstractNum>
  <w:abstractNum w:abstractNumId="136">
    <w:nsid w:val="DCDF8F6"/>
    <w:multiLevelType w:val="hybridMultilevel"/>
    <w:lvl w:ilvl="0">
      <w:lvlJc w:val="left"/>
      <w:lvlText w:val="(%1)"/>
      <w:numFmt w:val="lowerLetter"/>
      <w:start w:val="4"/>
    </w:lvl>
  </w:abstractNum>
  <w:abstractNum w:abstractNumId="137">
    <w:nsid w:val="52D7B105"/>
    <w:multiLevelType w:val="hybridMultilevel"/>
    <w:lvl w:ilvl="0">
      <w:lvlJc w:val="left"/>
      <w:lvlText w:val="%1"/>
      <w:numFmt w:val="lowerLetter"/>
      <w:start w:val="1"/>
    </w:lvl>
    <w:lvl w:ilvl="1">
      <w:lvlJc w:val="left"/>
      <w:lvlText w:val="(%2)"/>
      <w:numFmt w:val="lowerLetter"/>
      <w:start w:val="1"/>
    </w:lvl>
  </w:abstractNum>
  <w:abstractNum w:abstractNumId="138">
    <w:nsid w:val="2E8A6394"/>
    <w:multiLevelType w:val="hybridMultilevel"/>
    <w:lvl w:ilvl="0">
      <w:lvlJc w:val="left"/>
      <w:lvlText w:val="(%1)"/>
      <w:numFmt w:val="lowerLetter"/>
      <w:start w:val="35"/>
    </w:lvl>
    <w:lvl w:ilvl="1">
      <w:lvlJc w:val="left"/>
      <w:lvlText w:val="(%2)"/>
      <w:numFmt w:val="lowerLetter"/>
      <w:start w:val="2"/>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23"/>
    </w:lvl>
  </w:abstractNum>
  <w:abstractNum w:abstractNumId="141">
    <w:nsid w:val="BAAC1B4"/>
    <w:multiLevelType w:val="hybridMultilevel"/>
    <w:lvl w:ilvl="0">
      <w:lvlJc w:val="left"/>
      <w:lvlText w:val="%1"/>
      <w:numFmt w:val="upperLetter"/>
      <w:start w:val="1"/>
    </w:lvl>
    <w:lvl w:ilvl="1">
      <w:lvlJc w:val="left"/>
      <w:lvlText w:val="(%2)"/>
      <w:numFmt w:val="lowerLetter"/>
      <w:start w:val="24"/>
    </w:lvl>
  </w:abstractNum>
  <w:abstractNum w:abstractNumId="142">
    <w:nsid w:val="36B2ACBC"/>
    <w:multiLevelType w:val="hybridMultilevel"/>
    <w:lvl w:ilvl="0">
      <w:lvlJc w:val="left"/>
      <w:lvlText w:val="(%1)"/>
      <w:numFmt w:val="upperLetter"/>
      <w:start w:val="3"/>
    </w:lvl>
    <w:lvl w:ilvl="1">
      <w:lvlJc w:val="left"/>
      <w:lvlText w:val="%2"/>
      <w:numFmt w:val="lowerLetter"/>
      <w:start w:val="1"/>
    </w:lvl>
  </w:abstractNum>
  <w:abstractNum w:abstractNumId="143">
    <w:nsid w:val="779D8544"/>
    <w:multiLevelType w:val="hybridMultilevel"/>
    <w:lvl w:ilvl="0">
      <w:lvlJc w:val="left"/>
      <w:lvlText w:val="(%1)"/>
      <w:numFmt w:val="upperLetter"/>
      <w:start w:val="5"/>
    </w:lvl>
    <w:lvl w:ilvl="1">
      <w:lvlJc w:val="left"/>
      <w:lvlText w:val="(%2)"/>
      <w:numFmt w:val="lowerLetter"/>
      <w:start w:val="24"/>
    </w:lvl>
  </w:abstractNum>
  <w:abstractNum w:abstractNumId="144">
    <w:nsid w:val="4AB26E78"/>
    <w:multiLevelType w:val="hybridMultilevel"/>
    <w:lvl w:ilvl="0">
      <w:lvlJc w:val="left"/>
      <w:lvlText w:val="%1"/>
      <w:numFmt w:val="lowerLetter"/>
      <w:start w:val="1"/>
    </w:lvl>
    <w:lvl w:ilvl="1">
      <w:lvlJc w:val="left"/>
      <w:lvlText w:val="(%2)"/>
      <w:numFmt w:val="upperLetter"/>
      <w:start w:val="6"/>
    </w:lvl>
  </w:abstractNum>
  <w:abstractNum w:abstractNumId="145">
    <w:nsid w:val="21FAA2FA"/>
    <w:multiLevelType w:val="hybridMultilevel"/>
    <w:lvl w:ilvl="0">
      <w:lvlJc w:val="left"/>
      <w:lvlText w:val="(%1)"/>
      <w:numFmt w:val="lowerLetter"/>
      <w:start w:val="3"/>
    </w:lvl>
    <w:lvl w:ilvl="1">
      <w:lvlJc w:val="left"/>
      <w:lvlText w:val="%2"/>
      <w:numFmt w:val="upperLetter"/>
      <w:start w:val="1"/>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Letter"/>
      <w:start w:val="4"/>
    </w:lvl>
  </w:abstractNum>
  <w:abstractNum w:abstractNumId="148">
    <w:nsid w:val="3E6400E6"/>
    <w:multiLevelType w:val="hybridMultilevel"/>
    <w:lvl w:ilvl="0">
      <w:lvlJc w:val="left"/>
      <w:lvlText w:val="(%1)"/>
      <w:numFmt w:val="lowerLetter"/>
      <w:start w:val="2"/>
    </w:lvl>
  </w:abstractNum>
  <w:abstractNum w:abstractNumId="149">
    <w:nsid w:val="14217E23"/>
    <w:multiLevelType w:val="hybridMultilevel"/>
    <w:lvl w:ilvl="0">
      <w:lvlJc w:val="left"/>
      <w:lvlText w:val="(%1)"/>
      <w:numFmt w:val="lowerRoman"/>
      <w:start w:val="1"/>
    </w:lvl>
  </w:abstractNum>
  <w:abstractNum w:abstractNumId="150">
    <w:nsid w:val="710757D0"/>
    <w:multiLevelType w:val="hybridMultilevel"/>
    <w:lvl w:ilvl="0">
      <w:lvlJc w:val="left"/>
      <w:lvlText w:val="(%1)"/>
      <w:numFmt w:val="lowerLetter"/>
      <w:start w:val="1"/>
    </w:lvl>
  </w:abstractNum>
  <w:abstractNum w:abstractNumId="151">
    <w:nsid w:val="5015CD1A"/>
    <w:multiLevelType w:val="hybridMultilevel"/>
    <w:lvl w:ilvl="0">
      <w:lvlJc w:val="left"/>
      <w:lvlText w:val="(%1)"/>
      <w:numFmt w:val="lowerLetter"/>
      <w:start w:val="7"/>
    </w:lvl>
  </w:abstractNum>
  <w:abstractNum w:abstractNumId="152">
    <w:nsid w:val="424479DA"/>
    <w:multiLevelType w:val="hybridMultilevel"/>
    <w:lvl w:ilvl="0">
      <w:lvlJc w:val="left"/>
      <w:lvlText w:val="(%1)"/>
      <w:numFmt w:val="lowerLetter"/>
      <w:start w:val="1"/>
    </w:lvl>
  </w:abstractNum>
  <w:abstractNum w:abstractNumId="153">
    <w:nsid w:val="1A9A9E69"/>
    <w:multiLevelType w:val="hybridMultilevel"/>
    <w:lvl w:ilvl="0">
      <w:lvlJc w:val="left"/>
      <w:lvlText w:val="(%1)"/>
      <w:numFmt w:val="lowerLetter"/>
      <w:start w:val="6"/>
    </w:lvl>
  </w:abstractNum>
  <w:abstractNum w:abstractNumId="154">
    <w:nsid w:val="475E256A"/>
    <w:multiLevelType w:val="hybridMultilevel"/>
    <w:lvl w:ilvl="0">
      <w:lvlJc w:val="left"/>
      <w:lvlText w:val="(%1)"/>
      <w:numFmt w:val="lowerLetter"/>
      <w:start w:val="1"/>
    </w:lvl>
  </w:abstractNum>
  <w:abstractNum w:abstractNumId="155">
    <w:nsid w:val="368DB37E"/>
    <w:multiLevelType w:val="hybridMultilevel"/>
    <w:lvl w:ilvl="0">
      <w:lvlJc w:val="left"/>
      <w:lvlText w:val="(%1)"/>
      <w:numFmt w:val="lowerLetter"/>
      <w:start w:val="6"/>
    </w:lvl>
  </w:abstractNum>
  <w:abstractNum w:abstractNumId="156">
    <w:nsid w:val="6A3B714C"/>
    <w:multiLevelType w:val="hybridMultilevel"/>
    <w:lvl w:ilvl="0">
      <w:lvlJc w:val="left"/>
      <w:lvlText w:val="(%1)"/>
      <w:numFmt w:val="lowerLetter"/>
      <w:start w:val="1"/>
    </w:lvl>
  </w:abstractNum>
  <w:abstractNum w:abstractNumId="157">
    <w:nsid w:val="327B517E"/>
    <w:multiLevelType w:val="hybridMultilevel"/>
    <w:lvl w:ilvl="0">
      <w:lvlJc w:val="left"/>
      <w:lvlText w:val="(%1)"/>
      <w:numFmt w:val="lowerLetter"/>
      <w:start w:val="6"/>
    </w:lvl>
  </w:abstractNum>
  <w:abstractNum w:abstractNumId="158">
    <w:nsid w:val="1F461B51"/>
    <w:multiLevelType w:val="hybridMultilevel"/>
    <w:lvl w:ilvl="0">
      <w:lvlJc w:val="left"/>
      <w:lvlText w:val="(%1)"/>
      <w:numFmt w:val="lowerLetter"/>
      <w:start w:val="2"/>
    </w:lvl>
    <w:lvl w:ilvl="1">
      <w:lvlJc w:val="left"/>
      <w:lvlText w:val="(%2)"/>
      <w:numFmt w:val="lowerRoman"/>
      <w:start w:val="1"/>
    </w:lvl>
  </w:abstractNum>
  <w:abstractNum w:abstractNumId="159">
    <w:nsid w:val="29BACF25"/>
    <w:multiLevelType w:val="hybridMultilevel"/>
    <w:lvl w:ilvl="0">
      <w:lvlJc w:val="left"/>
      <w:lvlText w:val="(%1)"/>
      <w:numFmt w:val="upperLetter"/>
      <w:start w:val="2"/>
    </w:lvl>
  </w:abstractNum>
  <w:abstractNum w:abstractNumId="160">
    <w:nsid w:val="5D5BABB3"/>
    <w:multiLevelType w:val="hybridMultilevel"/>
    <w:lvl w:ilvl="0">
      <w:lvlJc w:val="left"/>
      <w:lvlText w:val="(%1)"/>
      <w:numFmt w:val="lowerLetter"/>
      <w:start w:val="4"/>
    </w:lvl>
  </w:abstractNum>
  <w:abstractNum w:abstractNumId="161">
    <w:nsid w:val="51BF6B48"/>
    <w:multiLevelType w:val="hybridMultilevel"/>
    <w:lvl w:ilvl="0">
      <w:lvlJc w:val="left"/>
      <w:lvlText w:val="(%1)"/>
      <w:numFmt w:val="lowerLetter"/>
      <w:start w:val="1"/>
    </w:lvl>
  </w:abstractNum>
  <w:abstractNum w:abstractNumId="162">
    <w:nsid w:val="7E0F6384"/>
    <w:multiLevelType w:val="hybridMultilevel"/>
    <w:lvl w:ilvl="0">
      <w:lvlJc w:val="left"/>
      <w:lvlText w:val="(%1)"/>
      <w:numFmt w:val="lowerLetter"/>
      <w:start w:val="1"/>
    </w:lvl>
  </w:abstractNum>
  <w:abstractNum w:abstractNumId="163">
    <w:nsid w:val="2B4B8B53"/>
    <w:multiLevelType w:val="hybridMultilevel"/>
    <w:lvl w:ilvl="0">
      <w:lvlJc w:val="left"/>
      <w:lvlText w:val="(%1)"/>
      <w:numFmt w:val="lowerLetter"/>
      <w:start w:val="2"/>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lowerLetter"/>
      <w:start w:val="5"/>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1"/>
    </w:lvl>
  </w:abstractNum>
  <w:abstractNum w:abstractNumId="168">
    <w:nsid w:val="64429599"/>
    <w:multiLevelType w:val="hybridMultilevel"/>
    <w:lvl w:ilvl="0">
      <w:lvlJc w:val="left"/>
      <w:lvlText w:val="(%1)"/>
      <w:numFmt w:val="lowerLetter"/>
      <w:start w:val="4"/>
    </w:lvl>
  </w:abstractNum>
  <w:abstractNum w:abstractNumId="169">
    <w:nsid w:val="631F1690"/>
    <w:multiLevelType w:val="hybridMultilevel"/>
    <w:lvl w:ilvl="0">
      <w:lvlJc w:val="left"/>
      <w:lvlText w:val="(%1)"/>
      <w:numFmt w:val="lowerLetter"/>
      <w:start w:val="10"/>
    </w:lvl>
  </w:abstractNum>
  <w:abstractNum w:abstractNumId="170">
    <w:nsid w:val="25973E32"/>
    <w:multiLevelType w:val="hybridMultilevel"/>
    <w:lvl w:ilvl="0">
      <w:lvlJc w:val="left"/>
      <w:lvlText w:val="(%1)"/>
      <w:numFmt w:val="lowerLetter"/>
      <w:start w:val="17"/>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lowerLetter"/>
      <w:start w:val="2"/>
    </w:lvl>
    <w:lvl w:ilvl="1">
      <w:lvlJc w:val="left"/>
      <w:lvlText w:val="(%2)"/>
      <w:numFmt w:val="lowerRoman"/>
      <w:start w:val="1"/>
    </w:lvl>
  </w:abstractNum>
  <w:abstractNum w:abstractNumId="173">
    <w:nsid w:val="5C49EAEE"/>
    <w:multiLevelType w:val="hybridMultilevel"/>
    <w:lvl w:ilvl="0">
      <w:lvlJc w:val="left"/>
      <w:lvlText w:val="(%1)"/>
      <w:numFmt w:val="lowerLetter"/>
      <w:start w:val="5"/>
    </w:lvl>
  </w:abstractNum>
  <w:abstractNum w:abstractNumId="174">
    <w:nsid w:val="64AF49B"/>
    <w:multiLevelType w:val="hybridMultilevel"/>
    <w:lvl w:ilvl="0">
      <w:lvlJc w:val="left"/>
      <w:lvlText w:val="(%1)"/>
      <w:numFmt w:val="lowerLetter"/>
      <w:start w:val="7"/>
    </w:lvl>
  </w:abstractNum>
  <w:abstractNum w:abstractNumId="175">
    <w:nsid w:val="397C46BC"/>
    <w:multiLevelType w:val="hybridMultilevel"/>
    <w:lvl w:ilvl="0">
      <w:lvlJc w:val="left"/>
      <w:lvlText w:val="(%1)"/>
      <w:numFmt w:val="lowerLetter"/>
      <w:start w:val="1"/>
    </w:lvl>
    <w:lvl w:ilvl="1">
      <w:lvlJc w:val="left"/>
      <w:lvlText w:val="(%2)"/>
      <w:numFmt w:val="lowerLetter"/>
      <w:start w:val="9"/>
    </w:lvl>
  </w:abstractNum>
  <w:abstractNum w:abstractNumId="176">
    <w:nsid w:val="7E448DE9"/>
    <w:multiLevelType w:val="hybridMultilevel"/>
    <w:lvl w:ilvl="0">
      <w:lvlJc w:val="left"/>
      <w:lvlText w:val="(%1)"/>
      <w:numFmt w:val="lowerRoman"/>
      <w:start w:val="4"/>
    </w:lvl>
  </w:abstractNum>
  <w:abstractNum w:abstractNumId="177">
    <w:nsid w:val="5A9CC3E5"/>
    <w:multiLevelType w:val="hybridMultilevel"/>
    <w:lvl w:ilvl="0">
      <w:lvlJc w:val="left"/>
      <w:lvlText w:val="(%1)"/>
      <w:numFmt w:val="lowerLetter"/>
      <w:start w:val="2"/>
    </w:lvl>
    <w:lvl w:ilvl="1">
      <w:lvlJc w:val="left"/>
      <w:lvlText w:val="(%2)"/>
      <w:numFmt w:val="lowerLetter"/>
      <w:start w:val="9"/>
    </w:lvl>
  </w:abstractNum>
  <w:abstractNum w:abstractNumId="178">
    <w:nsid w:val="1AFE3625"/>
    <w:multiLevelType w:val="hybridMultilevel"/>
    <w:lvl w:ilvl="0">
      <w:lvlJc w:val="left"/>
      <w:lvlText w:val="(%1)"/>
      <w:numFmt w:val="lowerLetter"/>
      <w:start w:val="3"/>
    </w:lvl>
  </w:abstractNum>
  <w:abstractNum w:abstractNumId="179">
    <w:nsid w:val="3CA88ECF"/>
    <w:multiLevelType w:val="hybridMultilevel"/>
    <w:lvl w:ilvl="0">
      <w:lvlJc w:val="left"/>
      <w:lvlText w:val="(%1)"/>
      <w:numFmt w:val="lowerLetter"/>
      <w:start w:val="1"/>
    </w:lvl>
    <w:lvl w:ilvl="1">
      <w:lvlJc w:val="left"/>
      <w:lvlText w:val="(%2)"/>
      <w:numFmt w:val="lowerRoman"/>
      <w:start w:val="1"/>
    </w:lvl>
  </w:abstractNum>
  <w:abstractNum w:abstractNumId="180">
    <w:nsid w:val="6EBE4208"/>
    <w:multiLevelType w:val="hybridMultilevel"/>
    <w:lvl w:ilvl="0">
      <w:lvlJc w:val="left"/>
      <w:lvlText w:val="(%1)"/>
      <w:numFmt w:val="lowerLetter"/>
      <w:start w:val="3"/>
    </w:lvl>
  </w:abstractNum>
  <w:abstractNum w:abstractNumId="181">
    <w:nsid w:val="C058DF5"/>
    <w:multiLevelType w:val="hybridMultilevel"/>
    <w:lvl w:ilvl="0">
      <w:lvlJc w:val="left"/>
      <w:lvlText w:val="(%1)"/>
      <w:numFmt w:val="lowerLetter"/>
      <w:start w:val="1"/>
    </w:lvl>
  </w:abstractNum>
  <w:abstractNum w:abstractNumId="182">
    <w:nsid w:val="CBE5BE9"/>
    <w:multiLevelType w:val="hybridMultilevel"/>
    <w:lvl w:ilvl="0">
      <w:lvlJc w:val="left"/>
      <w:lvlText w:val="(%1)"/>
      <w:numFmt w:val="upperLetter"/>
      <w:start w:val="1"/>
    </w:lvl>
  </w:abstractNum>
  <w:abstractNum w:abstractNumId="183">
    <w:nsid w:val="3102BBE2"/>
    <w:multiLevelType w:val="hybridMultilevel"/>
    <w:lvl w:ilvl="0">
      <w:lvlJc w:val="left"/>
      <w:lvlText w:val="(%1)"/>
      <w:numFmt w:val="lowerLetter"/>
      <w:start w:val="3"/>
    </w:lvl>
  </w:abstractNum>
  <w:abstractNum w:abstractNumId="184">
    <w:nsid w:val="26A02C5E"/>
    <w:multiLevelType w:val="hybridMultilevel"/>
    <w:lvl w:ilvl="0">
      <w:lvlJc w:val="left"/>
      <w:lvlText w:val="(%1)"/>
      <w:numFmt w:val="lowerLetter"/>
      <w:start w:val="5"/>
    </w:lvl>
  </w:abstractNum>
  <w:abstractNum w:abstractNumId="185">
    <w:nsid w:val="541C81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6">
    <w:nsid w:val="67906F60"/>
    <w:multiLevelType w:val="hybridMultilevel"/>
    <w:lvl w:ilvl="0">
      <w:lvlJc w:val="left"/>
      <w:lvlText w:val="%1"/>
      <w:numFmt w:val="lowerRoman"/>
      <w:start w:val="1"/>
    </w:lvl>
    <w:lvl w:ilvl="1">
      <w:lvlJc w:val="left"/>
      <w:lvlText w:val="(%2)"/>
      <w:numFmt w:val="upperLetter"/>
      <w:start w:val="1"/>
    </w:lvl>
  </w:abstractNum>
  <w:abstractNum w:abstractNumId="187">
    <w:nsid w:val="10DB9DAA"/>
    <w:multiLevelType w:val="hybridMultilevel"/>
    <w:lvl w:ilvl="0">
      <w:lvlJc w:val="left"/>
      <w:lvlText w:val="(%1)"/>
      <w:numFmt w:val="lowerRoman"/>
      <w:start w:val="3"/>
    </w:lvl>
    <w:lvl w:ilvl="1">
      <w:lvlJc w:val="left"/>
      <w:lvlText w:val="%2"/>
      <w:numFmt w:val="upperLetter"/>
      <w:start w:val="1"/>
    </w:lvl>
  </w:abstractNum>
  <w:abstractNum w:abstractNumId="188">
    <w:nsid w:val="697D2D2"/>
    <w:multiLevelType w:val="hybridMultilevel"/>
    <w:lvl w:ilvl="0">
      <w:lvlJc w:val="left"/>
      <w:lvlText w:val="(%1)"/>
      <w:numFmt w:val="lowerLetter"/>
      <w:start w:val="3"/>
    </w:lvl>
  </w:abstractNum>
  <w:abstractNum w:abstractNumId="189">
    <w:nsid w:val="6D68AB2"/>
    <w:multiLevelType w:val="hybridMultilevel"/>
    <w:lvl w:ilvl="0">
      <w:lvlJc w:val="left"/>
      <w:lvlText w:val="(%1)"/>
      <w:numFmt w:val="lowerLetter"/>
      <w:start w:val="6"/>
    </w:lvl>
  </w:abstractNum>
  <w:abstractNum w:abstractNumId="190">
    <w:nsid w:val="3A966CD0"/>
    <w:multiLevelType w:val="hybridMultilevel"/>
    <w:lvl w:ilvl="0">
      <w:lvlJc w:val="left"/>
      <w:lvlText w:val="(%1)"/>
      <w:numFmt w:val="lowerLetter"/>
      <w:start w:val="7"/>
    </w:lvl>
  </w:abstractNum>
  <w:abstractNum w:abstractNumId="191">
    <w:nsid w:val="63F37E85"/>
    <w:multiLevelType w:val="hybridMultilevel"/>
    <w:lvl w:ilvl="0">
      <w:lvlJc w:val="left"/>
      <w:lvlText w:val="(%1)"/>
      <w:numFmt w:val="lowerLetter"/>
      <w:start w:val="8"/>
    </w:lvl>
  </w:abstractNum>
  <w:abstractNum w:abstractNumId="192">
    <w:nsid w:val="5895F5FA"/>
    <w:multiLevelType w:val="hybridMultilevel"/>
    <w:lvl w:ilvl="0">
      <w:lvlJc w:val="left"/>
      <w:lvlText w:val="(%1)"/>
      <w:numFmt w:val="lowerLetter"/>
      <w:start w:val="1"/>
    </w:lvl>
  </w:abstractNum>
  <w:abstractNum w:abstractNumId="193">
    <w:nsid w:val="38A5D054"/>
    <w:multiLevelType w:val="hybridMultilevel"/>
    <w:lvl w:ilvl="0">
      <w:lvlJc w:val="left"/>
      <w:lvlText w:val="(%1)"/>
      <w:numFmt w:val="lowerLetter"/>
      <w:start w:val="1"/>
    </w:lvl>
  </w:abstractNum>
  <w:abstractNum w:abstractNumId="194">
    <w:nsid w:val="F3F09D8"/>
    <w:multiLevelType w:val="hybridMultilevel"/>
    <w:lvl w:ilvl="0">
      <w:lvlJc w:val="left"/>
      <w:lvlText w:val="(%1)"/>
      <w:numFmt w:val="lowerLetter"/>
      <w:start w:val="3"/>
    </w:lvl>
  </w:abstractNum>
  <w:abstractNum w:abstractNumId="195">
    <w:nsid w:val="4B793735"/>
    <w:multiLevelType w:val="hybridMultilevel"/>
    <w:lvl w:ilvl="0">
      <w:lvlJc w:val="left"/>
      <w:lvlText w:val="(%1)"/>
      <w:numFmt w:val="lowerLetter"/>
      <w:start w:val="1"/>
    </w:lvl>
  </w:abstractNum>
  <w:abstractNum w:abstractNumId="196">
    <w:nsid w:val="4A10B4E8"/>
    <w:multiLevelType w:val="hybridMultilevel"/>
    <w:lvl w:ilvl="0">
      <w:lvlJc w:val="left"/>
      <w:lvlText w:val="(%1)"/>
      <w:numFmt w:val="lowerLetter"/>
      <w:start w:val="2"/>
    </w:lvl>
  </w:abstractNum>
  <w:abstractNum w:abstractNumId="197">
    <w:nsid w:val="43D3BCD4"/>
    <w:multiLevelType w:val="hybridMultilevel"/>
    <w:lvl w:ilvl="0">
      <w:lvlJc w:val="left"/>
      <w:lvlText w:val="(%1)"/>
      <w:numFmt w:val="lowerLetter"/>
      <w:start w:val="1"/>
    </w:lvl>
    <w:lvl w:ilvl="1">
      <w:lvlJc w:val="left"/>
      <w:lvlText w:val="(%2)"/>
      <w:numFmt w:val="lowerRoman"/>
      <w:start w:val="1"/>
    </w:lvl>
  </w:abstractNum>
  <w:abstractNum w:abstractNumId="198">
    <w:nsid w:val="4C2A7166"/>
    <w:multiLevelType w:val="hybridMultilevel"/>
    <w:lvl w:ilvl="0">
      <w:lvlJc w:val="left"/>
      <w:lvlText w:val="(%1)"/>
      <w:numFmt w:val="lowerRoman"/>
      <w:start w:val="3"/>
    </w:lvl>
  </w:abstractNum>
  <w:abstractNum w:abstractNumId="199">
    <w:nsid w:val="2E534A82"/>
    <w:multiLevelType w:val="hybridMultilevel"/>
    <w:lvl w:ilvl="0">
      <w:lvlJc w:val="left"/>
      <w:lvlText w:val="(%1)"/>
      <w:numFmt w:val="lowerLetter"/>
      <w:start w:val="1"/>
    </w:lvl>
    <w:lvl w:ilvl="1">
      <w:lvlJc w:val="left"/>
      <w:lvlText w:val="(%2)"/>
      <w:numFmt w:val="lowerRoman"/>
      <w:start w:val="1"/>
    </w:lvl>
  </w:abstractNum>
  <w:abstractNum w:abstractNumId="200">
    <w:nsid w:val="26F2D364"/>
    <w:multiLevelType w:val="hybridMultilevel"/>
    <w:lvl w:ilvl="0">
      <w:lvlJc w:val="left"/>
      <w:lvlText w:val="(%1)"/>
      <w:numFmt w:val="lowerLetter"/>
      <w:start w:val="1"/>
    </w:lvl>
    <w:lvl w:ilvl="1">
      <w:lvlJc w:val="left"/>
      <w:lvlText w:val="(%2)"/>
      <w:numFmt w:val="lowerLetter"/>
      <w:start w:val="9"/>
    </w:lvl>
  </w:abstractNum>
  <w:abstractNum w:abstractNumId="201">
    <w:nsid w:val="71C1AF98"/>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202">
    <w:nsid w:val="3D00B9D9"/>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lvl w:ilvl="1">
      <w:lvlJc w:val="left"/>
      <w:lvlText w:val="%2."/>
      <w:numFmt w:val="lowerLetter"/>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132" Type="http://schemas.openxmlformats.org/officeDocument/2006/relationships/hyperlink" Target="https://www.sec.gov/Archives/edgar/data/1508655/000119312520174009/d936084dex32.htm" TargetMode="External"/><Relationship Id="rId133" Type="http://schemas.openxmlformats.org/officeDocument/2006/relationships/hyperlink" Target="https://www.sec.gov/Archives/edgar/data/1508655/000119312523188221/d534568dex31.htm" TargetMode="External"/><Relationship Id="rId134" Type="http://schemas.openxmlformats.org/officeDocument/2006/relationships/hyperlink" Target="https://www.sec.gov/Archives/edgar/data/1508655/000119312524008558/d652899dex41.htm" TargetMode="External"/><Relationship Id="rId135" Type="http://schemas.openxmlformats.org/officeDocument/2006/relationships/hyperlink" Target="https://www.sec.gov/Archives/edgar/data/1508655/000119312524008558/d65289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2024-05-01T15:24:56Z</dcterms:created>
  <dcterms:modified xsi:type="dcterms:W3CDTF">2024-05-01T15:24:56Z</dcterms:modified>
</cp:coreProperties>
</file>