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40"/>
              <w:spacing w:after="0"/>
              <w:rPr>
                <w:sz w:val="20"/>
                <w:szCs w:val="20"/>
                <w:color w:val="auto"/>
              </w:rPr>
            </w:pPr>
            <w:r>
              <w:rPr>
                <w:rFonts w:ascii="Arial" w:cs="Arial" w:eastAsia="Arial" w:hAnsi="Arial"/>
                <w:sz w:val="18"/>
                <w:szCs w:val="18"/>
                <w:color w:val="0000FF"/>
              </w:rPr>
              <w:t>28.3</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985.45</w:t>
            </w:r>
          </w:p>
        </w:tc>
        <w:tc>
          <w:tcPr>
            <w:tcW w:w="1300" w:type="dxa"/>
            <w:vAlign w:val="bottom"/>
            <w:gridSpan w:val="3"/>
            <w:vMerge w:val="restart"/>
          </w:tcPr>
          <w:p>
            <w:pPr>
              <w:ind w:left="440"/>
              <w:spacing w:after="0"/>
              <w:rPr>
                <w:sz w:val="20"/>
                <w:szCs w:val="20"/>
                <w:color w:val="auto"/>
              </w:rPr>
            </w:pPr>
            <w:r>
              <w:rPr>
                <w:rFonts w:ascii="Arial" w:cs="Arial" w:eastAsia="Arial" w:hAnsi="Arial"/>
                <w:sz w:val="18"/>
                <w:szCs w:val="18"/>
                <w:color w:val="0000FF"/>
              </w:rPr>
              <w:t>174.4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13,987 shares of Common Stock of the Issuer, including 174.4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2019-12-17T05:07:19Z</dcterms:created>
  <dcterms:modified xsi:type="dcterms:W3CDTF">2019-12-17T05:07:19Z</dcterms:modified>
</cp:coreProperties>
</file>