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60" w:type="dxa"/>
            <w:vAlign w:val="bottom"/>
          </w:tcPr>
          <w:p>
            <w:pPr>
              <w:jc w:val="center"/>
              <w:ind w:right="239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814-00854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6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301 Commerce Street, Suite 3300</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97"/>
              </w:rPr>
              <w:t>Fort Worth, TX</w:t>
            </w:r>
          </w:p>
        </w:tc>
        <w:tc>
          <w:tcPr>
            <w:tcW w:w="238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1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 – Submission of Matters to a Vote of Security Holders</w:t>
      </w:r>
    </w:p>
    <w:p>
      <w:pPr>
        <w:spacing w:after="0" w:line="121" w:lineRule="exact"/>
        <w:rPr>
          <w:sz w:val="20"/>
          <w:szCs w:val="20"/>
          <w:color w:val="auto"/>
        </w:rPr>
      </w:pPr>
    </w:p>
    <w:p>
      <w:pPr>
        <w:jc w:val="both"/>
        <w:ind w:right="240" w:firstLine="456"/>
        <w:spacing w:after="0" w:line="342" w:lineRule="auto"/>
        <w:rPr>
          <w:sz w:val="20"/>
          <w:szCs w:val="20"/>
          <w:color w:val="auto"/>
        </w:rPr>
      </w:pPr>
      <w:r>
        <w:rPr>
          <w:rFonts w:ascii="Arial" w:cs="Arial" w:eastAsia="Arial" w:hAnsi="Arial"/>
          <w:sz w:val="16"/>
          <w:szCs w:val="16"/>
          <w:color w:val="auto"/>
        </w:rPr>
        <w:t>As previously disclosed in the definitive consent solicitation materials filed on February 24, 2014, TPG Specialty Lending, Inc. (the “Company”) solicited stockholder approval by written consent to approve two amendments to the Company’s Amended and Restated Certification of Incorporation.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7, 2014, the following two proposals were approved by a majority of the Company’s outstanding voting securities:</w:t>
      </w:r>
    </w:p>
    <w:p>
      <w:pPr>
        <w:spacing w:after="0" w:line="131" w:lineRule="exact"/>
        <w:rPr>
          <w:sz w:val="20"/>
          <w:szCs w:val="20"/>
          <w:color w:val="auto"/>
        </w:rPr>
      </w:pPr>
    </w:p>
    <w:p>
      <w:pPr>
        <w:ind w:left="9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 in the number of authorized shares of the common stock of the Company, par value $0.01 per share (the “common stock”), to four hundred million (400,000,000) shares, a corresponding increase in the total number of authorized shares of all classes of capital stock of the Company to five hundred million (500,000,000) shares and a clarification that the Company has the authority to issue one hundred million (100,000,000) shares of preferred stock, par value $0.01 per share;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Elimination of the ability of stockholders to act by written consent outside of an annual or special meeting of stockholders.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final results of the voting on each matter submitted to stockholders are set forth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One </w:t>
      </w:r>
      <w:r>
        <w:rPr>
          <w:rFonts w:ascii="Arial" w:cs="Arial" w:eastAsia="Arial" w:hAnsi="Arial"/>
          <w:sz w:val="18"/>
          <w:szCs w:val="18"/>
          <w:color w:val="auto"/>
        </w:rPr>
        <w:t>–</w:t>
      </w:r>
      <w:r>
        <w:rPr>
          <w:rFonts w:ascii="Arial" w:cs="Arial" w:eastAsia="Arial" w:hAnsi="Arial"/>
          <w:sz w:val="18"/>
          <w:szCs w:val="18"/>
          <w:b w:val="1"/>
          <w:bCs w:val="1"/>
          <w:color w:val="auto"/>
        </w:rPr>
        <w:t xml:space="preserve"> Increase in the number of authorized shares of common stock.</w:t>
      </w:r>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Number of Votes</w:t>
      </w:r>
    </w:p>
    <w:p>
      <w:pPr>
        <w:spacing w:after="0" w:line="10"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Votes “For”</w:t>
            </w:r>
          </w:p>
        </w:tc>
        <w:tc>
          <w:tcPr>
            <w:tcW w:w="22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Votes “Withheld”</w:t>
            </w:r>
          </w:p>
        </w:tc>
        <w:tc>
          <w:tcPr>
            <w:tcW w:w="22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Abstentions</w:t>
            </w:r>
          </w:p>
        </w:tc>
        <w:tc>
          <w:tcPr>
            <w:tcW w:w="22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3040" w:type="dxa"/>
            <w:vAlign w:val="bottom"/>
            <w:gridSpan w:val="3"/>
            <w:shd w:val="clear" w:color="auto" w:fill="CCEEFF"/>
          </w:tcPr>
          <w:p>
            <w:pPr>
              <w:jc w:val="right"/>
              <w:ind w:right="2220"/>
              <w:spacing w:after="0"/>
              <w:rPr>
                <w:sz w:val="20"/>
                <w:szCs w:val="20"/>
                <w:color w:val="auto"/>
              </w:rPr>
            </w:pPr>
            <w:r>
              <w:rPr>
                <w:rFonts w:ascii="Arial" w:cs="Arial" w:eastAsia="Arial" w:hAnsi="Arial"/>
                <w:sz w:val="18"/>
                <w:szCs w:val="18"/>
                <w:color w:val="auto"/>
                <w:w w:val="88"/>
              </w:rPr>
              <w:t>23,545,686</w:t>
            </w:r>
          </w:p>
        </w:tc>
        <w:tc>
          <w:tcPr>
            <w:tcW w:w="11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259,395</w:t>
            </w:r>
          </w:p>
        </w:tc>
        <w:tc>
          <w:tcPr>
            <w:tcW w:w="29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w:t>
            </w:r>
          </w:p>
        </w:tc>
        <w:tc>
          <w:tcPr>
            <w:tcW w:w="33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Two – Elimination of stockholder action by written consent outside of an annual or special meeting.</w:t>
      </w:r>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Number of Votes</w:t>
      </w:r>
    </w:p>
    <w:p>
      <w:pPr>
        <w:spacing w:after="0" w:line="10"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Votes “For”</w:t>
            </w:r>
          </w:p>
        </w:tc>
        <w:tc>
          <w:tcPr>
            <w:tcW w:w="22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Votes “Withheld”</w:t>
            </w:r>
          </w:p>
        </w:tc>
        <w:tc>
          <w:tcPr>
            <w:tcW w:w="22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Abstentions</w:t>
            </w:r>
          </w:p>
        </w:tc>
        <w:tc>
          <w:tcPr>
            <w:tcW w:w="22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3040" w:type="dxa"/>
            <w:vAlign w:val="bottom"/>
            <w:gridSpan w:val="3"/>
            <w:shd w:val="clear" w:color="auto" w:fill="CCEEFF"/>
          </w:tcPr>
          <w:p>
            <w:pPr>
              <w:jc w:val="right"/>
              <w:ind w:right="2220"/>
              <w:spacing w:after="0"/>
              <w:rPr>
                <w:sz w:val="20"/>
                <w:szCs w:val="20"/>
                <w:color w:val="auto"/>
              </w:rPr>
            </w:pPr>
            <w:r>
              <w:rPr>
                <w:rFonts w:ascii="Arial" w:cs="Arial" w:eastAsia="Arial" w:hAnsi="Arial"/>
                <w:sz w:val="18"/>
                <w:szCs w:val="18"/>
                <w:color w:val="auto"/>
                <w:w w:val="88"/>
              </w:rPr>
              <w:t>22,150,580</w:t>
            </w:r>
          </w:p>
        </w:tc>
        <w:tc>
          <w:tcPr>
            <w:tcW w:w="11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964,712</w:t>
            </w:r>
          </w:p>
        </w:tc>
        <w:tc>
          <w:tcPr>
            <w:tcW w:w="29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w:t>
            </w:r>
          </w:p>
        </w:tc>
        <w:tc>
          <w:tcPr>
            <w:tcW w:w="33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On March 10, 2014, the Company filed a Certificate of Amendment to its Amended and Restated Certificate of Incorporation with the Secretary of State of the State of Delaware effecting the approved amendments. The Certificate of Amendment is attached hereto as Exhibit 3.1.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86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8840" w:type="dxa"/>
            <w:vAlign w:val="bottom"/>
          </w:tcPr>
          <w:p>
            <w:pPr>
              <w:spacing w:after="0"/>
              <w:rPr>
                <w:sz w:val="14"/>
                <w:szCs w:val="14"/>
                <w:color w:val="auto"/>
              </w:rPr>
            </w:pPr>
          </w:p>
        </w:tc>
      </w:tr>
      <w:tr>
        <w:trPr>
          <w:trHeight w:val="303"/>
        </w:trPr>
        <w:tc>
          <w:tcPr>
            <w:tcW w:w="680" w:type="dxa"/>
            <w:vAlign w:val="bottom"/>
          </w:tcPr>
          <w:p>
            <w:pPr>
              <w:spacing w:after="0"/>
              <w:rPr>
                <w:sz w:val="20"/>
                <w:szCs w:val="20"/>
                <w:color w:val="auto"/>
              </w:rPr>
            </w:pPr>
            <w:r>
              <w:rPr>
                <w:rFonts w:ascii="Arial" w:cs="Arial" w:eastAsia="Arial" w:hAnsi="Arial"/>
                <w:sz w:val="18"/>
                <w:szCs w:val="18"/>
                <w:color w:val="auto"/>
              </w:rPr>
              <w:t>3.1</w:t>
            </w:r>
          </w:p>
        </w:tc>
        <w:tc>
          <w:tcPr>
            <w:tcW w:w="10380" w:type="dxa"/>
            <w:vAlign w:val="bottom"/>
            <w:gridSpan w:val="3"/>
          </w:tcPr>
          <w:p>
            <w:pPr>
              <w:ind w:left="860"/>
              <w:spacing w:after="0"/>
              <w:rPr>
                <w:sz w:val="20"/>
                <w:szCs w:val="20"/>
                <w:color w:val="auto"/>
              </w:rPr>
            </w:pPr>
            <w:r>
              <w:rPr>
                <w:rFonts w:ascii="Arial" w:cs="Arial" w:eastAsia="Arial" w:hAnsi="Arial"/>
                <w:sz w:val="18"/>
                <w:szCs w:val="18"/>
                <w:color w:val="auto"/>
                <w:w w:val="91"/>
              </w:rPr>
              <w:t>Certificate of Amendment to the Amended and Restated Certificate of Incorporation, filed with the Secretary of State of the State of</w:t>
            </w:r>
          </w:p>
        </w:tc>
      </w:tr>
      <w:tr>
        <w:trPr>
          <w:trHeight w:val="230"/>
        </w:trPr>
        <w:tc>
          <w:tcPr>
            <w:tcW w:w="680" w:type="dxa"/>
            <w:vAlign w:val="bottom"/>
          </w:tcPr>
          <w:p>
            <w:pPr>
              <w:spacing w:after="0"/>
              <w:rPr>
                <w:sz w:val="20"/>
                <w:szCs w:val="20"/>
                <w:color w:val="auto"/>
              </w:rPr>
            </w:pPr>
          </w:p>
        </w:tc>
        <w:tc>
          <w:tcPr>
            <w:tcW w:w="10380" w:type="dxa"/>
            <w:vAlign w:val="bottom"/>
            <w:gridSpan w:val="3"/>
          </w:tcPr>
          <w:p>
            <w:pPr>
              <w:ind w:left="860"/>
              <w:spacing w:after="0"/>
              <w:rPr>
                <w:sz w:val="20"/>
                <w:szCs w:val="20"/>
                <w:color w:val="auto"/>
              </w:rPr>
            </w:pPr>
            <w:r>
              <w:rPr>
                <w:rFonts w:ascii="Arial" w:cs="Arial" w:eastAsia="Arial" w:hAnsi="Arial"/>
                <w:sz w:val="18"/>
                <w:szCs w:val="18"/>
                <w:color w:val="auto"/>
              </w:rPr>
              <w:t>Delaware on March 10, 2014.</w:t>
            </w:r>
          </w:p>
        </w:tc>
      </w:tr>
    </w:tbl>
    <w:p>
      <w:pPr>
        <w:sectPr>
          <w:pgSz w:w="11900" w:h="16838" w:orient="portrait"/>
          <w:cols w:equalWidth="0" w:num="1">
            <w:col w:w="11160"/>
          </w:cols>
          <w:pgMar w:left="240" w:top="270"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March 12, 2014</w:t>
      </w:r>
      <w:r>
        <w:rPr>
          <w:sz w:val="20"/>
          <w:szCs w:val="20"/>
          <w:color w:val="auto"/>
        </w:rPr>
        <w:tab/>
      </w:r>
      <w:r>
        <w:rPr>
          <w:rFonts w:ascii="Arial" w:cs="Arial" w:eastAsia="Arial" w:hAnsi="Arial"/>
          <w:sz w:val="17"/>
          <w:szCs w:val="17"/>
          <w:color w:val="auto"/>
        </w:rPr>
        <w:t>By:  /s/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Jennifer Mello</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280"/>
          </w:cols>
          <w:pgMar w:left="240" w:top="27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TPG Specialty Lending, Inc., a corporation organized and existing under the laws of the State of Delaware (the “Corporation”), pursuant to the Delaware General Corporation Law (the “DGCL”), does hereby certify:</w:t>
      </w:r>
    </w:p>
    <w:p>
      <w:pPr>
        <w:spacing w:after="0" w:line="58" w:lineRule="exact"/>
        <w:rPr>
          <w:sz w:val="20"/>
          <w:szCs w:val="20"/>
          <w:color w:val="auto"/>
        </w:rPr>
      </w:pPr>
    </w:p>
    <w:p>
      <w:pPr>
        <w:ind w:left="460" w:right="20"/>
        <w:spacing w:after="0" w:line="282"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first paragraph of Article IV of the Amended and Restated Certificate of Incorporation of the Corporation is hereby amended in its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to read as follows:</w:t>
      </w:r>
    </w:p>
    <w:p>
      <w:pPr>
        <w:spacing w:after="0" w:line="58" w:lineRule="exact"/>
        <w:rPr>
          <w:sz w:val="20"/>
          <w:szCs w:val="20"/>
          <w:color w:val="auto"/>
        </w:rPr>
      </w:pPr>
    </w:p>
    <w:p>
      <w:pPr>
        <w:jc w:val="both"/>
        <w:ind w:left="920" w:right="300"/>
        <w:spacing w:after="0" w:line="264" w:lineRule="auto"/>
        <w:rPr>
          <w:sz w:val="20"/>
          <w:szCs w:val="20"/>
          <w:color w:val="auto"/>
        </w:rPr>
      </w:pPr>
      <w:r>
        <w:rPr>
          <w:rFonts w:ascii="Arial" w:cs="Arial" w:eastAsia="Arial" w:hAnsi="Arial"/>
          <w:sz w:val="18"/>
          <w:szCs w:val="18"/>
          <w:color w:val="auto"/>
        </w:rPr>
        <w:t>The total number of shares of all classes of capital stock that the Corporation shall have authority to issue is 500,000,000 shares, consisting of 400,000,000 shares of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100,000,000 shares of preferred stock, par value $0.01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69" w:lineRule="exact"/>
        <w:rPr>
          <w:sz w:val="20"/>
          <w:szCs w:val="20"/>
          <w:color w:val="auto"/>
        </w:rPr>
      </w:pPr>
    </w:p>
    <w:p>
      <w:pPr>
        <w:ind w:left="460" w:right="620"/>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Article IV of the Amended and Restated Certificate of Incorporation of the Corporation is hereby amended by adding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(C) at the end of Article IV:</w:t>
      </w:r>
    </w:p>
    <w:p>
      <w:pPr>
        <w:spacing w:after="0" w:line="58" w:lineRule="exact"/>
        <w:rPr>
          <w:sz w:val="20"/>
          <w:szCs w:val="20"/>
          <w:color w:val="auto"/>
        </w:rPr>
      </w:pPr>
    </w:p>
    <w:p>
      <w:pPr>
        <w:ind w:left="920" w:right="540"/>
        <w:spacing w:after="0" w:line="264" w:lineRule="auto"/>
        <w:rPr>
          <w:sz w:val="20"/>
          <w:szCs w:val="20"/>
          <w:color w:val="auto"/>
        </w:rPr>
      </w:pPr>
      <w:r>
        <w:rPr>
          <w:rFonts w:ascii="Arial" w:cs="Arial" w:eastAsia="Arial" w:hAnsi="Arial"/>
          <w:sz w:val="18"/>
          <w:szCs w:val="18"/>
          <w:color w:val="auto"/>
        </w:rPr>
        <w:t>Subject to the rights of the holders of any series of Preferred Stock, any action required or permitted to be taken by stockholders of the Corporation must be effected at a duly called annual or special meeting of stockholders of the Corporation and may not be effected by any consent in writing by such stockholders.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foregoing amendments have been duly adopted in accordance with the provisions of Sections 228 and 242 of the DGCL.</w:t>
      </w:r>
    </w:p>
    <w:p>
      <w:pPr>
        <w:sectPr>
          <w:pgSz w:w="11900" w:h="16838" w:orient="portrait"/>
          <w:cols w:equalWidth="0" w:num="1">
            <w:col w:w="11420"/>
          </w:cols>
          <w:pgMar w:left="240" w:top="121" w:right="239" w:bottom="1440" w:gutter="0" w:footer="0" w:header="0"/>
        </w:sectPr>
      </w:pPr>
    </w:p>
    <w:bookmarkStart w:id="4" w:name="page5"/>
    <w:bookmarkEnd w:id="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Corporation has caused its duly authorized officer to execute this Certificate of Amendment on this 10th day of March,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Name: Joshua Easterly</w:t>
      </w:r>
    </w:p>
    <w:p>
      <w:pPr>
        <w:spacing w:after="0" w:line="23" w:lineRule="exact"/>
        <w:rPr>
          <w:sz w:val="20"/>
          <w:szCs w:val="20"/>
          <w:color w:val="auto"/>
        </w:rPr>
      </w:pPr>
    </w:p>
    <w:p>
      <w:pPr>
        <w:ind w:left="7420"/>
        <w:spacing w:after="0"/>
        <w:tabs>
          <w:tab w:leader="none" w:pos="7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Co-Chief Executive Officer</w:t>
      </w:r>
    </w:p>
    <w:sectPr>
      <w:pgSz w:w="11900" w:h="16838" w:orient="portrait"/>
      <w:cols w:equalWidth="0" w:num="1">
        <w:col w:w="11300"/>
      </w:cols>
      <w:pgMar w:left="240" w:top="2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2019-12-07T23:34:42Z</dcterms:created>
  <dcterms:modified xsi:type="dcterms:W3CDTF">2019-12-07T23:34:42Z</dcterms:modified>
</cp:coreProperties>
</file>