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May 8,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60" w:type="dxa"/>
        <w:tblCellMar>
          <w:top w:w="0" w:type="dxa"/>
          <w:left w:w="0" w:type="dxa"/>
          <w:bottom w:w="0" w:type="dxa"/>
          <w:right w:w="0" w:type="dxa"/>
        </w:tblCellMar>
      </w:tblPr>
      <w:tr>
        <w:trPr>
          <w:trHeight w:val="218"/>
        </w:trPr>
        <w:tc>
          <w:tcPr>
            <w:tcW w:w="4140" w:type="dxa"/>
            <w:vAlign w:val="bottom"/>
          </w:tcPr>
          <w:p>
            <w:pPr>
              <w:jc w:val="center"/>
              <w:ind w:right="2482"/>
              <w:spacing w:after="0"/>
              <w:rPr>
                <w:sz w:val="20"/>
                <w:szCs w:val="20"/>
                <w:color w:val="auto"/>
              </w:rPr>
            </w:pPr>
            <w:r>
              <w:rPr>
                <w:rFonts w:ascii="Arial" w:cs="Arial" w:eastAsia="Arial" w:hAnsi="Arial"/>
                <w:sz w:val="18"/>
                <w:szCs w:val="18"/>
                <w:b w:val="1"/>
                <w:bCs w:val="1"/>
                <w:color w:val="auto"/>
                <w:w w:val="88"/>
              </w:rPr>
              <w:t>Delaware</w:t>
            </w:r>
          </w:p>
        </w:tc>
        <w:tc>
          <w:tcPr>
            <w:tcW w:w="2340" w:type="dxa"/>
            <w:vAlign w:val="bottom"/>
          </w:tcPr>
          <w:p>
            <w:pPr>
              <w:ind w:left="160"/>
              <w:spacing w:after="0"/>
              <w:rPr>
                <w:sz w:val="20"/>
                <w:szCs w:val="20"/>
                <w:color w:val="auto"/>
              </w:rPr>
            </w:pPr>
            <w:r>
              <w:rPr>
                <w:rFonts w:ascii="Arial" w:cs="Arial" w:eastAsia="Arial" w:hAnsi="Arial"/>
                <w:sz w:val="18"/>
                <w:szCs w:val="18"/>
                <w:b w:val="1"/>
                <w:bCs w:val="1"/>
                <w:color w:val="auto"/>
              </w:rPr>
              <w:t>814-00854</w:t>
            </w:r>
          </w:p>
        </w:tc>
        <w:tc>
          <w:tcPr>
            <w:tcW w:w="2480" w:type="dxa"/>
            <w:vAlign w:val="bottom"/>
          </w:tcPr>
          <w:p>
            <w:pPr>
              <w:jc w:val="center"/>
              <w:ind w:left="1364"/>
              <w:spacing w:after="0"/>
              <w:rPr>
                <w:sz w:val="20"/>
                <w:szCs w:val="20"/>
                <w:color w:val="auto"/>
              </w:rPr>
            </w:pPr>
            <w:r>
              <w:rPr>
                <w:rFonts w:ascii="Arial" w:cs="Arial" w:eastAsia="Arial" w:hAnsi="Arial"/>
                <w:sz w:val="18"/>
                <w:szCs w:val="18"/>
                <w:b w:val="1"/>
                <w:bCs w:val="1"/>
                <w:color w:val="auto"/>
                <w:w w:val="87"/>
              </w:rPr>
              <w:t>27-3380000</w:t>
            </w:r>
          </w:p>
        </w:tc>
      </w:tr>
      <w:tr>
        <w:trPr>
          <w:trHeight w:val="149"/>
        </w:trPr>
        <w:tc>
          <w:tcPr>
            <w:tcW w:w="4140" w:type="dxa"/>
            <w:vAlign w:val="bottom"/>
          </w:tcPr>
          <w:p>
            <w:pPr>
              <w:jc w:val="center"/>
              <w:ind w:right="2462"/>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34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140" w:type="dxa"/>
            <w:vAlign w:val="bottom"/>
          </w:tcPr>
          <w:p>
            <w:pPr>
              <w:jc w:val="center"/>
              <w:ind w:right="2462"/>
              <w:spacing w:after="0"/>
              <w:rPr>
                <w:sz w:val="20"/>
                <w:szCs w:val="20"/>
                <w:color w:val="auto"/>
              </w:rPr>
            </w:pPr>
            <w:r>
              <w:rPr>
                <w:rFonts w:ascii="Arial" w:cs="Arial" w:eastAsia="Arial" w:hAnsi="Arial"/>
                <w:sz w:val="14"/>
                <w:szCs w:val="14"/>
                <w:b w:val="1"/>
                <w:bCs w:val="1"/>
                <w:color w:val="auto"/>
                <w:w w:val="89"/>
              </w:rPr>
              <w:t>of Incorporation)</w:t>
            </w:r>
          </w:p>
        </w:tc>
        <w:tc>
          <w:tcPr>
            <w:tcW w:w="234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4140" w:type="dxa"/>
            <w:vAlign w:val="bottom"/>
          </w:tcPr>
          <w:p>
            <w:pPr>
              <w:jc w:val="center"/>
              <w:ind w:left="1262"/>
              <w:spacing w:after="0"/>
              <w:rPr>
                <w:sz w:val="20"/>
                <w:szCs w:val="20"/>
                <w:color w:val="auto"/>
              </w:rPr>
            </w:pPr>
            <w:r>
              <w:rPr>
                <w:rFonts w:ascii="Arial" w:cs="Arial" w:eastAsia="Arial" w:hAnsi="Arial"/>
                <w:sz w:val="18"/>
                <w:szCs w:val="18"/>
                <w:b w:val="1"/>
                <w:bCs w:val="1"/>
                <w:color w:val="auto"/>
                <w:w w:val="87"/>
              </w:rPr>
              <w:t>301 Commerce Street, Suite 3300</w:t>
            </w:r>
          </w:p>
        </w:tc>
        <w:tc>
          <w:tcPr>
            <w:tcW w:w="23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1"/>
        </w:trPr>
        <w:tc>
          <w:tcPr>
            <w:tcW w:w="4140" w:type="dxa"/>
            <w:vAlign w:val="bottom"/>
          </w:tcPr>
          <w:p>
            <w:pPr>
              <w:jc w:val="center"/>
              <w:ind w:left="1262"/>
              <w:spacing w:after="0"/>
              <w:rPr>
                <w:sz w:val="20"/>
                <w:szCs w:val="20"/>
                <w:color w:val="auto"/>
              </w:rPr>
            </w:pPr>
            <w:r>
              <w:rPr>
                <w:rFonts w:ascii="Arial" w:cs="Arial" w:eastAsia="Arial" w:hAnsi="Arial"/>
                <w:sz w:val="18"/>
                <w:szCs w:val="18"/>
                <w:b w:val="1"/>
                <w:bCs w:val="1"/>
                <w:color w:val="auto"/>
                <w:w w:val="95"/>
              </w:rPr>
              <w:t>Fort Worth, TX</w:t>
            </w:r>
          </w:p>
        </w:tc>
        <w:tc>
          <w:tcPr>
            <w:tcW w:w="2340" w:type="dxa"/>
            <w:vAlign w:val="bottom"/>
          </w:tcPr>
          <w:p>
            <w:pPr>
              <w:spacing w:after="0"/>
              <w:rPr>
                <w:sz w:val="20"/>
                <w:szCs w:val="20"/>
                <w:color w:val="auto"/>
              </w:rPr>
            </w:pPr>
          </w:p>
        </w:tc>
        <w:tc>
          <w:tcPr>
            <w:tcW w:w="2480" w:type="dxa"/>
            <w:vAlign w:val="bottom"/>
          </w:tcPr>
          <w:p>
            <w:pPr>
              <w:jc w:val="right"/>
              <w:ind w:right="164"/>
              <w:spacing w:after="0"/>
              <w:rPr>
                <w:sz w:val="20"/>
                <w:szCs w:val="20"/>
                <w:color w:val="auto"/>
              </w:rPr>
            </w:pPr>
            <w:r>
              <w:rPr>
                <w:rFonts w:ascii="Arial" w:cs="Arial" w:eastAsia="Arial" w:hAnsi="Arial"/>
                <w:sz w:val="18"/>
                <w:szCs w:val="18"/>
                <w:b w:val="1"/>
                <w:bCs w:val="1"/>
                <w:color w:val="auto"/>
              </w:rPr>
              <w:t>76102</w:t>
            </w:r>
          </w:p>
        </w:tc>
      </w:tr>
      <w:tr>
        <w:trPr>
          <w:trHeight w:val="174"/>
        </w:trPr>
        <w:tc>
          <w:tcPr>
            <w:tcW w:w="4140" w:type="dxa"/>
            <w:vAlign w:val="bottom"/>
          </w:tcPr>
          <w:p>
            <w:pPr>
              <w:jc w:val="center"/>
              <w:ind w:left="1262"/>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340" w:type="dxa"/>
            <w:vAlign w:val="bottom"/>
          </w:tcPr>
          <w:p>
            <w:pPr>
              <w:spacing w:after="0"/>
              <w:rPr>
                <w:sz w:val="15"/>
                <w:szCs w:val="15"/>
                <w:color w:val="auto"/>
              </w:rPr>
            </w:pPr>
          </w:p>
        </w:tc>
        <w:tc>
          <w:tcPr>
            <w:tcW w:w="2480" w:type="dxa"/>
            <w:vAlign w:val="bottom"/>
          </w:tcPr>
          <w:p>
            <w:pPr>
              <w:jc w:val="center"/>
              <w:ind w:left="1484"/>
              <w:spacing w:after="0"/>
              <w:rPr>
                <w:sz w:val="20"/>
                <w:szCs w:val="20"/>
                <w:color w:val="auto"/>
              </w:rPr>
            </w:pPr>
            <w:r>
              <w:rPr>
                <w:rFonts w:ascii="Arial" w:cs="Arial" w:eastAsia="Arial" w:hAnsi="Arial"/>
                <w:sz w:val="14"/>
                <w:szCs w:val="14"/>
                <w:b w:val="1"/>
                <w:bCs w:val="1"/>
                <w:color w:val="auto"/>
                <w:w w:val="92"/>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 Entry into a Material Definitive Agreement</w:t>
      </w:r>
    </w:p>
    <w:p>
      <w:pPr>
        <w:spacing w:after="0" w:line="96"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TPG Specialty Lending, Inc.’s (the “Company”) wholly-owned subsidiary TPG SL SPV, LLC (the “Subsidiary”), a Delaware limited liability company, entered into a Revolving Credit and Security Agreement (the “Facility”) on May 8, 2012 (the “Closing Date”). Parties to the agreement include TPG SL SPV, LLC, as Borrower, the lenders from time to time parties hereto (each a “Lender” and collectively the “Lenders”), Natixis, New York Branch, as Facility Agent and The Bank of New York Mellon Trust Company, N.A., as Collateral Agent.</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contributed certain loans to the Subsidiary pursuant to the terms of a Master Sale and Contribution Agreement by and between the Company and the Subsidiary dated as of May 8, 2012. Proceeds from the Facility may be used for financing the acquisition of eligible assets by the Subsidiary, including the purchase of such assets from the Company.</w:t>
      </w:r>
    </w:p>
    <w:p>
      <w:pPr>
        <w:spacing w:after="0" w:line="140" w:lineRule="exact"/>
        <w:rPr>
          <w:sz w:val="20"/>
          <w:szCs w:val="20"/>
          <w:color w:val="auto"/>
        </w:rPr>
      </w:pPr>
    </w:p>
    <w:p>
      <w:pPr>
        <w:jc w:val="center"/>
        <w:ind w:right="20"/>
        <w:spacing w:after="0" w:line="332" w:lineRule="auto"/>
        <w:rPr>
          <w:sz w:val="20"/>
          <w:szCs w:val="20"/>
          <w:color w:val="auto"/>
        </w:rPr>
      </w:pPr>
      <w:r>
        <w:rPr>
          <w:rFonts w:ascii="Arial" w:cs="Arial" w:eastAsia="Arial" w:hAnsi="Arial"/>
          <w:sz w:val="16"/>
          <w:szCs w:val="16"/>
          <w:color w:val="auto"/>
        </w:rPr>
        <w:t>The maximum principal amount of the Facility is $100 million, subject to availability under the borrowing base which is based on the amount of the Subsidiary’s assets from time to time, and satisfaction of certain conditions, including an asset coverage test, an asset quality test and certain concentration limits.</w:t>
      </w:r>
    </w:p>
    <w:p>
      <w:pPr>
        <w:spacing w:after="0" w:line="8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Facility provides for a contribution and reinvestment period for up to 18 months after the Closing Date (the “Commitment Termination Date”). Following the Commitment Termination Date, proceeds received by the Subsidiary from principal on collateral assets will be used to make quarterly payments of principal on outstanding advances. Proceeds received by the Subsidiary from interest, dividends, or fees on collateral assets will be used to pay expenses and interest on outstanding advances, and the excess may be returned to the Company, subject to certain conditions.</w:t>
      </w:r>
    </w:p>
    <w:p>
      <w:pPr>
        <w:spacing w:after="0" w:line="113"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Facility will mature on May 8, 2020, and is secured by a perfected first priority security interest in the assets of the Subsidiary and on any payments received by the Subsidiary in respect of such assets. Amounts drawn under the Facility will bear interest at LIBOR plus a margin.</w:t>
      </w:r>
    </w:p>
    <w:p>
      <w:pPr>
        <w:spacing w:after="0" w:line="8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Facility contains customary covenants, including certain maintenance covenants, and events of default. The Subsidiary drew $34.4 million on the Closing Date.</w:t>
      </w:r>
    </w:p>
    <w:p>
      <w:pPr>
        <w:spacing w:after="0" w:line="13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foregoing description is only a summary of certain of the provisions of the Facility and is qualified in its entirety by the underlying agreement for the Facility which will be filed as an exhibit to the Company’s Quarterly Report on Form 10-Q for the period ending June 30, 2012.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 Creation of a Direct Financial Obligation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under Item 1.01 above is incorporated by reference into this Item 2.03.</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jc w:val="center"/>
        <w:ind w:left="5920"/>
        <w:spacing w:after="0"/>
        <w:rPr>
          <w:sz w:val="20"/>
          <w:szCs w:val="20"/>
          <w:color w:val="auto"/>
        </w:rPr>
      </w:pPr>
      <w:r>
        <w:rPr>
          <w:rFonts w:ascii="Arial" w:cs="Arial" w:eastAsia="Arial" w:hAnsi="Arial"/>
          <w:sz w:val="18"/>
          <w:szCs w:val="18"/>
          <w:color w:val="auto"/>
        </w:rPr>
        <w:t>TPG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10795</wp:posOffset>
            </wp:positionV>
            <wp:extent cx="3559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3" w:lineRule="exact"/>
        <w:rPr>
          <w:sz w:val="20"/>
          <w:szCs w:val="20"/>
          <w:color w:val="auto"/>
        </w:rPr>
      </w:pPr>
    </w:p>
    <w:p>
      <w:pPr>
        <w:jc w:val="center"/>
        <w:ind w:left="592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Date: May 14, 2012</w:t>
            </w:r>
          </w:p>
        </w:tc>
        <w:tc>
          <w:tcPr>
            <w:tcW w:w="7900" w:type="dxa"/>
            <w:vAlign w:val="bottom"/>
            <w:gridSpan w:val="2"/>
          </w:tcPr>
          <w:p>
            <w:pPr>
              <w:ind w:left="2400"/>
              <w:spacing w:after="0"/>
              <w:rPr>
                <w:sz w:val="20"/>
                <w:szCs w:val="20"/>
                <w:color w:val="auto"/>
              </w:rPr>
            </w:pPr>
            <w:r>
              <w:rPr>
                <w:rFonts w:ascii="Arial" w:cs="Arial" w:eastAsia="Arial" w:hAnsi="Arial"/>
                <w:sz w:val="18"/>
                <w:szCs w:val="18"/>
                <w:color w:val="auto"/>
              </w:rPr>
              <w:t>By: /s/ Ronald Cami</w:t>
            </w:r>
          </w:p>
        </w:tc>
      </w:tr>
      <w:tr>
        <w:trPr>
          <w:trHeight w:val="202"/>
        </w:trPr>
        <w:tc>
          <w:tcPr>
            <w:tcW w:w="35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Ronald Cami</w:t>
            </w:r>
          </w:p>
        </w:tc>
      </w:tr>
      <w:tr>
        <w:trPr>
          <w:trHeight w:val="222"/>
        </w:trPr>
        <w:tc>
          <w:tcPr>
            <w:tcW w:w="35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Vice President</w:t>
            </w:r>
          </w:p>
        </w:tc>
      </w:tr>
      <w:tr>
        <w:trPr>
          <w:trHeight w:val="527"/>
        </w:trPr>
        <w:tc>
          <w:tcPr>
            <w:tcW w:w="3520" w:type="dxa"/>
            <w:vAlign w:val="bottom"/>
          </w:tcPr>
          <w:p>
            <w:pPr>
              <w:spacing w:after="0"/>
              <w:rPr>
                <w:sz w:val="24"/>
                <w:szCs w:val="24"/>
                <w:color w:val="auto"/>
              </w:rPr>
            </w:pPr>
          </w:p>
        </w:tc>
        <w:tc>
          <w:tcPr>
            <w:tcW w:w="2660" w:type="dxa"/>
            <w:vAlign w:val="bottom"/>
          </w:tcPr>
          <w:p>
            <w:pPr>
              <w:jc w:val="right"/>
              <w:ind w:right="272"/>
              <w:spacing w:after="0"/>
              <w:rPr>
                <w:sz w:val="20"/>
                <w:szCs w:val="20"/>
                <w:color w:val="auto"/>
              </w:rPr>
            </w:pPr>
            <w:r>
              <w:rPr>
                <w:rFonts w:ascii="Arial" w:cs="Arial" w:eastAsia="Arial" w:hAnsi="Arial"/>
                <w:sz w:val="18"/>
                <w:szCs w:val="18"/>
                <w:color w:val="auto"/>
              </w:rPr>
              <w:t>-3-</w:t>
            </w:r>
          </w:p>
        </w:tc>
        <w:tc>
          <w:tcPr>
            <w:tcW w:w="52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2019-12-09T19:05:07Z</dcterms:created>
  <dcterms:modified xsi:type="dcterms:W3CDTF">2019-12-09T19:05:07Z</dcterms:modified>
</cp:coreProperties>
</file>