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333-217207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TPG Specialty Lending,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$150,000,000</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4.500% Notes due 2023</w:t>
      </w:r>
    </w:p>
    <w:p>
      <w:pPr>
        <w:spacing w:after="0" w:line="182" w:lineRule="exact"/>
        <w:rPr>
          <w:sz w:val="24"/>
          <w:szCs w:val="24"/>
          <w:color w:val="auto"/>
        </w:rPr>
      </w:pPr>
    </w:p>
    <w:p>
      <w:pPr>
        <w:ind w:left="4500"/>
        <w:spacing w:after="0"/>
        <w:rPr>
          <w:sz w:val="20"/>
          <w:szCs w:val="20"/>
          <w:color w:val="auto"/>
        </w:rPr>
      </w:pPr>
      <w:r>
        <w:rPr>
          <w:rFonts w:ascii="Arial" w:cs="Arial" w:eastAsia="Arial" w:hAnsi="Arial"/>
          <w:sz w:val="22"/>
          <w:szCs w:val="22"/>
          <w:b w:val="1"/>
          <w:bCs w:val="1"/>
          <w:color w:val="auto"/>
        </w:rPr>
        <w:t>PRICING TERM SHEET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January 17, 2018</w:t>
      </w:r>
    </w:p>
    <w:p>
      <w:pPr>
        <w:spacing w:after="0" w:line="195" w:lineRule="exact"/>
        <w:rPr>
          <w:sz w:val="24"/>
          <w:szCs w:val="24"/>
          <w:color w:val="auto"/>
        </w:rPr>
      </w:pPr>
    </w:p>
    <w:p>
      <w:pPr>
        <w:ind w:firstLine="456"/>
        <w:spacing w:after="0" w:line="297" w:lineRule="auto"/>
        <w:rPr>
          <w:sz w:val="20"/>
          <w:szCs w:val="20"/>
          <w:color w:val="auto"/>
        </w:rPr>
      </w:pPr>
      <w:r>
        <w:rPr>
          <w:rFonts w:ascii="Arial" w:cs="Arial" w:eastAsia="Arial" w:hAnsi="Arial"/>
          <w:sz w:val="16"/>
          <w:szCs w:val="16"/>
          <w:color w:val="auto"/>
        </w:rPr>
        <w:t>The following sets forth the final terms of the 4.500% Notes due 2023 and should only be read together with the preliminary prospectus supplement dated January 17, 2018, together with the accompanying prospectus dated May 30, 2017,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420"/>
          </w:cols>
          <w:pgMar w:left="240" w:top="229" w:right="239" w:bottom="1440" w:gutter="0" w:footer="0" w:header="0"/>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7"/>
          <w:szCs w:val="17"/>
          <w:color w:val="auto"/>
        </w:rPr>
        <w:t>TPG Specialty Lending, Inc. (“TSLX”)</w:t>
      </w:r>
    </w:p>
    <w:p>
      <w:pPr>
        <w:spacing w:after="0" w:line="129"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4.500% Notes due 2023</w:t>
      </w:r>
    </w:p>
    <w:p>
      <w:pPr>
        <w:spacing w:after="0" w:line="140"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Ratings (S&amp;P/Fitch)*: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BBB-/BBB- (Stable/Stable)</w:t>
      </w:r>
    </w:p>
    <w:p>
      <w:pPr>
        <w:spacing w:after="0" w:line="140"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$150,000,000</w:t>
      </w:r>
    </w:p>
    <w:p>
      <w:pPr>
        <w:spacing w:after="0" w:line="140"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January 22, 2023, unless earlier repurchased or redeemed</w:t>
      </w:r>
    </w:p>
    <w:p>
      <w:pPr>
        <w:spacing w:after="0" w:line="151"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January 17, 2018</w:t>
      </w:r>
    </w:p>
    <w:p>
      <w:pPr>
        <w:spacing w:after="0" w:line="151"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4"/>
          <w:szCs w:val="24"/>
          <w:color w:val="auto"/>
        </w:rPr>
      </w:pPr>
      <w:r>
        <w:rPr>
          <w:sz w:val="24"/>
          <w:szCs w:val="24"/>
          <w:color w:val="auto"/>
        </w:rPr>
        <w:br w:type="column"/>
      </w:r>
    </w:p>
    <w:p>
      <w:pPr>
        <w:ind w:right="160"/>
        <w:spacing w:after="0" w:line="277" w:lineRule="auto"/>
        <w:rPr>
          <w:sz w:val="20"/>
          <w:szCs w:val="20"/>
          <w:color w:val="auto"/>
        </w:rPr>
      </w:pPr>
      <w:r>
        <w:rPr>
          <w:rFonts w:ascii="Arial" w:cs="Arial" w:eastAsia="Arial" w:hAnsi="Arial"/>
          <w:sz w:val="18"/>
          <w:szCs w:val="18"/>
          <w:color w:val="auto"/>
        </w:rPr>
        <w:t>The Notes will be issued at a price of 99.969% of their principal amount, plus accrued interest, if any, from January 22, 2018</w:t>
      </w:r>
    </w:p>
    <w:p>
      <w:pPr>
        <w:spacing w:after="0" w:line="62"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4.500%</w:t>
      </w:r>
    </w:p>
    <w:p>
      <w:pPr>
        <w:spacing w:after="0" w:line="151"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4.507%</w:t>
      </w:r>
    </w:p>
    <w:p>
      <w:pPr>
        <w:spacing w:after="0" w:line="151"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+212.5 basis points</w:t>
      </w:r>
    </w:p>
    <w:p>
      <w:pPr>
        <w:spacing w:after="0" w:line="151"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2.125% due December 31, 2022</w:t>
      </w:r>
    </w:p>
    <w:p>
      <w:pPr>
        <w:spacing w:after="0" w:line="140"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98-25 </w:t>
      </w:r>
      <w:r>
        <w:rPr>
          <w:rFonts w:ascii="Arial" w:cs="Arial" w:eastAsia="Arial" w:hAnsi="Arial"/>
          <w:sz w:val="13"/>
          <w:szCs w:val="13"/>
          <w:color w:val="auto"/>
        </w:rPr>
        <w:t>3</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xml:space="preserve"> / 2.382%</w:t>
      </w:r>
    </w:p>
    <w:p>
      <w:pPr>
        <w:spacing w:after="0" w:line="140"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January 22 and July 22, commencing July 22, 2018</w:t>
      </w:r>
    </w:p>
    <w:p>
      <w:pPr>
        <w:spacing w:after="0" w:line="140"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Make-Whole Redemption:</w:t>
      </w:r>
    </w:p>
    <w:p>
      <w:pPr>
        <w:spacing w:after="0" w:line="20" w:lineRule="exact"/>
        <w:rPr>
          <w:sz w:val="24"/>
          <w:szCs w:val="24"/>
          <w:color w:val="auto"/>
        </w:rPr>
      </w:pPr>
      <w:r>
        <w:rPr>
          <w:sz w:val="24"/>
          <w:szCs w:val="24"/>
          <w:color w:val="auto"/>
        </w:rPr>
        <w:br w:type="column"/>
      </w:r>
    </w:p>
    <w:p>
      <w:pPr>
        <w:ind w:right="340"/>
        <w:spacing w:after="0" w:line="277" w:lineRule="auto"/>
        <w:rPr>
          <w:sz w:val="20"/>
          <w:szCs w:val="20"/>
          <w:color w:val="auto"/>
        </w:rPr>
      </w:pPr>
      <w:r>
        <w:rPr>
          <w:rFonts w:ascii="Arial" w:cs="Arial" w:eastAsia="Arial" w:hAnsi="Arial"/>
          <w:sz w:val="18"/>
          <w:szCs w:val="18"/>
          <w:color w:val="auto"/>
        </w:rPr>
        <w:t>Equal to the greater of the following amounts, plus, in each case, accrued and unpaid interest to the redemption date:</w:t>
      </w:r>
    </w:p>
    <w:p>
      <w:pPr>
        <w:spacing w:after="0" w:line="76" w:lineRule="exact"/>
        <w:rPr>
          <w:sz w:val="24"/>
          <w:szCs w:val="24"/>
          <w:color w:val="auto"/>
        </w:rPr>
      </w:pPr>
    </w:p>
    <w:p>
      <w:pPr>
        <w:sectPr>
          <w:pgSz w:w="11900" w:h="16838" w:orient="portrait"/>
          <w:cols w:equalWidth="0" w:num="2">
            <w:col w:w="3240" w:space="720"/>
            <w:col w:w="7460"/>
          </w:cols>
          <w:pgMar w:left="240" w:top="229" w:right="239" w:bottom="1440" w:gutter="0" w:footer="0" w:header="0"/>
          <w:type w:val="continuous"/>
        </w:sectPr>
      </w:pPr>
    </w:p>
    <w:p>
      <w:pPr>
        <w:ind w:left="4040"/>
        <w:spacing w:after="0"/>
        <w:tabs>
          <w:tab w:leader="none" w:pos="4260" w:val="left"/>
        </w:tabs>
        <w:rPr>
          <w:sz w:val="20"/>
          <w:szCs w:val="20"/>
          <w:color w:val="auto"/>
        </w:rPr>
      </w:pPr>
      <w:r>
        <w:rPr>
          <w:rFonts w:ascii="Arial" w:cs="Arial" w:eastAsia="Arial" w:hAnsi="Arial"/>
          <w:sz w:val="18"/>
          <w:szCs w:val="18"/>
          <w:color w:val="auto"/>
        </w:rPr>
        <w:t>•</w:t>
        <w:tab/>
        <w:t>100% of the principal amount of the Notes to be redeemed, or</w:t>
      </w:r>
    </w:p>
    <w:p>
      <w:pPr>
        <w:spacing w:after="0" w:line="131" w:lineRule="exact"/>
        <w:rPr>
          <w:sz w:val="24"/>
          <w:szCs w:val="24"/>
          <w:color w:val="auto"/>
        </w:rPr>
      </w:pPr>
    </w:p>
    <w:p>
      <w:pPr>
        <w:ind w:left="4280" w:right="100" w:hanging="269"/>
        <w:spacing w:after="0" w:line="271" w:lineRule="auto"/>
        <w:tabs>
          <w:tab w:leader="none" w:pos="4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35 basis points;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TSLX redeems any Notes on or after December 22, 2022 (the date falling one</w:t>
      </w:r>
      <w:r>
        <w:rPr>
          <w:rFonts w:ascii="Arial" w:cs="Arial" w:eastAsia="Arial" w:hAnsi="Arial"/>
          <w:sz w:val="17"/>
          <w:szCs w:val="17"/>
          <w:i w:val="1"/>
          <w:iCs w:val="1"/>
          <w:color w:val="auto"/>
        </w:rPr>
        <w:t xml:space="preserve"> </w:t>
      </w:r>
      <w:r>
        <w:rPr>
          <w:rFonts w:ascii="Arial" w:cs="Arial" w:eastAsia="Arial" w:hAnsi="Arial"/>
          <w:sz w:val="17"/>
          <w:szCs w:val="17"/>
          <w:color w:val="auto"/>
        </w:rPr>
        <w:t>month prior to the maturity date of the Notes), the redemption price for the Notes will be equal to 100% of the principal amount of the Notes to be redeemed, plus accrued and unpaid interest, if any, to, but excluding, the date of redemption.</w:t>
      </w:r>
    </w:p>
    <w:p>
      <w:pPr>
        <w:sectPr>
          <w:pgSz w:w="11900" w:h="16838" w:orient="portrait"/>
          <w:cols w:equalWidth="0" w:num="1">
            <w:col w:w="11420"/>
          </w:cols>
          <w:pgMar w:left="240" w:top="229" w:right="239" w:bottom="1440" w:gutter="0" w:footer="0" w:header="0"/>
          <w:type w:val="continuous"/>
        </w:sectPr>
      </w:pP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right="60"/>
        <w:spacing w:after="0" w:line="308" w:lineRule="auto"/>
        <w:rPr>
          <w:sz w:val="20"/>
          <w:szCs w:val="20"/>
          <w:color w:val="auto"/>
        </w:rPr>
      </w:pPr>
      <w:r>
        <w:rPr>
          <w:rFonts w:ascii="Arial" w:cs="Arial" w:eastAsia="Arial" w:hAnsi="Arial"/>
          <w:sz w:val="17"/>
          <w:szCs w:val="17"/>
          <w:color w:val="auto"/>
        </w:rPr>
        <w:t>Holders have the right to require TSLX to repurchase the Notes at 100% of their principal amount plus accrued and unpaid interest, if any, in the event of a change of control repurchase event.</w:t>
      </w:r>
    </w:p>
    <w:p>
      <w:pPr>
        <w:sectPr>
          <w:pgSz w:w="11900" w:h="16838" w:orient="portrait"/>
          <w:cols w:equalWidth="0" w:num="2">
            <w:col w:w="3240" w:space="720"/>
            <w:col w:w="746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January 22, 2018 (T+3)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-269875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240" w:space="720"/>
            <w:col w:w="7460"/>
          </w:cols>
          <w:pgMar w:left="240" w:top="382" w:right="239" w:bottom="1440" w:gutter="0" w:footer="0" w:header="0"/>
        </w:sectPr>
      </w:pPr>
    </w:p>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ectPr>
          <w:pgSz w:w="11900" w:h="16838" w:orient="portrait"/>
          <w:cols w:equalWidth="0" w:num="2">
            <w:col w:w="3240" w:space="720"/>
            <w:col w:w="746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87265K AE2</w:t>
      </w:r>
    </w:p>
    <w:p>
      <w:pPr>
        <w:spacing w:after="0" w:line="140" w:lineRule="exact"/>
        <w:rPr>
          <w:sz w:val="20"/>
          <w:szCs w:val="20"/>
          <w:color w:val="auto"/>
        </w:rPr>
      </w:pPr>
    </w:p>
    <w:p>
      <w:pPr>
        <w:sectPr>
          <w:pgSz w:w="11900" w:h="16838" w:orient="portrait"/>
          <w:cols w:equalWidth="0" w:num="2">
            <w:col w:w="3240" w:space="720"/>
            <w:col w:w="7460"/>
          </w:cols>
          <w:pgMar w:left="240" w:top="382" w:right="23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US87265KAE29</w:t>
      </w:r>
    </w:p>
    <w:p>
      <w:pPr>
        <w:spacing w:after="0" w:line="140" w:lineRule="exact"/>
        <w:rPr>
          <w:sz w:val="20"/>
          <w:szCs w:val="20"/>
          <w:color w:val="auto"/>
        </w:rPr>
      </w:pPr>
    </w:p>
    <w:p>
      <w:pPr>
        <w:sectPr>
          <w:pgSz w:w="11900" w:h="16838" w:orient="portrait"/>
          <w:cols w:equalWidth="0" w:num="2">
            <w:col w:w="3240" w:space="720"/>
            <w:col w:w="746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Raymond James &amp; Associates, Inc.</w:t>
      </w:r>
    </w:p>
    <w:p>
      <w:pPr>
        <w:spacing w:after="0" w:line="128" w:lineRule="exact"/>
        <w:rPr>
          <w:sz w:val="20"/>
          <w:szCs w:val="20"/>
          <w:color w:val="auto"/>
        </w:rPr>
      </w:pPr>
    </w:p>
    <w:p>
      <w:pPr>
        <w:sectPr>
          <w:pgSz w:w="11900" w:h="16838" w:orient="portrait"/>
          <w:cols w:equalWidth="0" w:num="2">
            <w:col w:w="3240" w:space="720"/>
            <w:col w:w="746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TPG Capital BD,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Comerica Securities, Inc.</w:t>
      </w:r>
    </w:p>
    <w:p>
      <w:pPr>
        <w:spacing w:after="0" w:line="200" w:lineRule="exact"/>
        <w:rPr>
          <w:sz w:val="20"/>
          <w:szCs w:val="20"/>
          <w:color w:val="auto"/>
        </w:rPr>
      </w:pPr>
    </w:p>
    <w:p>
      <w:pPr>
        <w:sectPr>
          <w:pgSz w:w="11900" w:h="16838" w:orient="portrait"/>
          <w:cols w:equalWidth="0" w:num="2">
            <w:col w:w="3240" w:space="720"/>
            <w:col w:w="7460"/>
          </w:cols>
          <w:pgMar w:left="240" w:top="382" w:right="239" w:bottom="1440" w:gutter="0" w:footer="0" w:header="0"/>
          <w:type w:val="continuous"/>
        </w:sectPr>
      </w:pPr>
    </w:p>
    <w:p>
      <w:pPr>
        <w:spacing w:after="0" w:line="2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Note: A securities rating is not a recommendation to buy, sell or hold securities and may be subject to revision or withdrawal at any time.</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TPG Specialty Lending, Inc. expects that delivery of the Notes will be made to investors on or about January 22, 2018, which will be the third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will be required by virtue of the fact that the Notes initially settle in T+3, to specify an alternate settlement arrangement at the time of any such trade to prevent a failed settlement. Purchasers of the Notes who wish to trade the Notes on the date hereof should consult their advisors.</w:t>
      </w:r>
    </w:p>
    <w:p>
      <w:pPr>
        <w:spacing w:after="0" w:line="2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TSLX before investing. The Preliminary Prospectus, which has been filed with the Securities and Exchange Commission, contains this and other information about TSLX and should be read carefully before investing.</w:t>
      </w:r>
    </w:p>
    <w:p>
      <w:pPr>
        <w:spacing w:after="0" w:line="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TSLX and are not soliciting an offer to buy such securities in any state or jurisdiction where such offer and sale is not permitted.</w:t>
      </w:r>
    </w:p>
    <w:p>
      <w:pPr>
        <w:spacing w:after="0" w:line="2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calling Merrill Lynch, Pierce, Fenner &amp; Smith Incorporated at 1-800-294-1322; Citigroup Global Markets Inc. at 1-800-831-9146; HSBC Securities (USA) Inc. at 866-811-8049; J.P. Morgan Securities LLC at 212-834-4533; or SunTrust Robinson Humphrey, Inc. at 800-685-4786.</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sectPr>
      <w:pgSz w:w="11900" w:h="16838" w:orient="portrait"/>
      <w:cols w:equalWidth="0" w:num="1">
        <w:col w:w="11420"/>
      </w:cols>
      <w:pgMar w:left="240" w:top="38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2019-12-07T21:22:14Z</dcterms:created>
  <dcterms:modified xsi:type="dcterms:W3CDTF">2019-12-07T21:22:14Z</dcterms:modified>
</cp:coreProperties>
</file>