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April 16, 2015</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N-2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tbl>
      <w:tblPr>
        <w:tblLayout w:type="fixed"/>
        <w:tblInd w:w="4200" w:type="dxa"/>
        <w:tblCellMar>
          <w:top w:w="0" w:type="dxa"/>
          <w:left w:w="0" w:type="dxa"/>
          <w:bottom w:w="0" w:type="dxa"/>
          <w:right w:w="0" w:type="dxa"/>
        </w:tblCellMar>
      </w:tblPr>
      <w:tr>
        <w:trPr>
          <w:trHeight w:val="210"/>
        </w:trPr>
        <w:tc>
          <w:tcPr>
            <w:tcW w:w="4920" w:type="dxa"/>
            <w:vAlign w:val="bottom"/>
          </w:tcPr>
          <w:p>
            <w:pPr>
              <w:jc w:val="center"/>
              <w:ind w:right="1981"/>
              <w:spacing w:after="0" w:line="210" w:lineRule="exact"/>
              <w:rPr>
                <w:sz w:val="20"/>
                <w:szCs w:val="20"/>
                <w:color w:val="auto"/>
              </w:rPr>
            </w:pPr>
            <w:r>
              <w:rPr>
                <w:rFonts w:ascii="Arial" w:cs="Arial" w:eastAsia="Arial" w:hAnsi="Arial"/>
                <w:sz w:val="20"/>
                <w:szCs w:val="20"/>
                <w:b w:val="1"/>
                <w:bCs w:val="1"/>
                <w:i w:val="1"/>
                <w:iCs w:val="1"/>
                <w:color w:val="auto"/>
                <w:w w:val="96"/>
              </w:rPr>
              <w:t>THE SECURITIES ACT OF 1933</w:t>
            </w:r>
          </w:p>
        </w:tc>
        <w:tc>
          <w:tcPr>
            <w:tcW w:w="2260" w:type="dxa"/>
            <w:vAlign w:val="bottom"/>
          </w:tcPr>
          <w:p>
            <w:pPr>
              <w:ind w:left="20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43"/>
        </w:trPr>
        <w:tc>
          <w:tcPr>
            <w:tcW w:w="4920" w:type="dxa"/>
            <w:vAlign w:val="bottom"/>
          </w:tcPr>
          <w:p>
            <w:pPr>
              <w:jc w:val="center"/>
              <w:ind w:right="1981"/>
              <w:spacing w:after="0"/>
              <w:rPr>
                <w:sz w:val="20"/>
                <w:szCs w:val="20"/>
                <w:color w:val="auto"/>
              </w:rPr>
            </w:pPr>
            <w:r>
              <w:rPr>
                <w:rFonts w:ascii="Arial" w:cs="Arial" w:eastAsia="Arial" w:hAnsi="Arial"/>
                <w:sz w:val="20"/>
                <w:szCs w:val="20"/>
                <w:b w:val="1"/>
                <w:bCs w:val="1"/>
                <w:color w:val="auto"/>
                <w:w w:val="91"/>
              </w:rPr>
              <w:t>Pre-Effective Amendment No.</w:t>
            </w:r>
          </w:p>
        </w:tc>
        <w:tc>
          <w:tcPr>
            <w:tcW w:w="2260" w:type="dxa"/>
            <w:vAlign w:val="bottom"/>
          </w:tcPr>
          <w:p>
            <w:pPr>
              <w:ind w:left="20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4920" w:type="dxa"/>
            <w:vAlign w:val="bottom"/>
          </w:tcPr>
          <w:p>
            <w:pPr>
              <w:jc w:val="center"/>
              <w:ind w:right="1981"/>
              <w:spacing w:after="0"/>
              <w:rPr>
                <w:sz w:val="20"/>
                <w:szCs w:val="20"/>
                <w:color w:val="auto"/>
              </w:rPr>
            </w:pPr>
            <w:r>
              <w:rPr>
                <w:rFonts w:ascii="Arial" w:cs="Arial" w:eastAsia="Arial" w:hAnsi="Arial"/>
                <w:sz w:val="20"/>
                <w:szCs w:val="20"/>
                <w:b w:val="1"/>
                <w:bCs w:val="1"/>
                <w:color w:val="auto"/>
                <w:w w:val="88"/>
              </w:rPr>
              <w:t>Post-Effective Amendment No.</w:t>
            </w:r>
          </w:p>
        </w:tc>
        <w:tc>
          <w:tcPr>
            <w:tcW w:w="2260" w:type="dxa"/>
            <w:vAlign w:val="bottom"/>
          </w:tcPr>
          <w:p>
            <w:pPr>
              <w:ind w:left="208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TPG Specialty Lending,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301 Commerce Street, Suite 3300</w:t>
      </w:r>
    </w:p>
    <w:p>
      <w:pPr>
        <w:jc w:val="center"/>
        <w:spacing w:after="0" w:line="216" w:lineRule="auto"/>
        <w:rPr>
          <w:sz w:val="20"/>
          <w:szCs w:val="20"/>
          <w:color w:val="auto"/>
        </w:rPr>
      </w:pPr>
      <w:r>
        <w:rPr>
          <w:rFonts w:ascii="Arial" w:cs="Arial" w:eastAsia="Arial" w:hAnsi="Arial"/>
          <w:sz w:val="13"/>
          <w:szCs w:val="13"/>
          <w:b w:val="1"/>
          <w:bCs w:val="1"/>
          <w:color w:val="auto"/>
        </w:rPr>
        <w:t>Fort Worth, TX 76102</w:t>
      </w:r>
    </w:p>
    <w:p>
      <w:pPr>
        <w:jc w:val="center"/>
        <w:spacing w:after="0" w:line="217" w:lineRule="auto"/>
        <w:rPr>
          <w:sz w:val="20"/>
          <w:szCs w:val="20"/>
          <w:color w:val="auto"/>
        </w:rPr>
      </w:pPr>
      <w:r>
        <w:rPr>
          <w:rFonts w:ascii="Arial" w:cs="Arial" w:eastAsia="Arial" w:hAnsi="Arial"/>
          <w:sz w:val="13"/>
          <w:szCs w:val="13"/>
          <w:b w:val="1"/>
          <w:bCs w:val="1"/>
          <w:color w:val="auto"/>
        </w:rPr>
        <w:t>(Address of Principal Executive Offices)</w:t>
      </w:r>
    </w:p>
    <w:p>
      <w:pPr>
        <w:jc w:val="center"/>
        <w:spacing w:after="0" w:line="217" w:lineRule="auto"/>
        <w:rPr>
          <w:sz w:val="20"/>
          <w:szCs w:val="20"/>
          <w:color w:val="auto"/>
        </w:rPr>
      </w:pPr>
      <w:r>
        <w:rPr>
          <w:rFonts w:ascii="Arial" w:cs="Arial" w:eastAsia="Arial" w:hAnsi="Arial"/>
          <w:sz w:val="13"/>
          <w:szCs w:val="13"/>
          <w:b w:val="1"/>
          <w:bCs w:val="1"/>
          <w:color w:val="auto"/>
        </w:rPr>
        <w:t>(817) 871-4000</w:t>
      </w: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David Stiepleman</w:t>
      </w:r>
    </w:p>
    <w:p>
      <w:pPr>
        <w:jc w:val="center"/>
        <w:spacing w:after="0" w:line="216" w:lineRule="auto"/>
        <w:rPr>
          <w:sz w:val="20"/>
          <w:szCs w:val="20"/>
          <w:color w:val="auto"/>
        </w:rPr>
      </w:pPr>
      <w:r>
        <w:rPr>
          <w:rFonts w:ascii="Arial" w:cs="Arial" w:eastAsia="Arial" w:hAnsi="Arial"/>
          <w:sz w:val="13"/>
          <w:szCs w:val="13"/>
          <w:b w:val="1"/>
          <w:bCs w:val="1"/>
          <w:color w:val="auto"/>
        </w:rPr>
        <w:t>c/o TPG Specialty Lending, Inc.</w:t>
      </w:r>
    </w:p>
    <w:p>
      <w:pPr>
        <w:jc w:val="center"/>
        <w:spacing w:after="0" w:line="217" w:lineRule="auto"/>
        <w:rPr>
          <w:sz w:val="20"/>
          <w:szCs w:val="20"/>
          <w:color w:val="auto"/>
        </w:rPr>
      </w:pPr>
      <w:r>
        <w:rPr>
          <w:rFonts w:ascii="Arial" w:cs="Arial" w:eastAsia="Arial" w:hAnsi="Arial"/>
          <w:sz w:val="13"/>
          <w:szCs w:val="13"/>
          <w:b w:val="1"/>
          <w:bCs w:val="1"/>
          <w:color w:val="auto"/>
        </w:rPr>
        <w:t>345 California Street, Suite 3300</w:t>
      </w:r>
    </w:p>
    <w:p>
      <w:pPr>
        <w:jc w:val="center"/>
        <w:spacing w:after="0" w:line="217" w:lineRule="auto"/>
        <w:rPr>
          <w:sz w:val="20"/>
          <w:szCs w:val="20"/>
          <w:color w:val="auto"/>
        </w:rPr>
      </w:pPr>
      <w:r>
        <w:rPr>
          <w:rFonts w:ascii="Arial" w:cs="Arial" w:eastAsia="Arial" w:hAnsi="Arial"/>
          <w:sz w:val="13"/>
          <w:szCs w:val="13"/>
          <w:b w:val="1"/>
          <w:bCs w:val="1"/>
          <w:color w:val="auto"/>
        </w:rPr>
        <w:t>San Francisco, CA 94104</w:t>
      </w:r>
    </w:p>
    <w:p>
      <w:pPr>
        <w:jc w:val="center"/>
        <w:spacing w:after="0"/>
        <w:rPr>
          <w:sz w:val="20"/>
          <w:szCs w:val="20"/>
          <w:color w:val="auto"/>
        </w:rPr>
      </w:pPr>
      <w:r>
        <w:rPr>
          <w:rFonts w:ascii="Arial" w:cs="Arial" w:eastAsia="Arial" w:hAnsi="Arial"/>
          <w:sz w:val="13"/>
          <w:szCs w:val="13"/>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WITH COPIES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Michael A. Gerstenzang, Esq.</w:t>
      </w:r>
    </w:p>
    <w:p>
      <w:pPr>
        <w:jc w:val="center"/>
        <w:spacing w:after="0" w:line="216" w:lineRule="auto"/>
        <w:rPr>
          <w:sz w:val="20"/>
          <w:szCs w:val="20"/>
          <w:color w:val="auto"/>
        </w:rPr>
      </w:pPr>
      <w:r>
        <w:rPr>
          <w:rFonts w:ascii="Arial" w:cs="Arial" w:eastAsia="Arial" w:hAnsi="Arial"/>
          <w:sz w:val="13"/>
          <w:szCs w:val="13"/>
          <w:b w:val="1"/>
          <w:bCs w:val="1"/>
          <w:color w:val="auto"/>
        </w:rPr>
        <w:t>Adam E. Fleisher, Esq.</w:t>
      </w:r>
    </w:p>
    <w:p>
      <w:pPr>
        <w:jc w:val="center"/>
        <w:spacing w:after="0" w:line="217" w:lineRule="auto"/>
        <w:rPr>
          <w:sz w:val="20"/>
          <w:szCs w:val="20"/>
          <w:color w:val="auto"/>
        </w:rPr>
      </w:pPr>
      <w:r>
        <w:rPr>
          <w:rFonts w:ascii="Arial" w:cs="Arial" w:eastAsia="Arial" w:hAnsi="Arial"/>
          <w:sz w:val="13"/>
          <w:szCs w:val="13"/>
          <w:b w:val="1"/>
          <w:bCs w:val="1"/>
          <w:color w:val="auto"/>
        </w:rPr>
        <w:t>Helena K. Grannis, Esq.</w:t>
      </w:r>
    </w:p>
    <w:p>
      <w:pPr>
        <w:jc w:val="center"/>
        <w:spacing w:after="0" w:line="217" w:lineRule="auto"/>
        <w:rPr>
          <w:sz w:val="20"/>
          <w:szCs w:val="20"/>
          <w:color w:val="auto"/>
        </w:rPr>
      </w:pPr>
      <w:r>
        <w:rPr>
          <w:rFonts w:ascii="Arial" w:cs="Arial" w:eastAsia="Arial" w:hAnsi="Arial"/>
          <w:sz w:val="13"/>
          <w:szCs w:val="13"/>
          <w:b w:val="1"/>
          <w:bCs w:val="1"/>
          <w:color w:val="auto"/>
        </w:rPr>
        <w:t>Cleary Gottlieb Steen &amp; Hamilton LLP</w:t>
      </w:r>
    </w:p>
    <w:p>
      <w:pPr>
        <w:jc w:val="center"/>
        <w:spacing w:after="0" w:line="217" w:lineRule="auto"/>
        <w:rPr>
          <w:sz w:val="20"/>
          <w:szCs w:val="20"/>
          <w:color w:val="auto"/>
        </w:rPr>
      </w:pPr>
      <w:r>
        <w:rPr>
          <w:rFonts w:ascii="Arial" w:cs="Arial" w:eastAsia="Arial" w:hAnsi="Arial"/>
          <w:sz w:val="13"/>
          <w:szCs w:val="13"/>
          <w:b w:val="1"/>
          <w:bCs w:val="1"/>
          <w:color w:val="auto"/>
        </w:rPr>
        <w:t>One Liberty Plaza</w:t>
      </w:r>
    </w:p>
    <w:p>
      <w:pPr>
        <w:jc w:val="center"/>
        <w:spacing w:after="0" w:line="217" w:lineRule="auto"/>
        <w:rPr>
          <w:sz w:val="20"/>
          <w:szCs w:val="20"/>
          <w:color w:val="auto"/>
        </w:rPr>
      </w:pPr>
      <w:r>
        <w:rPr>
          <w:rFonts w:ascii="Arial" w:cs="Arial" w:eastAsia="Arial" w:hAnsi="Arial"/>
          <w:sz w:val="13"/>
          <w:szCs w:val="13"/>
          <w:b w:val="1"/>
          <w:bCs w:val="1"/>
          <w:color w:val="auto"/>
        </w:rPr>
        <w:t>New York, NY 10006</w:t>
      </w:r>
    </w:p>
    <w:p>
      <w:pPr>
        <w:jc w:val="center"/>
        <w:spacing w:after="0" w:line="216" w:lineRule="auto"/>
        <w:rPr>
          <w:sz w:val="20"/>
          <w:szCs w:val="20"/>
          <w:color w:val="auto"/>
        </w:rPr>
      </w:pPr>
      <w:r>
        <w:rPr>
          <w:rFonts w:ascii="Arial" w:cs="Arial" w:eastAsia="Arial" w:hAnsi="Arial"/>
          <w:sz w:val="13"/>
          <w:szCs w:val="13"/>
          <w:b w:val="1"/>
          <w:bCs w:val="1"/>
          <w:color w:val="auto"/>
        </w:rPr>
        <w:t>Telephone: (212) 225-2000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Proposed Public Offering: </w:t>
      </w:r>
      <w:r>
        <w:rPr>
          <w:rFonts w:ascii="Arial" w:cs="Arial" w:eastAsia="Arial" w:hAnsi="Arial"/>
          <w:sz w:val="13"/>
          <w:szCs w:val="13"/>
          <w:color w:val="auto"/>
        </w:rPr>
        <w:t>From time to time after the effective date of this Registration Statement.</w:t>
      </w:r>
    </w:p>
    <w:p>
      <w:pPr>
        <w:spacing w:after="0" w:line="17" w:lineRule="exact"/>
        <w:rPr>
          <w:sz w:val="24"/>
          <w:szCs w:val="24"/>
          <w:color w:val="auto"/>
        </w:rPr>
      </w:pPr>
    </w:p>
    <w:p>
      <w:pPr>
        <w:ind w:right="120"/>
        <w:spacing w:after="0" w:line="162" w:lineRule="exact"/>
        <w:rPr>
          <w:sz w:val="20"/>
          <w:szCs w:val="20"/>
          <w:color w:val="auto"/>
        </w:rPr>
      </w:pPr>
      <w:r>
        <w:rPr>
          <w:rFonts w:ascii="Arial" w:cs="Arial" w:eastAsia="Arial" w:hAnsi="Arial"/>
          <w:sz w:val="13"/>
          <w:szCs w:val="13"/>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It is proposed that this filing will become effective (check appropriate box):</w:t>
      </w:r>
    </w:p>
    <w:p>
      <w:pPr>
        <w:spacing w:after="0" w:line="2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 UNDER THE SECURITIES ACT OF 1933</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96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96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93"/>
              </w:rPr>
              <w:t>Amount</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Title of Securities</w:t>
            </w:r>
          </w:p>
        </w:tc>
        <w:tc>
          <w:tcPr>
            <w:tcW w:w="182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82"/>
              </w:rPr>
              <w:t>Being</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Being Registered</w:t>
            </w:r>
          </w:p>
        </w:tc>
        <w:tc>
          <w:tcPr>
            <w:tcW w:w="182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6"/>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Offering Price</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596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Common Stock, $0.01 par value per share (1)(2)</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Preferred Stock, $0.01 par value per share (1)(2)</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Subscription Rights (1)</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Warrants (3)</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80" w:type="dxa"/>
            <w:vAlign w:val="bottom"/>
            <w:tcBorders>
              <w:bottom w:val="single" w:sz="8" w:color="auto"/>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Debt Securities (2)(4)</w:t>
            </w:r>
          </w:p>
        </w:tc>
        <w:tc>
          <w:tcPr>
            <w:tcW w:w="18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5960" w:type="dxa"/>
            <w:vAlign w:val="bottom"/>
            <w:tcBorders>
              <w:bottom w:val="single" w:sz="8" w:color="auto"/>
              <w:right w:val="single" w:sz="8" w:color="auto"/>
            </w:tcBorders>
          </w:tcPr>
          <w:p>
            <w:pPr>
              <w:spacing w:after="0" w:line="116" w:lineRule="exact"/>
              <w:rPr>
                <w:sz w:val="20"/>
                <w:szCs w:val="20"/>
                <w:color w:val="auto"/>
              </w:rPr>
            </w:pPr>
            <w:r>
              <w:rPr>
                <w:rFonts w:ascii="Arial" w:cs="Arial" w:eastAsia="Arial" w:hAnsi="Arial"/>
                <w:sz w:val="13"/>
                <w:szCs w:val="13"/>
                <w:color w:val="auto"/>
              </w:rPr>
              <w:t>Total (5)</w:t>
            </w:r>
          </w:p>
        </w:tc>
        <w:tc>
          <w:tcPr>
            <w:tcW w:w="1820" w:type="dxa"/>
            <w:vAlign w:val="bottom"/>
            <w:tcBorders>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3"/>
                <w:szCs w:val="13"/>
                <w:color w:val="auto"/>
                <w:w w:val="88"/>
              </w:rPr>
              <w:t>$750,000,000 (6)</w:t>
            </w:r>
          </w:p>
        </w:tc>
        <w:tc>
          <w:tcPr>
            <w:tcW w:w="176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3"/>
                <w:szCs w:val="13"/>
                <w:color w:val="auto"/>
                <w:w w:val="89"/>
              </w:rPr>
              <w:t>$87,150.00</w:t>
            </w:r>
          </w:p>
        </w:tc>
        <w:tc>
          <w:tcPr>
            <w:tcW w:w="0" w:type="dxa"/>
            <w:vAlign w:val="bottom"/>
          </w:tcPr>
          <w:p>
            <w:pPr>
              <w:spacing w:after="0"/>
              <w:rPr>
                <w:sz w:val="1"/>
                <w:szCs w:val="1"/>
                <w:color w:val="auto"/>
              </w:rPr>
            </w:pPr>
          </w:p>
        </w:tc>
      </w:tr>
    </w:tbl>
    <w:p>
      <w:pPr>
        <w:ind w:left="340" w:right="120" w:hanging="332"/>
        <w:spacing w:after="0" w:line="224"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10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2"/>
        </w:numPr>
        <w:rPr>
          <w:rFonts w:ascii="Arial" w:cs="Arial" w:eastAsia="Arial" w:hAnsi="Arial"/>
          <w:sz w:val="11"/>
          <w:szCs w:val="11"/>
          <w:color w:val="auto"/>
        </w:rPr>
      </w:pPr>
      <w:r>
        <w:rPr>
          <w:rFonts w:ascii="Arial" w:cs="Arial" w:eastAsia="Arial" w:hAnsi="Arial"/>
          <w:sz w:val="11"/>
          <w:szCs w:val="11"/>
          <w:color w:val="auto"/>
        </w:rPr>
        <w:t>Subject to Note 6 below, there is being registered hereunder an indeterminate number of warrants as may be sold, from time to time, representing rights to purchase common stock, preferred stock or debt securities.</w:t>
      </w:r>
    </w:p>
    <w:p>
      <w:pPr>
        <w:spacing w:after="0" w:line="8" w:lineRule="exact"/>
        <w:rPr>
          <w:rFonts w:ascii="Arial" w:cs="Arial" w:eastAsia="Arial" w:hAnsi="Arial"/>
          <w:sz w:val="11"/>
          <w:szCs w:val="11"/>
          <w:color w:val="auto"/>
        </w:rPr>
      </w:pPr>
    </w:p>
    <w:p>
      <w:pPr>
        <w:ind w:left="340" w:right="12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1" w:lineRule="exact"/>
        <w:rPr>
          <w:rFonts w:ascii="Arial" w:cs="Arial" w:eastAsia="Arial" w:hAnsi="Arial"/>
          <w:sz w:val="13"/>
          <w:szCs w:val="13"/>
          <w:color w:val="auto"/>
        </w:rPr>
      </w:pPr>
    </w:p>
    <w:p>
      <w:pPr>
        <w:ind w:left="340" w:hanging="332"/>
        <w:spacing w:after="0" w:line="216"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no event will the aggregate offering price of all securities issued from time to time pursuant to this registration statement by the Registrant exceed $750,000,000.</w:t>
      </w:r>
    </w:p>
    <w:p>
      <w:pPr>
        <w:ind w:left="340" w:right="40" w:hanging="332"/>
        <w:spacing w:after="0" w:line="229" w:lineRule="auto"/>
        <w:tabs>
          <w:tab w:leader="none" w:pos="3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ind w:right="22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April 16,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175260</wp:posOffset>
            </wp:positionV>
            <wp:extent cx="134620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TPG Specialty Lending,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of December 31, 2014, our investment portfolio consisted of investments in 34 portfolio companies with an aggregate fair value of $1,263.5 million. We intend to continue to pursue an investment strategy focused on direct origination of loans to middle-market companies principally domiciled in the United States.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$11 billion of assets under management as of December 31, 2014. TPG Special Situations Partners is the special situations and credit platform of TPG, a leading global private investment firm founded in 1992 with $67 billion of assets under management as of December 31, 2014.</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Substantially all of our debt investments have variable interest rates that reset periodically based on interest rate benchmarks such as the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66"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common stock is traded on the New York Stock Exchange, or NYSE, under the symbol “TSLX.” On April 15, 2015, the last reported sales price of our common stock on the NYSE was $18.09 per share. The net asset value per share of our common stock at December 31, 2014 (the last date prior to the date of this prospectus on which we determined net asset value) was $15.53.</w:t>
      </w:r>
    </w:p>
    <w:p>
      <w:pPr>
        <w:spacing w:after="0" w:line="177" w:lineRule="exact"/>
        <w:rPr>
          <w:sz w:val="20"/>
          <w:szCs w:val="20"/>
          <w:color w:val="auto"/>
        </w:rPr>
      </w:pPr>
    </w:p>
    <w:p>
      <w:pPr>
        <w:ind w:right="80" w:firstLine="45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22 of this prospectus.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163"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w w:val="97"/>
              </w:rPr>
              <w:t>The date of this prospectus is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2015</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ITEM</w:t>
            </w:r>
          </w:p>
        </w:tc>
        <w:tc>
          <w:tcPr>
            <w:tcW w:w="2880" w:type="dxa"/>
            <w:vAlign w:val="bottom"/>
          </w:tcPr>
          <w:p>
            <w:pPr>
              <w:spacing w:after="0"/>
              <w:rPr>
                <w:sz w:val="14"/>
                <w:szCs w:val="14"/>
                <w:color w:val="auto"/>
              </w:rPr>
            </w:pPr>
          </w:p>
        </w:tc>
        <w:tc>
          <w:tcPr>
            <w:tcW w:w="3240" w:type="dxa"/>
            <w:vAlign w:val="bottom"/>
            <w:gridSpan w:val="2"/>
            <w:vMerge w:val="restart"/>
          </w:tcPr>
          <w:p>
            <w:pPr>
              <w:jc w:val="center"/>
              <w:ind w:right="2490"/>
              <w:spacing w:after="0"/>
              <w:rPr>
                <w:sz w:val="20"/>
                <w:szCs w:val="20"/>
                <w:color w:val="auto"/>
              </w:rPr>
            </w:pPr>
            <w:r>
              <w:rPr>
                <w:rFonts w:ascii="Arial" w:cs="Arial" w:eastAsia="Arial" w:hAnsi="Arial"/>
                <w:sz w:val="14"/>
                <w:szCs w:val="14"/>
                <w:b w:val="1"/>
                <w:bCs w:val="1"/>
                <w:color w:val="auto"/>
              </w:rPr>
              <w:t>CAPTION</w:t>
            </w:r>
          </w:p>
        </w:tc>
        <w:tc>
          <w:tcPr>
            <w:tcW w:w="1500" w:type="dxa"/>
            <w:vAlign w:val="bottom"/>
          </w:tcPr>
          <w:p>
            <w:pPr>
              <w:spacing w:after="0"/>
              <w:rPr>
                <w:sz w:val="14"/>
                <w:szCs w:val="14"/>
                <w:color w:val="auto"/>
              </w:rPr>
            </w:pPr>
          </w:p>
        </w:tc>
        <w:tc>
          <w:tcPr>
            <w:tcW w:w="302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85"/>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88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150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80" w:type="dxa"/>
            <w:vAlign w:val="bottom"/>
            <w:vMerge w:val="restart"/>
          </w:tcPr>
          <w:p>
            <w:pPr>
              <w:spacing w:after="0" w:line="198" w:lineRule="exact"/>
              <w:rPr>
                <w:sz w:val="20"/>
                <w:szCs w:val="20"/>
                <w:color w:val="auto"/>
              </w:rPr>
            </w:pPr>
            <w:r>
              <w:rPr>
                <w:rFonts w:ascii="Arial" w:cs="Arial" w:eastAsia="Arial" w:hAnsi="Arial"/>
                <w:sz w:val="18"/>
                <w:szCs w:val="18"/>
                <w:color w:val="auto"/>
              </w:rPr>
              <w:t>Cover</w:t>
            </w:r>
          </w:p>
        </w:tc>
        <w:tc>
          <w:tcPr>
            <w:tcW w:w="15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9"/>
              </w:rPr>
              <w:t>1</w:t>
            </w:r>
          </w:p>
        </w:tc>
        <w:tc>
          <w:tcPr>
            <w:tcW w:w="3540" w:type="dxa"/>
            <w:vAlign w:val="bottom"/>
            <w:gridSpan w:val="2"/>
          </w:tcPr>
          <w:p>
            <w:pPr>
              <w:ind w:left="2480"/>
              <w:spacing w:after="0" w:line="178" w:lineRule="exact"/>
              <w:rPr>
                <w:sz w:val="20"/>
                <w:szCs w:val="20"/>
                <w:color w:val="auto"/>
              </w:rPr>
            </w:pPr>
            <w:r>
              <w:rPr>
                <w:rFonts w:ascii="Arial" w:cs="Arial" w:eastAsia="Arial" w:hAnsi="Arial"/>
                <w:sz w:val="18"/>
                <w:szCs w:val="18"/>
                <w:color w:val="auto"/>
                <w:w w:val="95"/>
              </w:rPr>
              <w:t>Outside Front</w:t>
            </w:r>
          </w:p>
        </w:tc>
        <w:tc>
          <w:tcPr>
            <w:tcW w:w="25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3020" w:type="dxa"/>
            <w:vAlign w:val="bottom"/>
            <w:gridSpan w:val="2"/>
          </w:tcPr>
          <w:p>
            <w:pPr>
              <w:jc w:val="center"/>
              <w:ind w:right="1060"/>
              <w:spacing w:after="0" w:line="178"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Pages; Other Offering Information</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7"/>
              </w:rPr>
              <w:t>Fee Table and Synopsis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5"/>
              </w:rPr>
              <w:t>Fees and Expenses</w:t>
            </w:r>
          </w:p>
        </w:tc>
        <w:tc>
          <w:tcPr>
            <w:tcW w:w="0" w:type="dxa"/>
            <w:vAlign w:val="bottom"/>
          </w:tcPr>
          <w:p>
            <w:pPr>
              <w:spacing w:after="0"/>
              <w:rPr>
                <w:sz w:val="1"/>
                <w:szCs w:val="1"/>
                <w:color w:val="auto"/>
              </w:rPr>
            </w:pPr>
          </w:p>
        </w:tc>
      </w:tr>
      <w:tr>
        <w:trPr>
          <w:trHeight w:val="220"/>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Financial Highlights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Selected Financial Data and Other Information; Selected</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5</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Quarterly Financial Data; Senior Securities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Plan of Distribution</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Selling Shareholders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Use of Proceeds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General Description of the Registrant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Outside Front Cover Page; Prospectus Summary; Risk</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Factors; Management’s Discussion and Analysis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Financial Condition and Results of Operations; The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Company; Portfolio Companies; Regulation; Shares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Eligible for Future Sale; Price Range of Common Stock</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2"/>
              </w:rPr>
              <w:t>and Distributions</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 Custodian, Transfer and Dividend Paying</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89"/>
              </w:rPr>
              <w:t>Agent and Registrar</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Capital Stock, Long-Term Debt, and Other Securities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3"/>
              </w:rPr>
              <w:t>Description of Our Capital Stock; Description of Our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Preferred Stock; Description of Our Subscription Rights;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Description of Our Warrants; Description of Our Debt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Securities; Dividend Reinvestment Plan; Management’s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Discussion and Analysis of Financial Condition and</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Results of Operations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Defaults and Arrears on Senior Securities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Legal Proceedings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1"/>
              </w:rPr>
              <w:t>Legal Matters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Table of Contents of the Statement of Additional Information, or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Cover Page of SAI</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15</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8"/>
              </w:rPr>
              <w:t>Table of Contents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16</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General Information and History</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20"/>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17</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Objective and Policies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Management’s Discussion and Analysis of Financial</w:t>
            </w:r>
          </w:p>
        </w:tc>
        <w:tc>
          <w:tcPr>
            <w:tcW w:w="0" w:type="dxa"/>
            <w:vAlign w:val="bottom"/>
          </w:tcPr>
          <w:p>
            <w:pPr>
              <w:spacing w:after="0"/>
              <w:rPr>
                <w:sz w:val="1"/>
                <w:szCs w:val="1"/>
                <w:color w:val="auto"/>
              </w:rPr>
            </w:pPr>
          </w:p>
        </w:tc>
      </w:tr>
      <w:tr>
        <w:trPr>
          <w:trHeight w:val="216"/>
        </w:trPr>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18</w:t>
            </w:r>
          </w:p>
        </w:tc>
        <w:tc>
          <w:tcPr>
            <w:tcW w:w="2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vMerge w:val="continue"/>
          </w:tcPr>
          <w:p>
            <w:pPr>
              <w:spacing w:after="0"/>
              <w:rPr>
                <w:sz w:val="18"/>
                <w:szCs w:val="18"/>
                <w:color w:val="auto"/>
              </w:rPr>
            </w:pP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Management</w:t>
            </w:r>
          </w:p>
        </w:tc>
        <w:tc>
          <w:tcPr>
            <w:tcW w:w="1500" w:type="dxa"/>
            <w:vAlign w:val="bottom"/>
          </w:tcPr>
          <w:p>
            <w:pPr>
              <w:spacing w:after="0"/>
              <w:rPr>
                <w:sz w:val="18"/>
                <w:szCs w:val="18"/>
                <w:color w:val="auto"/>
              </w:rPr>
            </w:pPr>
          </w:p>
        </w:tc>
        <w:tc>
          <w:tcPr>
            <w:tcW w:w="302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Management</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19</w:t>
            </w:r>
          </w:p>
        </w:tc>
        <w:tc>
          <w:tcPr>
            <w:tcW w:w="6120" w:type="dxa"/>
            <w:vAlign w:val="bottom"/>
            <w:gridSpan w:val="3"/>
          </w:tcPr>
          <w:p>
            <w:pPr>
              <w:jc w:val="center"/>
              <w:ind w:left="230"/>
              <w:spacing w:after="0"/>
              <w:rPr>
                <w:sz w:val="20"/>
                <w:szCs w:val="20"/>
                <w:color w:val="auto"/>
              </w:rPr>
            </w:pPr>
            <w:r>
              <w:rPr>
                <w:rFonts w:ascii="Arial" w:cs="Arial" w:eastAsia="Arial" w:hAnsi="Arial"/>
                <w:sz w:val="18"/>
                <w:szCs w:val="18"/>
                <w:color w:val="auto"/>
                <w:w w:val="90"/>
              </w:rPr>
              <w:t>Control Persons and Principal Holders of Securities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20</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Investment Advisory and Other Services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21</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Portfolio Managers</w:t>
            </w:r>
          </w:p>
        </w:tc>
        <w:tc>
          <w:tcPr>
            <w:tcW w:w="1500" w:type="dxa"/>
            <w:vAlign w:val="bottom"/>
          </w:tcPr>
          <w:p>
            <w:pPr>
              <w:spacing w:after="0"/>
              <w:rPr>
                <w:sz w:val="18"/>
                <w:szCs w:val="18"/>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22</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Brokerage Allocation and Other Practices</w:t>
            </w:r>
          </w:p>
        </w:tc>
        <w:tc>
          <w:tcPr>
            <w:tcW w:w="452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23</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5"/>
              </w:rPr>
              <w:t>Tax Status</w:t>
            </w:r>
          </w:p>
        </w:tc>
        <w:tc>
          <w:tcPr>
            <w:tcW w:w="45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9"/>
              </w:rPr>
              <w:t>24</w:t>
            </w:r>
          </w:p>
        </w:tc>
        <w:tc>
          <w:tcPr>
            <w:tcW w:w="61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Financial Statements</w:t>
            </w:r>
          </w:p>
        </w:tc>
        <w:tc>
          <w:tcPr>
            <w:tcW w:w="1500" w:type="dxa"/>
            <w:vAlign w:val="bottom"/>
          </w:tcPr>
          <w:p>
            <w:pPr>
              <w:spacing w:after="0"/>
              <w:rPr>
                <w:sz w:val="20"/>
                <w:szCs w:val="20"/>
                <w:color w:val="auto"/>
              </w:rPr>
            </w:pPr>
          </w:p>
        </w:tc>
        <w:tc>
          <w:tcPr>
            <w:tcW w:w="3020" w:type="dxa"/>
            <w:vAlign w:val="bottom"/>
            <w:gridSpan w:val="2"/>
          </w:tcPr>
          <w:p>
            <w:pPr>
              <w:jc w:val="center"/>
              <w:ind w:right="1060"/>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as of the dates on their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FEES AND EXPENSES</w:t>
              </w:r>
            </w:hyperlink>
          </w:p>
        </w:tc>
        <w:tc>
          <w:tcPr>
            <w:tcW w:w="71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80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RISK FACTORS</w:t>
              </w:r>
            </w:hyperlink>
          </w:p>
        </w:tc>
        <w:tc>
          <w:tcPr>
            <w:tcW w:w="7640" w:type="dxa"/>
            <w:vAlign w:val="bottom"/>
            <w:gridSpan w:val="2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5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THE COMPANY</w:t>
              </w:r>
            </w:hyperlink>
          </w:p>
        </w:tc>
        <w:tc>
          <w:tcPr>
            <w:tcW w:w="720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PORTFOLIO COMPANIES</w:t>
              </w:r>
            </w:hyperlink>
          </w:p>
        </w:tc>
        <w:tc>
          <w:tcPr>
            <w:tcW w:w="6860" w:type="dxa"/>
            <w:vAlign w:val="bottom"/>
            <w:gridSpan w:val="2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54">
              <w:r>
                <w:rPr>
                  <w:rFonts w:ascii="Arial" w:cs="Arial" w:eastAsia="Arial" w:hAnsi="Arial"/>
                  <w:sz w:val="18"/>
                  <w:szCs w:val="18"/>
                  <w:color w:val="0000EE"/>
                  <w:w w:val="94"/>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39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55">
              <w:r>
                <w:rPr>
                  <w:rFonts w:ascii="Arial" w:cs="Arial" w:eastAsia="Arial" w:hAnsi="Arial"/>
                  <w:sz w:val="18"/>
                  <w:szCs w:val="18"/>
                  <w:color w:val="0000EE"/>
                  <w:w w:val="94"/>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59">
              <w:r>
                <w:rPr>
                  <w:rFonts w:ascii="Arial" w:cs="Arial" w:eastAsia="Arial" w:hAnsi="Arial"/>
                  <w:sz w:val="18"/>
                  <w:szCs w:val="18"/>
                  <w:color w:val="0000EE"/>
                  <w:w w:val="94"/>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196"/>
        </w:trPr>
        <w:tc>
          <w:tcPr>
            <w:tcW w:w="3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196"/>
        </w:trPr>
        <w:tc>
          <w:tcPr>
            <w:tcW w:w="62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179">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2"/>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81">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46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181">
              <w:r>
                <w:rPr>
                  <w:rFonts w:ascii="Arial" w:cs="Arial" w:eastAsia="Arial" w:hAnsi="Arial"/>
                  <w:sz w:val="18"/>
                  <w:szCs w:val="18"/>
                  <w:color w:val="0000EE"/>
                  <w:w w:val="99"/>
                </w:rPr>
                <w:t>AVAILABLE INFORMATION</w:t>
              </w:r>
            </w:hyperlink>
          </w:p>
        </w:tc>
        <w:tc>
          <w:tcPr>
            <w:tcW w:w="664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Please carefully read this prospectus and any such supplements together with any exhibits and the additional information described under “Available Information” and in the “Summary” and “Risk Factors” sections before you make an investment decision.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left="200" w:right="340" w:firstLine="443"/>
        <w:spacing w:after="0" w:line="286"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 used in the prospectus, except where the context suggests otherwise, references to:</w:t>
      </w:r>
    </w:p>
    <w:p>
      <w:pPr>
        <w:spacing w:after="0" w:line="131" w:lineRule="exact"/>
        <w:rPr>
          <w:sz w:val="20"/>
          <w:szCs w:val="20"/>
          <w:color w:val="auto"/>
        </w:rPr>
      </w:pPr>
    </w:p>
    <w:p>
      <w:pPr>
        <w:ind w:left="1060" w:hanging="323"/>
        <w:spacing w:after="0" w:line="277"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“TSL,” “TSLX,”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i w:val="1"/>
          <w:iCs w:val="1"/>
          <w:color w:val="auto"/>
        </w:rPr>
      </w:pPr>
    </w:p>
    <w:p>
      <w:pPr>
        <w:ind w:left="1060" w:right="520" w:hanging="323"/>
        <w:spacing w:after="0" w:line="277"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i w:val="1"/>
          <w:iCs w:val="1"/>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through December 31, 2014, we have originated more than $3.3 billion aggregate principal amount of investments and retained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 billion aggregate principal amount of these investments on our balance sheet prior to any subsequent exits and repayments. We seek to generate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current income primarily in U.S.-domiciled middle-market companies through direct originations of senior secured loans and, to a lesser extent,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originations of mezzanine loans and investments in corporate bonds and equity securities. By “middle-market companies,” we mean companies that have</w:t>
      </w:r>
    </w:p>
    <w:p>
      <w:pPr>
        <w:spacing w:after="0" w:line="32"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annual earnings before interest, income taxes, depreciation and amortization, or EBITDA, which we believe is a useful proxy for cash flow, of $10 million to $250 million, although we may invest in larger or smaller companies on occasion. As of December 31, 2014, our core portfolio companies, which exclude certain investments that fall outside of our typical borrower profile, had weighted average annual revenue of $145 million and weighted average annual EBITDA of $34 million.</w:t>
      </w:r>
    </w:p>
    <w:p>
      <w:pPr>
        <w:spacing w:after="0" w:line="190" w:lineRule="exact"/>
        <w:rPr>
          <w:sz w:val="20"/>
          <w:szCs w:val="20"/>
          <w:color w:val="auto"/>
        </w:rPr>
      </w:pPr>
    </w:p>
    <w:p>
      <w:pPr>
        <w:ind w:left="200" w:right="16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right="40" w:firstLine="443"/>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160" w:firstLine="443"/>
        <w:spacing w:after="0" w:line="253"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2014, based on fair value, our portfolio consisted of 89.0% first-lien debt investments, 8.8% second-lien debt investments, 1.0% mezzanine debt investments and 1.2% equity and other investments. Approximately 96.8% of our debt investments as of December 31, 2014 are floating rate in nature, subject to interest rate floors, which we believe helps act as a portfolio-wide hedge against inflation.</w:t>
      </w:r>
    </w:p>
    <w:p>
      <w:pPr>
        <w:spacing w:after="0" w:line="197"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As of December 31, 2014, we had investments in 34 portfolio companies with an aggregate fair value of $1,263.5 million. For the year ended December 31, 2014, we made new investment commitments of $884.4 million, $805.7 million in 20 new portfolio companies and $78.7 million in seven existing portfolio companies. For this period, we had $518.4 million aggregate principal amount in exits and repayments, resulting in a net portfolio increase of $295.5 million aggregate principal amount.</w:t>
      </w:r>
    </w:p>
    <w:p>
      <w:pPr>
        <w:spacing w:after="0" w:line="187"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As of December 31, 2013, we had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a net portfolio increase of $387.3 million aggregate principal amount.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no single investment will represent more than 15% of our total investment portfolio, based on fair value.</w:t>
      </w:r>
    </w:p>
    <w:p>
      <w:pPr>
        <w:spacing w:after="0" w:line="225"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As of December 31, 2014, our portfolio was invested across 19 different industries. The largest industries in our portfolio, as of December 31, 2014, were healthcare and pharmaceuticals, business services, and financial services, which represented, as a percentage of our portfolio, 17.3%, 10.0%, and 8.4%, respectively.</w:t>
      </w:r>
    </w:p>
    <w:p>
      <w:pPr>
        <w:spacing w:after="0" w:line="181"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Since we began investing in 2011, through December 31, 2014, our exited investments have resulted in an aggregate cash flow realized gross internal rate of return to us of approximately 16.6% (based on cash invested of $834.8 million and total proceeds from these exited investments of approximately $991.9 million). Eighty three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4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jc w:val="both"/>
        <w:ind w:left="200" w:firstLine="443"/>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TSSP is the special situations and credit platform of TPG and encompasses TPG Specialty Lending, Inc.,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the broadly syndicated leveraged loan markets. TSSP had over $11 billion of assets under management as of December 31, 2014. TSSP has extensive experience with highly complex, global public and private investments executed through primary originations, secondary market purchases and restructurings, and has a team of over 100 investment and operating professionals as of March 31, 2015. Twenty six of these personnel are dedicated to our business, including 19 investment professionals.</w:t>
      </w:r>
    </w:p>
    <w:p>
      <w:pPr>
        <w:spacing w:after="0" w:line="167"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TPG is a leading global private investment firm founded in 1992 with $67 billion of assets under management as of December 31, 2014,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w:t>
      </w:r>
    </w:p>
    <w:p>
      <w:pPr>
        <w:spacing w:after="0" w:line="166"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460" w:firstLine="443"/>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47"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36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13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 Further, GE Capital, the largest non-bank lender in the U.S. middle market, recently announced its intention to sell nearly all of its assets. We believe that the exit of the largest middle market non-bank lender will likely create opportunities for the remaining non-bank lenders, including BDCs.</w:t>
      </w:r>
    </w:p>
    <w:p>
      <w:pPr>
        <w:spacing w:after="0" w:line="182"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$1.2 trillion as of December 2014,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 sources. Our Adviser has a dedicated team of 19 investment professionals responsible for originating,</w:t>
      </w: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1"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6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20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3,500 investment opportunities our Investment Team reviewed since our inception through December 31, 2014.</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i w:val="1"/>
          <w:iCs w:val="1"/>
          <w:color w:val="auto"/>
        </w:rPr>
        <w:t>Carefully constructed, existing portfolio consisting of predominantly senior, floating rate loans across a broad range of industries and borrowers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Since we began investing in 2011, we have invested approximately $2.4 billion. As of December 31, 2014, we had a portfolio of investments in</w:t>
      </w:r>
    </w:p>
    <w:p>
      <w:pPr>
        <w:ind w:left="200"/>
        <w:spacing w:after="0" w:line="254" w:lineRule="auto"/>
        <w:rPr>
          <w:sz w:val="20"/>
          <w:szCs w:val="20"/>
          <w:color w:val="auto"/>
        </w:rPr>
      </w:pPr>
      <w:r>
        <w:rPr>
          <w:rFonts w:ascii="Arial" w:cs="Arial" w:eastAsia="Arial" w:hAnsi="Arial"/>
          <w:sz w:val="18"/>
          <w:szCs w:val="18"/>
          <w:color w:val="auto"/>
        </w:rPr>
        <w:t>34 portfolio companies totaling $1,263.5 million that we believe exhibits strong credit quality and broad industry composition. As of December 31, 2014, approximately 96.8% of our debt investments bore interest at floating rates, subject to interest rate floors, and 89.0% of the fair value of our portfolio was invested in first-lien debt investments. We believe this portfolio will allow us to generate meaningful investment income, and consequently dividend income, for our stockholders.</w:t>
      </w:r>
    </w:p>
    <w:p>
      <w:pPr>
        <w:spacing w:after="0" w:line="190" w:lineRule="exact"/>
        <w:rPr>
          <w:sz w:val="20"/>
          <w:szCs w:val="20"/>
          <w:color w:val="auto"/>
        </w:rPr>
      </w:pPr>
    </w:p>
    <w:p>
      <w:pPr>
        <w:ind w:left="200" w:right="20" w:firstLine="443"/>
        <w:spacing w:after="0" w:line="253"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The eight managing directors of TSSP on the Adviser’s team have deep experience identifying and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97"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2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6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w:t>
      </w:r>
      <w:r>
        <w:rPr>
          <w:rFonts w:ascii="Arial" w:cs="Arial" w:eastAsia="Arial" w:hAnsi="Arial"/>
          <w:sz w:val="18"/>
          <w:szCs w:val="18"/>
          <w:color w:val="auto"/>
        </w:rPr>
        <w:t>. 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right="12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Our business strategy focuses on investments that are deemed “qualifying assets.” As a BDC, we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from investing in assets other than qualifying assets unless, at the time of the investment and after giving effect to it, at least 70% of our total assets are qualifying assets. Qualifying assets generally include securities of “eligible portfolio companies,” cash, cash equivalents, U.S. government securities and high-quality debt instruments maturing in one year or less from the time of investment. Under the rules of the 1940 Act, “eligible portfolio companies” include:</w:t>
      </w:r>
    </w:p>
    <w:p>
      <w:pPr>
        <w:spacing w:after="0" w:line="93" w:lineRule="exact"/>
        <w:rPr>
          <w:rFonts w:ascii="Arial" w:cs="Arial" w:eastAsia="Arial" w:hAnsi="Arial"/>
          <w:sz w:val="18"/>
          <w:szCs w:val="18"/>
          <w:color w:val="auto"/>
        </w:rPr>
      </w:pPr>
    </w:p>
    <w:p>
      <w:pPr>
        <w:ind w:left="1620" w:hanging="545"/>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right="20" w:hanging="545"/>
        <w:spacing w:after="0" w:line="342" w:lineRule="auto"/>
        <w:tabs>
          <w:tab w:leader="none" w:pos="16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01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54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9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93"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6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legislation may allow us to incur additional leverage;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2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8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75" w:lineRule="exact"/>
        <w:rPr>
          <w:rFonts w:ascii="Arial" w:cs="Arial" w:eastAsia="Arial" w:hAnsi="Arial"/>
          <w:sz w:val="18"/>
          <w:szCs w:val="18"/>
          <w:color w:val="auto"/>
        </w:rPr>
      </w:pPr>
    </w:p>
    <w:p>
      <w:pPr>
        <w:ind w:left="1060" w:right="6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right="18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can be expected to retain some income and capital gains in excess of what is permissible for excise tax purposes and such amounts will be subject to 4% U.S. federal excise tax;</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w:t>
      </w:r>
    </w:p>
    <w:p>
      <w:pPr>
        <w:spacing w:after="0" w:line="75" w:lineRule="exact"/>
        <w:rPr>
          <w:rFonts w:ascii="Arial" w:cs="Arial" w:eastAsia="Arial" w:hAnsi="Arial"/>
          <w:sz w:val="18"/>
          <w:szCs w:val="18"/>
          <w:color w:val="auto"/>
        </w:rPr>
      </w:pPr>
    </w:p>
    <w:p>
      <w:pPr>
        <w:ind w:left="1060" w:right="300" w:hanging="323"/>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rFonts w:ascii="Arial" w:cs="Arial" w:eastAsia="Arial" w:hAnsi="Arial"/>
          <w:sz w:val="17"/>
          <w:szCs w:val="17"/>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our incorporation, the Adviser and its management had no prior experience managing a BDC or a RIC;</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right="440" w:hanging="323"/>
        <w:spacing w:after="0" w:line="286"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obligated to maintain proper and effective internal control over financial reporting and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0" w:lineRule="exact"/>
        <w:rPr>
          <w:rFonts w:ascii="Arial" w:cs="Arial" w:eastAsia="Arial" w:hAnsi="Arial"/>
          <w:sz w:val="17"/>
          <w:szCs w:val="17"/>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fluctuations in our quarterly results;</w:t>
      </w:r>
    </w:p>
    <w:p>
      <w:pPr>
        <w:spacing w:after="0" w:line="130" w:lineRule="exact"/>
        <w:rPr>
          <w:rFonts w:ascii="Arial" w:cs="Arial" w:eastAsia="Arial" w:hAnsi="Arial"/>
          <w:sz w:val="18"/>
          <w:szCs w:val="18"/>
          <w:color w:val="auto"/>
        </w:rPr>
      </w:pPr>
    </w:p>
    <w:p>
      <w:pPr>
        <w:ind w:left="1060" w:right="32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investors are limited in their ability to make significant investments in us;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current state of the economy and financial markets increases the likelihood of adverse effects on our financial position and results of operations;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uncertainty about financial stability could have a significant adverse effect on our business, results of operations and financial condition;</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80" w:hanging="323"/>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060" w:right="240" w:hanging="323"/>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securitize certain of our investments, which may subject us to certain structured financing risks;</w:t>
      </w:r>
    </w:p>
    <w:p>
      <w:pPr>
        <w:spacing w:after="0" w:line="130" w:lineRule="exact"/>
        <w:rPr>
          <w:rFonts w:ascii="Arial" w:cs="Arial" w:eastAsia="Arial" w:hAnsi="Arial"/>
          <w:sz w:val="18"/>
          <w:szCs w:val="18"/>
          <w:color w:val="auto"/>
        </w:rPr>
      </w:pPr>
    </w:p>
    <w:p>
      <w:pPr>
        <w:ind w:left="1060" w:right="100" w:hanging="323"/>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realize expected returns on our invested capital;</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exposed to special risks associated with bankruptcy cases;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make follow-on investments in our portfolio companies could impair the value of our investments;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right="3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cannot guarantee that we will be able to obtain various required licenses in U.S. states or in any other jurisdiction where they may be required in the future;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expose ourselves to risks when we engage in hedging transactions;</w:t>
      </w:r>
    </w:p>
    <w:p>
      <w:pPr>
        <w:spacing w:after="0" w:line="130" w:lineRule="exact"/>
        <w:rPr>
          <w:rFonts w:ascii="Arial" w:cs="Arial" w:eastAsia="Arial" w:hAnsi="Arial"/>
          <w:sz w:val="18"/>
          <w:szCs w:val="18"/>
          <w:color w:val="auto"/>
        </w:rPr>
      </w:pPr>
    </w:p>
    <w:p>
      <w:pPr>
        <w:ind w:left="1060" w:right="78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cease to be eligible for an exemption from regulation as a commodity pool operator, our compliance expenses could increase substantially;</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portfolio investments may present special tax issues;</w:t>
      </w:r>
    </w:p>
    <w:p>
      <w:pPr>
        <w:spacing w:after="0" w:line="130" w:lineRule="exact"/>
        <w:rPr>
          <w:rFonts w:ascii="Arial" w:cs="Arial" w:eastAsia="Arial" w:hAnsi="Arial"/>
          <w:sz w:val="18"/>
          <w:szCs w:val="18"/>
          <w:color w:val="auto"/>
        </w:rPr>
      </w:pPr>
    </w:p>
    <w:p>
      <w:pPr>
        <w:ind w:left="1060" w:right="84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Congress renews certain exemptions that expired for taxable years commencing after December 31, 2014, certain dividend distributions we make to certain non-U.S. stockholders will be subject to U.S. withholding tax;</w:t>
      </w:r>
    </w:p>
    <w:p>
      <w:pPr>
        <w:spacing w:after="0" w:line="75"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certain risks associated with holding debt obligations that have original issue discount or payment-in-kind;</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10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1410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is a risk that investors in our common stock may not receive dividends or that our dividends may not grow over time; and</w:t>
      </w:r>
    </w:p>
    <w:p>
      <w:pPr>
        <w:spacing w:after="0" w:line="142" w:lineRule="exact"/>
        <w:rPr>
          <w:rFonts w:ascii="Arial" w:cs="Arial" w:eastAsia="Arial" w:hAnsi="Arial"/>
          <w:sz w:val="17"/>
          <w:szCs w:val="17"/>
          <w:color w:val="auto"/>
        </w:rPr>
      </w:pPr>
    </w:p>
    <w:p>
      <w:pPr>
        <w:ind w:left="1060" w:hanging="323"/>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301 Commerce Street, Suite 3300, Fort Worth, TX 76102 and our telephone number is (817) 871-</w:t>
      </w:r>
    </w:p>
    <w:p>
      <w:pPr>
        <w:spacing w:after="0" w:line="46"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auto"/>
        </w:rPr>
        <w:t>4000. Our corporate website is located at http://www.tpgspecialtylending.com. Information on our website is not incorporated into or a part of this prospectus.</w:t>
      </w:r>
    </w:p>
    <w:p>
      <w:pPr>
        <w:spacing w:after="0" w:line="29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24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13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6813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6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420" w:hanging="3"/>
        <w:spacing w:after="0" w:line="255"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the prior approval of the majority of our outstanding voting securities or (c) under such other circumstances as the SEC may permit. Any such issuance of shares of our common stock below net asset value may be dilutive to the net asset value of our common stock. See “Risk Factors—Risks Related to Offerings Pursuant to this Prospectus.”</w:t>
      </w:r>
    </w:p>
    <w:p>
      <w:pPr>
        <w:spacing w:after="0" w:line="190" w:lineRule="exact"/>
        <w:rPr>
          <w:sz w:val="20"/>
          <w:szCs w:val="20"/>
          <w:color w:val="auto"/>
        </w:rPr>
      </w:pPr>
    </w:p>
    <w:p>
      <w:pPr>
        <w:ind w:left="200" w:right="300" w:firstLine="443"/>
        <w:spacing w:after="0" w:line="273" w:lineRule="auto"/>
        <w:rPr>
          <w:sz w:val="20"/>
          <w:szCs w:val="20"/>
          <w:color w:val="auto"/>
        </w:rPr>
      </w:pPr>
      <w:r>
        <w:rPr>
          <w:rFonts w:ascii="Arial" w:cs="Arial" w:eastAsia="Arial" w:hAnsi="Arial"/>
          <w:sz w:val="17"/>
          <w:szCs w:val="17"/>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340" w:type="dxa"/>
            <w:vAlign w:val="bottom"/>
          </w:tcPr>
          <w:p>
            <w:pPr>
              <w:ind w:left="1280"/>
              <w:spacing w:after="0"/>
              <w:rPr>
                <w:sz w:val="20"/>
                <w:szCs w:val="20"/>
                <w:color w:val="auto"/>
              </w:rPr>
            </w:pPr>
            <w:r>
              <w:rPr>
                <w:rFonts w:ascii="Arial" w:cs="Arial" w:eastAsia="Arial" w:hAnsi="Arial"/>
                <w:sz w:val="18"/>
                <w:szCs w:val="18"/>
                <w:color w:val="auto"/>
                <w:w w:val="92"/>
              </w:rPr>
              <w:t>Unless otherwise specified in a prospectus supplement, we intend to use the net proceeds from</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the sale of our securities for general corporate purposes, which may include, among other</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things, investing in portfolio companies in accordance with our investment objective and</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repaying indebtedness (which will be subject to reborrowing).</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 of</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the proceeds from such offering. See “Use of Proceeds.”</w:t>
            </w:r>
          </w:p>
        </w:tc>
      </w:tr>
      <w:tr>
        <w:trPr>
          <w:trHeight w:val="459"/>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Symbol on the NYSE</w:t>
            </w:r>
          </w:p>
        </w:tc>
        <w:tc>
          <w:tcPr>
            <w:tcW w:w="8340" w:type="dxa"/>
            <w:vAlign w:val="bottom"/>
          </w:tcPr>
          <w:p>
            <w:pPr>
              <w:ind w:left="1280"/>
              <w:spacing w:after="0"/>
              <w:rPr>
                <w:sz w:val="20"/>
                <w:szCs w:val="20"/>
                <w:color w:val="auto"/>
              </w:rPr>
            </w:pPr>
            <w:r>
              <w:rPr>
                <w:rFonts w:ascii="Arial" w:cs="Arial" w:eastAsia="Arial" w:hAnsi="Arial"/>
                <w:sz w:val="18"/>
                <w:szCs w:val="18"/>
                <w:color w:val="auto"/>
              </w:rPr>
              <w:t>“TSLX”</w:t>
            </w:r>
          </w:p>
        </w:tc>
      </w:tr>
      <w:tr>
        <w:trPr>
          <w:trHeight w:val="458"/>
        </w:trPr>
        <w:tc>
          <w:tcPr>
            <w:tcW w:w="3120" w:type="dxa"/>
            <w:vAlign w:val="bottom"/>
          </w:tcPr>
          <w:p>
            <w:pPr>
              <w:ind w:left="200"/>
              <w:spacing w:after="0"/>
              <w:rPr>
                <w:sz w:val="20"/>
                <w:szCs w:val="20"/>
                <w:color w:val="auto"/>
              </w:rPr>
            </w:pPr>
            <w:r>
              <w:rPr>
                <w:rFonts w:ascii="Arial" w:cs="Arial" w:eastAsia="Arial" w:hAnsi="Arial"/>
                <w:sz w:val="18"/>
                <w:szCs w:val="18"/>
                <w:b w:val="1"/>
                <w:bCs w:val="1"/>
                <w:color w:val="auto"/>
              </w:rPr>
              <w:t>Distributions</w:t>
            </w:r>
          </w:p>
        </w:tc>
        <w:tc>
          <w:tcPr>
            <w:tcW w:w="8340" w:type="dxa"/>
            <w:vAlign w:val="bottom"/>
          </w:tcPr>
          <w:p>
            <w:pPr>
              <w:ind w:left="1280"/>
              <w:spacing w:after="0"/>
              <w:rPr>
                <w:sz w:val="20"/>
                <w:szCs w:val="20"/>
                <w:color w:val="auto"/>
              </w:rPr>
            </w:pPr>
            <w:r>
              <w:rPr>
                <w:rFonts w:ascii="Arial" w:cs="Arial" w:eastAsia="Arial" w:hAnsi="Arial"/>
                <w:sz w:val="18"/>
                <w:szCs w:val="18"/>
                <w:color w:val="auto"/>
                <w:w w:val="97"/>
              </w:rPr>
              <w:t>To the extent we have earnings available for distribution, we expect to continue distributing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8"/>
              </w:rPr>
              <w:t>quarterly dividends to our stockholders. The specific tax characteristics of our distributions</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4"/>
              </w:rPr>
              <w:t>will be reported to stockholders after the end of the calendar year. Future quarterly dividends,</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if any, will be determined by our Board. See “Price Range of Common Stock and</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Distributions.”</w:t>
            </w:r>
          </w:p>
        </w:tc>
      </w:tr>
      <w:tr>
        <w:trPr>
          <w:trHeight w:val="445"/>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To maintain our tax treatment as a RIC, we must make certain distributions. See “Material U.S.</w:t>
            </w:r>
          </w:p>
        </w:tc>
      </w:tr>
      <w:tr>
        <w:trPr>
          <w:trHeight w:val="230"/>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Federal Income Tax Considerations—Regulated Investment Company Classification.”</w:t>
            </w:r>
          </w:p>
        </w:tc>
      </w:tr>
      <w:tr>
        <w:trPr>
          <w:trHeight w:val="159"/>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61"/>
        </w:trPr>
        <w:tc>
          <w:tcPr>
            <w:tcW w:w="3120" w:type="dxa"/>
            <w:vAlign w:val="bottom"/>
          </w:tcPr>
          <w:p>
            <w:pPr>
              <w:spacing w:after="0"/>
              <w:rPr>
                <w:sz w:val="24"/>
                <w:szCs w:val="24"/>
                <w:color w:val="auto"/>
              </w:rPr>
            </w:pPr>
          </w:p>
        </w:tc>
        <w:tc>
          <w:tcPr>
            <w:tcW w:w="8340" w:type="dxa"/>
            <w:vAlign w:val="bottom"/>
          </w:tcPr>
          <w:p>
            <w:pPr>
              <w:ind w:left="25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2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Anti-Takeover Provisions</w:t>
            </w:r>
          </w:p>
        </w:tc>
        <w:tc>
          <w:tcPr>
            <w:tcW w:w="818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18"/>
                <w:szCs w:val="18"/>
                <w:color w:val="auto"/>
                <w:w w:val="95"/>
              </w:rPr>
              <w:t>Our Board is divided into three classes of directors serving staggered three-year terms. This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structure is intended to provide us with a greater likelihood of continuity of management,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which may be necessary for us to realize the full value of our investments. A staggered board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of directors also may serve to deter hostile takeovers or proxy contests, as may certain other</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measures adopted by us. See “Description of Our Capital Stock—Anti-Takeover Provisions.”</w:t>
            </w:r>
          </w:p>
        </w:tc>
      </w:tr>
      <w:tr>
        <w:trPr>
          <w:trHeight w:val="445"/>
        </w:trPr>
        <w:tc>
          <w:tcPr>
            <w:tcW w:w="32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Taxation</w:t>
            </w: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We have elected to be treated as a RIC for U.S. federal income tax purposes. Our status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RIC will enable us to deduct qualifying distributions to our stockholders, so that we will be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subject to corporate-level U.S. federal income taxation only in respect of earnings that we</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retain and do not distribute.</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8"/>
              </w:rPr>
              <w:t>To maintain our status as a RIC and to avoid being subject to corporate-level U.S. federal</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w w:val="98"/>
              </w:rPr>
              <w:t>• derive in each taxable year at least 90% of our gross income from dividends, interest,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gains from the sale or other disposition of stock or securities and other specified</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categories of investment income; and</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 for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tax purposes equal to at least 90% of our investment company taxable income and net tax-</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exempt income for that taxable year.</w:t>
            </w:r>
          </w:p>
        </w:tc>
      </w:tr>
      <w:tr>
        <w:trPr>
          <w:trHeight w:val="445"/>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As a RIC, we generally will not be subject to corporate-level U.S. federal income tax on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investment company taxable income and net capital gains that we distribute to stockholders. If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we fail to distribute our investment company taxable income or net capital gains on a timely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basis, we will be subject to a nondeductible 4% U.S. federal excise tax. We can be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carry forward investment company taxable income in excess of current year distributions into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the next tax year and pay a 4% excise tax on such income. We elected to retain a portion of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income and capital gains for the calendar years ended December 31, 2014 and 2013 and we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recorded a net expense of $1.1 million and $0.2 million, respectively, for U.S. federal excise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tax as a result. Any carryover of investment company taxable income or net capital gains must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be timely declared and distributed as a dividend in the taxable year following the taxable year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in which the income or gains were earned. See “Price Range of Common Stock and</w:t>
            </w:r>
          </w:p>
        </w:tc>
      </w:tr>
      <w:tr>
        <w:trPr>
          <w:trHeight w:val="230"/>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Distributions” and “Material U.S. Federal Income Tax Considerations.”</w:t>
            </w:r>
          </w:p>
        </w:tc>
      </w:tr>
      <w:tr>
        <w:trPr>
          <w:trHeight w:val="159"/>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40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Leverage</w:t>
            </w:r>
          </w:p>
        </w:tc>
        <w:tc>
          <w:tcPr>
            <w:tcW w:w="806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9"/>
              </w:rPr>
              <w:t>finance a portion of our investments. As a result, we are exposed to the risks of leverage,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Leverage increases the potential for gain and loss on amounts invested and, as a result,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increases the risks associated with investing in our securities. With certain limited exceptions,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we currently are only allowed to borrow amounts, including by issuing debt securities or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preferred stock, where our asset coverage, as defined in the 1940 Act, equals at least 200%</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after the borrowing. The costs associated with our borrowings, including any increase in the</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fees payable to the Adviser, are borne by our stockholders. See “Regulation.”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Dividend Reinvestment Plan</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We have adopted a dividend reinvestment plan for our stockholders, which is an “opt out”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distribution, our stockholders who have not elected to “opt out” of our dividend reinvestment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plan will have their cash distribution automatically reinvested in additional shares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common stock, rather than receiving the cash distribution. If a stockholder elects to “opt out,”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that stockholder will receive cash dividends or other distributions.</w:t>
            </w:r>
          </w:p>
        </w:tc>
      </w:tr>
      <w:tr>
        <w:trPr>
          <w:trHeight w:val="445"/>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Stockholders who receive dividends and other distributions in the form of shares of common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stock generally are subject to the same U.S. federal tax consequences as stockholders who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elect to receive their distributions in cash; however, since their cash dividends will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reinvested, those stockholders will not receive cash with which to pay any applicable taxes on</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reinvested dividends. See “Dividend Reinvestment Plan.”</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Management Arrangements</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5"/>
              </w:rPr>
              <w:t>Our Adviser serves as our investment adviser and our administrator. For a description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Adviser and TPG and our contractual arrangements with these companies, see “Management</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and Other Agreements.”</w:t>
            </w:r>
          </w:p>
        </w:tc>
      </w:tr>
      <w:tr>
        <w:trPr>
          <w:trHeight w:val="445"/>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Trading at a Discount</w:t>
            </w: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of closed-end investment companies, including BDCs, frequently trade at a discount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4"/>
              </w:rPr>
              <w:t>their net asset value. We are not generally able to issue and sell our common stock at a price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below our net asset value per share except (a) in connection with a rights offering to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existing stockholders, (b) with the prior approval of the majority of our outstanding voting</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8"/>
              </w:rPr>
              <w:t>securities or (c) under such other circumstances as the SEC may permit. The risk that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shares may trade at a discount to our net asset value is separate and distinct from the risk that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6"/>
              </w:rPr>
              <w:t>our net asset value per share may decline. We cannot predict whether our shares will trade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3"/>
              </w:rPr>
              <w:t>above, at or below net asset value. See “Risk Factors—Risks Related to Offerings Pursuant to</w:t>
            </w:r>
          </w:p>
        </w:tc>
      </w:tr>
      <w:tr>
        <w:trPr>
          <w:trHeight w:val="230"/>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This Prospectus.”</w:t>
            </w:r>
          </w:p>
        </w:tc>
      </w:tr>
      <w:tr>
        <w:trPr>
          <w:trHeight w:val="159"/>
        </w:trPr>
        <w:tc>
          <w:tcPr>
            <w:tcW w:w="3400" w:type="dxa"/>
            <w:vAlign w:val="bottom"/>
            <w:tcBorders>
              <w:left w:val="single" w:sz="8" w:color="auto"/>
              <w:bottom w:val="single" w:sz="8" w:color="auto"/>
            </w:tcBorders>
          </w:tcPr>
          <w:p>
            <w:pPr>
              <w:spacing w:after="0"/>
              <w:rPr>
                <w:sz w:val="13"/>
                <w:szCs w:val="13"/>
                <w:color w:val="auto"/>
              </w:rPr>
            </w:pPr>
          </w:p>
        </w:tc>
        <w:tc>
          <w:tcPr>
            <w:tcW w:w="8060" w:type="dxa"/>
            <w:vAlign w:val="bottom"/>
            <w:tcBorders>
              <w:bottom w:val="single" w:sz="8" w:color="auto"/>
              <w:right w:val="single" w:sz="8" w:color="auto"/>
            </w:tcBorders>
          </w:tcPr>
          <w:p>
            <w:pPr>
              <w:spacing w:after="0"/>
              <w:rPr>
                <w:sz w:val="13"/>
                <w:szCs w:val="13"/>
                <w:color w:val="auto"/>
              </w:rPr>
            </w:pPr>
          </w:p>
        </w:tc>
      </w:tr>
      <w:tr>
        <w:trPr>
          <w:trHeight w:val="361"/>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1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Available Information</w:t>
            </w:r>
          </w:p>
        </w:tc>
        <w:tc>
          <w:tcPr>
            <w:tcW w:w="832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9"/>
              </w:rPr>
              <w:t>part, under the Securities Act. This registration statement contains additional information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about us and the securities being offered by this prospectus. We are also required to file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periodic reports, current reports, proxy statements and other information with the SEC. This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information is available at the SEC’s public reference room at 100 F Street, N.E., Washington,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5"/>
              </w:rPr>
              <w:t>D.C. 20549 and on the SEC’s website at http://www.sec.gov</w:t>
            </w:r>
            <w:r>
              <w:rPr>
                <w:rFonts w:ascii="Arial" w:cs="Arial" w:eastAsia="Arial" w:hAnsi="Arial"/>
                <w:sz w:val="18"/>
                <w:szCs w:val="18"/>
                <w:i w:val="1"/>
                <w:iCs w:val="1"/>
                <w:color w:val="auto"/>
                <w:w w:val="95"/>
              </w:rPr>
              <w:t>.</w:t>
            </w:r>
            <w:r>
              <w:rPr>
                <w:rFonts w:ascii="Arial" w:cs="Arial" w:eastAsia="Arial" w:hAnsi="Arial"/>
                <w:sz w:val="18"/>
                <w:szCs w:val="18"/>
                <w:color w:val="auto"/>
                <w:w w:val="95"/>
              </w:rPr>
              <w:t xml:space="preserve"> Information on the operation of</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the SEC’s public reference room may be obtained by calling the SEC at 1 (800) SEC-0330.</w:t>
            </w:r>
          </w:p>
        </w:tc>
      </w:tr>
      <w:tr>
        <w:trPr>
          <w:trHeight w:val="445"/>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We maintain a website at http://www.tpgspecialtylending.com and make all of our periodic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3"/>
              </w:rPr>
              <w:t>current reports, proxy statements and other information available, free of charge, on or through</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4"/>
              </w:rPr>
              <w:t>our website. Information on our website is not incorporated into or part of this prospectus. You</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w w:val="96"/>
              </w:rPr>
              <w:t>may also obtain such information free of charge by contacting us in writing at 345 California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Street, Suite 3300, San Francisco, CA 94104, Attention: TSLX Investor Relations, or by</w:t>
            </w:r>
          </w:p>
        </w:tc>
      </w:tr>
      <w:tr>
        <w:trPr>
          <w:trHeight w:val="230"/>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Arial" w:cs="Arial" w:eastAsia="Arial" w:hAnsi="Arial"/>
                <w:sz w:val="18"/>
                <w:szCs w:val="18"/>
                <w:color w:val="auto"/>
              </w:rPr>
              <w:t>emailing us at IRTSL@tpg.com.</w:t>
            </w:r>
          </w:p>
        </w:tc>
      </w:tr>
      <w:tr>
        <w:trPr>
          <w:trHeight w:val="159"/>
        </w:trPr>
        <w:tc>
          <w:tcPr>
            <w:tcW w:w="3140" w:type="dxa"/>
            <w:vAlign w:val="bottom"/>
            <w:tcBorders>
              <w:left w:val="single" w:sz="8" w:color="auto"/>
              <w:bottom w:val="single" w:sz="8" w:color="auto"/>
            </w:tcBorders>
          </w:tcPr>
          <w:p>
            <w:pPr>
              <w:spacing w:after="0"/>
              <w:rPr>
                <w:sz w:val="13"/>
                <w:szCs w:val="13"/>
                <w:color w:val="auto"/>
              </w:rPr>
            </w:pPr>
          </w:p>
        </w:tc>
        <w:tc>
          <w:tcPr>
            <w:tcW w:w="8320" w:type="dxa"/>
            <w:vAlign w:val="bottom"/>
            <w:tcBorders>
              <w:bottom w:val="single" w:sz="8" w:color="auto"/>
              <w:right w:val="single" w:sz="8" w:color="auto"/>
            </w:tcBorders>
          </w:tcPr>
          <w:p>
            <w:pPr>
              <w:spacing w:after="0"/>
              <w:rPr>
                <w:sz w:val="13"/>
                <w:szCs w:val="13"/>
                <w:color w:val="auto"/>
              </w:rPr>
            </w:pPr>
          </w:p>
        </w:tc>
      </w:tr>
      <w:tr>
        <w:trPr>
          <w:trHeight w:val="361"/>
        </w:trPr>
        <w:tc>
          <w:tcPr>
            <w:tcW w:w="314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 in an amount so that our total borrowings are 0.70x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Sales load</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(1)</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None</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2.34%</w:t>
            </w:r>
            <w:r>
              <w:rPr>
                <w:rFonts w:ascii="Arial" w:cs="Arial" w:eastAsia="Arial" w:hAnsi="Arial"/>
                <w:sz w:val="15"/>
                <w:szCs w:val="15"/>
                <w:color w:val="auto"/>
                <w:w w:val="92"/>
              </w:rPr>
              <w:t>(5)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8"/>
              </w:rPr>
              <w:t>Incentive Fee payable under the Investment Advisory Agreement (17.5% of net investment income and capital gains)</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2.56%</w:t>
            </w:r>
            <w:r>
              <w:rPr>
                <w:rFonts w:ascii="Arial" w:cs="Arial" w:eastAsia="Arial" w:hAnsi="Arial"/>
                <w:sz w:val="15"/>
                <w:szCs w:val="15"/>
                <w:color w:val="auto"/>
                <w:w w:val="92"/>
              </w:rPr>
              <w:t>(6)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1.66%</w:t>
            </w:r>
            <w:r>
              <w:rPr>
                <w:rFonts w:ascii="Arial" w:cs="Arial" w:eastAsia="Arial" w:hAnsi="Arial"/>
                <w:sz w:val="15"/>
                <w:szCs w:val="15"/>
                <w:color w:val="auto"/>
                <w:w w:val="92"/>
              </w:rPr>
              <w:t>(7)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8"/>
                <w:szCs w:val="18"/>
                <w:color w:val="auto"/>
              </w:rPr>
              <w:t>Total annual expenses</w:t>
            </w: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vMerge w:val="continue"/>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7.68%</w:t>
            </w:r>
            <w:r>
              <w:rPr>
                <w:rFonts w:ascii="Arial" w:cs="Arial" w:eastAsia="Arial" w:hAnsi="Arial"/>
                <w:sz w:val="15"/>
                <w:szCs w:val="15"/>
                <w:color w:val="auto"/>
                <w:w w:val="92"/>
              </w:rPr>
              <w:t>(9)</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right="360" w:hanging="423"/>
        <w:spacing w:after="0" w:line="258"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18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20" w:right="34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ind w:left="620" w:right="98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$835.4 million as of December 31, 2014.</w:t>
      </w:r>
    </w:p>
    <w:p>
      <w:pPr>
        <w:ind w:left="620" w:right="20" w:hanging="423"/>
        <w:spacing w:after="0" w:line="265"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 —Investment Advisory Agreement; Administration Agreement; License Agreement.”</w:t>
      </w:r>
    </w:p>
    <w:p>
      <w:pPr>
        <w:spacing w:after="0" w:line="1" w:lineRule="exact"/>
        <w:rPr>
          <w:rFonts w:ascii="Arial" w:cs="Arial" w:eastAsia="Arial" w:hAnsi="Arial"/>
          <w:sz w:val="17"/>
          <w:szCs w:val="17"/>
          <w:color w:val="auto"/>
        </w:rPr>
      </w:pPr>
    </w:p>
    <w:p>
      <w:pPr>
        <w:jc w:val="both"/>
        <w:ind w:left="620" w:right="220"/>
        <w:spacing w:after="0" w:line="277" w:lineRule="auto"/>
        <w:rPr>
          <w:rFonts w:ascii="Arial" w:cs="Arial" w:eastAsia="Arial" w:hAnsi="Arial"/>
          <w:sz w:val="17"/>
          <w:szCs w:val="17"/>
          <w:color w:val="auto"/>
        </w:rPr>
      </w:pPr>
      <w:r>
        <w:rPr>
          <w:rFonts w:ascii="Arial" w:cs="Arial" w:eastAsia="Arial" w:hAnsi="Arial"/>
          <w:sz w:val="17"/>
          <w:szCs w:val="17"/>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amounts) as of December 31, 2014.</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320" w:hanging="423"/>
        <w:spacing w:after="0" w:line="302"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2014 as if they had occurred following our initial public offering, or IPO, and assumes that the Incentive Fee is 17.5% for all relevant periods. However, the Incentive Fee payable to the Adviser is based on our performance and will not be paid unless we achieve certain goals.</w:t>
      </w:r>
    </w:p>
    <w:p>
      <w:pPr>
        <w:spacing w:after="0" w:line="59"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The Incentive Fee consists of two parts:</w:t>
      </w:r>
    </w:p>
    <w:p>
      <w:pPr>
        <w:spacing w:after="0" w:line="130" w:lineRule="exact"/>
        <w:rPr>
          <w:rFonts w:ascii="Arial" w:cs="Arial" w:eastAsia="Arial" w:hAnsi="Arial"/>
          <w:sz w:val="16"/>
          <w:szCs w:val="16"/>
          <w:color w:val="auto"/>
        </w:rPr>
      </w:pPr>
    </w:p>
    <w:p>
      <w:pPr>
        <w:ind w:left="620" w:right="240"/>
        <w:spacing w:after="0" w:line="259" w:lineRule="auto"/>
        <w:rPr>
          <w:rFonts w:ascii="Arial" w:cs="Arial" w:eastAsia="Arial" w:hAnsi="Arial"/>
          <w:sz w:val="16"/>
          <w:szCs w:val="16"/>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92" w:lineRule="exact"/>
        <w:rPr>
          <w:rFonts w:ascii="Arial" w:cs="Arial" w:eastAsia="Arial" w:hAnsi="Arial"/>
          <w:sz w:val="16"/>
          <w:szCs w:val="16"/>
          <w:color w:val="auto"/>
        </w:rPr>
      </w:pPr>
    </w:p>
    <w:p>
      <w:pPr>
        <w:ind w:left="620" w:right="240"/>
        <w:spacing w:after="0" w:line="297" w:lineRule="auto"/>
        <w:rPr>
          <w:rFonts w:ascii="Arial" w:cs="Arial" w:eastAsia="Arial" w:hAnsi="Arial"/>
          <w:sz w:val="16"/>
          <w:szCs w:val="16"/>
          <w:color w:val="auto"/>
        </w:rPr>
      </w:pPr>
      <w:r>
        <w:rPr>
          <w:rFonts w:ascii="Arial" w:cs="Arial" w:eastAsia="Arial" w:hAnsi="Arial"/>
          <w:sz w:val="16"/>
          <w:szCs w:val="16"/>
          <w:color w:val="auto"/>
        </w:rPr>
        <w:t>The second component, which we refer to as the Capital Gains Incentive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 and realize a capital gain.</w:t>
      </w:r>
    </w:p>
    <w:p>
      <w:pPr>
        <w:spacing w:after="0" w:line="63"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See “Management and Other Agreements—Investment Advisory Agreement; Administration Agreement; License Agreement.”</w:t>
      </w:r>
    </w:p>
    <w:p>
      <w:pPr>
        <w:spacing w:after="0" w:line="130" w:lineRule="exact"/>
        <w:rPr>
          <w:rFonts w:ascii="Arial" w:cs="Arial" w:eastAsia="Arial" w:hAnsi="Arial"/>
          <w:sz w:val="16"/>
          <w:szCs w:val="16"/>
          <w:color w:val="auto"/>
        </w:rPr>
      </w:pPr>
    </w:p>
    <w:p>
      <w:pPr>
        <w:ind w:left="620" w:right="260" w:hanging="423"/>
        <w:spacing w:after="0" w:line="284"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payments on borrowed funds represents an estimate of our annualized interest expenses, based on our interest expense for the year ended December 31, 2014, under our credit facilities, and including the swap-adjusted interest expense related to our Convertible Senior Notes due 2019, or the Convertible Senior Notes, based on assumed total borrowings outstanding equal to 0.70x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4" w:lineRule="exact"/>
        <w:rPr>
          <w:rFonts w:ascii="Arial" w:cs="Arial" w:eastAsia="Arial" w:hAnsi="Arial"/>
          <w:sz w:val="16"/>
          <w:szCs w:val="16"/>
          <w:color w:val="auto"/>
        </w:rPr>
      </w:pPr>
    </w:p>
    <w:p>
      <w:pPr>
        <w:ind w:left="620" w:right="800" w:hanging="423"/>
        <w:spacing w:after="0" w:line="281"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our overhead expenses, such as payments under the Administration Agreement for certain expenses incurred by the Adviser. See “Management and Other Agreements—Investment Advisory Agreement; Administration Agreement; License Agreement.” We based these expenses on estimated amounts for the current fiscal year by annualizing expenses from the quarter ending December 31, 2014.</w:t>
      </w:r>
    </w:p>
    <w:p>
      <w:pPr>
        <w:spacing w:after="0" w:line="2" w:lineRule="exact"/>
        <w:rPr>
          <w:rFonts w:ascii="Arial" w:cs="Arial" w:eastAsia="Arial" w:hAnsi="Arial"/>
          <w:sz w:val="16"/>
          <w:szCs w:val="16"/>
          <w:color w:val="auto"/>
        </w:rPr>
      </w:pP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1 year</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3 years</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5 years</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200" w:type="dxa"/>
            <w:vAlign w:val="bottom"/>
          </w:tcPr>
          <w:p>
            <w:pPr>
              <w:spacing w:after="0"/>
              <w:rPr>
                <w:sz w:val="15"/>
                <w:szCs w:val="15"/>
                <w:color w:val="auto"/>
              </w:rPr>
            </w:pPr>
          </w:p>
        </w:tc>
        <w:tc>
          <w:tcPr>
            <w:tcW w:w="7960" w:type="dxa"/>
            <w:vAlign w:val="bottom"/>
            <w:tcBorders>
              <w:top w:val="single" w:sz="8" w:color="CCEEFF"/>
            </w:tcBorders>
            <w:shd w:val="clear" w:color="auto" w:fill="CCEEFF"/>
          </w:tcPr>
          <w:p>
            <w:pPr>
              <w:jc w:val="right"/>
              <w:ind w:right="550"/>
              <w:spacing w:after="0" w:line="182" w:lineRule="exact"/>
              <w:rPr>
                <w:sz w:val="20"/>
                <w:szCs w:val="20"/>
                <w:color w:val="auto"/>
              </w:rPr>
            </w:pPr>
            <w:r>
              <w:rPr>
                <w:rFonts w:ascii="Arial" w:cs="Arial" w:eastAsia="Arial" w:hAnsi="Arial"/>
                <w:sz w:val="18"/>
                <w:szCs w:val="18"/>
                <w:color w:val="auto"/>
                <w:w w:val="90"/>
              </w:rPr>
              <w:t>You would pay the following expenses on a $1,000 common stock investment, assuming a 5% annual</w:t>
            </w: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30"/>
        </w:trPr>
        <w:tc>
          <w:tcPr>
            <w:tcW w:w="200" w:type="dxa"/>
            <w:vAlign w:val="bottom"/>
          </w:tcPr>
          <w:p>
            <w:pPr>
              <w:spacing w:after="0"/>
              <w:rPr>
                <w:sz w:val="20"/>
                <w:szCs w:val="20"/>
                <w:color w:val="auto"/>
              </w:rPr>
            </w:pPr>
          </w:p>
        </w:tc>
        <w:tc>
          <w:tcPr>
            <w:tcW w:w="7960" w:type="dxa"/>
            <w:vAlign w:val="bottom"/>
            <w:shd w:val="clear" w:color="auto" w:fill="CCEEFF"/>
          </w:tcPr>
          <w:p>
            <w:pPr>
              <w:jc w:val="right"/>
              <w:ind w:right="5290"/>
              <w:spacing w:after="0"/>
              <w:rPr>
                <w:sz w:val="20"/>
                <w:szCs w:val="20"/>
                <w:color w:val="auto"/>
              </w:rPr>
            </w:pPr>
            <w:r>
              <w:rPr>
                <w:rFonts w:ascii="Arial" w:cs="Arial" w:eastAsia="Arial" w:hAnsi="Arial"/>
                <w:sz w:val="18"/>
                <w:szCs w:val="18"/>
                <w:color w:val="auto"/>
                <w:w w:val="98"/>
              </w:rPr>
              <w:t>return from realized capital gains</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6"/>
              </w:rPr>
              <w:t>$ 77</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3"/>
              </w:rPr>
              <w:t>$ 224</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7"/>
              </w:rPr>
              <w:t>$ 364</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3"/>
              </w:rPr>
              <w:t>$ 682</w:t>
            </w:r>
          </w:p>
        </w:tc>
        <w:tc>
          <w:tcPr>
            <w:tcW w:w="200" w:type="dxa"/>
            <w:vAlign w:val="bottom"/>
          </w:tcPr>
          <w:p>
            <w:pPr>
              <w:spacing w:after="0"/>
              <w:rPr>
                <w:sz w:val="20"/>
                <w:szCs w:val="20"/>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7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8160" w:type="dxa"/>
            <w:vAlign w:val="bottom"/>
            <w:gridSpan w:val="2"/>
          </w:tcPr>
          <w:p>
            <w:pPr>
              <w:jc w:val="right"/>
              <w:ind w:right="227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56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2156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3"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We derived the selected consolidated financial data for the years ended December 31, 2014, 2013 and 2012 from our audited consolidated financial statements and related notes, which are included elsewhere in this prospectus. We derived the selected consolidated financial data for the year ended December 31, 2011 from our audited consolidated financial statements and related notes, which are not included in this prospectus.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1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center"/>
              <w:ind w:right="192"/>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19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Income</w:t>
            </w:r>
          </w:p>
        </w:tc>
        <w:tc>
          <w:tcPr>
            <w:tcW w:w="12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1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Expenses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700" w:type="dxa"/>
            <w:vAlign w:val="bottom"/>
            <w:gridSpan w:val="4"/>
          </w:tcPr>
          <w:p>
            <w:pPr>
              <w:spacing w:after="0"/>
              <w:rPr>
                <w:sz w:val="20"/>
                <w:szCs w:val="20"/>
                <w:color w:val="auto"/>
              </w:rPr>
            </w:pPr>
            <w:r>
              <w:rPr>
                <w:rFonts w:ascii="Arial" w:cs="Arial" w:eastAsia="Arial" w:hAnsi="Arial"/>
                <w:sz w:val="18"/>
                <w:szCs w:val="18"/>
                <w:color w:val="auto"/>
              </w:rPr>
              <w:t>Net Investment Income (Loss) Before Income Taxes</w:t>
            </w:r>
          </w:p>
        </w:tc>
        <w:tc>
          <w:tcPr>
            <w:tcW w:w="1920" w:type="dxa"/>
            <w:vAlign w:val="bottom"/>
          </w:tcPr>
          <w:p>
            <w:pPr>
              <w:spacing w:after="0"/>
              <w:rPr>
                <w:sz w:val="19"/>
                <w:szCs w:val="19"/>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320" w:type="dxa"/>
            <w:vAlign w:val="bottom"/>
          </w:tcPr>
          <w:p>
            <w:pPr>
              <w:spacing w:after="0"/>
              <w:rPr>
                <w:sz w:val="19"/>
                <w:szCs w:val="19"/>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Total Net Change in Unrealized Gain (Loss)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Realized Gain (Loss)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4"/>
            <w:vMerge w:val="continue"/>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85.0</w:t>
            </w:r>
          </w:p>
        </w:tc>
        <w:tc>
          <w:tcPr>
            <w:tcW w:w="3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ind w:right="12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21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1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gridSpan w:val="4"/>
          </w:tcPr>
          <w:p>
            <w:pPr>
              <w:spacing w:after="0"/>
              <w:rPr>
                <w:sz w:val="20"/>
                <w:szCs w:val="20"/>
                <w:color w:val="auto"/>
              </w:rPr>
            </w:pPr>
            <w:r>
              <w:rPr>
                <w:rFonts w:ascii="Arial" w:cs="Arial" w:eastAsia="Arial" w:hAnsi="Arial"/>
                <w:sz w:val="14"/>
                <w:szCs w:val="14"/>
                <w:color w:val="auto"/>
              </w:rPr>
              <w:t>($ in millions, except per share amounts)</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center"/>
              <w:ind w:right="192"/>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Consolidated Balance Sheet Data:</w:t>
            </w:r>
          </w:p>
        </w:tc>
        <w:tc>
          <w:tcPr>
            <w:tcW w:w="20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9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44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161.8</w:t>
            </w:r>
          </w:p>
        </w:tc>
        <w:tc>
          <w:tcPr>
            <w:tcW w:w="160" w:type="dxa"/>
            <w:vAlign w:val="bottom"/>
          </w:tcPr>
          <w:p>
            <w:pPr>
              <w:spacing w:after="0"/>
              <w:rPr>
                <w:sz w:val="18"/>
                <w:szCs w:val="18"/>
                <w:color w:val="auto"/>
              </w:rPr>
            </w:pP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1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1,263.5</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1,016.5</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653.9</w:t>
            </w: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12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1,303.7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1,039.2</w:t>
            </w:r>
          </w:p>
        </w:tc>
        <w:tc>
          <w:tcPr>
            <w:tcW w:w="160" w:type="dxa"/>
            <w:vAlign w:val="bottom"/>
          </w:tcPr>
          <w:p>
            <w:pPr>
              <w:spacing w:after="0"/>
              <w:rPr>
                <w:sz w:val="18"/>
                <w:szCs w:val="18"/>
                <w:color w:val="auto"/>
              </w:rPr>
            </w:pPr>
          </w:p>
        </w:tc>
        <w:tc>
          <w:tcPr>
            <w:tcW w:w="44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833.1</w:t>
            </w:r>
          </w:p>
        </w:tc>
        <w:tc>
          <w:tcPr>
            <w:tcW w:w="160" w:type="dxa"/>
            <w:vAlign w:val="bottom"/>
          </w:tcPr>
          <w:p>
            <w:pPr>
              <w:spacing w:after="0"/>
              <w:rPr>
                <w:sz w:val="18"/>
                <w:szCs w:val="18"/>
                <w:color w:val="auto"/>
              </w:rPr>
            </w:pP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21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432.3</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12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468.3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464.5</w:t>
            </w:r>
          </w:p>
        </w:tc>
        <w:tc>
          <w:tcPr>
            <w:tcW w:w="44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Pr>
          <w:p>
            <w:pPr>
              <w:spacing w:after="0"/>
              <w:rPr>
                <w:sz w:val="18"/>
                <w:szCs w:val="18"/>
                <w:color w:val="auto"/>
              </w:rPr>
            </w:pP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1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835.4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574.7</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212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15.53</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15.52</w:t>
            </w:r>
          </w:p>
        </w:tc>
        <w:tc>
          <w:tcPr>
            <w:tcW w:w="44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p>
        </w:tc>
        <w:tc>
          <w:tcPr>
            <w:tcW w:w="3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jc w:val="right"/>
              <w:ind w:right="73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76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gridSpan w:val="3"/>
          </w:tcPr>
          <w:p>
            <w:pPr>
              <w:spacing w:after="0"/>
              <w:rPr>
                <w:sz w:val="20"/>
                <w:szCs w:val="20"/>
                <w:color w:val="auto"/>
              </w:rPr>
            </w:pPr>
            <w:r>
              <w:rPr>
                <w:rFonts w:ascii="Arial" w:cs="Arial" w:eastAsia="Arial" w:hAnsi="Arial"/>
                <w:sz w:val="14"/>
                <w:szCs w:val="14"/>
                <w:color w:val="auto"/>
              </w:rPr>
              <w:t>($ in millions, except per share amounts)</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Other Data:</w:t>
            </w:r>
          </w:p>
        </w:tc>
        <w:tc>
          <w:tcPr>
            <w:tcW w:w="4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yield of debt and income-producing securities at</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w:t>
            </w:r>
            <w:r>
              <w:rPr>
                <w:rFonts w:ascii="Arial" w:cs="Arial" w:eastAsia="Arial" w:hAnsi="Arial"/>
                <w:sz w:val="15"/>
                <w:szCs w:val="15"/>
                <w:color w:val="auto"/>
              </w:rPr>
              <w:t>(4)</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2"/>
          </w:tcPr>
          <w:p>
            <w:pPr>
              <w:spacing w:after="0" w:line="201" w:lineRule="exact"/>
              <w:rPr>
                <w:sz w:val="20"/>
                <w:szCs w:val="20"/>
                <w:color w:val="auto"/>
              </w:rPr>
            </w:pPr>
            <w:r>
              <w:rPr>
                <w:rFonts w:ascii="Arial" w:cs="Arial" w:eastAsia="Arial" w:hAnsi="Arial"/>
                <w:sz w:val="18"/>
                <w:szCs w:val="18"/>
                <w:color w:val="auto"/>
                <w:w w:val="97"/>
              </w:rPr>
              <w:t>Weighted average yield of debt and income-producing securities at</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amortized cost</w:t>
            </w:r>
            <w:r>
              <w:rPr>
                <w:rFonts w:ascii="Arial" w:cs="Arial" w:eastAsia="Arial" w:hAnsi="Arial"/>
                <w:sz w:val="15"/>
                <w:szCs w:val="15"/>
                <w:color w:val="auto"/>
              </w:rPr>
              <w:t>(4)</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debt investments as a percentage of principal</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2"/>
          </w:tcPr>
          <w:p>
            <w:pPr>
              <w:spacing w:after="0" w:line="201" w:lineRule="exact"/>
              <w:rPr>
                <w:sz w:val="20"/>
                <w:szCs w:val="20"/>
                <w:color w:val="auto"/>
              </w:rPr>
            </w:pPr>
            <w:r>
              <w:rPr>
                <w:rFonts w:ascii="Arial" w:cs="Arial" w:eastAsia="Arial" w:hAnsi="Arial"/>
                <w:sz w:val="18"/>
                <w:szCs w:val="18"/>
                <w:color w:val="auto"/>
                <w:w w:val="96"/>
              </w:rPr>
              <w:t>Weighted average fair value of debt investments as a percentage of</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call price</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93.4%</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94.9%</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93.9%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this prospectus.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9" w:lineRule="exact"/>
        <w:rPr>
          <w:rFonts w:ascii="Arial" w:cs="Arial" w:eastAsia="Arial" w:hAnsi="Arial"/>
          <w:sz w:val="18"/>
          <w:szCs w:val="18"/>
          <w:color w:val="auto"/>
        </w:rPr>
      </w:pPr>
    </w:p>
    <w:p>
      <w:pPr>
        <w:ind w:left="460" w:right="80" w:hanging="452"/>
        <w:spacing w:after="0" w:line="265"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 Generally Accepted Accounting Principles, or 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2014, 2013, 2012 and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$18.3 million, $13.4 million, $8.9 million and $1.6 million for the years ended December 31, 2014, 2013, 2012 and 2011, respectively.</w:t>
      </w:r>
    </w:p>
    <w:p>
      <w:pPr>
        <w:spacing w:after="0" w:line="2" w:lineRule="exact"/>
        <w:rPr>
          <w:rFonts w:ascii="Arial" w:cs="Arial" w:eastAsia="Arial" w:hAnsi="Arial"/>
          <w:sz w:val="17"/>
          <w:szCs w:val="17"/>
          <w:color w:val="auto"/>
        </w:rPr>
      </w:pPr>
    </w:p>
    <w:p>
      <w:pPr>
        <w:ind w:left="460" w:right="10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9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45,778</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38,404</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45,657</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15,094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15,288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15,999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12,230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30,684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23,116</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29,433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21,242</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(16,879)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(4,513)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(2,139)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13,805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18,603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27,294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25,348</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15.66</w:t>
            </w:r>
          </w:p>
        </w:tc>
        <w:tc>
          <w:tcPr>
            <w:tcW w:w="4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15.70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6"/>
              </w:rPr>
              <w:t>Q3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$23,298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$20,940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$20,802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Expenses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10,576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8,713</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8,123</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7,696</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16,993</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$14,585</w:t>
            </w:r>
          </w:p>
        </w:tc>
        <w:tc>
          <w:tcPr>
            <w:tcW w:w="4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5"/>
              </w:rPr>
              <w:t>$12,817</w:t>
            </w:r>
          </w:p>
        </w:tc>
        <w:tc>
          <w:tcPr>
            <w:tcW w:w="4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9"/>
              </w:rPr>
              <w:t>$13,106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4,063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1,674</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1,391</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2,355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21,056</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$16,259</w:t>
            </w:r>
          </w:p>
        </w:tc>
        <w:tc>
          <w:tcPr>
            <w:tcW w:w="4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5"/>
              </w:rPr>
              <w:t>$14,208</w:t>
            </w:r>
          </w:p>
        </w:tc>
        <w:tc>
          <w:tcPr>
            <w:tcW w:w="4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9"/>
              </w:rPr>
              <w:t>$15,461</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15.52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w w:val="88"/>
              </w:rPr>
              <w:t>15.35</w:t>
            </w:r>
            <w:r>
              <w:rPr>
                <w:rFonts w:ascii="Arial" w:cs="Arial" w:eastAsia="Arial" w:hAnsi="Arial"/>
                <w:sz w:val="15"/>
                <w:szCs w:val="15"/>
                <w:color w:val="auto"/>
                <w:w w:val="88"/>
              </w:rPr>
              <w:t>(1)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w w:val="91"/>
              </w:rPr>
              <w:t>15.29</w:t>
            </w:r>
            <w:r>
              <w:rPr>
                <w:rFonts w:ascii="Arial" w:cs="Arial" w:eastAsia="Arial" w:hAnsi="Arial"/>
                <w:sz w:val="15"/>
                <w:szCs w:val="15"/>
                <w:color w:val="auto"/>
                <w:w w:val="91"/>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15.27</w:t>
            </w:r>
            <w:r>
              <w:rPr>
                <w:rFonts w:ascii="Arial" w:cs="Arial" w:eastAsia="Arial" w:hAnsi="Arial"/>
                <w:sz w:val="15"/>
                <w:szCs w:val="15"/>
                <w:color w:val="auto"/>
              </w:rPr>
              <w:t>(1)</w:t>
            </w:r>
          </w:p>
        </w:tc>
      </w:tr>
      <w:tr>
        <w:trPr>
          <w:trHeight w:val="377"/>
        </w:trPr>
        <w:tc>
          <w:tcPr>
            <w:tcW w:w="7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7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Q3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$18,169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$14,554</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$11,314</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$6,974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Expenses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7,277</w:t>
            </w:r>
          </w:p>
        </w:tc>
        <w:tc>
          <w:tcPr>
            <w:tcW w:w="3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6,637</w:t>
            </w:r>
          </w:p>
        </w:tc>
        <w:tc>
          <w:tcPr>
            <w:tcW w:w="4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4,711</w:t>
            </w:r>
          </w:p>
        </w:tc>
        <w:tc>
          <w:tcPr>
            <w:tcW w:w="8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$4,357</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$10,892</w:t>
            </w:r>
          </w:p>
        </w:tc>
        <w:tc>
          <w:tcPr>
            <w:tcW w:w="3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4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6,603</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$2,617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1,568</w:t>
            </w:r>
          </w:p>
        </w:tc>
        <w:tc>
          <w:tcPr>
            <w:tcW w:w="3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5,664</w:t>
            </w:r>
          </w:p>
        </w:tc>
        <w:tc>
          <w:tcPr>
            <w:tcW w:w="4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$3,169</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$12,460</w:t>
            </w:r>
          </w:p>
        </w:tc>
        <w:tc>
          <w:tcPr>
            <w:tcW w:w="300" w:type="dxa"/>
            <w:vAlign w:val="bottom"/>
            <w:shd w:val="clear" w:color="auto" w:fill="CCEEFF"/>
          </w:tcPr>
          <w:p>
            <w:pPr>
              <w:spacing w:after="0"/>
              <w:rPr>
                <w:sz w:val="18"/>
                <w:szCs w:val="18"/>
                <w:color w:val="auto"/>
              </w:rPr>
            </w:pPr>
          </w:p>
        </w:tc>
        <w:tc>
          <w:tcPr>
            <w:tcW w:w="1220" w:type="dxa"/>
            <w:vAlign w:val="bottom"/>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$13,581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7,768</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$5,786</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15.19</w:t>
            </w:r>
            <w:r>
              <w:rPr>
                <w:rFonts w:ascii="Arial" w:cs="Arial" w:eastAsia="Arial" w:hAnsi="Arial"/>
                <w:sz w:val="15"/>
                <w:szCs w:val="15"/>
                <w:color w:val="auto"/>
              </w:rPr>
              <w:t>(1)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15.12</w:t>
            </w:r>
            <w:r>
              <w:rPr>
                <w:rFonts w:ascii="Arial" w:cs="Arial" w:eastAsia="Arial" w:hAnsi="Arial"/>
                <w:sz w:val="15"/>
                <w:szCs w:val="15"/>
                <w:color w:val="auto"/>
              </w:rPr>
              <w:t>(1)</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14.92</w:t>
            </w: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$14.88</w:t>
            </w:r>
            <w:r>
              <w:rPr>
                <w:rFonts w:ascii="Arial" w:cs="Arial" w:eastAsia="Arial" w:hAnsi="Arial"/>
                <w:sz w:val="15"/>
                <w:szCs w:val="15"/>
                <w:color w:val="auto"/>
                <w:w w:val="89"/>
              </w:rPr>
              <w:t>(1)</w:t>
            </w:r>
          </w:p>
        </w:tc>
      </w:tr>
    </w:tbl>
    <w:p>
      <w:pPr>
        <w:spacing w:after="0" w:line="214" w:lineRule="exact"/>
        <w:rPr>
          <w:sz w:val="20"/>
          <w:szCs w:val="20"/>
          <w:color w:val="auto"/>
        </w:rPr>
      </w:pPr>
    </w:p>
    <w:p>
      <w:pPr>
        <w:ind w:left="460" w:right="8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further described in Note 9 to our audited financial statements,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“Risks Related to Our Portfolio Company Investments—We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are superior to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7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December 31, 2014,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December 31, 2014, we had $398.9 million of outstanding indebtedness, which had an annualized interest cost of 2.5% under the terms of our debt, excluding fees (such as fees on undrawn amounts and amortization of upfront fees) and giving effect to the swap-adjusted interest rate on our Convertible Senior Notes. As of December 31, 2014, the interest rate on our Convertible Senior Notes, as adjusted to give effect to the interest rate swap, was three-month London Interbank Offered Rate, or LIBOR, plus 252.9 basis points. For us to cover these annualized interest payments on indebtedness, we must achieve annual returns on our investments of at least 0.8%.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0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4"/>
              </w:rPr>
              <w:t>Assumed Return on Our Portfolio</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3"/>
        </w:trPr>
        <w:tc>
          <w:tcPr>
            <w:tcW w:w="5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88"/>
              </w:rPr>
              <w:t>(net of expenses)</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7"/>
        </w:trPr>
        <w:tc>
          <w:tcPr>
            <w:tcW w:w="5240" w:type="dxa"/>
            <w:vAlign w:val="bottom"/>
          </w:tcPr>
          <w:p>
            <w:pPr>
              <w:spacing w:after="0"/>
              <w:rPr>
                <w:sz w:val="14"/>
                <w:szCs w:val="14"/>
                <w:color w:val="auto"/>
              </w:rPr>
            </w:pPr>
          </w:p>
        </w:tc>
        <w:tc>
          <w:tcPr>
            <w:tcW w:w="800" w:type="dxa"/>
            <w:vAlign w:val="bottom"/>
          </w:tcPr>
          <w:p>
            <w:pPr>
              <w:jc w:val="right"/>
              <w:ind w:right="159"/>
              <w:spacing w:after="0"/>
              <w:rPr>
                <w:sz w:val="20"/>
                <w:szCs w:val="20"/>
                <w:color w:val="auto"/>
              </w:rPr>
            </w:pPr>
            <w:r>
              <w:rPr>
                <w:rFonts w:ascii="Arial" w:cs="Arial" w:eastAsia="Arial" w:hAnsi="Arial"/>
                <w:sz w:val="14"/>
                <w:szCs w:val="14"/>
                <w:color w:val="auto"/>
              </w:rPr>
              <w:t>-10%</w:t>
            </w:r>
          </w:p>
        </w:tc>
        <w:tc>
          <w:tcPr>
            <w:tcW w:w="660" w:type="dxa"/>
            <w:vAlign w:val="bottom"/>
          </w:tcPr>
          <w:p>
            <w:pPr>
              <w:spacing w:after="0"/>
              <w:rPr>
                <w:sz w:val="14"/>
                <w:szCs w:val="14"/>
                <w:color w:val="auto"/>
              </w:rPr>
            </w:pPr>
          </w:p>
        </w:tc>
        <w:tc>
          <w:tcPr>
            <w:tcW w:w="680" w:type="dxa"/>
            <w:vAlign w:val="bottom"/>
          </w:tcPr>
          <w:p>
            <w:pPr>
              <w:jc w:val="right"/>
              <w:ind w:right="142"/>
              <w:spacing w:after="0"/>
              <w:rPr>
                <w:sz w:val="20"/>
                <w:szCs w:val="20"/>
                <w:color w:val="auto"/>
              </w:rPr>
            </w:pPr>
            <w:r>
              <w:rPr>
                <w:rFonts w:ascii="Arial" w:cs="Arial" w:eastAsia="Arial" w:hAnsi="Arial"/>
                <w:sz w:val="14"/>
                <w:szCs w:val="14"/>
                <w:color w:val="auto"/>
              </w:rPr>
              <w:t>-5%</w:t>
            </w:r>
          </w:p>
        </w:tc>
        <w:tc>
          <w:tcPr>
            <w:tcW w:w="1360" w:type="dxa"/>
            <w:vAlign w:val="bottom"/>
            <w:gridSpan w:val="2"/>
          </w:tcPr>
          <w:p>
            <w:pPr>
              <w:jc w:val="right"/>
              <w:ind w:right="150"/>
              <w:spacing w:after="0"/>
              <w:rPr>
                <w:sz w:val="20"/>
                <w:szCs w:val="20"/>
                <w:color w:val="auto"/>
              </w:rPr>
            </w:pPr>
            <w:r>
              <w:rPr>
                <w:rFonts w:ascii="Arial" w:cs="Arial" w:eastAsia="Arial" w:hAnsi="Arial"/>
                <w:sz w:val="14"/>
                <w:szCs w:val="14"/>
                <w:color w:val="auto"/>
              </w:rPr>
              <w:t>0%</w:t>
            </w:r>
          </w:p>
        </w:tc>
        <w:tc>
          <w:tcPr>
            <w:tcW w:w="66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Arial" w:cs="Arial" w:eastAsia="Arial" w:hAnsi="Arial"/>
                <w:sz w:val="14"/>
                <w:szCs w:val="14"/>
                <w:color w:val="auto"/>
              </w:rPr>
              <w:t>5%</w:t>
            </w:r>
          </w:p>
        </w:tc>
        <w:tc>
          <w:tcPr>
            <w:tcW w:w="680" w:type="dxa"/>
            <w:vAlign w:val="bottom"/>
          </w:tcPr>
          <w:p>
            <w:pPr>
              <w:spacing w:after="0"/>
              <w:rPr>
                <w:sz w:val="14"/>
                <w:szCs w:val="14"/>
                <w:color w:val="auto"/>
              </w:rPr>
            </w:pPr>
          </w:p>
        </w:tc>
        <w:tc>
          <w:tcPr>
            <w:tcW w:w="720" w:type="dxa"/>
            <w:vAlign w:val="bottom"/>
          </w:tcPr>
          <w:p>
            <w:pPr>
              <w:jc w:val="right"/>
              <w:ind w:right="159"/>
              <w:spacing w:after="0"/>
              <w:rPr>
                <w:sz w:val="20"/>
                <w:szCs w:val="20"/>
                <w:color w:val="auto"/>
              </w:rPr>
            </w:pPr>
            <w:r>
              <w:rPr>
                <w:rFonts w:ascii="Arial" w:cs="Arial" w:eastAsia="Arial" w:hAnsi="Arial"/>
                <w:sz w:val="14"/>
                <w:szCs w:val="14"/>
                <w:color w:val="auto"/>
              </w:rPr>
              <w:t>10%</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Corresponding return to stockholder</w:t>
            </w:r>
            <w:r>
              <w:rPr>
                <w:rFonts w:ascii="Arial" w:cs="Arial" w:eastAsia="Arial" w:hAnsi="Arial"/>
                <w:sz w:val="15"/>
                <w:szCs w:val="15"/>
                <w:color w:val="auto"/>
              </w:rPr>
              <w:t>(1)</w:t>
            </w: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-16.78%</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-8.98%</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r>
    </w:tbl>
    <w:p>
      <w:pPr>
        <w:spacing w:after="0" w:line="229" w:lineRule="exact"/>
        <w:rPr>
          <w:sz w:val="20"/>
          <w:szCs w:val="20"/>
          <w:color w:val="auto"/>
        </w:rPr>
      </w:pPr>
    </w:p>
    <w:p>
      <w:pPr>
        <w:ind w:left="460" w:right="6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as of December 31, 2014, (i) $1,303.7 million in total assets, (ii) $398.9 million in outstanding indebtedness, (iii) $835.4 million in net assets and (iv) annualized interest cost of 2.5%, under the terms of our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pre-IPO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78"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jc w:val="both"/>
        <w:ind w:right="2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00" w:hanging="446"/>
        <w:spacing w:after="0" w:line="277"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3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For the calendar years ended December 31, 2014 and December 31, 2013, we elected to retain approximately $31 million and $6 million of taxable income and capital gains, respectively, in order to provide us with additional liquidity and we recorded a net expense of $1.1 million and $0.2 million, respectively, for U.S. federal excise tax as a result. We can be expected to retain some income and capital gains in the future, including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 Regulated Investment Company Classification.”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to the extent the exemptive relief order granted to us by the SEC permits us to do so or the investment is otherwise permitted under relevant SEC guidance. 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 We cannot assure you when or whether we will apply for any other exemptive relief in the future and whether such orders will be obtained. See “Related-Party Transactions and Certain Relationships.”</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w:t>
      </w:r>
    </w:p>
    <w:p>
      <w:pPr>
        <w:spacing w:after="0" w:line="6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and requires stockholder consent to renew. If the Adviser resigns or is terminated, or if we do not obtain the requisite consents to renew the Adviser after an assignment, we may not be able to find a new investment adviser or hire internal management with similar expertise and ability to provide the same or equivalent services on</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our incorporation, the Adviser and its management had no prior experience managing a BDC or a RIC.</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a publicly traded company, we incur legal, accounting, investor relations and other expenses, including costs associated with corporate governance requirements, such as those under the Sarbanes-Oxley Act of 2002, or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December 31, 2014, we are no longer an “emerging growth company,” as defined in the Jumpstart Our Business Startups Act of 2012. As a result, we are now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Investments—Unless Congress renews certain exemptions that expired for taxable years commencing after December 31, 2014, certain dividend distributions we make to certain non-U.S. stockholders will be subject to U.S. withholding tax.”</w:t>
      </w:r>
    </w:p>
    <w:p>
      <w:pPr>
        <w:spacing w:after="0" w:line="16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July 21, 2010, the Wall Street Reform and Consumer Protection Act, or the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7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Also, to the extent uncertainty regarding any economic recovery in Europe continues to negatively impact consumer confidence and consumer credit factors, our business and results of operations could be significantly and adversely affected.</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87"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When we make a first-lien loan, we generally take a security interest in the available assets of the portfolio company,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 xml:space="preserve">Second-Lien and Mezzanine Debt. </w:t>
      </w:r>
      <w:r>
        <w:rPr>
          <w:rFonts w:ascii="Arial" w:cs="Arial" w:eastAsia="Arial" w:hAnsi="Arial"/>
          <w:sz w:val="18"/>
          <w:szCs w:val="18"/>
          <w:color w:val="auto"/>
        </w:rPr>
        <w:t>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31" w:lineRule="exact"/>
        <w:rPr>
          <w:sz w:val="20"/>
          <w:szCs w:val="20"/>
          <w:color w:val="auto"/>
        </w:rPr>
      </w:pPr>
    </w:p>
    <w:p>
      <w:pPr>
        <w:ind w:left="900" w:right="10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8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29" w:lineRule="exact"/>
        <w:rPr>
          <w:rFonts w:ascii="Arial" w:cs="Arial" w:eastAsia="Arial" w:hAnsi="Arial"/>
          <w:sz w:val="16"/>
          <w:szCs w:val="16"/>
          <w:color w:val="auto"/>
        </w:rPr>
      </w:pPr>
    </w:p>
    <w:p>
      <w:pPr>
        <w:ind w:left="900" w:right="16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7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Second Amended and Restated Credit and Security Agreement between our wholly owned subsidiary, TPG SL SPV, LLC and Natixis, New York Branch and certain other lenders, which we refer to as the SPV Asset Facility, to form a CLO or other securitization vehicle in the future.</w:t>
      </w:r>
    </w:p>
    <w:p>
      <w:pPr>
        <w:spacing w:after="0" w:line="17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93"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may be exposed to many of the same risks as described above with respect to our wholly owned subsidiary that supports our SPV Asset Facility. However, in the event we formed a CLO or other securitization vehicle, many of the risks described above would be heightened because we may incur a higher degree of leverage under a CLO or other securitization vehicle than we are permitted to incur under our SPV Asset Facility.</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7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54"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 Accordingly, we and our affiliates, including investment funds managed by our affiliates, will be only permitted to co-invest in accordance with the terms of the exemptive relief order or in the limited circumstances otherwise currently permitted by regulatory guidance.</w:t>
      </w:r>
    </w:p>
    <w:p>
      <w:pPr>
        <w:spacing w:after="0" w:line="2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in non-U.S. denominated currencies, our hedging costs will increase.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success of our hedging strategy will depend on our ability to correctly identify appropriate exposures for hedging. To date, we have entered into hedging transactions to seek to reduce currency exchange rate risk. In addition, in connection with the offering of our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Unless Congress renews certain exemptions that expired for taxable years commencing after December 31, 2014, certain dividend distributions we make to certain non-U.S. stockholders will be subject to U.S. withholding tax.</w:t>
      </w:r>
    </w:p>
    <w:p>
      <w:pPr>
        <w:spacing w:after="0" w:line="6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recent years, Congress has renewed the rules under which certain dividend distributions by RICs paid out of interest income, which we refer to as interest-related dividends, qualified for a generally applicable exemption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2014. Further legislation will be required to make the exemption available with respect to such taxable years. We cannot assure you that Congress will extend the pass-through rules for taxable years commencing after December 31, 2014,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286"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140" w:firstLine="456"/>
        <w:spacing w:after="0" w:line="269" w:lineRule="auto"/>
        <w:rPr>
          <w:sz w:val="20"/>
          <w:szCs w:val="20"/>
          <w:color w:val="auto"/>
        </w:rPr>
      </w:pPr>
      <w:r>
        <w:rPr>
          <w:rFonts w:ascii="Arial" w:cs="Arial" w:eastAsia="Arial" w:hAnsi="Arial"/>
          <w:sz w:val="17"/>
          <w:szCs w:val="17"/>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Stockholders—Potential Limitation with Respect to Certain U.S. Stockholders on Deductions for Certain Fees and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or PIK.</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170" w:lineRule="exact"/>
        <w:rPr>
          <w:sz w:val="20"/>
          <w:szCs w:val="20"/>
          <w:color w:val="auto"/>
        </w:rPr>
      </w:pPr>
    </w:p>
    <w:p>
      <w:pPr>
        <w:ind w:right="66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6"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accounting purposes, any cash distributions to stockholders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PIK interest has the effect of generating investment income at a compounding rate, thereby further increasing the Incentive Fees payable to the Adviser.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Similarly, all things being equal, the deferral associated with PIK interest also increases the loan-to-value ratio at a compounding rate.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payment-in-kind, or PIK.”</w:t>
      </w:r>
    </w:p>
    <w:p>
      <w:pPr>
        <w:spacing w:after="0" w:line="1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2014. See “Material U.S. Federal Income Tax Considerations—Regulated Investment Company Classification.”</w:t>
      </w:r>
    </w:p>
    <w:p>
      <w:pPr>
        <w:spacing w:after="0" w:line="19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assure you that a market for our common stock will be sustained or that the market price of shares of our common stock will not decline.</w:t>
      </w:r>
    </w:p>
    <w:p>
      <w:pPr>
        <w:spacing w:after="0" w:line="14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cannot assure you that a trading market for our common stock will be sustained. In addition, we cannot predict the prices at which our common stock will trade. Shares of closed-end investment companies, including BDCs, frequently trade at a discount from their net asset value and our stock may also be discounted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have entered into an agreement with Goldman, Sachs &amp; Co., or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June 30, 2015.</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 27A(b)(2)(B) of the Securities Act and Section 21E(b)(2)</w:t>
      </w:r>
    </w:p>
    <w:p>
      <w:pPr>
        <w:spacing w:after="0" w:line="3" w:lineRule="exact"/>
        <w:rPr>
          <w:sz w:val="20"/>
          <w:szCs w:val="20"/>
          <w:color w:val="auto"/>
        </w:rPr>
      </w:pPr>
    </w:p>
    <w:p>
      <w:pPr>
        <w:ind w:right="120" w:firstLine="8"/>
        <w:spacing w:after="0" w:line="261" w:lineRule="auto"/>
        <w:tabs>
          <w:tab w:leader="none" w:pos="2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the Exchange Act, the “safe harbor” provisions of the Private Securities Litigation Reform Act of 1995 do not apply to statements made in connection with any offering of securities pursuant to this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distributions, if any, during such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above or below net asset value. See “Risk Factors—Risks Related to Offerings Pursuant to This Prospectus.”</w:t>
      </w:r>
    </w:p>
    <w:p>
      <w:pPr>
        <w:spacing w:after="0" w:line="181" w:lineRule="exact"/>
        <w:rPr>
          <w:sz w:val="20"/>
          <w:szCs w:val="20"/>
          <w:color w:val="auto"/>
        </w:rPr>
      </w:pPr>
    </w:p>
    <w:p>
      <w:pPr>
        <w:ind w:right="500" w:firstLine="456"/>
        <w:spacing w:after="0" w:line="302" w:lineRule="auto"/>
        <w:rPr>
          <w:sz w:val="20"/>
          <w:szCs w:val="20"/>
          <w:color w:val="auto"/>
        </w:rPr>
      </w:pPr>
      <w:r>
        <w:rPr>
          <w:rFonts w:ascii="Arial" w:cs="Arial" w:eastAsia="Arial" w:hAnsi="Arial"/>
          <w:sz w:val="16"/>
          <w:szCs w:val="16"/>
          <w:color w:val="auto"/>
        </w:rPr>
        <w:t>The following table sets forth, for each fiscal quarter since our IPO, the net asset value per share of our common stock, the range of high and low closing sales prices of our common stock reported on the NYSE, the closing sales price as a premium (discount) to net asset value and the dividends or distributions declared by us. On April 15, 2015, the last reported closing sales price of our common stock on the NYSE was $18.09 per share, which represented a premium of approximately 16.5% to the net asset value per share reported by us as of December 31, 2014.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Price Range</w:t>
            </w:r>
          </w:p>
        </w:tc>
        <w:tc>
          <w:tcPr>
            <w:tcW w:w="260" w:type="dxa"/>
            <w:vAlign w:val="bottom"/>
            <w:vMerge w:val="restart"/>
          </w:tcPr>
          <w:p>
            <w:pPr>
              <w:spacing w:after="0"/>
              <w:rPr>
                <w:sz w:val="14"/>
                <w:szCs w:val="14"/>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High Sales</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Low Sales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82"/>
        </w:trPr>
        <w:tc>
          <w:tcPr>
            <w:tcW w:w="3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Net Asset</w:t>
            </w:r>
          </w:p>
        </w:tc>
        <w:tc>
          <w:tcPr>
            <w:tcW w:w="260" w:type="dxa"/>
            <w:vAlign w:val="bottom"/>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500" w:type="dxa"/>
            <w:vAlign w:val="bottom"/>
            <w:vMerge w:val="restart"/>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14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240" w:type="dxa"/>
            <w:vAlign w:val="bottom"/>
          </w:tcPr>
          <w:p>
            <w:pPr>
              <w:spacing w:after="0"/>
              <w:rPr>
                <w:sz w:val="6"/>
                <w:szCs w:val="6"/>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Dividend Per</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6"/>
              </w:rPr>
              <w:t>High</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150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Asset Value</w:t>
            </w:r>
            <w:r>
              <w:rPr>
                <w:rFonts w:ascii="Arial" w:cs="Arial" w:eastAsia="Arial" w:hAnsi="Arial"/>
                <w:sz w:val="12"/>
                <w:szCs w:val="12"/>
                <w:b w:val="1"/>
                <w:bCs w:val="1"/>
                <w:color w:val="auto"/>
                <w:w w:val="89"/>
              </w:rPr>
              <w:t>(2)</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Asset Value</w:t>
            </w:r>
            <w:r>
              <w:rPr>
                <w:rFonts w:ascii="Arial" w:cs="Arial" w:eastAsia="Arial" w:hAnsi="Arial"/>
                <w:sz w:val="12"/>
                <w:szCs w:val="12"/>
                <w:b w:val="1"/>
                <w:bCs w:val="1"/>
                <w:color w:val="auto"/>
                <w:w w:val="89"/>
              </w:rPr>
              <w:t>(2)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First Quarter (beginning March 21, 2014)</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15.51</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$16.70</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$16.00</w:t>
            </w:r>
          </w:p>
        </w:tc>
        <w:tc>
          <w:tcPr>
            <w:tcW w:w="1500" w:type="dxa"/>
            <w:vAlign w:val="bottom"/>
          </w:tcPr>
          <w:p>
            <w:pPr>
              <w:jc w:val="right"/>
              <w:ind w:right="157"/>
              <w:spacing w:after="0"/>
              <w:rPr>
                <w:sz w:val="20"/>
                <w:szCs w:val="20"/>
                <w:color w:val="auto"/>
              </w:rPr>
            </w:pPr>
            <w:r>
              <w:rPr>
                <w:rFonts w:ascii="Arial" w:cs="Arial" w:eastAsia="Arial" w:hAnsi="Arial"/>
                <w:sz w:val="18"/>
                <w:szCs w:val="18"/>
                <w:color w:val="auto"/>
              </w:rPr>
              <w:t>7.7%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15.70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$23.90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$16.60</w:t>
            </w:r>
          </w:p>
        </w:tc>
        <w:tc>
          <w:tcPr>
            <w:tcW w:w="15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52.2%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Third Quarter</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15.66</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$22.36</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$16.01</w:t>
            </w:r>
          </w:p>
        </w:tc>
        <w:tc>
          <w:tcPr>
            <w:tcW w:w="1500" w:type="dxa"/>
            <w:vAlign w:val="bottom"/>
          </w:tcPr>
          <w:p>
            <w:pPr>
              <w:jc w:val="right"/>
              <w:ind w:right="157"/>
              <w:spacing w:after="0"/>
              <w:rPr>
                <w:sz w:val="20"/>
                <w:szCs w:val="20"/>
                <w:color w:val="auto"/>
              </w:rPr>
            </w:pPr>
            <w:r>
              <w:rPr>
                <w:rFonts w:ascii="Arial" w:cs="Arial" w:eastAsia="Arial" w:hAnsi="Arial"/>
                <w:sz w:val="18"/>
                <w:szCs w:val="18"/>
                <w:color w:val="auto"/>
              </w:rPr>
              <w:t>42.8%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15.53</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$18.00</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$15.74</w:t>
            </w:r>
          </w:p>
        </w:tc>
        <w:tc>
          <w:tcPr>
            <w:tcW w:w="15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$18.54</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$16.34</w:t>
            </w:r>
          </w:p>
        </w:tc>
        <w:tc>
          <w:tcPr>
            <w:tcW w:w="15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74"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asset value has not yet been calculated for this period.</w:t>
      </w:r>
    </w:p>
    <w:p>
      <w:pPr>
        <w:spacing w:after="0" w:line="21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On February 20, 2015, our Board declared a dividend of $0.39 per share for the quarter ending March 31, 2015 to stockholders of record as of March 31, 2015. The dividend is expected to be paid on or about April 30, 2015. We anticipate that this dividend will be paid from income generated primarily by interest earned on our investment portfolio.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March 31, 2015 and the years ended December 31, 2014 and 2013:</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Year Ended December 31, 2014</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17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Pr>
          <w:p>
            <w:pPr>
              <w:spacing w:after="0"/>
              <w:rPr>
                <w:sz w:val="12"/>
                <w:szCs w:val="12"/>
                <w:color w:val="auto"/>
              </w:rPr>
            </w:pPr>
          </w:p>
        </w:tc>
        <w:tc>
          <w:tcPr>
            <w:tcW w:w="18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280" w:type="dxa"/>
            <w:vAlign w:val="bottom"/>
          </w:tcPr>
          <w:p>
            <w:pPr>
              <w:spacing w:after="0"/>
              <w:rPr>
                <w:sz w:val="12"/>
                <w:szCs w:val="12"/>
                <w:color w:val="auto"/>
              </w:rPr>
            </w:pPr>
          </w:p>
        </w:tc>
        <w:tc>
          <w:tcPr>
            <w:tcW w:w="13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7"/>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26, 2014</w:t>
            </w:r>
          </w:p>
        </w:tc>
        <w:tc>
          <w:tcPr>
            <w:tcW w:w="7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2014</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2014</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May 6, 2014</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June 30, 2014</w:t>
            </w:r>
          </w:p>
        </w:tc>
        <w:tc>
          <w:tcPr>
            <w:tcW w:w="580" w:type="dxa"/>
            <w:vAlign w:val="bottom"/>
          </w:tcPr>
          <w:p>
            <w:pPr>
              <w:spacing w:after="0"/>
              <w:rPr>
                <w:sz w:val="18"/>
                <w:szCs w:val="18"/>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rPr>
              <w:t>July 31, 2014</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2014</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September 30, 2014</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October 31, 2014</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November 3, 2014</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December 31, 2014</w:t>
            </w:r>
          </w:p>
        </w:tc>
        <w:tc>
          <w:tcPr>
            <w:tcW w:w="580" w:type="dxa"/>
            <w:vAlign w:val="bottom"/>
          </w:tcPr>
          <w:p>
            <w:pPr>
              <w:spacing w:after="0"/>
              <w:rPr>
                <w:sz w:val="18"/>
                <w:szCs w:val="18"/>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January 30, 2015</w:t>
            </w:r>
          </w:p>
        </w:tc>
        <w:tc>
          <w:tcPr>
            <w:tcW w:w="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Year Ended December 31, 2013</w:t>
            </w: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gridSpan w:val="2"/>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17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Pr>
          <w:p>
            <w:pPr>
              <w:spacing w:after="0"/>
              <w:rPr>
                <w:sz w:val="12"/>
                <w:szCs w:val="12"/>
                <w:color w:val="auto"/>
              </w:rPr>
            </w:pPr>
          </w:p>
        </w:tc>
        <w:tc>
          <w:tcPr>
            <w:tcW w:w="18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Payment Date</w:t>
            </w:r>
          </w:p>
        </w:tc>
        <w:tc>
          <w:tcPr>
            <w:tcW w:w="280" w:type="dxa"/>
            <w:vAlign w:val="bottom"/>
          </w:tcPr>
          <w:p>
            <w:pPr>
              <w:spacing w:after="0"/>
              <w:rPr>
                <w:sz w:val="12"/>
                <w:szCs w:val="12"/>
                <w:color w:val="auto"/>
              </w:rPr>
            </w:pPr>
          </w:p>
        </w:tc>
        <w:tc>
          <w:tcPr>
            <w:tcW w:w="1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r>
              <w:rPr>
                <w:rFonts w:ascii="Arial" w:cs="Arial" w:eastAsia="Arial" w:hAnsi="Arial"/>
                <w:sz w:val="12"/>
                <w:szCs w:val="12"/>
                <w:b w:val="1"/>
                <w:bCs w:val="1"/>
                <w:color w:val="auto"/>
                <w:w w:val="92"/>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12, 2013</w:t>
            </w:r>
          </w:p>
        </w:tc>
        <w:tc>
          <w:tcPr>
            <w:tcW w:w="7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June 30, 2013</w:t>
            </w:r>
          </w:p>
        </w:tc>
        <w:tc>
          <w:tcPr>
            <w:tcW w:w="580" w:type="dxa"/>
            <w:vAlign w:val="bottom"/>
          </w:tcPr>
          <w:p>
            <w:pPr>
              <w:spacing w:after="0"/>
              <w:rPr>
                <w:sz w:val="18"/>
                <w:szCs w:val="18"/>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rPr>
              <w:t>July 31, 2013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September 30, 2013</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October 31, 2013</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December 31, 2013</w:t>
            </w:r>
          </w:p>
        </w:tc>
        <w:tc>
          <w:tcPr>
            <w:tcW w:w="580" w:type="dxa"/>
            <w:vAlign w:val="bottom"/>
          </w:tcPr>
          <w:p>
            <w:pPr>
              <w:spacing w:after="0"/>
              <w:rPr>
                <w:sz w:val="18"/>
                <w:szCs w:val="18"/>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January 30, 2014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further described in Note 9 to our audited consolidated financial statements, the indicated amounts for dates prior to December 3, 2013 have been retroactively adjusted for the stock split which was effected in the form of a stock dividend.</w:t>
      </w:r>
    </w:p>
    <w:p>
      <w:pPr>
        <w:spacing w:after="0" w:line="18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2014 and December 31, 2013, were derived from net investment income and long-term capital gains, determined on a tax basis.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calendar years ended December 31, 2014 and 2013 for purposes of additional liquidity and we recorded a net expense of $1.1 million and $0.2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6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Unless our common stockholders elect to receive their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right="1120" w:firstLine="456"/>
        <w:spacing w:after="0" w:line="342" w:lineRule="auto"/>
        <w:rPr>
          <w:sz w:val="20"/>
          <w:szCs w:val="20"/>
          <w:color w:val="auto"/>
        </w:rPr>
      </w:pPr>
      <w:r>
        <w:rPr>
          <w:rFonts w:ascii="Arial" w:cs="Arial" w:eastAsia="Arial" w:hAnsi="Arial"/>
          <w:sz w:val="16"/>
          <w:szCs w:val="16"/>
          <w:color w:val="auto"/>
        </w:rPr>
        <w:t>On March 21, 2014, we completed our IPO, issuing 7,000,000 shares at $16.00 per share, and our concurrent private placement, issuing 3,124,984 shares at $16.00 per share. Net of underwriting fees and offering costs, we received total cash proceeds of $151.6 million.</w:t>
      </w:r>
    </w:p>
    <w:p>
      <w:pPr>
        <w:spacing w:after="0" w:line="124"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approximately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3, 2014, our Board approved a stock repurchase plan, the Company 10b5-1 Plan, to acquire up to $50 million in the aggregate of our common stock at prices below our net asset value over a specified period, in accordance with the guidelines specified in Rule 10b-18 and Rule 10b5-1 of the Exchange Act. Unless extended or terminated by the Board, the Company 10b5-1 Plan will be in effect through the earlier of May 4, 2015 or such time as the approved $50 million repurchase amount has been fully utilized, subject to certain conditions. On February 20, 2015, our Board authorized the extension of the termination date of the Company 10b5-1 Plan from May 4, 2015 to June 30, 2015. As of December 31, 2014, no shares had been repurchased under the Company 10b5-1 Plan.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December 31, 2014, we have originated more than $3.3 billion aggregate principal amount of investments and retained approximately $2.4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2014, our core portfolio companies, which exclude certain investments that fall outside of our typical borrower profile, had weighted average annual revenue of $145 million and weighted average annual EBITDA of $34 million.</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our average investment size in each of our portfolio companies was approximately $37 million.</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no industry represented more than 17.3% of our total investment portfolio.</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As of December 31, 2014,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97.8% of our portfolio was invested in secured debt, including 89.0%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2014, the weighted average term on new investment commitments in new portfolio companies was 4.7 years.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Risk Mitigation</w:t>
      </w:r>
      <w:r>
        <w:rPr>
          <w:rFonts w:ascii="Arial" w:cs="Arial" w:eastAsia="Arial" w:hAnsi="Arial"/>
          <w:sz w:val="16"/>
          <w:szCs w:val="16"/>
          <w:color w:val="auto"/>
        </w:rPr>
        <w:t>. We seek to mitigate non-credit-related risk on our returns in several ways, including call protection provisions to protect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income. As of December 31, 2014, we had call protection on 96.8% of our debt investments, with weighted average call prices of 106.9% for the first year, 103.9% for the second year and 101.4% for the third year, in each case from the date of the initial investment. As of December 31, 2014, 96.8% of our debt investments bore interest at floating rates, subject to interest rate floors, which we believe helps act as a portfolio-wide hedge against inflation.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9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TSSP, which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is TPG’s special situations and credit platform. TSSP had over $11 billion of assets under management as of December 31, 2014. TSSP has extensive experience with highly complex, global public and private investments executed through primary originations, secondary market purchases and restructurings, and has a team of over 100 investment and operating professionals as of March 31, 2015. Twenty six of these personnel are dedicated to our business, including 19 investment professionals.</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both"/>
        <w:ind w:right="260" w:firstLine="456"/>
        <w:spacing w:after="0" w:line="302" w:lineRule="auto"/>
        <w:rPr>
          <w:sz w:val="20"/>
          <w:szCs w:val="20"/>
          <w:color w:val="auto"/>
        </w:rPr>
      </w:pPr>
      <w:r>
        <w:rPr>
          <w:rFonts w:ascii="Arial" w:cs="Arial" w:eastAsia="Arial" w:hAnsi="Arial"/>
          <w:sz w:val="16"/>
          <w:szCs w:val="16"/>
          <w:color w:val="auto"/>
        </w:rPr>
        <w:t>In 2014, the Adviser entered into a purchase agreement, the Adviser 10b5-1 Plan, in accordance with Rules 10b5-1 and 10b-18 under the Exchange Act, under which an agent for the Adviser, would buy up to $25 million in the aggregate of our common stock, subject to certain conditions. The Adviser 10b5-1 Plan expired in accordance with its terms on December 31, 2014. During the year ended December 31, 2014, 300 shares were purchased under the Adviser 10b5-1 Plan. These 300 shares were purchased prior to the approval and implementation of the Company 10b5-1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December 31, 2014, 96.8% bear interest at a floating rate, subject to interest rate floors. Interest on debt investments is generally payable quarterly or semiannually. Some of our investments provide for deferred interest payments or PIK interest. For the year ended December 31, 2014, less than 2.0% of our total investment income was comprised of PIK interest.</w:t>
      </w:r>
    </w:p>
    <w:p>
      <w:pPr>
        <w:spacing w:after="0" w:line="17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and Investment Activity</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As of December 31, 2014, our portfolio consisted of 89.0% first-lien debt investments, 8.8% second-lien debt investments, 1.0% mezzanine debt investments, and 1.2% equity and other investments.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As of December 31, 2013, our portfolio consisted of 86.3% first-lien debt investments, 13.5% second-lien debt investments, and 0.2% equity investments.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As of December 31, 2014 and December 31, 2013, our weighted average total yield of debt and income producing securities at fair value (which includes interest income and amortization of fees and discounts) was 10.3% and 10.4%, respectively, and our weighted average total yield of debt and income producing securities at amortized cost (which includes interest income and amortization of fees and discounts) was 10.3% and 10.6%, respectively.</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December 31, 2014 and December 31, 2013, we had investments in 34 and 27 portfolio companies, respectively, with an aggregate fair value of $1,263.5 million and $1,016.5 million, respectively.</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year ended December 31, 2014, we made new investment commitments of $884.4 million, $805.7 million in 20 new portfolio companies and $78.7 million in seven existing portfolio companies. For this period, we had $518.4 million aggregate principal amount in exits and repayments, resulting in a net portfolio increase of $296.5 million aggregate principal amount.</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a net portfolio increase of $387.3 million aggregate principal amount. For the year ended December 31, 2012, we made new investment commitments of $714.2 million, $615.0 million in 20 new portfolio companies and $99.2 million in six existing portfolio companies. For this period, we had $193.1 million aggregate principal amount in exits and repayments, resulting in a net portfolio increase of $487.5 million aggregate principal amount.</w:t>
      </w:r>
    </w:p>
    <w:p>
      <w:pPr>
        <w:spacing w:after="0" w:line="1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investment activity for the years ended December 31, 2014, 2013 and 2012 is presented below (information presented herein is at par value unless otherwise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2"/>
                <w:szCs w:val="12"/>
                <w:color w:val="auto"/>
              </w:rPr>
            </w:pPr>
          </w:p>
        </w:tc>
        <w:tc>
          <w:tcPr>
            <w:tcW w:w="14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December 31, 2013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1,120.1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897.5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1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681.3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497.9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395.0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Mezzanine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4420" w:type="dxa"/>
            <w:vAlign w:val="bottom"/>
          </w:tcPr>
          <w:p>
            <w:pPr>
              <w:ind w:left="72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518.4</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420" w:type="dxa"/>
            <w:vAlign w:val="bottom"/>
          </w:tcPr>
          <w:p>
            <w:pPr>
              <w:spacing w:after="0"/>
              <w:rPr>
                <w:sz w:val="24"/>
                <w:szCs w:val="24"/>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4"/>
                <w:szCs w:val="14"/>
                <w:b w:val="1"/>
                <w:bCs w:val="1"/>
                <w:color w:val="auto"/>
                <w:w w:val="98"/>
              </w:rPr>
              <w:t>Year Ended</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2014</w:t>
            </w:r>
          </w:p>
        </w:tc>
        <w:tc>
          <w:tcPr>
            <w:tcW w:w="540" w:type="dxa"/>
            <w:vAlign w:val="bottom"/>
          </w:tcPr>
          <w:p>
            <w:pPr>
              <w:spacing w:after="0"/>
              <w:rPr>
                <w:sz w:val="12"/>
                <w:szCs w:val="12"/>
                <w:color w:val="auto"/>
              </w:rPr>
            </w:pPr>
          </w:p>
        </w:tc>
        <w:tc>
          <w:tcPr>
            <w:tcW w:w="2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2013</w:t>
            </w: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3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Number of new investment commitments</w:t>
            </w:r>
          </w:p>
        </w:tc>
        <w:tc>
          <w:tcPr>
            <w:tcW w:w="4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 new portfolio companies</w:t>
            </w:r>
          </w:p>
        </w:tc>
        <w:tc>
          <w:tcPr>
            <w:tcW w:w="4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line="198" w:lineRule="exact"/>
              <w:rPr>
                <w:sz w:val="20"/>
                <w:szCs w:val="20"/>
                <w:color w:val="auto"/>
              </w:rPr>
            </w:pPr>
            <w:r>
              <w:rPr>
                <w:rFonts w:ascii="Arial" w:cs="Arial" w:eastAsia="Arial" w:hAnsi="Arial"/>
                <w:sz w:val="18"/>
                <w:szCs w:val="18"/>
                <w:b w:val="1"/>
                <w:bCs w:val="1"/>
                <w:color w:val="auto"/>
              </w:rPr>
              <w:t>Average new investment commitment</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180"/>
              <w:spacing w:after="0"/>
              <w:rPr>
                <w:sz w:val="20"/>
                <w:szCs w:val="20"/>
                <w:color w:val="auto"/>
              </w:rPr>
            </w:pPr>
            <w:r>
              <w:rPr>
                <w:rFonts w:ascii="Arial" w:cs="Arial" w:eastAsia="Arial" w:hAnsi="Arial"/>
                <w:sz w:val="18"/>
                <w:szCs w:val="18"/>
                <w:b w:val="1"/>
                <w:bCs w:val="1"/>
                <w:color w:val="auto"/>
              </w:rPr>
              <w:t>amount in new portfolio companies</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40.3</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220"/>
              <w:spacing w:after="0"/>
              <w:rPr>
                <w:sz w:val="20"/>
                <w:szCs w:val="20"/>
                <w:color w:val="auto"/>
              </w:rPr>
            </w:pPr>
            <w:r>
              <w:rPr>
                <w:rFonts w:ascii="Arial" w:cs="Arial" w:eastAsia="Arial" w:hAnsi="Arial"/>
                <w:sz w:val="18"/>
                <w:szCs w:val="18"/>
                <w:color w:val="auto"/>
              </w:rPr>
              <w:t>38.3</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98"/>
        </w:trPr>
        <w:tc>
          <w:tcPr>
            <w:tcW w:w="4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term for new</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 commitments in new</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portfolio companies (in years)</w:t>
            </w:r>
          </w:p>
        </w:tc>
        <w:tc>
          <w:tcPr>
            <w:tcW w:w="4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line="198" w:lineRule="exact"/>
              <w:rPr>
                <w:sz w:val="20"/>
                <w:szCs w:val="20"/>
                <w:color w:val="auto"/>
              </w:rPr>
            </w:pPr>
            <w:r>
              <w:rPr>
                <w:rFonts w:ascii="Arial" w:cs="Arial" w:eastAsia="Arial" w:hAnsi="Arial"/>
                <w:sz w:val="18"/>
                <w:szCs w:val="18"/>
                <w:b w:val="1"/>
                <w:bCs w:val="1"/>
                <w:color w:val="auto"/>
              </w:rPr>
              <w:t>Percentage of new debt investment</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180"/>
              <w:spacing w:after="0"/>
              <w:rPr>
                <w:sz w:val="20"/>
                <w:szCs w:val="20"/>
                <w:color w:val="auto"/>
              </w:rPr>
            </w:pPr>
            <w:r>
              <w:rPr>
                <w:rFonts w:ascii="Arial" w:cs="Arial" w:eastAsia="Arial" w:hAnsi="Arial"/>
                <w:sz w:val="18"/>
                <w:szCs w:val="18"/>
                <w:b w:val="1"/>
                <w:bCs w:val="1"/>
                <w:color w:val="auto"/>
              </w:rPr>
              <w:t>commitments at floating rates</w:t>
            </w:r>
          </w:p>
        </w:tc>
        <w:tc>
          <w:tcPr>
            <w:tcW w:w="4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96.5%</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98.1%</w:t>
            </w:r>
          </w:p>
        </w:tc>
        <w:tc>
          <w:tcPr>
            <w:tcW w:w="4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198"/>
        </w:trPr>
        <w:tc>
          <w:tcPr>
            <w:tcW w:w="4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Percentage of new debt investment</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 at fixed rates</w:t>
            </w:r>
          </w:p>
        </w:tc>
        <w:tc>
          <w:tcPr>
            <w:tcW w:w="4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8"/>
        </w:trPr>
        <w:tc>
          <w:tcPr>
            <w:tcW w:w="438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of new</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180"/>
              <w:spacing w:after="0"/>
              <w:rPr>
                <w:sz w:val="20"/>
                <w:szCs w:val="20"/>
                <w:color w:val="auto"/>
              </w:rPr>
            </w:pPr>
            <w:r>
              <w:rPr>
                <w:rFonts w:ascii="Arial" w:cs="Arial" w:eastAsia="Arial" w:hAnsi="Arial"/>
                <w:sz w:val="18"/>
                <w:szCs w:val="18"/>
                <w:b w:val="1"/>
                <w:bCs w:val="1"/>
                <w:color w:val="auto"/>
              </w:rPr>
              <w:t>investment commitments</w:t>
            </w:r>
          </w:p>
        </w:tc>
        <w:tc>
          <w:tcPr>
            <w:tcW w:w="4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8"/>
        </w:trPr>
        <w:tc>
          <w:tcPr>
            <w:tcW w:w="4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spread over LIBOR of</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new floating rate investment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commitments</w:t>
            </w:r>
          </w:p>
        </w:tc>
        <w:tc>
          <w:tcPr>
            <w:tcW w:w="4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8.7%</w:t>
            </w: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8"/>
        </w:trPr>
        <w:tc>
          <w:tcPr>
            <w:tcW w:w="438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interest rate on</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180"/>
              <w:spacing w:after="0"/>
              <w:rPr>
                <w:sz w:val="20"/>
                <w:szCs w:val="20"/>
                <w:color w:val="auto"/>
              </w:rPr>
            </w:pPr>
            <w:r>
              <w:rPr>
                <w:rFonts w:ascii="Arial" w:cs="Arial" w:eastAsia="Arial" w:hAnsi="Arial"/>
                <w:sz w:val="18"/>
                <w:szCs w:val="18"/>
                <w:b w:val="1"/>
                <w:bCs w:val="1"/>
                <w:color w:val="auto"/>
              </w:rPr>
              <w:t>investments sold or paid down</w:t>
            </w:r>
          </w:p>
        </w:tc>
        <w:tc>
          <w:tcPr>
            <w:tcW w:w="4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right"/>
              <w:ind w:right="1060"/>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2013, our investments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46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rPr>
              <w:t>December 31, 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116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Fair Value</w:t>
            </w: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Amortized Cost</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10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Amortized Cost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$1,124.2</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111.4</w:t>
            </w:r>
          </w:p>
        </w:tc>
        <w:tc>
          <w:tcPr>
            <w:tcW w:w="3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137.5</w:t>
            </w:r>
          </w:p>
        </w:tc>
        <w:tc>
          <w:tcPr>
            <w:tcW w:w="6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131.1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1,263.5</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1,016.5</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997.3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amortized cost of our performing and non-accrual investments as of December 31, 2014 and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9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vMerge w:val="continue"/>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Amortized Cost</w:t>
            </w:r>
          </w:p>
        </w:tc>
        <w:tc>
          <w:tcPr>
            <w:tcW w:w="6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4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Amortized Cost</w:t>
            </w:r>
          </w:p>
        </w:tc>
        <w:tc>
          <w:tcPr>
            <w:tcW w:w="6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Non-accrual</w:t>
            </w:r>
            <w:r>
              <w:rPr>
                <w:rFonts w:ascii="Arial" w:cs="Arial" w:eastAsia="Arial" w:hAnsi="Arial"/>
                <w:sz w:val="15"/>
                <w:szCs w:val="15"/>
                <w:color w:val="auto"/>
              </w:rPr>
              <w:t>(1)</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1,273.2</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997.3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30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yields and interest rates of our debt investments at fair value as of December 31, 2014 and 2013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December 31, 2014</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2013</w:t>
            </w:r>
          </w:p>
        </w:tc>
      </w:tr>
      <w:tr>
        <w:trPr>
          <w:trHeight w:val="182"/>
        </w:trPr>
        <w:tc>
          <w:tcPr>
            <w:tcW w:w="5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 income-producing</w:t>
            </w:r>
          </w:p>
        </w:tc>
        <w:tc>
          <w:tcPr>
            <w:tcW w:w="1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10.3%</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 income-producing</w:t>
            </w: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9.9%</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 floating rate</w:t>
            </w: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0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97"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00"/>
          </w:cols>
          <w:pgMar w:left="24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2014 and 2013.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2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Investment Performance</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0" w:type="dxa"/>
            <w:vAlign w:val="bottom"/>
            <w:gridSpan w:val="4"/>
          </w:tcPr>
          <w:p>
            <w:pPr>
              <w:jc w:val="right"/>
              <w:ind w:right="1440"/>
              <w:spacing w:after="0"/>
              <w:rPr>
                <w:sz w:val="20"/>
                <w:szCs w:val="20"/>
                <w:color w:val="auto"/>
              </w:rPr>
            </w:pPr>
            <w:r>
              <w:rPr>
                <w:rFonts w:ascii="Arial" w:cs="Arial" w:eastAsia="Arial" w:hAnsi="Arial"/>
                <w:sz w:val="14"/>
                <w:szCs w:val="14"/>
                <w:b w:val="1"/>
                <w:bCs w:val="1"/>
                <w:color w:val="auto"/>
              </w:rPr>
              <w:t>December 31, 2014</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5"/>
        </w:trPr>
        <w:tc>
          <w:tcPr>
            <w:tcW w:w="32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top w:val="single" w:sz="8" w:color="auto"/>
            </w:tcBorders>
            <w:gridSpan w:val="3"/>
          </w:tcPr>
          <w:p>
            <w:pPr>
              <w:jc w:val="right"/>
              <w:ind w:right="760"/>
              <w:spacing w:after="0" w:line="115" w:lineRule="exact"/>
              <w:rPr>
                <w:sz w:val="20"/>
                <w:szCs w:val="20"/>
                <w:color w:val="auto"/>
              </w:rPr>
            </w:pPr>
            <w:r>
              <w:rPr>
                <w:rFonts w:ascii="Arial" w:cs="Arial" w:eastAsia="Arial" w:hAnsi="Arial"/>
                <w:sz w:val="13"/>
                <w:szCs w:val="13"/>
                <w:b w:val="1"/>
                <w:bCs w:val="1"/>
                <w:color w:val="auto"/>
              </w:rPr>
              <w:t>Investments at Fair</w:t>
            </w:r>
          </w:p>
        </w:tc>
        <w:tc>
          <w:tcPr>
            <w:tcW w:w="12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97"/>
              </w:rPr>
              <w:t>Percentage of Total</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Borders>
              <w:top w:val="single" w:sz="8" w:color="auto"/>
            </w:tcBorders>
            <w:gridSpan w:val="3"/>
          </w:tcPr>
          <w:p>
            <w:pPr>
              <w:jc w:val="right"/>
              <w:ind w:right="740"/>
              <w:spacing w:after="0" w:line="115" w:lineRule="exact"/>
              <w:rPr>
                <w:sz w:val="20"/>
                <w:szCs w:val="20"/>
                <w:color w:val="auto"/>
              </w:rPr>
            </w:pPr>
            <w:r>
              <w:rPr>
                <w:rFonts w:ascii="Arial" w:cs="Arial" w:eastAsia="Arial" w:hAnsi="Arial"/>
                <w:sz w:val="13"/>
                <w:szCs w:val="13"/>
                <w:b w:val="1"/>
                <w:bCs w:val="1"/>
                <w:color w:val="auto"/>
              </w:rPr>
              <w:t>Investments at Fair</w:t>
            </w:r>
          </w:p>
        </w:tc>
        <w:tc>
          <w:tcPr>
            <w:tcW w:w="12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w w:val="97"/>
              </w:rPr>
              <w:t>Percentage of Total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6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in millions)</w:t>
            </w:r>
          </w:p>
        </w:tc>
        <w:tc>
          <w:tcPr>
            <w:tcW w:w="7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Portfolio</w:t>
            </w:r>
          </w:p>
        </w:tc>
        <w:tc>
          <w:tcPr>
            <w:tcW w:w="4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 in millions)</w:t>
            </w:r>
          </w:p>
        </w:tc>
        <w:tc>
          <w:tcPr>
            <w:tcW w:w="7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8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7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260.7</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116.4</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98.5</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40.7</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0" w:type="dxa"/>
            <w:vAlign w:val="bottom"/>
          </w:tcPr>
          <w:p>
            <w:pPr>
              <w:jc w:val="right"/>
              <w:ind w:right="28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1,263.5</w:t>
            </w:r>
          </w:p>
        </w:tc>
        <w:tc>
          <w:tcPr>
            <w:tcW w:w="7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19"/>
                <w:szCs w:val="19"/>
                <w:color w:val="auto"/>
              </w:rPr>
            </w:pPr>
          </w:p>
        </w:tc>
        <w:tc>
          <w:tcPr>
            <w:tcW w:w="420" w:type="dxa"/>
            <w:vAlign w:val="bottom"/>
          </w:tcPr>
          <w:p>
            <w:pPr>
              <w:jc w:val="right"/>
              <w:ind w:right="268"/>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1,016.5</w:t>
            </w:r>
          </w:p>
        </w:tc>
        <w:tc>
          <w:tcPr>
            <w:tcW w:w="700" w:type="dxa"/>
            <w:vAlign w:val="bottom"/>
            <w:vMerge w:val="continue"/>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years ended December 31, 2014, 2013 and 2012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0"/>
              </w:rPr>
              <w:t>December 31, 2014</w:t>
            </w:r>
          </w:p>
        </w:tc>
        <w:tc>
          <w:tcPr>
            <w:tcW w:w="80" w:type="dxa"/>
            <w:vAlign w:val="bottom"/>
          </w:tcPr>
          <w:p>
            <w:pPr>
              <w:spacing w:after="0"/>
              <w:rPr>
                <w:sz w:val="12"/>
                <w:szCs w:val="12"/>
                <w:color w:val="auto"/>
              </w:rPr>
            </w:pPr>
          </w:p>
        </w:tc>
        <w:tc>
          <w:tcPr>
            <w:tcW w:w="1720" w:type="dxa"/>
            <w:vAlign w:val="bottom"/>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2"/>
                <w:szCs w:val="12"/>
                <w:color w:val="auto"/>
              </w:rPr>
            </w:pPr>
          </w:p>
        </w:tc>
        <w:tc>
          <w:tcPr>
            <w:tcW w:w="12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Less: Net expenses</w:t>
            </w: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realized gains (losses) on investments</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gains (losses) on</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(1)</w:t>
            </w:r>
          </w:p>
        </w:tc>
        <w:tc>
          <w:tcPr>
            <w:tcW w:w="80" w:type="dxa"/>
            <w:vAlign w:val="bottom"/>
            <w:shd w:val="clear" w:color="auto" w:fill="CCEEFF"/>
          </w:tcPr>
          <w:p>
            <w:pPr>
              <w:spacing w:after="0"/>
              <w:rPr>
                <w:sz w:val="20"/>
                <w:szCs w:val="20"/>
                <w:color w:val="auto"/>
              </w:rPr>
            </w:pPr>
          </w:p>
        </w:tc>
        <w:tc>
          <w:tcPr>
            <w:tcW w:w="17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5"/>
        </w:trPr>
        <w:tc>
          <w:tcPr>
            <w:tcW w:w="450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Net increase in net assets resulting from</w:t>
            </w: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540"/>
              <w:spacing w:after="0"/>
              <w:rPr>
                <w:sz w:val="20"/>
                <w:szCs w:val="20"/>
                <w:color w:val="auto"/>
              </w:rPr>
            </w:pPr>
            <w:r>
              <w:rPr>
                <w:rFonts w:ascii="Arial" w:cs="Arial" w:eastAsia="Arial" w:hAnsi="Arial"/>
                <w:sz w:val="18"/>
                <w:szCs w:val="18"/>
                <w:b w:val="1"/>
                <w:bCs w:val="1"/>
                <w:color w:val="auto"/>
              </w:rPr>
              <w:t>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4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December 31, 2014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2"/>
                <w:szCs w:val="12"/>
                <w:color w:val="auto"/>
              </w:rPr>
            </w:pPr>
          </w:p>
        </w:tc>
        <w:tc>
          <w:tcPr>
            <w:tcW w:w="12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Dividend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$90.4 million for the year ended December 31, 2013 to $154.0 million for the year ended December 31, 2014, primarily due to the increase in the size of our investment portfolio. The average size of our investment portfolio increased from $0.8 billion during the year ended December 31, 2013 to $1.2 billion during the year ended December 31, 2014. In addition, accelerated amortization of upfront fees primarily from unscheduled paydowns increased from $3.0 million for the year ended December 31, 2013 to $12.5 million for the year ended December 31, 2014. In addition, prepayment fees increased from $3.0 million for the year ended December 31, 2013 to $21.0 million for the year ended December 31, 2014. The accelerated amortization and prepayment fees primarily resulted from partial paydowns on three portfolio investments and full paydowns on five portfolio investments during the year ended December 31, 2013 and from partial paydowns on two portfolio investments, full paydowns on thirteen portfolio investments and the expiration of one unfunded commitment during the year ended December 31, 2014. Other income increased from $2.2 million for the year ended December 31, 2013 to $9.3 million for the year ended December 31, 2014, primarily due to higher syndication, amendment and agency fees earned during 2014.</w:t>
      </w:r>
    </w:p>
    <w:p>
      <w:pPr>
        <w:spacing w:after="0" w:line="17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These prepayment fees resulted from full or partial paydowns on portfolio investments. Dividend income was $1.2 million for the year ended December 31, 2012 due to the receipt of a dividend from a non-controlled, affiliated investment. There was no dividend income in the year ended December 31, 2013. Other income increased from $0.7 million for the year ended December 31, 2012 to $2.2 million for the year ended December 31, 2013, primarily due to higher syndication, amendment and agency fees earned during 2013.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years ended December 31, 2014, 2013 and 2012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88"/>
              </w:rPr>
              <w:t>December 31, 2014</w:t>
            </w:r>
          </w:p>
        </w:tc>
        <w:tc>
          <w:tcPr>
            <w:tcW w:w="80" w:type="dxa"/>
            <w:vAlign w:val="bottom"/>
          </w:tcPr>
          <w:p>
            <w:pPr>
              <w:spacing w:after="0"/>
              <w:rPr>
                <w:sz w:val="12"/>
                <w:szCs w:val="12"/>
                <w:color w:val="auto"/>
              </w:rPr>
            </w:pPr>
          </w:p>
        </w:tc>
        <w:tc>
          <w:tcPr>
            <w:tcW w:w="1920" w:type="dxa"/>
            <w:vAlign w:val="bottom"/>
            <w:gridSpan w:val="2"/>
          </w:tcPr>
          <w:p>
            <w:pPr>
              <w:jc w:val="center"/>
              <w:ind w:right="760"/>
              <w:spacing w:after="0" w:line="142" w:lineRule="exact"/>
              <w:rPr>
                <w:sz w:val="20"/>
                <w:szCs w:val="20"/>
                <w:color w:val="auto"/>
              </w:rPr>
            </w:pPr>
            <w:r>
              <w:rPr>
                <w:rFonts w:ascii="Arial" w:cs="Arial" w:eastAsia="Arial" w:hAnsi="Arial"/>
                <w:sz w:val="14"/>
                <w:szCs w:val="14"/>
                <w:b w:val="1"/>
                <w:bCs w:val="1"/>
                <w:color w:val="auto"/>
                <w:w w:val="91"/>
              </w:rPr>
              <w:t>December 31, 2014</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Incentive fees related to Pre-incentive fee net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w w:val="97"/>
              </w:rPr>
              <w:t>Incentive fees related to realized/unrealized capital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Directors’ fees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98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6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Interest, including other debt financing expenses, increased from $10.5 million for the year ended December 31, 2013 to $15.1 million for the year ended December 31, 2014. This increase was primarily due to an increase in the weighted average debt outstanding from $266 million for the year ended December 31, 2013 to $377 million for the year ended December 31, 2014. The increase in average debt outstanding was offset by a decrease in the average interest rate on our debt outstanding from 2.7% for the year ended December 31, 2013 to 2.6% for the year ended December 31, 2014.</w:t>
      </w:r>
    </w:p>
    <w:p>
      <w:pPr>
        <w:spacing w:after="0" w:line="15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increase in average debt outstanding was offset by a decrease in the average interest rate on our debt outstanding from 2.9% for the year ended December 31, 2012 to 2.7% for the year ended December 31, 2013.</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Fees (net of waivers) increased from $6.2 million for the year ended December 31, 2013 to $15.8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Management Fees increased from $13.4 million for the year ended December 31, 2013 to $18.3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due to the increase in total assets, which increased from an average of $0.9 billion for the year ended December 31, 2013 to an average of $1.2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2014. Management Fees waived decreased from $7.1 million for the year ended December 31, 2013 to $2.5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2014, as there were no management fees waived during the period April 1, 2014 through December 31, 2014.</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$0.6 billion for the year ended December 31, 2012 to an average of $0.9 billion for the year ended December 31, 2013. Management Fees waived increased from $3.7 million for the year ended December 31, 2012 to $7.1 million for the year ended December 31, 2013 due to an increase in total assets.</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our IPO, the Adviser has not waived its right to receive the full Management Fee, and accordingly, we will be required to continue to pay the full amount of the Management Fee.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Incentive Fees related to pre-Incentive Fee net investment income increased from $10.4 million for the year ended December 31, 2013 to $20.8 million for the year ended December 31, 2014. This increase resulted from the increase in the size of the portfolio and related increase in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and losses decreased from $1.4 million for the year ended December 31, 2013 to ($2.9) million for the year ended December 31, 2014 due to changes in unrealized gains and losses on our investments, realized gains on our investments and realized losses on foreign currency transactions.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 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 and Other General and Administrative Expenses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Professional fees increased from $3.7 million for the year ended December 31, 2013 to $4.7 million for the year ended December 31, 2014 and other general and administrative fees increased from $2.4 million for the year ended December 31, 2013 to $3.9 million for the year ended December 31, 2014, both due to an increase in costs associated with servicing a growing investment portfolio.</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For the calendar years ended December 31, 2014, 2013 and 2012, we recorded a net expense of $1.1 million, $0.2 million and $0.1 million, respectively, for U.S. federal excise tax.</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2014, 2013 and 2012:</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6"/>
              </w:rPr>
              <w:t>Year Ended</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124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0"/>
                <w:szCs w:val="10"/>
                <w:color w:val="auto"/>
              </w:rPr>
            </w:pPr>
          </w:p>
        </w:tc>
        <w:tc>
          <w:tcPr>
            <w:tcW w:w="12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on investments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realized losses on foreign currency transactions</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forward contracts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gains (losses)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(28.9)</w:t>
            </w: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540" w:type="dxa"/>
            <w:vAlign w:val="bottom"/>
          </w:tcPr>
          <w:p>
            <w:pPr>
              <w:spacing w:after="0" w:line="201" w:lineRule="exact"/>
              <w:rPr>
                <w:sz w:val="20"/>
                <w:szCs w:val="20"/>
                <w:color w:val="auto"/>
              </w:rPr>
            </w:pPr>
            <w:r>
              <w:rPr>
                <w:rFonts w:ascii="Arial" w:cs="Arial" w:eastAsia="Arial" w:hAnsi="Arial"/>
                <w:sz w:val="18"/>
                <w:szCs w:val="18"/>
                <w:color w:val="auto"/>
              </w:rPr>
              <w:t>Unrealized appreciation (depreciation) on foreign currency cash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forward contracts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interest rate swaps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540" w:type="dxa"/>
            <w:vAlign w:val="bottom"/>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 Currency</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80"/>
              <w:spacing w:after="0"/>
              <w:rPr>
                <w:sz w:val="20"/>
                <w:szCs w:val="20"/>
                <w:color w:val="auto"/>
              </w:rPr>
            </w:pPr>
            <w:r>
              <w:rPr>
                <w:rFonts w:ascii="Arial" w:cs="Arial" w:eastAsia="Arial" w:hAnsi="Arial"/>
                <w:sz w:val="18"/>
                <w:szCs w:val="18"/>
                <w:b w:val="1"/>
                <w:bCs w:val="1"/>
                <w:color w:val="auto"/>
              </w:rPr>
              <w:t>Transactions and Interest Rate Swaps</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the years ended December 31, 2014, 2013 and 2012, we had net realized gains on investments of $0.1 million, $1.1 million and $4.4 million, respectively. For the year ended December 31, 2014, we had net realized losses on foreign currency transactions of $0.4 million, primarily as a result of translating foreign currency related to one of our non-USD denominated investments. For the year ended December 31, 2014 we had net realized losses on foreign currency forward contracts of $1.6 million primarily as a result of settling our foreign currency forward contracts. For the year ended December 31, 2014, we had net realized gains on foreign currency borrowings of $0.2 million. For the year ended December 31, 2013 we had net realized gains on foreign currency transactions and foreign currency forward contracts of less than $0.1 million. For the year ended December 31, 2012 we did not have realized gains or losses on foreign currency transactions, foreign currency forward contracts or foreign currency borrowings.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2014, we had $5.4 million in unrealized appreciation on 10 portfolio company investments, which was offset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$34.3 million in unrealized depreciation on 35 portfolio company investments. Unrealized appreciation for the year ended December 31, 2014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fair market value, primarily due to a tightening spread environment during the six months ended June 30, 2014 and positive credit-related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Unrealized depreciation for the year ended December 31, 2014 resulted from the reversal of prior period unrealized appreciation,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 widening spread environment during the six months ended December 31, 2014, and in some instances negative credit-related and energy-related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24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For the year ended December 31, 2013, we had $13.4 million in unrealized appreciation on 24 portfolio company investments, which was partially offset by $3.8 million in unrealized depreciation on nine portfolio company investments. For the year ended December 31, 2012 we had $9.2 million in unrealized appreciation on 13 portfolio company investments, which was partially offset by $2.0 million in unrealized depreciation on five portfolio company investments. Unrealized appreciation for the years ended December 31, 2013 and 2012 resulted from increases in fair market value, primarily due to a tightening spread environment and positive credit-related adjustments. Unrealized depreciation for the years ended December 31, 2013 and 2012 primarily resulted from the reversal of prior period unrealized appreciation and in some instances negative credit-related adjustments.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the year ended December 31, 2014, we had unrealized appreciation on foreign currency borrowings of $8.9 million, primarily as a result of fluctuations in the GBP, SEK and EUR exchange rates. For the years ended December 31, 2013 and 2012, we did not have unrealized appreciation or depreciation on foreign currency borrowings. For the year ended December 31, 2014 we had unrealized appreciation on foreign currency forward contracts of $1.3 million as a result of the reversal of prior period unrealized depreciation due to settling our foreign currency forward contracts. For the year ended December 31, 2013 we had unrealized depreciation on foreign currency forward contracts of $1.2 million. For the year ended December 31, 2014 we had unrealized appreciation on interest rate swaps of $1.0 million due to fluctuations in interest rates. For the years ended December 31, 2013 and 2012 we did not have unrealized appreciation or depreciation on interest rate swaps.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Since we began investing in 2011 through December 31, 2014, our exited investments have resulted in an aggregate cash flow realized gross internal rate of return to us of 16.6% (based on cash invested of $834.8 million and total proceeds from these exited investments of $991.9 million). Eighty three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 For additional information on these amounts, see “—Results of Operations—Expenses” and “—Results of Operations—Income Taxes, Including Excise Taxes” above.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 For additional information on our unrealized gains and losses, see “—Results of Operations—Net Realized and Unrealized Gains and Losses”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During the year ended December 31, 2014, we entered into foreign currency forward contracts related to our non-USD denominated investments, which in total generated an unrealized gain of $1.2 million and a realized loss of $1.6 million. As of December 31, 2014, we did not have any open foreign currency forward contracts. During the year ended December 31, 2013, we entered into foreign currency forward contracts related to our non-USD denominated investments, which in total generated an unrealized loss of $1.2 million and a realized gain of less than $0.1 million. Other than these foreign currency forward contracts and the interest rate swaps we entered into in connection with our Convertible Senior Notes, we did not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2012, we did not enter into any interest rate, foreign currency forward contracts or other derivative agreements.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2014, 2013 and 2012, our asset coverage ratio was 311.0%, 232.9% and 244.6%, respectively.</w:t>
      </w:r>
    </w:p>
    <w:p>
      <w:pPr>
        <w:spacing w:after="0" w:line="18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Cash and cash equivalents as of December 31, 2014, taken together with cash available under our credit facilities, is expected to be sufficient for our investing activities and to conduct our operations in the near term. As of December 31, 2014, we had approximately $511.5 million of availability on our revolving credit facilities.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December 31, 2014, we had $2.4 million in cash and cash equivalents, a decrease of $1.1 million from December 31, 2013. During the year ended December 31, 2014, we used net $148.8 million in cash for operating activities, primarily as a result of funding portfolio investments of $974.8 million, which was partially offset by proceeds from investments of $100.7 million, repayments on investments of $620.7 million, other operating activity of $19.6 million, and an increase in net assets resulting from operations of $85.0 million. Lastly, cash provided by financing activities was $147.8 million during the period, primarily due to net borrowings of $1,108.1 million and proceeds from issuance of common stock of $234.4 million, partially offset by net repayments on debt of $1,135.4 million, debt issuance costs of $6.8 million and dividends paid of $52.6 million.</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As of December 31, 2013, we had $3.5 million in cash and cash equivalents, a decrease of $158.3 million from December 31, 2012. The decrease was primarily attributable to investments made during the period. During the year ended December 31, 2013, we used net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w:t>
      </w:r>
    </w:p>
    <w:p>
      <w:pPr>
        <w:spacing w:after="0" w:line="2"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$14.3 million. Lastly, cash provided by financing activities was $131.3 million during the period, primarily due to proceeds from issuance of common stock of $56.9 million and net borrowings of $100.4 million, partially offset by debt issuance costs of $1.6 million and dividends paid of $24.4 million.</w:t>
      </w:r>
    </w:p>
    <w:p>
      <w:pPr>
        <w:spacing w:after="0" w:line="1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of December 31, 2014, we had $2.3 million of restricted cash pledged as collateral under our interest rate swap agreements, which we entered into in June 2014. As of December 31, 2014, we had $10.2 million of restricted cash in our wholly owned subsidiary TPG SL SPV, an increase of $3.9 million from December 31, 2013. The increase was primarily attributable to increased interest payments from additional investments contributed to TPG SL SPV. Proceeds received by TPG SL SPV from interest and principal at the end of a quarterly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 For additional information concerning restricted cash and our revolving credit facility, see “—Financial Condition, Liquidity and Capital Resources—SPV Asset Facility.”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8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During the year ended December 31, 2013, we delivered drawdown notices to our investors relating to the issuance of 3,713,053 shares of our common stock for aggregate proceeds of $57 million. Proceeds from the issuances were used in investing activities and for other general corporate purposes.</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During the year ended December 31, 2014, we did not deliver any drawdown notices to our investors. On December 31, 2013, we delivered a capital drawdown notice to our investors relating to the sale of 4,234,501 shares of our common stock for an aggregate offering price of $65.0 million. The sale closed on January 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2014. This capital drawdown notice is reflected in the number of shares issued for the year ended December 31, 2014 in the prior paragraph and the consolidated financial statements for the year ended December 31, 2014.</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From inception through March 26, 2014, we had drawn down a total of $0.6 billion of capital and issued 38.9 million shares, excluding equity and shares issued through our dividend reinvestment plan. The remaining unfunded commitments under the subscription agreements terminated upon the completion of our IPO in March 2014, and hence as of December 31, 2014 no longer remain in effect.</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During the years ended December 31, 2014 and 2013, we issued 1,361,850 and 1,730,042 shares of our common stock, respectively, to investors who have not opted out of our dividend reinvestment plan for proceeds of $22.6 million and $26.4 million, respectively. On February 2, 2015, we issued 162,490 shares of our common stock through our dividend reinvestment plan for proceeds of $2.7 million, which is not reflected in the number of shares issued for the year ended December 31, 2014 in this section or the consolidated financial statements for the year ended December 31, 2014.</w:t>
      </w:r>
    </w:p>
    <w:p>
      <w:pPr>
        <w:spacing w:after="0" w:line="154"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below our net asset value over a specified period, in accordance with the guidelines specified in Rule 10b-18 and Rule 10b5-1 of the Exchange Act.</w:t>
      </w:r>
    </w:p>
    <w:p>
      <w:pPr>
        <w:spacing w:after="0" w:line="12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an agent selected by us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May 4, 2015 or such time as the approved $50 million repurchase amount has been fully utilized, subject to certain conditions. On February 20, 2015, our Board authorized the extension of the termination date of the Company 10b5-1 Plan from May 4, 2015 to June 30, 2015. As of December 31, 2014, no shares had been repurchased under the Company 10b5-1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December 31, 2014 and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6"/>
              </w:rPr>
              <w:t>Aggregate</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10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Committed</w:t>
            </w: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Available</w:t>
            </w:r>
            <w:r>
              <w:rPr>
                <w:rFonts w:ascii="Arial" w:cs="Arial" w:eastAsia="Arial" w:hAnsi="Arial"/>
                <w:sz w:val="12"/>
                <w:szCs w:val="12"/>
                <w:b w:val="1"/>
                <w:bCs w:val="1"/>
                <w:color w:val="auto"/>
                <w:w w:val="94"/>
              </w:rPr>
              <w:t>(1)</w:t>
            </w:r>
          </w:p>
        </w:tc>
        <w:tc>
          <w:tcPr>
            <w:tcW w:w="2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106,725</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781,250</w:t>
            </w:r>
          </w:p>
        </w:tc>
        <w:tc>
          <w:tcPr>
            <w:tcW w:w="1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177,216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466,189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177,216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111,923</w:t>
            </w:r>
          </w:p>
        </w:tc>
        <w:tc>
          <w:tcPr>
            <w:tcW w:w="0" w:type="dxa"/>
            <w:vAlign w:val="bottom"/>
          </w:tcPr>
          <w:p>
            <w:pPr>
              <w:spacing w:after="0"/>
              <w:rPr>
                <w:sz w:val="1"/>
                <w:szCs w:val="1"/>
                <w:color w:val="auto"/>
              </w:rPr>
            </w:pPr>
          </w:p>
        </w:tc>
      </w:tr>
      <w:tr>
        <w:trPr>
          <w:trHeight w:val="223"/>
        </w:trPr>
        <w:tc>
          <w:tcPr>
            <w:tcW w:w="494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398,941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817"/>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6"/>
              </w:rPr>
              <w:t>Aggregate</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0"/>
                <w:szCs w:val="10"/>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 Amount</w:t>
            </w: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Committed</w:t>
            </w:r>
          </w:p>
        </w:tc>
        <w:tc>
          <w:tcPr>
            <w:tcW w:w="8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Available</w:t>
            </w:r>
            <w:r>
              <w:rPr>
                <w:rFonts w:ascii="Arial" w:cs="Arial" w:eastAsia="Arial" w:hAnsi="Arial"/>
                <w:sz w:val="12"/>
                <w:szCs w:val="12"/>
                <w:b w:val="1"/>
                <w:bCs w:val="1"/>
                <w:color w:val="auto"/>
                <w:w w:val="97"/>
              </w:rPr>
              <w:t>(1)</w:t>
            </w:r>
          </w:p>
        </w:tc>
        <w:tc>
          <w:tcPr>
            <w:tcW w:w="3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77,767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322,500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322,500</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145,500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ind w:left="460" w:right="58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2014 and December 31, 2013,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us, under certain circumstances, to increase the size to a maximum of $956.3 million.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December 31, 2014, we had outstanding debt denominated in Swedish Krona (SEK) of 205.8 million, Euro (EUR) of 28.1 million and Pound Sterling (GBP) of 14.1 million on our Revolving Credit Facility, included in the Outstanding Principal amount in the table above.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SPV Asset Facility</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8, 2012, the “Closing Date,” our wholly owned subsidiary TPG SL SPV, LLC, a Delaware limited liability company, which we refer to as TSL SL SPV,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92"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9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The amended and restated facility, among other things:</w:t>
      </w:r>
    </w:p>
    <w:p>
      <w:pPr>
        <w:spacing w:after="0" w:line="7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reinvestment period under the amended and restated credit and security agreement terminated on January 21, 2015 and accordingly any undrawn availability under the facility also terminated.</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On March 27, 2015, TPG SL SPV further amended and restated the amended and restated credit and security agreement, which we refer to as the SPV Asset Facility. The second amended and restated credit and security agreement, among other things, reduced the pricing applicable to loans from LIBOR lenders and syndicated a portion of the outstanding loan previously held by affiliates of Natixis to two new lenders.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outstanding under the SPV Asset Facility bear interest at LIBOR plus a margin, base rate plus a margin or the lenders’ cost of funds plus a margin.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2014 and 2013, TPG SL SPV had $334.0 million and $184.3 million, respectively, in investments at fair value, and $108.8 million and $78.3 million, respectively, in liabilities, including the outstanding borrowings, on its balance sheet. As of December 31, 2014 and 2013, TPG SL SPV had $10.2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of TPG SL SPV are considered our borrowings for purposes of complying with the asset coverage requirements of the 1940 Act.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two interest rate swaps, each with a $57.5 million notional amount to continue to align the interest rates of our liabilities with our investment portfolio, which consists of predominately floating rate loans. As a result of the swaps, as of December 31, 2014, our effective interest rate on the Convertible Senior Notes was three-month LIBOR plus 252.9 basis points.</w:t>
      </w:r>
    </w:p>
    <w:p>
      <w:pPr>
        <w:spacing w:after="0" w:line="18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Holders may convert their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notes are senior unsecured obligations and rank senior in right of payment to our future indebtedness that is expressly subordinated in right of payment to the notes; equal in right of payment to our existing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2014,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2014, we were in compliance with the terms of the Convertible Senior Notes Indenture.</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Credit Facility</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2014 and 2013, we had the following commitments to fund investments: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tcPr>
          <w:p>
            <w:pPr>
              <w:spacing w:after="0"/>
              <w:rPr>
                <w:sz w:val="20"/>
                <w:szCs w:val="20"/>
                <w:color w:val="auto"/>
              </w:rPr>
            </w:pPr>
            <w:r>
              <w:rPr>
                <w:rFonts w:ascii="Arial" w:cs="Arial" w:eastAsia="Arial" w:hAnsi="Arial"/>
                <w:sz w:val="14"/>
                <w:szCs w:val="14"/>
                <w:color w:val="auto"/>
              </w:rPr>
              <w:t>($ in millions)</w:t>
            </w: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2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2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60" w:type="dxa"/>
            <w:vAlign w:val="bottom"/>
            <w:vMerge w:val="restart"/>
          </w:tcPr>
          <w:p>
            <w:pPr>
              <w:jc w:val="right"/>
              <w:ind w:right="1250"/>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Unfunded commitments terminated upon the completion of our IPO, and hence as of December 31, 2014 no longer remain in effect.</w:t>
      </w:r>
    </w:p>
    <w:p>
      <w:pPr>
        <w:spacing w:after="0" w:line="17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December 31, 2014 and December 31, 2013, we had outstanding commitments to fund investments totaling $48.0 million and $55.0 million, respectively.</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2014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2"/>
              </w:rPr>
              <w:t>Payments Due by Period</w:t>
            </w: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2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20" w:type="dxa"/>
            <w:vAlign w:val="bottom"/>
          </w:tcPr>
          <w:p>
            <w:pPr>
              <w:spacing w:after="0"/>
              <w:rPr>
                <w:sz w:val="10"/>
                <w:szCs w:val="10"/>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7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Less than</w:t>
            </w:r>
          </w:p>
        </w:tc>
        <w:tc>
          <w:tcPr>
            <w:tcW w:w="420" w:type="dxa"/>
            <w:vAlign w:val="bottom"/>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1-3 years</w:t>
            </w:r>
          </w:p>
        </w:tc>
        <w:tc>
          <w:tcPr>
            <w:tcW w:w="42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After 5 years</w:t>
            </w:r>
          </w:p>
        </w:tc>
        <w:tc>
          <w:tcPr>
            <w:tcW w:w="0" w:type="dxa"/>
            <w:vAlign w:val="bottom"/>
          </w:tcPr>
          <w:p>
            <w:pPr>
              <w:spacing w:after="0"/>
              <w:rPr>
                <w:sz w:val="1"/>
                <w:szCs w:val="1"/>
                <w:color w:val="auto"/>
              </w:rPr>
            </w:pPr>
          </w:p>
        </w:tc>
      </w:tr>
      <w:tr>
        <w:trPr>
          <w:trHeight w:val="171"/>
        </w:trPr>
        <w:tc>
          <w:tcPr>
            <w:tcW w:w="6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1 year</w:t>
            </w:r>
          </w:p>
        </w:tc>
        <w:tc>
          <w:tcPr>
            <w:tcW w:w="4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SPV Asset</w:t>
            </w: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Facility</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$106.7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177.2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177.2</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7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115.0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398.9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292.2</w:t>
            </w:r>
          </w:p>
        </w:tc>
        <w:tc>
          <w:tcPr>
            <w:tcW w:w="4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December 31, 2014, 96.8% of our debt investments in our portfolio bore interest at floating rates, subject to interest rate floors. Our credit facilities also bear interest at floating rates, and in connection with our Convertible Senior Notes, which bear interest at a fixed rate, we entered into fixed-to-floating interest rate swaps in order to continue to align the interest rates of our liabilities with our investment portfolio.</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Assuming that our consolidated balance sheet as of December 31,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3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20"/>
                <w:szCs w:val="20"/>
                <w:color w:val="auto"/>
              </w:rPr>
            </w:pPr>
            <w:r>
              <w:rPr>
                <w:rFonts w:ascii="Arial" w:cs="Arial" w:eastAsia="Arial" w:hAnsi="Arial"/>
                <w:sz w:val="14"/>
                <w:szCs w:val="14"/>
                <w:b w:val="1"/>
                <w:bCs w:val="1"/>
                <w:color w:val="auto"/>
                <w:w w:val="89"/>
              </w:rPr>
              <w:t>Basis Point Change</w:t>
            </w:r>
          </w:p>
        </w:tc>
        <w:tc>
          <w:tcPr>
            <w:tcW w:w="55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Income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26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26.1</w:t>
            </w:r>
          </w:p>
        </w:tc>
        <w:tc>
          <w:tcPr>
            <w:tcW w:w="3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12.0</w:t>
            </w:r>
          </w:p>
        </w:tc>
        <w:tc>
          <w:tcPr>
            <w:tcW w:w="3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13.8</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converted into U.S. dollars at the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 in this prospectus and elsewhere in our filings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4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6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to our consolidated financial statements included in this prospectus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ind w:right="560"/>
        <w:spacing w:after="0" w:line="261" w:lineRule="auto"/>
        <w:rPr>
          <w:sz w:val="20"/>
          <w:szCs w:val="20"/>
          <w:color w:val="auto"/>
        </w:rPr>
      </w:pPr>
      <w:r>
        <w:rPr>
          <w:rFonts w:ascii="Arial" w:cs="Arial" w:eastAsia="Arial" w:hAnsi="Arial"/>
          <w:sz w:val="18"/>
          <w:szCs w:val="18"/>
          <w:color w:val="auto"/>
        </w:rPr>
        <w:t>Conclusions regarding tax positions are subject to review and may be adjusted at a later date based on factors including on-going analyses of tax laws, regulations and interpretations thereof.</w:t>
      </w:r>
    </w:p>
    <w:p>
      <w:pPr>
        <w:spacing w:after="0" w:line="18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The report of our independent registered public accounting firm, KPMG LLP, on the senior securities table as of December 31, 2014 is attached as an exhibit to the registration statement of which this prospectus is a part.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8"/>
              </w:rPr>
              <w:t>Involuntary</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Average Market</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Treasury</w:t>
            </w: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Coverage</w:t>
            </w: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6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680" w:type="dxa"/>
            <w:vAlign w:val="bottom"/>
            <w:gridSpan w:val="3"/>
            <w:vMerge w:val="continue"/>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1"/>
              </w:rPr>
              <w:t>Preference Per</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Value Per</w:t>
            </w:r>
          </w:p>
        </w:tc>
        <w:tc>
          <w:tcPr>
            <w:tcW w:w="0" w:type="dxa"/>
            <w:vAlign w:val="bottom"/>
          </w:tcPr>
          <w:p>
            <w:pPr>
              <w:spacing w:after="0"/>
              <w:rPr>
                <w:sz w:val="1"/>
                <w:szCs w:val="1"/>
                <w:color w:val="auto"/>
              </w:rPr>
            </w:pPr>
          </w:p>
        </w:tc>
      </w:tr>
      <w:tr>
        <w:trPr>
          <w:trHeight w:val="171"/>
        </w:trPr>
        <w:tc>
          <w:tcPr>
            <w:tcW w:w="5380" w:type="dxa"/>
            <w:vAlign w:val="bottom"/>
            <w:gridSpan w:val="2"/>
            <w:vMerge w:val="continue"/>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16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(3)</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Unit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3,110.3</w:t>
            </w: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7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2,445.9</w:t>
            </w:r>
          </w:p>
        </w:tc>
        <w:tc>
          <w:tcPr>
            <w:tcW w:w="72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2,116.7</w:t>
            </w:r>
          </w:p>
        </w:tc>
        <w:tc>
          <w:tcPr>
            <w:tcW w:w="7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at the end of the period presented.</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2014, we have originated more than $3.3 billion aggregate principal amount of investments and retained approximately $2.4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December 31, 2014, our core portfolio companies, which exclude certain investments that fall outside of our typical borrower profile, had weighted average annual revenue of $145 million and weighted average annual EBITDA of $34 million.</w:t>
      </w:r>
    </w:p>
    <w:p>
      <w:pPr>
        <w:spacing w:after="0" w:line="17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12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We invest in first-lien debt, second-lien debt, mezzanine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2014, based on fair value, our portfolio consisted of 89.0% first-lien debt investments, 8.8% second-lien debt investments, 1.0% mezzanine debt investments, and 1.2% equity and other investments. Approximately 96.8% of our debt investments as of December 31, 2014 are floating rate in nature, subject to interest rate floors, which we believe helps act as a portfolio-wide hedge against inflation. As of December 31,</w:t>
      </w:r>
    </w:p>
    <w:p>
      <w:pPr>
        <w:spacing w:after="0" w:line="1" w:lineRule="exact"/>
        <w:rPr>
          <w:sz w:val="20"/>
          <w:szCs w:val="20"/>
          <w:color w:val="auto"/>
        </w:rPr>
      </w:pPr>
    </w:p>
    <w:p>
      <w:pPr>
        <w:jc w:val="both"/>
        <w:ind w:right="360"/>
        <w:spacing w:after="0" w:line="323" w:lineRule="auto"/>
        <w:rPr>
          <w:sz w:val="20"/>
          <w:szCs w:val="20"/>
          <w:color w:val="auto"/>
        </w:rPr>
      </w:pPr>
      <w:r>
        <w:rPr>
          <w:rFonts w:ascii="Arial" w:cs="Arial" w:eastAsia="Arial" w:hAnsi="Arial"/>
          <w:sz w:val="16"/>
          <w:szCs w:val="16"/>
          <w:color w:val="auto"/>
        </w:rPr>
        <w:t>2014 and 2013, we had investments in 34 and 27 portfolio companies, respectively. As of December 31, 2014, our average investment size in each of our portfolio companies was approximately $37 million. We expect that no single investment will represent more than 15% of our total investment portfolio.</w:t>
      </w:r>
    </w:p>
    <w:p>
      <w:pPr>
        <w:spacing w:after="0" w:line="13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As of December 31, 2014, our portfolio was invested across 19 different industries. The largest industries in our portfolio as of December 31, 2014 were healthcare and pharmaceuticals, business services, and financial services, which represented, as a percentage of our portfolio, 17.3%,10.0% and 8.4%, respectively, based on fair value. See “Portfolio Companies” for more information on our portfolio as of December 31, 2014.</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TSLX—Our Investment Adviser” below. Pursuant to our certificate of incorporation, the Board consists of five members divided into three classes with staggered three-year terms. As a BDC, a majority of our Board consists of Independent Directors.</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TSLX</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On May 19, 2014, we formed another wholly owned subsidiary, TSL MR, LLC, a Delaware limited liability company, to hold certain of our investments.</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Our Adviser is a Delaware limited liability company. Our Adviser acts as our investment adviser and administrator and is a registered investment adviser with the SEC under the Advisers Act. 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7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TSSP is the special situations and credit platform of TPG and encompasses TPG Specialty Lending, Inc.,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the broadly syndicated leveraged loan markets. TSSP had over $11 billion of assets under management as of December 31, 2014. TSSP has extensive experience with highly complex, global public and private investments executed through primary originations, secondary market purchases and restructurings, and has a team of over 100 investment and operating professionals as of March 31, 2015. Twenty six of these personnel are dedicated to our business, including 19 investment professionals. The members of the Investment Review Committee are Joshua Easterly, Michael Fishman, Alan Waxman and David Stiepleman.</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TPG is a leading global private investment firm founded in 1992 with $67 billion of assets under management as of December 31, 2014,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terms of the Investment Advisory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Incentive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 Further, GE Capital, the largest non-bank lender in the U.S. middle market, recently announced its intention to sell nearly all of its assets. We believe that the exit of the largest middle market non-bank lender will likely create opportunities for the remaining non-bank lenders, including BDCs.</w:t>
      </w:r>
    </w:p>
    <w:p>
      <w:pPr>
        <w:spacing w:after="0" w:line="18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$1.2 trillion as of December 2014, will continue to drive deal activity. We expect that private equity firms will continue to pursue acquisitions and to seek to leverage their equity investments with secured loans provided by companies such as ours.</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Attractive investment dynamics</w:t>
      </w:r>
      <w:r>
        <w:rPr>
          <w:rFonts w:ascii="Arial" w:cs="Arial" w:eastAsia="Arial" w:hAnsi="Arial"/>
          <w:sz w:val="18"/>
          <w:szCs w:val="18"/>
          <w:color w:val="auto"/>
        </w:rPr>
        <w:t>. An imbalance between the supply of, and demand for, middle-market debt capital creates attractive pricing dynamics.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directly negotiated nature of middle-market financings also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Illustrative of the market opportunity for BDCs, the graph below demonstrates the decline in bank participation and increased prevalence of non-bank lenders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134620</wp:posOffset>
            </wp:positionV>
            <wp:extent cx="2787015" cy="30359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8701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01290" cy="15347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0129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19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i w:val="1"/>
          <w:iCs w:val="1"/>
          <w:color w:val="auto"/>
        </w:rPr>
        <w:t>Disciplined investment and underwriting process</w:t>
      </w:r>
      <w:r>
        <w:rPr>
          <w:rFonts w:ascii="Arial" w:cs="Arial" w:eastAsia="Arial" w:hAnsi="Arial"/>
          <w:sz w:val="16"/>
          <w:szCs w:val="16"/>
          <w:color w:val="auto"/>
        </w:rPr>
        <w:t>. 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right="20" w:hanging="446"/>
        <w:spacing w:after="0" w:line="276" w:lineRule="auto"/>
        <w:tabs>
          <w:tab w:leader="none" w:pos="1480" w:val="left"/>
        </w:tabs>
        <w:numPr>
          <w:ilvl w:val="1"/>
          <w:numId w:val="55"/>
        </w:numPr>
        <w:rPr>
          <w:rFonts w:ascii="Arial" w:cs="Arial" w:eastAsia="Arial" w:hAnsi="Arial"/>
          <w:sz w:val="17"/>
          <w:szCs w:val="17"/>
          <w:color w:val="auto"/>
        </w:rPr>
      </w:pPr>
      <w:r>
        <w:rPr>
          <w:rFonts w:ascii="Arial" w:cs="Arial" w:eastAsia="Arial" w:hAnsi="Arial"/>
          <w:sz w:val="17"/>
          <w:szCs w:val="17"/>
          <w:i w:val="1"/>
          <w:iCs w:val="1"/>
          <w:color w:val="auto"/>
        </w:rPr>
        <w:t>Business and sector selection</w:t>
      </w:r>
      <w:r>
        <w:rPr>
          <w:rFonts w:ascii="Arial" w:cs="Arial" w:eastAsia="Arial" w:hAnsi="Arial"/>
          <w:sz w:val="17"/>
          <w:szCs w:val="17"/>
          <w:color w:val="auto"/>
        </w:rPr>
        <w:t>. 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40" w:hanging="446"/>
        <w:spacing w:after="0" w:line="255"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8" w:lineRule="exact"/>
        <w:rPr>
          <w:rFonts w:ascii="Arial" w:cs="Arial" w:eastAsia="Arial" w:hAnsi="Arial"/>
          <w:sz w:val="18"/>
          <w:szCs w:val="18"/>
          <w:color w:val="auto"/>
        </w:rPr>
      </w:pPr>
    </w:p>
    <w:p>
      <w:pPr>
        <w:jc w:val="both"/>
        <w:ind w:left="1480" w:right="240" w:hanging="446"/>
        <w:spacing w:after="0" w:line="312" w:lineRule="auto"/>
        <w:tabs>
          <w:tab w:leader="none" w:pos="1480"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Deal dynamics</w:t>
      </w:r>
      <w:r>
        <w:rPr>
          <w:rFonts w:ascii="Arial" w:cs="Arial" w:eastAsia="Arial" w:hAnsi="Arial"/>
          <w:sz w:val="16"/>
          <w:szCs w:val="16"/>
          <w:color w:val="auto"/>
        </w:rPr>
        <w:t>. 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2" w:lineRule="exact"/>
        <w:rPr>
          <w:rFonts w:ascii="Arial" w:cs="Arial" w:eastAsia="Arial" w:hAnsi="Arial"/>
          <w:sz w:val="16"/>
          <w:szCs w:val="16"/>
          <w:color w:val="auto"/>
        </w:rPr>
      </w:pPr>
    </w:p>
    <w:p>
      <w:pPr>
        <w:ind w:left="1480" w:right="80" w:hanging="446"/>
        <w:spacing w:after="0" w:line="264"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900" w:right="54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1.8% of approximately 3,500 investment opportunities our Investment Team reviewed since our inception through December 31, 2014.</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Carefully constructed, existing portfolio consisting of predominantly senior, floating rate loans across a broad range of industries and borrowers</w:t>
      </w:r>
      <w:r>
        <w:rPr>
          <w:rFonts w:ascii="Arial" w:cs="Arial" w:eastAsia="Arial" w:hAnsi="Arial"/>
          <w:sz w:val="18"/>
          <w:szCs w:val="18"/>
          <w:color w:val="auto"/>
        </w:rPr>
        <w:t>. Since</w:t>
      </w:r>
      <w:r>
        <w:rPr>
          <w:rFonts w:ascii="Arial" w:cs="Arial" w:eastAsia="Arial" w:hAnsi="Arial"/>
          <w:sz w:val="18"/>
          <w:szCs w:val="18"/>
          <w:i w:val="1"/>
          <w:iCs w:val="1"/>
          <w:color w:val="auto"/>
        </w:rPr>
        <w:t xml:space="preserve"> </w:t>
      </w:r>
      <w:r>
        <w:rPr>
          <w:rFonts w:ascii="Arial" w:cs="Arial" w:eastAsia="Arial" w:hAnsi="Arial"/>
          <w:sz w:val="18"/>
          <w:szCs w:val="18"/>
          <w:color w:val="auto"/>
        </w:rPr>
        <w:t>we began investing in 2011, we have invested approximately $2.4 billion. As of December 31, 2014, we had a portfolio of investments in 34 portfolio companies totaling $1,263.5 million that we believe exhibits strong credit quality and broad industry composition. As of December 31, 2014, approximately 96.8% of our debt investments bore interest at floating rates, subject to interest rate floors, and 89.0% of the fair value of our portfolio was invested in first-lien debt investments. We believe this portfolio will allow us to generate meaningful investment income, and consequently dividend income, for our stockholders.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The eight managing directors of TSSP on the Adviser’s team have deep experience identifying and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management group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6"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Approval of an origination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5620" w:right="2420" w:hanging="5045"/>
        <w:spacing w:after="0" w:line="449" w:lineRule="auto"/>
        <w:tabs>
          <w:tab w:leader="none" w:pos="8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 91</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60" w:hanging="325"/>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3"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TPG. See “Management” and “Related-Party Transactions and Certain Relationships.”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92" w:lineRule="exact"/>
        <w:rPr>
          <w:rFonts w:ascii="Arial" w:cs="Arial" w:eastAsia="Arial" w:hAnsi="Arial"/>
          <w:sz w:val="18"/>
          <w:szCs w:val="18"/>
          <w:color w:val="auto"/>
        </w:rPr>
      </w:pPr>
    </w:p>
    <w:p>
      <w:pPr>
        <w:ind w:left="1480" w:right="160" w:hanging="446"/>
        <w:spacing w:after="0" w:line="277" w:lineRule="auto"/>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75" w:lineRule="exact"/>
        <w:rPr>
          <w:rFonts w:ascii="Arial" w:cs="Arial" w:eastAsia="Arial" w:hAnsi="Arial"/>
          <w:sz w:val="18"/>
          <w:szCs w:val="18"/>
          <w:color w:val="auto"/>
        </w:rPr>
      </w:pPr>
    </w:p>
    <w:p>
      <w:pPr>
        <w:ind w:left="1480" w:right="20" w:hanging="446"/>
        <w:spacing w:after="0" w:line="271" w:lineRule="auto"/>
        <w:tabs>
          <w:tab w:leader="none" w:pos="1480"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“Last out” first-lien loans. </w:t>
      </w:r>
      <w:r>
        <w:rPr>
          <w:rFonts w:ascii="Arial" w:cs="Arial" w:eastAsia="Arial" w:hAnsi="Arial"/>
          <w:sz w:val="17"/>
          <w:szCs w:val="17"/>
          <w:color w:val="auto"/>
        </w:rPr>
        <w:t>“Last out” first-lien loans have a secondary priority behind super-senior “first out” first-lien loans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84" w:lineRule="exact"/>
        <w:rPr>
          <w:rFonts w:ascii="Arial" w:cs="Arial" w:eastAsia="Arial" w:hAnsi="Arial"/>
          <w:sz w:val="17"/>
          <w:szCs w:val="17"/>
          <w:color w:val="auto"/>
        </w:rPr>
      </w:pPr>
    </w:p>
    <w:p>
      <w:pPr>
        <w:ind w:left="1480" w:right="20" w:hanging="446"/>
        <w:spacing w:after="0" w:line="312" w:lineRule="auto"/>
        <w:tabs>
          <w:tab w:leader="none" w:pos="1480"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6"/>
          <w:szCs w:val="16"/>
          <w:color w:val="auto"/>
        </w:rPr>
      </w:pPr>
    </w:p>
    <w:p>
      <w:pPr>
        <w:ind w:left="900" w:right="20" w:hanging="325"/>
        <w:spacing w:after="0" w:line="25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“Mezzanine” debt. </w:t>
      </w:r>
      <w:r>
        <w:rPr>
          <w:rFonts w:ascii="Arial" w:cs="Arial" w:eastAsia="Arial" w:hAnsi="Arial"/>
          <w:sz w:val="18"/>
          <w:szCs w:val="18"/>
          <w:color w:val="auto"/>
        </w:rPr>
        <w:t>Structurally, mezzanine debt usually ranks subordinate in priority of payment to first-lien and second-lien debt, is often</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 and</w:t>
      </w:r>
    </w:p>
    <w:p>
      <w:pPr>
        <w:spacing w:after="0" w:line="15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also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 of December 31, 2014 and December 31, 2013, we had made investments with an aggregate fair value of $1,263.5 million and $1,016.5 million, respectively, in 34 and 27 portfolio companies, respectively. See “Portfolio Companies” for more information on these investments, including a list of companies and type and amount of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December 31,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0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9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(1)</w:t>
            </w:r>
          </w:p>
        </w:tc>
        <w:tc>
          <w:tcPr>
            <w:tcW w:w="340" w:type="dxa"/>
            <w:vAlign w:val="bottom"/>
            <w:tcBorders>
              <w:bottom w:val="single" w:sz="8" w:color="CCEEFF"/>
            </w:tcBorders>
            <w:gridSpan w:val="2"/>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Gain (Loss)</w:t>
            </w:r>
          </w:p>
        </w:tc>
        <w:tc>
          <w:tcPr>
            <w:tcW w:w="10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9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$ 1,127.2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$1,124.2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111.1</w:t>
            </w:r>
          </w:p>
        </w:tc>
        <w:tc>
          <w:tcPr>
            <w:tcW w:w="18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111.4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7"/>
        </w:trPr>
        <w:tc>
          <w:tcPr>
            <w:tcW w:w="4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9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$ 1,273.2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0"/>
        </w:trPr>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8"/>
              </w:rPr>
              <w:t>December 31, 2013</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040" w:type="dxa"/>
            <w:vAlign w:val="bottom"/>
          </w:tcPr>
          <w:p>
            <w:pPr>
              <w:spacing w:after="0"/>
              <w:rPr>
                <w:sz w:val="20"/>
                <w:szCs w:val="20"/>
                <w:color w:val="auto"/>
              </w:rPr>
            </w:pPr>
            <w:r>
              <w:rPr>
                <w:rFonts w:ascii="Arial" w:cs="Arial" w:eastAsia="Arial" w:hAnsi="Arial"/>
                <w:sz w:val="14"/>
                <w:szCs w:val="14"/>
                <w:color w:val="auto"/>
              </w:rPr>
              <w:t>($ in millions)</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0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877.2</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131.1</w:t>
            </w:r>
          </w:p>
        </w:tc>
        <w:tc>
          <w:tcPr>
            <w:tcW w:w="1500" w:type="dxa"/>
            <w:vAlign w:val="bottom"/>
            <w:gridSpan w:val="5"/>
          </w:tcPr>
          <w:p>
            <w:pPr>
              <w:jc w:val="right"/>
              <w:ind w:right="480"/>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4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1,016.5</w:t>
            </w: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0"/>
        </w:trPr>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60" w:hanging="452"/>
        <w:spacing w:after="0" w:line="27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2014 and 2013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1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Automotive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2.7%</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Business services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10.0%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1240" w:type="dxa"/>
            <w:vAlign w:val="bottom"/>
          </w:tcPr>
          <w:p>
            <w:pPr>
              <w:spacing w:after="0"/>
              <w:rPr>
                <w:sz w:val="18"/>
                <w:szCs w:val="18"/>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Education</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Financial services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8.4%</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5.9%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1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Insurance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8.0%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Internet services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Manufacturing</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3.5%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Office products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Transportation</w:t>
            </w:r>
          </w:p>
        </w:tc>
        <w:tc>
          <w:tcPr>
            <w:tcW w:w="124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classify the industries of our portfolio companies by end-market (such as healthcare and pharmaceuticals, and business services) and not by the product or services (such as software) directed to those end-markets.</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geographic composition of investments at fair value at December 31, 2014 and 2013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41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December 31,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2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Midwest</w:t>
            </w:r>
          </w:p>
        </w:tc>
        <w:tc>
          <w:tcPr>
            <w:tcW w:w="4140" w:type="dxa"/>
            <w:vAlign w:val="bottom"/>
            <w:gridSpan w:val="3"/>
          </w:tcPr>
          <w:p>
            <w:pPr>
              <w:jc w:val="right"/>
              <w:ind w:right="580"/>
              <w:spacing w:after="0"/>
              <w:rPr>
                <w:sz w:val="20"/>
                <w:szCs w:val="20"/>
                <w:color w:val="auto"/>
              </w:rPr>
            </w:pPr>
            <w:r>
              <w:rPr>
                <w:rFonts w:ascii="Arial" w:cs="Arial" w:eastAsia="Arial" w:hAnsi="Arial"/>
                <w:sz w:val="18"/>
                <w:szCs w:val="18"/>
                <w:color w:val="auto"/>
              </w:rPr>
              <w:t>13.1%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4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27.1%</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South</w:t>
            </w:r>
          </w:p>
        </w:tc>
        <w:tc>
          <w:tcPr>
            <w:tcW w:w="4140" w:type="dxa"/>
            <w:vAlign w:val="bottom"/>
            <w:gridSpan w:val="3"/>
          </w:tcPr>
          <w:p>
            <w:pPr>
              <w:jc w:val="right"/>
              <w:ind w:right="580"/>
              <w:spacing w:after="0"/>
              <w:rPr>
                <w:sz w:val="20"/>
                <w:szCs w:val="20"/>
                <w:color w:val="auto"/>
              </w:rPr>
            </w:pPr>
            <w:r>
              <w:rPr>
                <w:rFonts w:ascii="Arial" w:cs="Arial" w:eastAsia="Arial" w:hAnsi="Arial"/>
                <w:sz w:val="18"/>
                <w:szCs w:val="18"/>
                <w:color w:val="auto"/>
              </w:rPr>
              <w:t>23.6%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4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Canada</w:t>
            </w:r>
          </w:p>
        </w:tc>
        <w:tc>
          <w:tcPr>
            <w:tcW w:w="4140" w:type="dxa"/>
            <w:vAlign w:val="bottom"/>
            <w:gridSpan w:val="3"/>
          </w:tcPr>
          <w:p>
            <w:pPr>
              <w:jc w:val="right"/>
              <w:ind w:right="58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2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0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260" w:type="dxa"/>
            <w:vAlign w:val="bottom"/>
            <w:vMerge w:val="restart"/>
          </w:tcPr>
          <w:p>
            <w:pPr>
              <w:jc w:val="right"/>
              <w:ind w:right="353"/>
              <w:spacing w:after="0"/>
              <w:rPr>
                <w:sz w:val="20"/>
                <w:szCs w:val="20"/>
                <w:color w:val="auto"/>
              </w:rPr>
            </w:pPr>
            <w:r>
              <w:rPr>
                <w:rFonts w:ascii="Arial" w:cs="Arial" w:eastAsia="Arial" w:hAnsi="Arial"/>
                <w:sz w:val="18"/>
                <w:szCs w:val="18"/>
                <w:color w:val="auto"/>
              </w:rPr>
              <w:t>95</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2013, we had the following commitments to fund investments: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80" w:type="dxa"/>
            <w:vAlign w:val="bottom"/>
          </w:tcPr>
          <w:p>
            <w:pPr>
              <w:spacing w:after="0"/>
              <w:rPr>
                <w:sz w:val="20"/>
                <w:szCs w:val="20"/>
                <w:color w:val="auto"/>
              </w:rPr>
            </w:pPr>
            <w:r>
              <w:rPr>
                <w:rFonts w:ascii="Arial" w:cs="Arial" w:eastAsia="Arial" w:hAnsi="Arial"/>
                <w:sz w:val="14"/>
                <w:szCs w:val="14"/>
                <w:color w:val="auto"/>
              </w:rPr>
              <w:t>($ in millions)</w:t>
            </w: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25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8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8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6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7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table set forth below contains certain information as of December 31, 2014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We either originated or purchased in the secondary market the loans and securities in our current portfolio.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Investment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(Per amounts in</w:t>
            </w: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0"/>
              </w:rPr>
              <w:t>Interest</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thousands)</w:t>
            </w:r>
          </w:p>
        </w:tc>
        <w:tc>
          <w:tcPr>
            <w:tcW w:w="90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Debt Investments Automotive</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Heartland Automotive Holdings, LLC</w:t>
            </w:r>
            <w:r>
              <w:rPr>
                <w:rFonts w:ascii="Arial" w:cs="Arial" w:eastAsia="Arial" w:hAnsi="Arial"/>
                <w:sz w:val="15"/>
                <w:szCs w:val="15"/>
                <w:color w:val="auto"/>
              </w:rPr>
              <w:t>(3)(4)</w:t>
            </w:r>
          </w:p>
        </w:tc>
        <w:tc>
          <w:tcPr>
            <w:tcW w:w="192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gridSpan w:val="3"/>
          </w:tcPr>
          <w:p>
            <w:pPr>
              <w:ind w:left="220"/>
              <w:spacing w:after="0"/>
              <w:rPr>
                <w:sz w:val="20"/>
                <w:szCs w:val="20"/>
                <w:color w:val="auto"/>
              </w:rPr>
            </w:pPr>
            <w:r>
              <w:rPr>
                <w:rFonts w:ascii="Arial" w:cs="Arial" w:eastAsia="Arial" w:hAnsi="Arial"/>
                <w:sz w:val="18"/>
                <w:szCs w:val="18"/>
                <w:color w:val="auto"/>
              </w:rPr>
              <w:t>($32,826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gridSpan w:val="2"/>
          </w:tcPr>
          <w:p>
            <w:pPr>
              <w:ind w:left="220"/>
              <w:spacing w:after="0"/>
              <w:rPr>
                <w:sz w:val="20"/>
                <w:szCs w:val="20"/>
                <w:color w:val="auto"/>
              </w:rPr>
            </w:pPr>
            <w:r>
              <w:rPr>
                <w:rFonts w:ascii="Arial" w:cs="Arial" w:eastAsia="Arial" w:hAnsi="Arial"/>
                <w:sz w:val="18"/>
                <w:szCs w:val="18"/>
                <w:color w:val="auto"/>
              </w:rPr>
              <w:t>6/2017)</w:t>
            </w:r>
          </w:p>
        </w:tc>
        <w:tc>
          <w:tcPr>
            <w:tcW w:w="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8/28/2012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32,340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30,447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9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First-lien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revolving loan</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($4,500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6/2017)</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8/28/2012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36,761</w:t>
            </w:r>
          </w:p>
        </w:tc>
        <w:tc>
          <w:tcPr>
            <w:tcW w:w="30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34,544</w:t>
            </w:r>
          </w:p>
        </w:tc>
        <w:tc>
          <w:tcPr>
            <w:tcW w:w="28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(3)(4)(6)</w:t>
            </w:r>
          </w:p>
        </w:tc>
        <w:tc>
          <w:tcPr>
            <w:tcW w:w="192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gridSpan w:val="3"/>
          </w:tcPr>
          <w:p>
            <w:pPr>
              <w:ind w:left="220"/>
              <w:spacing w:after="0"/>
              <w:rPr>
                <w:sz w:val="20"/>
                <w:szCs w:val="20"/>
                <w:color w:val="auto"/>
              </w:rPr>
            </w:pPr>
            <w:r>
              <w:rPr>
                <w:rFonts w:ascii="Arial" w:cs="Arial" w:eastAsia="Arial" w:hAnsi="Arial"/>
                <w:sz w:val="18"/>
                <w:szCs w:val="18"/>
                <w:color w:val="auto"/>
              </w:rPr>
              <w:t>($64,399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gridSpan w:val="2"/>
          </w:tcPr>
          <w:p>
            <w:pPr>
              <w:ind w:left="220"/>
              <w:spacing w:after="0"/>
              <w:rPr>
                <w:sz w:val="20"/>
                <w:szCs w:val="20"/>
                <w:color w:val="auto"/>
              </w:rPr>
            </w:pPr>
            <w:r>
              <w:rPr>
                <w:rFonts w:ascii="Arial" w:cs="Arial" w:eastAsia="Arial" w:hAnsi="Arial"/>
                <w:sz w:val="18"/>
                <w:szCs w:val="18"/>
                <w:color w:val="auto"/>
              </w:rPr>
              <w:t>3/2020)</w:t>
            </w:r>
          </w:p>
        </w:tc>
        <w:tc>
          <w:tcPr>
            <w:tcW w:w="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3/3/2014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63,102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63,111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Great Atlantic &amp; Pacific Tea Co. Inc.</w:t>
            </w:r>
            <w:r>
              <w:rPr>
                <w:rFonts w:ascii="Arial" w:cs="Arial" w:eastAsia="Arial" w:hAnsi="Arial"/>
                <w:sz w:val="15"/>
                <w:szCs w:val="15"/>
                <w:color w:val="auto"/>
              </w:rPr>
              <w:t>(3)(4)</w:t>
            </w:r>
          </w:p>
        </w:tc>
        <w:tc>
          <w:tcPr>
            <w:tcW w:w="19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($22,787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9/2019)</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9/17/2014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22,426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85,528</w:t>
            </w:r>
          </w:p>
        </w:tc>
        <w:tc>
          <w:tcPr>
            <w:tcW w:w="30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85,385</w:t>
            </w:r>
          </w:p>
        </w:tc>
        <w:tc>
          <w:tcPr>
            <w:tcW w:w="28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(3)(4)(6)</w:t>
            </w:r>
          </w:p>
        </w:tc>
        <w:tc>
          <w:tcPr>
            <w:tcW w:w="192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gridSpan w:val="3"/>
          </w:tcPr>
          <w:p>
            <w:pPr>
              <w:ind w:left="220"/>
              <w:spacing w:after="0"/>
              <w:rPr>
                <w:sz w:val="20"/>
                <w:szCs w:val="20"/>
                <w:color w:val="auto"/>
              </w:rPr>
            </w:pPr>
            <w:r>
              <w:rPr>
                <w:rFonts w:ascii="Arial" w:cs="Arial" w:eastAsia="Arial" w:hAnsi="Arial"/>
                <w:sz w:val="18"/>
                <w:szCs w:val="18"/>
                <w:color w:val="auto"/>
              </w:rPr>
              <w:t>($63,933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gridSpan w:val="2"/>
          </w:tcPr>
          <w:p>
            <w:pPr>
              <w:ind w:left="220"/>
              <w:spacing w:after="0"/>
              <w:rPr>
                <w:sz w:val="20"/>
                <w:szCs w:val="20"/>
                <w:color w:val="auto"/>
              </w:rPr>
            </w:pPr>
            <w:r>
              <w:rPr>
                <w:rFonts w:ascii="Arial" w:cs="Arial" w:eastAsia="Arial" w:hAnsi="Arial"/>
                <w:sz w:val="18"/>
                <w:szCs w:val="18"/>
                <w:color w:val="auto"/>
              </w:rPr>
              <w:t>4/2018)</w:t>
            </w:r>
          </w:p>
        </w:tc>
        <w:tc>
          <w:tcPr>
            <w:tcW w:w="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4/11/2013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62,282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63,933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Leaf US Holdings, Inc.</w:t>
            </w:r>
            <w:r>
              <w:rPr>
                <w:rFonts w:ascii="Arial" w:cs="Arial" w:eastAsia="Arial" w:hAnsi="Arial"/>
                <w:sz w:val="15"/>
                <w:szCs w:val="15"/>
                <w:color w:val="auto"/>
              </w:rPr>
              <w:t>(3)(5)</w:t>
            </w:r>
          </w:p>
        </w:tc>
        <w:tc>
          <w:tcPr>
            <w:tcW w:w="19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($16,418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6/2019)</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6/30/2012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16,077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(3)(4)</w:t>
            </w:r>
          </w:p>
        </w:tc>
        <w:tc>
          <w:tcPr>
            <w:tcW w:w="192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gridSpan w:val="3"/>
          </w:tcPr>
          <w:p>
            <w:pPr>
              <w:ind w:left="220"/>
              <w:spacing w:after="0"/>
              <w:rPr>
                <w:sz w:val="20"/>
                <w:szCs w:val="20"/>
                <w:color w:val="auto"/>
              </w:rPr>
            </w:pPr>
            <w:r>
              <w:rPr>
                <w:rFonts w:ascii="Arial" w:cs="Arial" w:eastAsia="Arial" w:hAnsi="Arial"/>
                <w:sz w:val="18"/>
                <w:szCs w:val="18"/>
                <w:color w:val="auto"/>
              </w:rPr>
              <w:t>($29,659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gridSpan w:val="2"/>
          </w:tcPr>
          <w:p>
            <w:pPr>
              <w:ind w:left="220"/>
              <w:spacing w:after="0"/>
              <w:rPr>
                <w:sz w:val="20"/>
                <w:szCs w:val="20"/>
                <w:color w:val="auto"/>
              </w:rPr>
            </w:pPr>
            <w:r>
              <w:rPr>
                <w:rFonts w:ascii="Arial" w:cs="Arial" w:eastAsia="Arial" w:hAnsi="Arial"/>
                <w:sz w:val="18"/>
                <w:szCs w:val="18"/>
                <w:color w:val="auto"/>
              </w:rPr>
              <w:t>9/2018)</w:t>
            </w:r>
          </w:p>
        </w:tc>
        <w:tc>
          <w:tcPr>
            <w:tcW w:w="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9/12/2013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29,204</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29,506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ScentAir Technologies, Inc</w:t>
            </w:r>
            <w:r>
              <w:rPr>
                <w:rFonts w:ascii="Arial" w:cs="Arial" w:eastAsia="Arial" w:hAnsi="Arial"/>
                <w:sz w:val="15"/>
                <w:szCs w:val="15"/>
                <w:color w:val="auto"/>
              </w:rPr>
              <w:t>(3)(4)</w:t>
            </w:r>
          </w:p>
        </w:tc>
        <w:tc>
          <w:tcPr>
            <w:tcW w:w="19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($16,071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12/2019)</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12/30/2013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15,628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15,621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123,191</w:t>
            </w:r>
          </w:p>
        </w:tc>
        <w:tc>
          <w:tcPr>
            <w:tcW w:w="30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125,063</w:t>
            </w:r>
          </w:p>
        </w:tc>
        <w:tc>
          <w:tcPr>
            <w:tcW w:w="28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Chemicals</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Vertellus Specialties, Inc.</w:t>
            </w:r>
            <w:r>
              <w:rPr>
                <w:rFonts w:ascii="Arial" w:cs="Arial" w:eastAsia="Arial" w:hAnsi="Arial"/>
                <w:sz w:val="15"/>
                <w:szCs w:val="15"/>
                <w:color w:val="auto"/>
              </w:rPr>
              <w:t>(3)(4)</w:t>
            </w:r>
          </w:p>
        </w:tc>
        <w:tc>
          <w:tcPr>
            <w:tcW w:w="192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Second-lien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gridSpan w:val="3"/>
          </w:tcPr>
          <w:p>
            <w:pPr>
              <w:ind w:left="220"/>
              <w:spacing w:after="0"/>
              <w:rPr>
                <w:sz w:val="20"/>
                <w:szCs w:val="20"/>
                <w:color w:val="auto"/>
              </w:rPr>
            </w:pPr>
            <w:r>
              <w:rPr>
                <w:rFonts w:ascii="Arial" w:cs="Arial" w:eastAsia="Arial" w:hAnsi="Arial"/>
                <w:sz w:val="18"/>
                <w:szCs w:val="18"/>
                <w:color w:val="auto"/>
              </w:rPr>
              <w:t>($19,950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gridSpan w:val="2"/>
          </w:tcPr>
          <w:p>
            <w:pPr>
              <w:ind w:left="220"/>
              <w:spacing w:after="0"/>
              <w:rPr>
                <w:sz w:val="20"/>
                <w:szCs w:val="20"/>
                <w:color w:val="auto"/>
              </w:rPr>
            </w:pPr>
            <w:r>
              <w:rPr>
                <w:rFonts w:ascii="Arial" w:cs="Arial" w:eastAsia="Arial" w:hAnsi="Arial"/>
                <w:sz w:val="18"/>
                <w:szCs w:val="18"/>
                <w:color w:val="auto"/>
              </w:rPr>
              <w:t>10/2019)</w:t>
            </w:r>
          </w:p>
        </w:tc>
        <w:tc>
          <w:tcPr>
            <w:tcW w:w="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10/31/2014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19,267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18,753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60" w:type="dxa"/>
            <w:vAlign w:val="bottom"/>
            <w:gridSpan w:val="2"/>
          </w:tcPr>
          <w:p>
            <w:pPr>
              <w:ind w:left="138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Investment</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(Per amounts in</w:t>
            </w: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040" w:type="dxa"/>
            <w:vAlign w:val="bottom"/>
            <w:gridSpan w:val="3"/>
            <w:vMerge w:val="continue"/>
          </w:tcPr>
          <w:p>
            <w:pPr>
              <w:spacing w:after="0"/>
              <w:rPr>
                <w:sz w:val="15"/>
                <w:szCs w:val="15"/>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122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Communications</w:t>
            </w:r>
          </w:p>
        </w:tc>
        <w:tc>
          <w:tcPr>
            <w:tcW w:w="2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IPC Systems, Inc.</w:t>
            </w:r>
            <w:r>
              <w:rPr>
                <w:rFonts w:ascii="Arial" w:cs="Arial" w:eastAsia="Arial" w:hAnsi="Arial"/>
                <w:sz w:val="15"/>
                <w:szCs w:val="15"/>
                <w:color w:val="auto"/>
              </w:rPr>
              <w:t>(3)(4)</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($17,000 par, due</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5/2021)</w:t>
            </w:r>
          </w:p>
        </w:tc>
        <w:tc>
          <w:tcPr>
            <w:tcW w:w="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5/2/2014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16,935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17,680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Containers and packaging</w:t>
            </w: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The Newark Group, Inc.</w:t>
            </w:r>
            <w:r>
              <w:rPr>
                <w:rFonts w:ascii="Arial" w:cs="Arial" w:eastAsia="Arial" w:hAnsi="Arial"/>
                <w:sz w:val="15"/>
                <w:szCs w:val="15"/>
                <w:color w:val="auto"/>
              </w:rPr>
              <w:t>(3)(4)</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w w:val="96"/>
              </w:rPr>
              <w:t>First-lien loan ($39,240</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par, due 2/2018)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2/8/2013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38,984</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40,025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Education</w:t>
            </w: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w:t>
            </w:r>
            <w:r>
              <w:rPr>
                <w:rFonts w:ascii="Arial" w:cs="Arial" w:eastAsia="Arial" w:hAnsi="Arial"/>
                <w:sz w:val="15"/>
                <w:szCs w:val="15"/>
                <w:color w:val="auto"/>
              </w:rPr>
              <w:t>(3)(4)(6)</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First-lien loan</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($28,125 par, due</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9/2018)</w:t>
            </w:r>
          </w:p>
        </w:tc>
        <w:tc>
          <w:tcPr>
            <w:tcW w:w="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9/30/2013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27,576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27,914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Electronics</w:t>
            </w: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MyAlarm Center, LLC</w:t>
            </w:r>
            <w:r>
              <w:rPr>
                <w:rFonts w:ascii="Arial" w:cs="Arial" w:eastAsia="Arial" w:hAnsi="Arial"/>
                <w:sz w:val="15"/>
                <w:szCs w:val="15"/>
                <w:color w:val="auto"/>
              </w:rPr>
              <w:t>(3)(4)</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w w:val="96"/>
              </w:rPr>
              <w:t>First-lien loan ($61,861</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par, due 1/2018)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1/9/2014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61,013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60,893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16.25%</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Mezzanine loan ($4,887</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(incl. 4.25%</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7/2018)</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1/9/2014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APX Group Inc.</w:t>
            </w:r>
            <w:r>
              <w:rPr>
                <w:rFonts w:ascii="Arial" w:cs="Arial" w:eastAsia="Arial" w:hAnsi="Arial"/>
                <w:sz w:val="15"/>
                <w:szCs w:val="15"/>
                <w:color w:val="auto"/>
              </w:rPr>
              <w:t>(3)(4)</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w w:val="98"/>
              </w:rPr>
              <w:t>First-lien bond 6.375%</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($5,000 par, due</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12/2019)</w:t>
            </w:r>
          </w:p>
        </w:tc>
        <w:tc>
          <w:tcPr>
            <w:tcW w:w="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6.38%</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12/12/2014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4,727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4,788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First-lien bond 8.75%</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 due</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12/2020)</w:t>
            </w:r>
          </w:p>
        </w:tc>
        <w:tc>
          <w:tcPr>
            <w:tcW w:w="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12/11/2014</w:t>
            </w: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8,566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79,155</w:t>
            </w:r>
          </w:p>
        </w:tc>
        <w:tc>
          <w:tcPr>
            <w:tcW w:w="30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78,645</w:t>
            </w:r>
          </w:p>
        </w:tc>
        <w:tc>
          <w:tcPr>
            <w:tcW w:w="28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Embarcadero Technologies, Inc.</w:t>
            </w:r>
            <w:r>
              <w:rPr>
                <w:rFonts w:ascii="Arial" w:cs="Arial" w:eastAsia="Arial" w:hAnsi="Arial"/>
                <w:sz w:val="15"/>
                <w:szCs w:val="15"/>
                <w:color w:val="auto"/>
              </w:rPr>
              <w:t>(3)(4)(6)</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w w:val="96"/>
              </w:rPr>
              <w:t>First-lien loan ($40,243</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par, due 12/2017)</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39,585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40,544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Rogue Wave Holdings, Inc.</w:t>
            </w:r>
            <w:r>
              <w:rPr>
                <w:rFonts w:ascii="Arial" w:cs="Arial" w:eastAsia="Arial" w:hAnsi="Arial"/>
                <w:sz w:val="15"/>
                <w:szCs w:val="15"/>
                <w:color w:val="auto"/>
              </w:rPr>
              <w:t>(3)(4)(6)</w:t>
            </w:r>
          </w:p>
        </w:tc>
        <w:tc>
          <w:tcPr>
            <w:tcW w:w="1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First-lien loan ($66,470</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12/2018)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11/21/2012</w:t>
            </w: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65,344</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65,971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104,929</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106,515</w:t>
            </w:r>
          </w:p>
        </w:tc>
        <w:tc>
          <w:tcPr>
            <w:tcW w:w="28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1580"/>
              <w:spacing w:after="0"/>
              <w:rPr>
                <w:sz w:val="20"/>
                <w:szCs w:val="20"/>
                <w:color w:val="auto"/>
              </w:rPr>
            </w:pPr>
            <w:r>
              <w:rPr>
                <w:rFonts w:ascii="Arial" w:cs="Arial" w:eastAsia="Arial" w:hAnsi="Arial"/>
                <w:sz w:val="18"/>
                <w:szCs w:val="18"/>
                <w:color w:val="auto"/>
                <w:w w:val="99"/>
              </w:rPr>
              <w:t>98</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120" w:type="dxa"/>
            <w:vAlign w:val="bottom"/>
            <w:vMerge w:val="restart"/>
          </w:tcPr>
          <w:p>
            <w:pPr>
              <w:jc w:val="center"/>
              <w:ind w:left="392"/>
              <w:spacing w:after="0"/>
              <w:rPr>
                <w:sz w:val="20"/>
                <w:szCs w:val="20"/>
                <w:color w:val="auto"/>
              </w:rPr>
            </w:pPr>
            <w:r>
              <w:rPr>
                <w:rFonts w:ascii="Arial" w:cs="Arial" w:eastAsia="Arial" w:hAnsi="Arial"/>
                <w:sz w:val="14"/>
                <w:szCs w:val="14"/>
                <w:b w:val="1"/>
                <w:bCs w:val="1"/>
                <w:color w:val="auto"/>
                <w:w w:val="91"/>
              </w:rPr>
              <w:t>Investment</w:t>
            </w:r>
          </w:p>
        </w:tc>
        <w:tc>
          <w:tcPr>
            <w:tcW w:w="1180" w:type="dxa"/>
            <w:vAlign w:val="bottom"/>
          </w:tcPr>
          <w:p>
            <w:pPr>
              <w:spacing w:after="0"/>
              <w:rPr>
                <w:sz w:val="14"/>
                <w:szCs w:val="14"/>
                <w:color w:val="auto"/>
              </w:rPr>
            </w:pPr>
          </w:p>
        </w:tc>
        <w:tc>
          <w:tcPr>
            <w:tcW w:w="12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rPr>
              <w:t>Initial</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1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1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12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92"/>
              </w:rPr>
              <w:t>(Per amounts in</w:t>
            </w:r>
          </w:p>
        </w:tc>
        <w:tc>
          <w:tcPr>
            <w:tcW w:w="11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Interest</w:t>
            </w:r>
          </w:p>
        </w:tc>
        <w:tc>
          <w:tcPr>
            <w:tcW w:w="12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3660" w:type="dxa"/>
            <w:vAlign w:val="bottom"/>
            <w:vMerge w:val="continue"/>
          </w:tcPr>
          <w:p>
            <w:pPr>
              <w:spacing w:after="0"/>
              <w:rPr>
                <w:sz w:val="15"/>
                <w:szCs w:val="15"/>
                <w:color w:val="auto"/>
              </w:rPr>
            </w:pPr>
          </w:p>
        </w:tc>
        <w:tc>
          <w:tcPr>
            <w:tcW w:w="2120" w:type="dxa"/>
            <w:vAlign w:val="bottom"/>
          </w:tcPr>
          <w:p>
            <w:pPr>
              <w:jc w:val="center"/>
              <w:ind w:left="392"/>
              <w:spacing w:after="0"/>
              <w:rPr>
                <w:sz w:val="20"/>
                <w:szCs w:val="20"/>
                <w:color w:val="auto"/>
              </w:rPr>
            </w:pPr>
            <w:r>
              <w:rPr>
                <w:rFonts w:ascii="Arial" w:cs="Arial" w:eastAsia="Arial" w:hAnsi="Arial"/>
                <w:sz w:val="14"/>
                <w:szCs w:val="14"/>
                <w:b w:val="1"/>
                <w:bCs w:val="1"/>
                <w:color w:val="auto"/>
                <w:w w:val="90"/>
              </w:rPr>
              <w:t>thousands)</w:t>
            </w:r>
          </w:p>
        </w:tc>
        <w:tc>
          <w:tcPr>
            <w:tcW w:w="1180" w:type="dxa"/>
            <w:vAlign w:val="bottom"/>
            <w:vMerge w:val="continue"/>
          </w:tcPr>
          <w:p>
            <w:pPr>
              <w:spacing w:after="0"/>
              <w:rPr>
                <w:sz w:val="15"/>
                <w:szCs w:val="15"/>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2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Aesynt Incorporated</w:t>
            </w:r>
            <w:r>
              <w:rPr>
                <w:rFonts w:ascii="Arial" w:cs="Arial" w:eastAsia="Arial" w:hAnsi="Arial"/>
                <w:sz w:val="15"/>
                <w:szCs w:val="15"/>
                <w:color w:val="auto"/>
              </w:rPr>
              <w:t>(3)(4)(6)</w:t>
            </w:r>
          </w:p>
        </w:tc>
        <w:tc>
          <w:tcPr>
            <w:tcW w:w="2120" w:type="dxa"/>
            <w:vAlign w:val="bottom"/>
          </w:tcPr>
          <w:p>
            <w:pPr>
              <w:ind w:left="480"/>
              <w:spacing w:after="0" w:line="201" w:lineRule="exact"/>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120" w:type="dxa"/>
            <w:vAlign w:val="bottom"/>
          </w:tcPr>
          <w:p>
            <w:pPr>
              <w:ind w:left="480"/>
              <w:spacing w:after="0"/>
              <w:rPr>
                <w:sz w:val="20"/>
                <w:szCs w:val="20"/>
                <w:color w:val="auto"/>
              </w:rPr>
            </w:pPr>
            <w:r>
              <w:rPr>
                <w:rFonts w:ascii="Arial" w:cs="Arial" w:eastAsia="Arial" w:hAnsi="Arial"/>
                <w:sz w:val="18"/>
                <w:szCs w:val="18"/>
                <w:color w:val="auto"/>
              </w:rPr>
              <w:t>($34,563 par, due</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ind w:left="480"/>
              <w:spacing w:after="0"/>
              <w:rPr>
                <w:sz w:val="20"/>
                <w:szCs w:val="20"/>
                <w:color w:val="auto"/>
              </w:rPr>
            </w:pPr>
            <w:r>
              <w:rPr>
                <w:rFonts w:ascii="Arial" w:cs="Arial" w:eastAsia="Arial" w:hAnsi="Arial"/>
                <w:sz w:val="18"/>
                <w:szCs w:val="18"/>
                <w:color w:val="auto"/>
              </w:rPr>
              <w:t>5/2019)</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7.00%</w:t>
            </w:r>
          </w:p>
        </w:tc>
        <w:tc>
          <w:tcPr>
            <w:tcW w:w="1280" w:type="dxa"/>
            <w:vAlign w:val="bottom"/>
          </w:tcPr>
          <w:p>
            <w:pPr>
              <w:jc w:val="right"/>
              <w:ind w:right="215"/>
              <w:spacing w:after="0"/>
              <w:rPr>
                <w:sz w:val="20"/>
                <w:szCs w:val="20"/>
                <w:color w:val="auto"/>
              </w:rPr>
            </w:pPr>
            <w:r>
              <w:rPr>
                <w:rFonts w:ascii="Arial" w:cs="Arial" w:eastAsia="Arial" w:hAnsi="Arial"/>
                <w:sz w:val="18"/>
                <w:szCs w:val="18"/>
                <w:color w:val="auto"/>
              </w:rPr>
              <w:t>5/8/2014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33,714</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33,526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Global Healthcare Exchange, Inc.</w:t>
            </w:r>
            <w:r>
              <w:rPr>
                <w:rFonts w:ascii="Arial" w:cs="Arial" w:eastAsia="Arial" w:hAnsi="Arial"/>
                <w:sz w:val="15"/>
                <w:szCs w:val="15"/>
                <w:color w:val="auto"/>
              </w:rPr>
              <w:t>(3)(4)</w:t>
            </w:r>
          </w:p>
        </w:tc>
        <w:tc>
          <w:tcPr>
            <w:tcW w:w="21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First-lien loan</w:t>
            </w:r>
          </w:p>
        </w:tc>
        <w:tc>
          <w:tcPr>
            <w:tcW w:w="1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($46,250 par, due</w:t>
            </w:r>
          </w:p>
        </w:tc>
        <w:tc>
          <w:tcPr>
            <w:tcW w:w="1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3/2020)</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8.50%</w:t>
            </w:r>
          </w:p>
        </w:tc>
        <w:tc>
          <w:tcPr>
            <w:tcW w:w="12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3/11/2014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45,149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45,139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(3)(5)</w:t>
            </w:r>
          </w:p>
        </w:tc>
        <w:tc>
          <w:tcPr>
            <w:tcW w:w="2120" w:type="dxa"/>
            <w:vAlign w:val="bottom"/>
          </w:tcPr>
          <w:p>
            <w:pPr>
              <w:ind w:left="480"/>
              <w:spacing w:after="0" w:line="201" w:lineRule="exact"/>
              <w:rPr>
                <w:sz w:val="20"/>
                <w:szCs w:val="20"/>
                <w:color w:val="auto"/>
              </w:rPr>
            </w:pPr>
            <w:r>
              <w:rPr>
                <w:rFonts w:ascii="Arial" w:cs="Arial" w:eastAsia="Arial" w:hAnsi="Arial"/>
                <w:sz w:val="18"/>
                <w:szCs w:val="18"/>
                <w:color w:val="auto"/>
              </w:rPr>
              <w:t>First-lien loan (EUR</w:t>
            </w:r>
          </w:p>
        </w:tc>
        <w:tc>
          <w:tcPr>
            <w:tcW w:w="1180" w:type="dxa"/>
            <w:vAlign w:val="bottom"/>
          </w:tcPr>
          <w:p>
            <w:pPr>
              <w:jc w:val="right"/>
              <w:ind w:right="92"/>
              <w:spacing w:after="0" w:line="201" w:lineRule="exact"/>
              <w:rPr>
                <w:sz w:val="20"/>
                <w:szCs w:val="20"/>
                <w:color w:val="auto"/>
              </w:rPr>
            </w:pPr>
            <w:r>
              <w:rPr>
                <w:rFonts w:ascii="Arial" w:cs="Arial" w:eastAsia="Arial" w:hAnsi="Arial"/>
                <w:sz w:val="18"/>
                <w:szCs w:val="18"/>
                <w:color w:val="auto"/>
              </w:rPr>
              <w:t>11.50%</w:t>
            </w: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120" w:type="dxa"/>
            <w:vAlign w:val="bottom"/>
          </w:tcPr>
          <w:p>
            <w:pPr>
              <w:ind w:left="480"/>
              <w:spacing w:after="0"/>
              <w:rPr>
                <w:sz w:val="20"/>
                <w:szCs w:val="20"/>
                <w:color w:val="auto"/>
              </w:rPr>
            </w:pPr>
            <w:r>
              <w:rPr>
                <w:rFonts w:ascii="Arial" w:cs="Arial" w:eastAsia="Arial" w:hAnsi="Arial"/>
                <w:sz w:val="18"/>
                <w:szCs w:val="18"/>
                <w:color w:val="auto"/>
              </w:rPr>
              <w:t>28,014 par, due</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(incl. 3.00%</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2120" w:type="dxa"/>
            <w:vAlign w:val="bottom"/>
          </w:tcPr>
          <w:p>
            <w:pPr>
              <w:ind w:left="480"/>
              <w:spacing w:after="0"/>
              <w:rPr>
                <w:sz w:val="20"/>
                <w:szCs w:val="20"/>
                <w:color w:val="auto"/>
              </w:rPr>
            </w:pPr>
            <w:r>
              <w:rPr>
                <w:rFonts w:ascii="Arial" w:cs="Arial" w:eastAsia="Arial" w:hAnsi="Arial"/>
                <w:sz w:val="18"/>
                <w:szCs w:val="18"/>
                <w:color w:val="auto"/>
              </w:rPr>
              <w:t>9/2019)</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PIK)</w:t>
            </w:r>
          </w:p>
        </w:tc>
        <w:tc>
          <w:tcPr>
            <w:tcW w:w="1280" w:type="dxa"/>
            <w:vAlign w:val="bottom"/>
          </w:tcPr>
          <w:p>
            <w:pPr>
              <w:jc w:val="right"/>
              <w:ind w:right="215"/>
              <w:spacing w:after="0"/>
              <w:rPr>
                <w:sz w:val="20"/>
                <w:szCs w:val="20"/>
                <w:color w:val="auto"/>
              </w:rPr>
            </w:pPr>
            <w:r>
              <w:rPr>
                <w:rFonts w:ascii="Arial" w:cs="Arial" w:eastAsia="Arial" w:hAnsi="Arial"/>
                <w:sz w:val="18"/>
                <w:szCs w:val="18"/>
                <w:color w:val="auto"/>
              </w:rPr>
              <w:t>9/30/2014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33,761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32,373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rPr>
                <w:sz w:val="17"/>
                <w:szCs w:val="17"/>
                <w:color w:val="auto"/>
              </w:rPr>
            </w:pPr>
          </w:p>
        </w:tc>
        <w:tc>
          <w:tcPr>
            <w:tcW w:w="21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First-lien revolving</w:t>
            </w:r>
          </w:p>
        </w:tc>
        <w:tc>
          <w:tcPr>
            <w:tcW w:w="1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loan (EUR 300 par,</w:t>
            </w:r>
          </w:p>
        </w:tc>
        <w:tc>
          <w:tcPr>
            <w:tcW w:w="1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due 9/2019)</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11.50%</w:t>
            </w:r>
          </w:p>
        </w:tc>
        <w:tc>
          <w:tcPr>
            <w:tcW w:w="12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9/30/2014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Mediware Information Systems, Inc.</w:t>
            </w:r>
            <w:r>
              <w:rPr>
                <w:rFonts w:ascii="Arial" w:cs="Arial" w:eastAsia="Arial" w:hAnsi="Arial"/>
                <w:sz w:val="15"/>
                <w:szCs w:val="15"/>
                <w:color w:val="auto"/>
              </w:rPr>
              <w:t>(3)(4)(6)</w:t>
            </w:r>
          </w:p>
        </w:tc>
        <w:tc>
          <w:tcPr>
            <w:tcW w:w="2120" w:type="dxa"/>
            <w:vAlign w:val="bottom"/>
          </w:tcPr>
          <w:p>
            <w:pPr>
              <w:ind w:left="480"/>
              <w:spacing w:after="0" w:line="201" w:lineRule="exact"/>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120" w:type="dxa"/>
            <w:vAlign w:val="bottom"/>
          </w:tcPr>
          <w:p>
            <w:pPr>
              <w:ind w:left="480"/>
              <w:spacing w:after="0"/>
              <w:rPr>
                <w:sz w:val="20"/>
                <w:szCs w:val="20"/>
                <w:color w:val="auto"/>
              </w:rPr>
            </w:pPr>
            <w:r>
              <w:rPr>
                <w:rFonts w:ascii="Arial" w:cs="Arial" w:eastAsia="Arial" w:hAnsi="Arial"/>
                <w:sz w:val="18"/>
                <w:szCs w:val="18"/>
                <w:color w:val="auto"/>
              </w:rPr>
              <w:t>($69,405 par, due</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ind w:left="480"/>
              <w:spacing w:after="0"/>
              <w:rPr>
                <w:sz w:val="20"/>
                <w:szCs w:val="20"/>
                <w:color w:val="auto"/>
              </w:rPr>
            </w:pPr>
            <w:r>
              <w:rPr>
                <w:rFonts w:ascii="Arial" w:cs="Arial" w:eastAsia="Arial" w:hAnsi="Arial"/>
                <w:sz w:val="18"/>
                <w:szCs w:val="18"/>
                <w:color w:val="auto"/>
              </w:rPr>
              <w:t>5/2018)</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7.00%</w:t>
            </w:r>
          </w:p>
        </w:tc>
        <w:tc>
          <w:tcPr>
            <w:tcW w:w="1280" w:type="dxa"/>
            <w:vAlign w:val="bottom"/>
          </w:tcPr>
          <w:p>
            <w:pPr>
              <w:jc w:val="right"/>
              <w:ind w:right="215"/>
              <w:spacing w:after="0"/>
              <w:rPr>
                <w:sz w:val="20"/>
                <w:szCs w:val="20"/>
                <w:color w:val="auto"/>
              </w:rPr>
            </w:pPr>
            <w:r>
              <w:rPr>
                <w:rFonts w:ascii="Arial" w:cs="Arial" w:eastAsia="Arial" w:hAnsi="Arial"/>
                <w:sz w:val="18"/>
                <w:szCs w:val="18"/>
                <w:color w:val="auto"/>
              </w:rPr>
              <w:t>11/9/2012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68,221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68,885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SRS Software, LLC</w:t>
            </w:r>
            <w:r>
              <w:rPr>
                <w:rFonts w:ascii="Arial" w:cs="Arial" w:eastAsia="Arial" w:hAnsi="Arial"/>
                <w:sz w:val="15"/>
                <w:szCs w:val="15"/>
                <w:color w:val="auto"/>
              </w:rPr>
              <w:t>(3)(4)</w:t>
            </w:r>
          </w:p>
        </w:tc>
        <w:tc>
          <w:tcPr>
            <w:tcW w:w="21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First-lien loan</w:t>
            </w:r>
          </w:p>
        </w:tc>
        <w:tc>
          <w:tcPr>
            <w:tcW w:w="1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($33,750 par, due</w:t>
            </w:r>
          </w:p>
        </w:tc>
        <w:tc>
          <w:tcPr>
            <w:tcW w:w="1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12/2017)</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8.75%</w:t>
            </w:r>
          </w:p>
        </w:tc>
        <w:tc>
          <w:tcPr>
            <w:tcW w:w="12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12/28/2012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33,192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33,834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2120" w:type="dxa"/>
            <w:vAlign w:val="bottom"/>
          </w:tcPr>
          <w:p>
            <w:pPr>
              <w:ind w:left="480"/>
              <w:spacing w:after="0" w:line="201" w:lineRule="exact"/>
              <w:rPr>
                <w:sz w:val="20"/>
                <w:szCs w:val="20"/>
                <w:color w:val="auto"/>
              </w:rPr>
            </w:pPr>
            <w:r>
              <w:rPr>
                <w:rFonts w:ascii="Arial" w:cs="Arial" w:eastAsia="Arial" w:hAnsi="Arial"/>
                <w:sz w:val="18"/>
                <w:szCs w:val="18"/>
                <w:color w:val="auto"/>
              </w:rPr>
              <w:t>First-lien revolving</w:t>
            </w: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120" w:type="dxa"/>
            <w:vAlign w:val="bottom"/>
          </w:tcPr>
          <w:p>
            <w:pPr>
              <w:ind w:left="480"/>
              <w:spacing w:after="0"/>
              <w:rPr>
                <w:sz w:val="20"/>
                <w:szCs w:val="20"/>
                <w:color w:val="auto"/>
              </w:rPr>
            </w:pPr>
            <w:r>
              <w:rPr>
                <w:rFonts w:ascii="Arial" w:cs="Arial" w:eastAsia="Arial" w:hAnsi="Arial"/>
                <w:sz w:val="18"/>
                <w:szCs w:val="18"/>
                <w:color w:val="auto"/>
                <w:w w:val="94"/>
              </w:rPr>
              <w:t>loan ($2,000 par, due</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ind w:left="480"/>
              <w:spacing w:after="0"/>
              <w:rPr>
                <w:sz w:val="20"/>
                <w:szCs w:val="20"/>
                <w:color w:val="auto"/>
              </w:rPr>
            </w:pPr>
            <w:r>
              <w:rPr>
                <w:rFonts w:ascii="Arial" w:cs="Arial" w:eastAsia="Arial" w:hAnsi="Arial"/>
                <w:sz w:val="18"/>
                <w:szCs w:val="18"/>
                <w:color w:val="auto"/>
              </w:rPr>
              <w:t>12/2017)</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8.75%</w:t>
            </w:r>
          </w:p>
        </w:tc>
        <w:tc>
          <w:tcPr>
            <w:tcW w:w="1280" w:type="dxa"/>
            <w:vAlign w:val="bottom"/>
          </w:tcPr>
          <w:p>
            <w:pPr>
              <w:jc w:val="right"/>
              <w:ind w:right="215"/>
              <w:spacing w:after="0"/>
              <w:rPr>
                <w:sz w:val="20"/>
                <w:szCs w:val="20"/>
                <w:color w:val="auto"/>
              </w:rPr>
            </w:pPr>
            <w:r>
              <w:rPr>
                <w:rFonts w:ascii="Arial" w:cs="Arial" w:eastAsia="Arial" w:hAnsi="Arial"/>
                <w:sz w:val="18"/>
                <w:szCs w:val="18"/>
                <w:color w:val="auto"/>
              </w:rPr>
              <w:t>12/28/2012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1,933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2,005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216,205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215,989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b w:val="1"/>
                <w:bCs w:val="1"/>
                <w:color w:val="auto"/>
              </w:rPr>
              <w:t>Hotel, gaming, and leisure</w:t>
            </w:r>
          </w:p>
        </w:tc>
        <w:tc>
          <w:tcPr>
            <w:tcW w:w="2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line="203" w:lineRule="exact"/>
              <w:rPr>
                <w:sz w:val="20"/>
                <w:szCs w:val="20"/>
                <w:color w:val="auto"/>
              </w:rPr>
            </w:pPr>
            <w:r>
              <w:rPr>
                <w:rFonts w:ascii="Arial" w:cs="Arial" w:eastAsia="Arial" w:hAnsi="Arial"/>
                <w:sz w:val="18"/>
                <w:szCs w:val="18"/>
                <w:color w:val="auto"/>
              </w:rPr>
              <w:t>Centaur, LLC</w:t>
            </w:r>
            <w:r>
              <w:rPr>
                <w:rFonts w:ascii="Arial" w:cs="Arial" w:eastAsia="Arial" w:hAnsi="Arial"/>
                <w:sz w:val="15"/>
                <w:szCs w:val="15"/>
                <w:color w:val="auto"/>
              </w:rPr>
              <w:t>(3)(4)</w:t>
            </w:r>
          </w:p>
        </w:tc>
        <w:tc>
          <w:tcPr>
            <w:tcW w:w="2200" w:type="dxa"/>
            <w:vAlign w:val="bottom"/>
          </w:tcPr>
          <w:p>
            <w:pPr>
              <w:ind w:left="640"/>
              <w:spacing w:after="0" w:line="203" w:lineRule="exact"/>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ind w:left="640"/>
              <w:spacing w:after="0"/>
              <w:rPr>
                <w:sz w:val="20"/>
                <w:szCs w:val="20"/>
                <w:color w:val="auto"/>
              </w:rPr>
            </w:pPr>
            <w:r>
              <w:rPr>
                <w:rFonts w:ascii="Arial" w:cs="Arial" w:eastAsia="Arial" w:hAnsi="Arial"/>
                <w:sz w:val="18"/>
                <w:szCs w:val="18"/>
                <w:color w:val="auto"/>
              </w:rPr>
              <w:t>($10,000 par, due</w:t>
            </w:r>
          </w:p>
        </w:tc>
        <w:tc>
          <w:tcPr>
            <w:tcW w:w="0" w:type="dxa"/>
            <w:vAlign w:val="bottom"/>
          </w:tcPr>
          <w:p>
            <w:pPr>
              <w:spacing w:after="0"/>
              <w:rPr>
                <w:sz w:val="1"/>
                <w:szCs w:val="1"/>
                <w:color w:val="auto"/>
              </w:rPr>
            </w:pPr>
          </w:p>
        </w:tc>
      </w:tr>
      <w:tr>
        <w:trPr>
          <w:trHeight w:val="230"/>
        </w:trPr>
        <w:tc>
          <w:tcPr>
            <w:tcW w:w="3500" w:type="dxa"/>
            <w:vAlign w:val="bottom"/>
            <w:vMerge w:val="restart"/>
          </w:tcPr>
          <w:p>
            <w:pPr>
              <w:spacing w:after="0"/>
              <w:rPr>
                <w:sz w:val="20"/>
                <w:szCs w:val="20"/>
                <w:color w:val="auto"/>
              </w:rPr>
            </w:pPr>
            <w:r>
              <w:rPr>
                <w:rFonts w:ascii="Arial" w:cs="Arial" w:eastAsia="Arial" w:hAnsi="Arial"/>
                <w:sz w:val="18"/>
                <w:szCs w:val="18"/>
                <w:color w:val="auto"/>
              </w:rPr>
              <w:t>IRG Sports &amp; Entertainment, LLC</w:t>
            </w:r>
            <w:r>
              <w:rPr>
                <w:rFonts w:ascii="Arial" w:cs="Arial" w:eastAsia="Arial" w:hAnsi="Arial"/>
                <w:sz w:val="15"/>
                <w:szCs w:val="15"/>
                <w:color w:val="auto"/>
              </w:rPr>
              <w:t>(3)(4)</w:t>
            </w:r>
          </w:p>
        </w:tc>
        <w:tc>
          <w:tcPr>
            <w:tcW w:w="2200" w:type="dxa"/>
            <w:vAlign w:val="bottom"/>
          </w:tcPr>
          <w:p>
            <w:pPr>
              <w:ind w:left="640"/>
              <w:spacing w:after="0"/>
              <w:rPr>
                <w:sz w:val="20"/>
                <w:szCs w:val="20"/>
                <w:color w:val="auto"/>
              </w:rPr>
            </w:pPr>
            <w:r>
              <w:rPr>
                <w:rFonts w:ascii="Arial" w:cs="Arial" w:eastAsia="Arial" w:hAnsi="Arial"/>
                <w:sz w:val="18"/>
                <w:szCs w:val="18"/>
                <w:color w:val="auto"/>
              </w:rPr>
              <w:t>2/2020)</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2200" w:type="dxa"/>
            <w:vAlign w:val="bottom"/>
          </w:tcPr>
          <w:p>
            <w:pPr>
              <w:ind w:left="640"/>
              <w:spacing w:after="0"/>
              <w:rPr>
                <w:sz w:val="20"/>
                <w:szCs w:val="20"/>
                <w:color w:val="auto"/>
              </w:rPr>
            </w:pPr>
            <w:r>
              <w:rPr>
                <w:rFonts w:ascii="Arial" w:cs="Arial" w:eastAsia="Arial" w:hAnsi="Arial"/>
                <w:sz w:val="18"/>
                <w:szCs w:val="18"/>
                <w:color w:val="auto"/>
              </w:rPr>
              <w:t>First-lien loan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ind w:left="640"/>
              <w:spacing w:after="0"/>
              <w:rPr>
                <w:sz w:val="20"/>
                <w:szCs w:val="20"/>
                <w:color w:val="auto"/>
              </w:rPr>
            </w:pPr>
            <w:r>
              <w:rPr>
                <w:rFonts w:ascii="Arial" w:cs="Arial" w:eastAsia="Arial" w:hAnsi="Arial"/>
                <w:sz w:val="18"/>
                <w:szCs w:val="18"/>
                <w:color w:val="auto"/>
              </w:rPr>
              <w:t>($43,653 par, due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ind w:left="640"/>
              <w:spacing w:after="0"/>
              <w:rPr>
                <w:sz w:val="20"/>
                <w:szCs w:val="20"/>
                <w:color w:val="auto"/>
              </w:rPr>
            </w:pPr>
            <w:r>
              <w:rPr>
                <w:rFonts w:ascii="Arial" w:cs="Arial" w:eastAsia="Arial" w:hAnsi="Arial"/>
                <w:sz w:val="18"/>
                <w:szCs w:val="18"/>
                <w:color w:val="auto"/>
              </w:rPr>
              <w:t>9/2019)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Soho House</w:t>
            </w:r>
            <w:r>
              <w:rPr>
                <w:rFonts w:ascii="Arial" w:cs="Arial" w:eastAsia="Arial" w:hAnsi="Arial"/>
                <w:sz w:val="15"/>
                <w:szCs w:val="15"/>
                <w:color w:val="auto"/>
              </w:rPr>
              <w:t>(5)</w:t>
            </w:r>
          </w:p>
        </w:tc>
        <w:tc>
          <w:tcPr>
            <w:tcW w:w="2200" w:type="dxa"/>
            <w:vAlign w:val="bottom"/>
          </w:tcPr>
          <w:p>
            <w:pPr>
              <w:ind w:left="640"/>
              <w:spacing w:after="0"/>
              <w:rPr>
                <w:sz w:val="20"/>
                <w:szCs w:val="20"/>
                <w:color w:val="auto"/>
              </w:rPr>
            </w:pPr>
            <w:r>
              <w:rPr>
                <w:rFonts w:ascii="Arial" w:cs="Arial" w:eastAsia="Arial" w:hAnsi="Arial"/>
                <w:sz w:val="18"/>
                <w:szCs w:val="18"/>
                <w:color w:val="auto"/>
              </w:rPr>
              <w:t>Second-lien bond</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0" w:type="dxa"/>
            <w:vAlign w:val="bottom"/>
          </w:tcPr>
          <w:p>
            <w:pPr>
              <w:ind w:left="640"/>
              <w:spacing w:after="0"/>
              <w:rPr>
                <w:sz w:val="20"/>
                <w:szCs w:val="20"/>
                <w:color w:val="auto"/>
              </w:rPr>
            </w:pPr>
            <w:r>
              <w:rPr>
                <w:rFonts w:ascii="Arial" w:cs="Arial" w:eastAsia="Arial" w:hAnsi="Arial"/>
                <w:sz w:val="18"/>
                <w:szCs w:val="18"/>
                <w:color w:val="auto"/>
                <w:w w:val="87"/>
              </w:rPr>
              <w:t>(GBP 13,750 par, due</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ind w:left="640"/>
              <w:spacing w:after="0"/>
              <w:rPr>
                <w:sz w:val="20"/>
                <w:szCs w:val="20"/>
                <w:color w:val="auto"/>
              </w:rPr>
            </w:pPr>
            <w:r>
              <w:rPr>
                <w:rFonts w:ascii="Arial" w:cs="Arial" w:eastAsia="Arial" w:hAnsi="Arial"/>
                <w:sz w:val="18"/>
                <w:szCs w:val="18"/>
                <w:color w:val="auto"/>
              </w:rPr>
              <w:t>10/2018)</w:t>
            </w:r>
          </w:p>
        </w:tc>
        <w:tc>
          <w:tcPr>
            <w:tcW w:w="0" w:type="dxa"/>
            <w:vAlign w:val="bottom"/>
          </w:tcPr>
          <w:p>
            <w:pPr>
              <w:spacing w:after="0"/>
              <w:rPr>
                <w:sz w:val="1"/>
                <w:szCs w:val="1"/>
                <w:color w:val="auto"/>
              </w:rPr>
            </w:pPr>
          </w:p>
        </w:tc>
      </w:tr>
      <w:tr>
        <w:trPr>
          <w:trHeight w:val="485"/>
        </w:trPr>
        <w:tc>
          <w:tcPr>
            <w:tcW w:w="350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-1550670</wp:posOffset>
            </wp:positionV>
            <wp:extent cx="7246620" cy="41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7246620" cy="411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8.75%</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2/15/2013</w:t>
            </w:r>
          </w:p>
        </w:tc>
        <w:tc>
          <w:tcPr>
            <w:tcW w:w="840" w:type="dxa"/>
            <w:vAlign w:val="bottom"/>
          </w:tcPr>
          <w:p>
            <w:pPr>
              <w:jc w:val="right"/>
              <w:spacing w:after="0"/>
              <w:rPr>
                <w:sz w:val="20"/>
                <w:szCs w:val="20"/>
                <w:color w:val="auto"/>
              </w:rPr>
            </w:pPr>
            <w:r>
              <w:rPr>
                <w:rFonts w:ascii="Arial" w:cs="Arial" w:eastAsia="Arial" w:hAnsi="Arial"/>
                <w:sz w:val="18"/>
                <w:szCs w:val="18"/>
                <w:color w:val="auto"/>
              </w:rPr>
              <w:t>9,931</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9,931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12.00%</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jc w:val="right"/>
              <w:ind w:right="130"/>
              <w:spacing w:after="0"/>
              <w:rPr>
                <w:sz w:val="20"/>
                <w:szCs w:val="20"/>
                <w:color w:val="auto"/>
              </w:rPr>
            </w:pPr>
            <w:r>
              <w:rPr>
                <w:rFonts w:ascii="Arial" w:cs="Arial" w:eastAsia="Arial" w:hAnsi="Arial"/>
                <w:sz w:val="18"/>
                <w:szCs w:val="18"/>
                <w:color w:val="auto"/>
                <w:w w:val="91"/>
              </w:rPr>
              <w:t>(incl. 5.00%</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9/30/2014</w:t>
            </w:r>
          </w:p>
        </w:tc>
        <w:tc>
          <w:tcPr>
            <w:tcW w:w="840" w:type="dxa"/>
            <w:vAlign w:val="bottom"/>
          </w:tcPr>
          <w:p>
            <w:pPr>
              <w:jc w:val="right"/>
              <w:spacing w:after="0"/>
              <w:rPr>
                <w:sz w:val="20"/>
                <w:szCs w:val="20"/>
                <w:color w:val="auto"/>
              </w:rPr>
            </w:pPr>
            <w:r>
              <w:rPr>
                <w:rFonts w:ascii="Arial" w:cs="Arial" w:eastAsia="Arial" w:hAnsi="Arial"/>
                <w:sz w:val="18"/>
                <w:szCs w:val="18"/>
                <w:color w:val="auto"/>
              </w:rPr>
              <w:t>41,073</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40,161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48"/>
        </w:trPr>
        <w:tc>
          <w:tcPr>
            <w:tcW w:w="1100" w:type="dxa"/>
            <w:vAlign w:val="bottom"/>
          </w:tcPr>
          <w:p>
            <w:pPr>
              <w:jc w:val="right"/>
              <w:ind w:right="130"/>
              <w:spacing w:after="0"/>
              <w:rPr>
                <w:sz w:val="20"/>
                <w:szCs w:val="20"/>
                <w:color w:val="auto"/>
              </w:rPr>
            </w:pPr>
            <w:r>
              <w:rPr>
                <w:rFonts w:ascii="Arial" w:cs="Arial" w:eastAsia="Arial" w:hAnsi="Arial"/>
                <w:sz w:val="18"/>
                <w:szCs w:val="18"/>
                <w:color w:val="auto"/>
              </w:rPr>
              <w:t>9.13%</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9/20/2013</w:t>
            </w:r>
          </w:p>
        </w:tc>
        <w:tc>
          <w:tcPr>
            <w:tcW w:w="840" w:type="dxa"/>
            <w:vAlign w:val="bottom"/>
          </w:tcPr>
          <w:p>
            <w:pPr>
              <w:jc w:val="right"/>
              <w:spacing w:after="0"/>
              <w:rPr>
                <w:sz w:val="20"/>
                <w:szCs w:val="20"/>
                <w:color w:val="auto"/>
              </w:rPr>
            </w:pPr>
            <w:r>
              <w:rPr>
                <w:rFonts w:ascii="Arial" w:cs="Arial" w:eastAsia="Arial" w:hAnsi="Arial"/>
                <w:sz w:val="18"/>
                <w:szCs w:val="18"/>
                <w:color w:val="auto"/>
              </w:rPr>
              <w:t>22,826</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22,565</w:t>
            </w:r>
          </w:p>
        </w:tc>
        <w:tc>
          <w:tcPr>
            <w:tcW w:w="2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73,830</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72,639</w:t>
            </w:r>
          </w:p>
        </w:tc>
        <w:tc>
          <w:tcPr>
            <w:tcW w:w="28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ectPr>
          <w:pgSz w:w="11900" w:h="16838" w:orient="portrait"/>
          <w:cols w:equalWidth="0" w:num="2">
            <w:col w:w="5700" w:space="200"/>
            <w:col w:w="55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line="203" w:lineRule="exact"/>
              <w:rPr>
                <w:sz w:val="20"/>
                <w:szCs w:val="20"/>
                <w:color w:val="auto"/>
              </w:rPr>
            </w:pPr>
            <w:r>
              <w:rPr>
                <w:rFonts w:ascii="Arial" w:cs="Arial" w:eastAsia="Arial" w:hAnsi="Arial"/>
                <w:sz w:val="18"/>
                <w:szCs w:val="18"/>
                <w:color w:val="auto"/>
              </w:rPr>
              <w:t>Infogix, Inc.</w:t>
            </w:r>
            <w:r>
              <w:rPr>
                <w:rFonts w:ascii="Arial" w:cs="Arial" w:eastAsia="Arial" w:hAnsi="Arial"/>
                <w:sz w:val="15"/>
                <w:szCs w:val="15"/>
                <w:color w:val="auto"/>
              </w:rPr>
              <w:t>(3)(4)</w:t>
            </w:r>
          </w:p>
        </w:tc>
        <w:tc>
          <w:tcPr>
            <w:tcW w:w="3220" w:type="dxa"/>
            <w:vAlign w:val="bottom"/>
          </w:tcPr>
          <w:p>
            <w:pPr>
              <w:ind w:left="1340"/>
              <w:spacing w:after="0" w:line="203" w:lineRule="exact"/>
              <w:rPr>
                <w:sz w:val="20"/>
                <w:szCs w:val="20"/>
                <w:color w:val="auto"/>
              </w:rPr>
            </w:pPr>
            <w:r>
              <w:rPr>
                <w:rFonts w:ascii="Arial" w:cs="Arial" w:eastAsia="Arial" w:hAnsi="Arial"/>
                <w:sz w:val="18"/>
                <w:szCs w:val="18"/>
                <w:color w:val="auto"/>
              </w:rPr>
              <w:t>First-lien loan</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2800" w:type="dxa"/>
            <w:vAlign w:val="bottom"/>
          </w:tcPr>
          <w:p>
            <w:pPr>
              <w:spacing w:after="0"/>
              <w:rPr>
                <w:sz w:val="18"/>
                <w:szCs w:val="18"/>
                <w:color w:val="auto"/>
              </w:rPr>
            </w:pPr>
          </w:p>
        </w:tc>
        <w:tc>
          <w:tcPr>
            <w:tcW w:w="3220" w:type="dxa"/>
            <w:vAlign w:val="bottom"/>
          </w:tcPr>
          <w:p>
            <w:pPr>
              <w:ind w:left="1340"/>
              <w:spacing w:after="0"/>
              <w:rPr>
                <w:sz w:val="20"/>
                <w:szCs w:val="20"/>
                <w:color w:val="auto"/>
              </w:rPr>
            </w:pPr>
            <w:r>
              <w:rPr>
                <w:rFonts w:ascii="Arial" w:cs="Arial" w:eastAsia="Arial" w:hAnsi="Arial"/>
                <w:sz w:val="18"/>
                <w:szCs w:val="18"/>
                <w:color w:val="auto"/>
              </w:rPr>
              <w:t>($35,438 par, due</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3220" w:type="dxa"/>
            <w:vAlign w:val="bottom"/>
          </w:tcPr>
          <w:p>
            <w:pPr>
              <w:ind w:left="1340"/>
              <w:spacing w:after="0"/>
              <w:rPr>
                <w:sz w:val="20"/>
                <w:szCs w:val="20"/>
                <w:color w:val="auto"/>
              </w:rPr>
            </w:pPr>
            <w:r>
              <w:rPr>
                <w:rFonts w:ascii="Arial" w:cs="Arial" w:eastAsia="Arial" w:hAnsi="Arial"/>
                <w:sz w:val="18"/>
                <w:szCs w:val="18"/>
                <w:color w:val="auto"/>
              </w:rPr>
              <w:t>6/2017)</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6/1/2012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35,034</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35,260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02"/>
        </w:trPr>
        <w:tc>
          <w:tcPr>
            <w:tcW w:w="2800" w:type="dxa"/>
            <w:vAlign w:val="bottom"/>
            <w:shd w:val="clear" w:color="auto" w:fill="CCEEFF"/>
          </w:tcPr>
          <w:p>
            <w:pPr>
              <w:spacing w:after="0"/>
              <w:rPr>
                <w:sz w:val="17"/>
                <w:szCs w:val="17"/>
                <w:color w:val="auto"/>
              </w:rPr>
            </w:pPr>
          </w:p>
        </w:tc>
        <w:tc>
          <w:tcPr>
            <w:tcW w:w="3220" w:type="dxa"/>
            <w:vAlign w:val="bottom"/>
            <w:shd w:val="clear" w:color="auto" w:fill="CCEEFF"/>
          </w:tcPr>
          <w:p>
            <w:pPr>
              <w:ind w:left="1340"/>
              <w:spacing w:after="0" w:line="201" w:lineRule="exact"/>
              <w:rPr>
                <w:sz w:val="20"/>
                <w:szCs w:val="20"/>
                <w:color w:val="auto"/>
              </w:rPr>
            </w:pPr>
            <w:r>
              <w:rPr>
                <w:rFonts w:ascii="Arial" w:cs="Arial" w:eastAsia="Arial" w:hAnsi="Arial"/>
                <w:sz w:val="18"/>
                <w:szCs w:val="18"/>
                <w:color w:val="auto"/>
              </w:rPr>
              <w:t>First-lien revolving</w:t>
            </w:r>
          </w:p>
        </w:tc>
        <w:tc>
          <w:tcPr>
            <w:tcW w:w="9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800" w:type="dxa"/>
            <w:vAlign w:val="bottom"/>
            <w:shd w:val="clear" w:color="auto" w:fill="CCEEFF"/>
          </w:tcPr>
          <w:p>
            <w:pPr>
              <w:spacing w:after="0"/>
              <w:rPr>
                <w:sz w:val="18"/>
                <w:szCs w:val="18"/>
                <w:color w:val="auto"/>
              </w:rPr>
            </w:pPr>
          </w:p>
        </w:tc>
        <w:tc>
          <w:tcPr>
            <w:tcW w:w="32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loan ($2,010 par, due</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800" w:type="dxa"/>
            <w:vAlign w:val="bottom"/>
            <w:shd w:val="clear" w:color="auto" w:fill="CCEEFF"/>
          </w:tcPr>
          <w:p>
            <w:pPr>
              <w:spacing w:after="0"/>
              <w:rPr>
                <w:sz w:val="20"/>
                <w:szCs w:val="20"/>
                <w:color w:val="auto"/>
              </w:rPr>
            </w:pPr>
          </w:p>
        </w:tc>
        <w:tc>
          <w:tcPr>
            <w:tcW w:w="32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6/2017)</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11.00%</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6/1/2012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Insurity, Inc.</w:t>
            </w:r>
            <w:r>
              <w:rPr>
                <w:rFonts w:ascii="Arial" w:cs="Arial" w:eastAsia="Arial" w:hAnsi="Arial"/>
                <w:sz w:val="15"/>
                <w:szCs w:val="15"/>
                <w:color w:val="auto"/>
              </w:rPr>
              <w:t>(3)(4)(6)</w:t>
            </w:r>
          </w:p>
        </w:tc>
        <w:tc>
          <w:tcPr>
            <w:tcW w:w="3220" w:type="dxa"/>
            <w:vAlign w:val="bottom"/>
          </w:tcPr>
          <w:p>
            <w:pPr>
              <w:ind w:left="134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2800" w:type="dxa"/>
            <w:vAlign w:val="bottom"/>
          </w:tcPr>
          <w:p>
            <w:pPr>
              <w:spacing w:after="0"/>
              <w:rPr>
                <w:sz w:val="18"/>
                <w:szCs w:val="18"/>
                <w:color w:val="auto"/>
              </w:rPr>
            </w:pPr>
          </w:p>
        </w:tc>
        <w:tc>
          <w:tcPr>
            <w:tcW w:w="3220" w:type="dxa"/>
            <w:vAlign w:val="bottom"/>
          </w:tcPr>
          <w:p>
            <w:pPr>
              <w:ind w:left="1340"/>
              <w:spacing w:after="0"/>
              <w:rPr>
                <w:sz w:val="20"/>
                <w:szCs w:val="20"/>
                <w:color w:val="auto"/>
              </w:rPr>
            </w:pPr>
            <w:r>
              <w:rPr>
                <w:rFonts w:ascii="Arial" w:cs="Arial" w:eastAsia="Arial" w:hAnsi="Arial"/>
                <w:sz w:val="18"/>
                <w:szCs w:val="18"/>
                <w:color w:val="auto"/>
              </w:rPr>
              <w:t>($65,000 par, due</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3220" w:type="dxa"/>
            <w:vAlign w:val="bottom"/>
          </w:tcPr>
          <w:p>
            <w:pPr>
              <w:ind w:left="1340"/>
              <w:spacing w:after="0"/>
              <w:rPr>
                <w:sz w:val="20"/>
                <w:szCs w:val="20"/>
                <w:color w:val="auto"/>
              </w:rPr>
            </w:pPr>
            <w:r>
              <w:rPr>
                <w:rFonts w:ascii="Arial" w:cs="Arial" w:eastAsia="Arial" w:hAnsi="Arial"/>
                <w:sz w:val="18"/>
                <w:szCs w:val="18"/>
                <w:color w:val="auto"/>
              </w:rPr>
              <w:t>10/2020)</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10/31/2014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64,363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64,025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7"/>
        </w:trPr>
        <w:tc>
          <w:tcPr>
            <w:tcW w:w="2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8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101,358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101,270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r>
        <w:trPr>
          <w:trHeight w:val="372"/>
        </w:trPr>
        <w:tc>
          <w:tcPr>
            <w:tcW w:w="2800" w:type="dxa"/>
            <w:vAlign w:val="bottom"/>
          </w:tcPr>
          <w:p>
            <w:pPr>
              <w:spacing w:after="0"/>
              <w:rPr>
                <w:sz w:val="24"/>
                <w:szCs w:val="24"/>
                <w:color w:val="auto"/>
              </w:rPr>
            </w:pPr>
          </w:p>
        </w:tc>
        <w:tc>
          <w:tcPr>
            <w:tcW w:w="3220" w:type="dxa"/>
            <w:vAlign w:val="bottom"/>
          </w:tcPr>
          <w:p>
            <w:pPr>
              <w:ind w:left="2820"/>
              <w:spacing w:after="0"/>
              <w:rPr>
                <w:sz w:val="20"/>
                <w:szCs w:val="20"/>
                <w:color w:val="auto"/>
              </w:rPr>
            </w:pPr>
            <w:r>
              <w:rPr>
                <w:rFonts w:ascii="Arial" w:cs="Arial" w:eastAsia="Arial" w:hAnsi="Arial"/>
                <w:sz w:val="18"/>
                <w:szCs w:val="18"/>
                <w:color w:val="auto"/>
              </w:rPr>
              <w:t>99</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2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6"/>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5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(Per amounts 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 amounts in</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3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left="28"/>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thousands)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Internet Services</w:t>
            </w: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Highwinds Capital, Inc.</w:t>
            </w:r>
            <w:r>
              <w:rPr>
                <w:rFonts w:ascii="Arial" w:cs="Arial" w:eastAsia="Arial" w:hAnsi="Arial"/>
                <w:sz w:val="15"/>
                <w:szCs w:val="15"/>
                <w:color w:val="auto"/>
              </w:rPr>
              <w:t>(3)(4)</w:t>
            </w:r>
          </w:p>
        </w:tc>
        <w:tc>
          <w:tcPr>
            <w:tcW w:w="17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First-lien loan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($41,401 par, due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7/2018)</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9.00%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3/7/2014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40,931</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40,859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Manufacturing</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Jeeves Information Systems AB</w:t>
            </w:r>
            <w:r>
              <w:rPr>
                <w:rFonts w:ascii="Arial" w:cs="Arial" w:eastAsia="Arial" w:hAnsi="Arial"/>
                <w:sz w:val="15"/>
                <w:szCs w:val="15"/>
                <w:color w:val="auto"/>
              </w:rPr>
              <w:t>(3)(5)(6)</w:t>
            </w:r>
          </w:p>
        </w:tc>
        <w:tc>
          <w:tcPr>
            <w:tcW w:w="17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First-lien loan (SEK</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203,140 par, due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3/2019)</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6/5/2013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30,897</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25,690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Metals and mining</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Metalico, Inc.</w:t>
            </w:r>
            <w:r>
              <w:rPr>
                <w:rFonts w:ascii="Arial" w:cs="Arial" w:eastAsia="Arial" w:hAnsi="Arial"/>
                <w:sz w:val="15"/>
                <w:szCs w:val="15"/>
                <w:color w:val="auto"/>
              </w:rPr>
              <w:t>(3)(4)(6)</w:t>
            </w:r>
          </w:p>
        </w:tc>
        <w:tc>
          <w:tcPr>
            <w:tcW w:w="17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First-lien loan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($19,973 par, due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11/2019)</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11/21/2013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17,699</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21,321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Office products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Ecommerce Industries, Inc.</w:t>
            </w:r>
            <w:r>
              <w:rPr>
                <w:rFonts w:ascii="Arial" w:cs="Arial" w:eastAsia="Arial" w:hAnsi="Arial"/>
                <w:sz w:val="15"/>
                <w:szCs w:val="15"/>
                <w:color w:val="auto"/>
              </w:rPr>
              <w:t>(3)(4)(6)</w:t>
            </w:r>
          </w:p>
        </w:tc>
        <w:tc>
          <w:tcPr>
            <w:tcW w:w="17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First-lien loan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($35,390 par, due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3/2019)</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7.25%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35,090</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34,868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 gas and consumable fuels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Milagro Exploration, LLC</w:t>
            </w:r>
            <w:r>
              <w:rPr>
                <w:rFonts w:ascii="Arial" w:cs="Arial" w:eastAsia="Arial" w:hAnsi="Arial"/>
                <w:sz w:val="15"/>
                <w:szCs w:val="15"/>
                <w:color w:val="auto"/>
              </w:rPr>
              <w:t>(3)(4)</w:t>
            </w:r>
          </w:p>
        </w:tc>
        <w:tc>
          <w:tcPr>
            <w:tcW w:w="17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First-lien loan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($62,857 par, due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9/2017)</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9.50%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9/4/2014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62,130</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61,457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(3)(4)(7)</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13.00%</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First-lien loan</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(incl.</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($39,505 par, due</w:t>
            </w:r>
          </w:p>
        </w:tc>
        <w:tc>
          <w:tcPr>
            <w:tcW w:w="13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6/2018)</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38,706</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37,381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100,836</w:t>
            </w:r>
          </w:p>
        </w:tc>
        <w:tc>
          <w:tcPr>
            <w:tcW w:w="300" w:type="dxa"/>
            <w:vAlign w:val="bottom"/>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98,838</w:t>
            </w:r>
          </w:p>
        </w:tc>
        <w:tc>
          <w:tcPr>
            <w:tcW w:w="4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Specialty Retail</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Toys ‘R’ Us-Delaware, Inc.</w:t>
            </w:r>
            <w:r>
              <w:rPr>
                <w:rFonts w:ascii="Arial" w:cs="Arial" w:eastAsia="Arial" w:hAnsi="Arial"/>
                <w:sz w:val="15"/>
                <w:szCs w:val="15"/>
                <w:color w:val="auto"/>
              </w:rPr>
              <w:t>(3)(4)</w:t>
            </w:r>
          </w:p>
        </w:tc>
        <w:tc>
          <w:tcPr>
            <w:tcW w:w="17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First-lien loan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($42,000 par, due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10/2019)</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8.25%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10/10/2014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41,149</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41,370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Kewill, Ltd</w:t>
            </w:r>
            <w:r>
              <w:rPr>
                <w:rFonts w:ascii="Arial" w:cs="Arial" w:eastAsia="Arial" w:hAnsi="Arial"/>
                <w:sz w:val="15"/>
                <w:szCs w:val="15"/>
                <w:color w:val="auto"/>
              </w:rPr>
              <w:t>.(3)(5)</w:t>
            </w:r>
          </w:p>
        </w:tc>
        <w:tc>
          <w:tcPr>
            <w:tcW w:w="17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Second-lien loan</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($62,500 par, due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color w:val="auto"/>
              </w:rPr>
              <w:t>10/2019)</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9.50%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10/2/2013</w:t>
            </w:r>
          </w:p>
        </w:tc>
        <w:tc>
          <w:tcPr>
            <w:tcW w:w="860" w:type="dxa"/>
            <w:vAlign w:val="bottom"/>
          </w:tcPr>
          <w:p>
            <w:pPr>
              <w:jc w:val="right"/>
              <w:spacing w:after="0"/>
              <w:rPr>
                <w:sz w:val="20"/>
                <w:szCs w:val="20"/>
                <w:color w:val="auto"/>
              </w:rPr>
            </w:pPr>
            <w:r>
              <w:rPr>
                <w:rFonts w:ascii="Arial" w:cs="Arial" w:eastAsia="Arial" w:hAnsi="Arial"/>
                <w:sz w:val="18"/>
                <w:szCs w:val="18"/>
                <w:color w:val="auto"/>
              </w:rPr>
              <w:t>61,428</w:t>
            </w:r>
          </w:p>
        </w:tc>
        <w:tc>
          <w:tcPr>
            <w:tcW w:w="3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61,250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1,251,749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1,248,618</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05"/>
        </w:trPr>
        <w:tc>
          <w:tcPr>
            <w:tcW w:w="38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Debt Investments Equity and Other</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b w:val="1"/>
                <w:bCs w:val="1"/>
                <w:color w:val="auto"/>
              </w:rPr>
              <w:t>Investments Business services</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Network Merchants, Inc</w:t>
            </w:r>
          </w:p>
        </w:tc>
        <w:tc>
          <w:tcPr>
            <w:tcW w:w="17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Non-Voting Preferred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Units (774,099 units)</w:t>
            </w:r>
          </w:p>
        </w:tc>
        <w:tc>
          <w:tcPr>
            <w:tcW w:w="13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9/12/2013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gridSpan w:val="3"/>
          </w:tcPr>
          <w:p>
            <w:pPr>
              <w:jc w:val="right"/>
              <w:ind w:right="616"/>
              <w:spacing w:after="0"/>
              <w:rPr>
                <w:sz w:val="20"/>
                <w:szCs w:val="20"/>
                <w:color w:val="auto"/>
              </w:rPr>
            </w:pPr>
            <w:r>
              <w:rPr>
                <w:rFonts w:ascii="Arial" w:cs="Arial" w:eastAsia="Arial" w:hAnsi="Arial"/>
                <w:sz w:val="18"/>
                <w:szCs w:val="18"/>
                <w:color w:val="auto"/>
                <w:w w:val="79"/>
              </w:rPr>
              <w:t>100</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Investment</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Value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4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(Per amounts in</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Interest</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 amounts in</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640" w:type="dxa"/>
            <w:vAlign w:val="bottom"/>
            <w:gridSpan w:val="3"/>
            <w:vMerge w:val="continue"/>
          </w:tcPr>
          <w:p>
            <w:pPr>
              <w:spacing w:after="0"/>
              <w:rPr>
                <w:sz w:val="15"/>
                <w:szCs w:val="15"/>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thousands)</w:t>
            </w:r>
          </w:p>
        </w:tc>
        <w:tc>
          <w:tcPr>
            <w:tcW w:w="920" w:type="dxa"/>
            <w:vAlign w:val="bottom"/>
            <w:gridSpan w:val="2"/>
            <w:vMerge w:val="continue"/>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w:t>
            </w:r>
          </w:p>
        </w:tc>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Common</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Shares Class A</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(598 shares)</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3/11/2014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467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(196</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3/11/2014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(5)</w:t>
            </w:r>
          </w:p>
        </w:tc>
        <w:tc>
          <w:tcPr>
            <w:tcW w:w="14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9/30/2014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840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Parent Corp.</w:t>
            </w:r>
          </w:p>
        </w:tc>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Shares</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(1,980</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12/28/2012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1,099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spacing w:after="0" w:line="201" w:lineRule="exact"/>
              <w:rPr>
                <w:sz w:val="20"/>
                <w:szCs w:val="20"/>
                <w:color w:val="auto"/>
              </w:rPr>
            </w:pPr>
            <w:r>
              <w:rPr>
                <w:rFonts w:ascii="Arial" w:cs="Arial" w:eastAsia="Arial" w:hAnsi="Arial"/>
                <w:sz w:val="18"/>
                <w:szCs w:val="18"/>
                <w:color w:val="auto"/>
              </w:rPr>
              <w:t>Common</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Shares Class B</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w w:val="96"/>
              </w:rPr>
              <w:t>(2,953,020 shares)</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Hotel, gaming, and leisure</w:t>
            </w: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IRG Sports &amp; Entertainment, LLC</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9/30/2014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1,494</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1,494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Metals and mining</w:t>
            </w: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Metalico, Inc.</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11/21/2014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1,343</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Oil, gas and consumable fuels</w:t>
            </w: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(7)</w:t>
            </w: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6/4/2014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8,874</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4,254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Symphony</w:t>
            </w:r>
            <w:r>
              <w:rPr>
                <w:rFonts w:ascii="Arial" w:cs="Arial" w:eastAsia="Arial" w:hAnsi="Arial"/>
                <w:sz w:val="15"/>
                <w:szCs w:val="15"/>
                <w:color w:val="auto"/>
              </w:rPr>
              <w:t>(5)</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Tranche F</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11/17/2014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Equity and Other Investments</w:t>
            </w: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21,503</w:t>
            </w:r>
          </w:p>
        </w:tc>
        <w:tc>
          <w:tcPr>
            <w:tcW w:w="1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14,893</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$ 1,273,252</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$ 1,263,511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0" w:hanging="452"/>
        <w:spacing w:after="0" w:line="25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otherwise indicated, our portfolio companies are domiciled in the United States. Certain portfolio company investments are subject to contractual restrictions on sales.</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58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our wholly owned subsidiary, and is pledged as collateral supporting the amounts outstanding under the SPV Asset Facility. See Note 7 to our audited consolidated financial statements.</w:t>
      </w:r>
    </w:p>
    <w:p>
      <w:pPr>
        <w:ind w:left="460" w:right="6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spacing w:after="0" w:line="1" w:lineRule="exact"/>
        <w:rPr>
          <w:rFonts w:ascii="Arial" w:cs="Arial" w:eastAsia="Arial" w:hAnsi="Arial"/>
          <w:sz w:val="16"/>
          <w:szCs w:val="16"/>
          <w:color w:val="auto"/>
        </w:rPr>
      </w:pPr>
    </w:p>
    <w:p>
      <w:pPr>
        <w:ind w:left="460" w:right="460" w:hanging="452"/>
        <w:spacing w:after="0" w:line="261"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our arrangement with other lenders in the syndication.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79"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Under the 1940 Act, we are deemed to be both an “Affiliated Person” of and “Control,” as such terms are defined in the 1940 Act, this portfolio company, as we own more than 25% of the portfolio company’s outstanding voting securities or have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Realized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Reductions</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2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(b)</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9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32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47,580</w:t>
            </w:r>
          </w:p>
        </w:tc>
        <w:tc>
          <w:tcPr>
            <w:tcW w:w="3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32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(5,944</w:t>
            </w:r>
          </w:p>
        </w:tc>
        <w:tc>
          <w:tcPr>
            <w:tcW w:w="3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32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3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2,994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47,580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(5,944</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41,636</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40" w:hanging="452"/>
        <w:spacing w:after="0" w:line="25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Pursuant to our certificate of incorporation and bylaws,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2017 annual meeting of stockholders.</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Messrs. Higginbotham and Tanemura serve as Class I directors (with a term expiring in 2015). The Board has re-nominated Messrs. Higginbotham and Tanemura as Class I directors. Mr. Ross serves as a Class II director (with a term expiring in 2016). Messrs. Easterly and Fishman serve as Class III directors (with a term expiring in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Set forth below are brief biographies of the members of the Board.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538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Position</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Expiration</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Chairman, Director and Co-Chief Executive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 and Co-Chief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TSLX in March 2011. From 2010 to 2013, he was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2008 and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TSLX in March 2011. Since 2012, Mr. Tanemura has served as a director of post-reorganization Lehman</w:t>
      </w:r>
      <w:r>
        <w:rPr>
          <w:rFonts w:ascii="Arial" w:cs="Arial" w:eastAsia="Arial" w:hAnsi="Arial"/>
          <w:sz w:val="17"/>
          <w:szCs w:val="17"/>
          <w:b w:val="1"/>
          <w:bCs w:val="1"/>
          <w:color w:val="auto"/>
        </w:rPr>
        <w:t xml:space="preserve"> </w:t>
      </w:r>
      <w:r>
        <w:rPr>
          <w:rFonts w:ascii="Arial" w:cs="Arial" w:eastAsia="Arial" w:hAnsi="Arial"/>
          <w:sz w:val="17"/>
          <w:szCs w:val="17"/>
          <w:color w:val="auto"/>
        </w:rPr>
        <w:t>Brothers Holdings Inc. in New York. Also, since November 2012, he has served as a non-executive director of ICE Clear Credit in Chicago and, since 2009, he has served as a non-executive director of ICE Clear Europe in London, both wholly owned subsidiaries of IntercontinentalExchange,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TSLX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TSLX in April 2011 and became Co-Chief Executive Officer in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2013. Mr. Fishman has been an executive in corporate lending for more than 20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vMerge w:val="restart"/>
          </w:tcPr>
          <w:p>
            <w:pPr>
              <w:spacing w:after="0"/>
              <w:rPr>
                <w:sz w:val="14"/>
                <w:szCs w:val="14"/>
                <w:color w:val="auto"/>
              </w:rPr>
            </w:pPr>
          </w:p>
        </w:tc>
        <w:tc>
          <w:tcPr>
            <w:tcW w:w="6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220" w:type="dxa"/>
            <w:vAlign w:val="bottom"/>
            <w:vMerge w:val="restart"/>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Vice President and Chief Compliance Officer</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Mello</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 and Secretary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Robert Ollwerther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Operating Officer</w:t>
            </w:r>
          </w:p>
        </w:tc>
        <w:tc>
          <w:tcPr>
            <w:tcW w:w="44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a Vice President and Chief Compliance Officer of TSLX. Since 2014, Ms. Gordon has been a Managing Director and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Officer and Deputy Chief Operating Officer of TSSP. Prior to joining TSSP, from 2004 to 2014, she held various positions at Goldman, Sachs &amp; Co., including most recently as Co-Head of Americas Securities Division Compliance. Ms. Gordon received her J.D. from Fordham University School of Law and B.A. from the University of Michigan.</w:t>
      </w:r>
    </w:p>
    <w:p>
      <w:pPr>
        <w:spacing w:after="0" w:line="180"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b w:val="1"/>
          <w:bCs w:val="1"/>
          <w:color w:val="auto"/>
        </w:rPr>
        <w:t xml:space="preserve">Alan Kirshenbaum </w:t>
      </w:r>
      <w:r>
        <w:rPr>
          <w:rFonts w:ascii="Arial" w:cs="Arial" w:eastAsia="Arial" w:hAnsi="Arial"/>
          <w:sz w:val="17"/>
          <w:szCs w:val="17"/>
          <w:color w:val="auto"/>
        </w:rPr>
        <w:t>is Chief Financial Officer of TSLX. Prior to being named Chief Financial Officer, Mr. Kirshenbaum was a Vice President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since 2011. From 2011 to 2013, Mr. Kirshenbaum was Chief Financial Officer and Executive Director of TSSP. From 2007 to 2011,</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and an M.B.A. from New York University’s Stern School of Business.</w:t>
      </w:r>
    </w:p>
    <w:p>
      <w:pPr>
        <w:spacing w:after="0" w:line="18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Jennifer Mello </w:t>
      </w:r>
      <w:r>
        <w:rPr>
          <w:rFonts w:ascii="Arial" w:cs="Arial" w:eastAsia="Arial" w:hAnsi="Arial"/>
          <w:sz w:val="18"/>
          <w:szCs w:val="18"/>
          <w:color w:val="auto"/>
        </w:rPr>
        <w:t>is a Vice President and Secretary of TSLX. Previously, Ms. Mello also served as Chief Compliance Officer of TSLX. Since 2012,</w:t>
      </w:r>
      <w:r>
        <w:rPr>
          <w:rFonts w:ascii="Arial" w:cs="Arial" w:eastAsia="Arial" w:hAnsi="Arial"/>
          <w:sz w:val="18"/>
          <w:szCs w:val="18"/>
          <w:b w:val="1"/>
          <w:bCs w:val="1"/>
          <w:color w:val="auto"/>
        </w:rPr>
        <w:t xml:space="preserve"> </w:t>
      </w:r>
      <w:r>
        <w:rPr>
          <w:rFonts w:ascii="Arial" w:cs="Arial" w:eastAsia="Arial" w:hAnsi="Arial"/>
          <w:sz w:val="18"/>
          <w:szCs w:val="18"/>
          <w:color w:val="auto"/>
        </w:rPr>
        <w:t>Ms. Mello has been the General Counsel and a Principal of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80"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Robert Ollwerther </w:t>
      </w:r>
      <w:r>
        <w:rPr>
          <w:rFonts w:ascii="Arial" w:cs="Arial" w:eastAsia="Arial" w:hAnsi="Arial"/>
          <w:sz w:val="18"/>
          <w:szCs w:val="18"/>
          <w:color w:val="auto"/>
        </w:rPr>
        <w:t>is Chief Operating Officer of TSLX. Since 2014, he has served as a Managing Director for TSSP. From 2013 to 2014,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Financial Officer and Chief Risk Officer of TSSP</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2013.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 TPG Partner and is a member of the TPG’s Executive Committee. He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and Nominating and Corporate Governance Committee is an independent director under the applicable NYSE listing standards.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since both of them are employed by the Adviser. See “—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Board has met two times in 2015, four times in 2014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Messrs. Easterly and Fishman attended last year’s annual meeting of stockholders in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5580" w:right="2380" w:hanging="5005"/>
        <w:spacing w:after="0" w:line="44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107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8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met three times in 2015, held nine meetings in 2014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has held one meeting in 2015. The Nominating and Corporate Governance Committee was formed in connection with our IPO in March 2014 and did not hold a meeting in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14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the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members of the Compensation Committee are Messrs. Ross, Higginbotham and Tanemura, each of whom is independent for purposes of the NYSE corporate governance rules. Mr. Ross serves as Chairman. The Compensation Committee was formed in connection with our IPO in March 2014 and did not hold a meeting in 2014. The Compensation Committee will meet one time each year and at additional times as necessary to carry out its responsibilities.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Committee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IPO Committee, which was dissolved after our IPO, held one meeting in 2014. Messrs. Easterly, Fishman and Tanemura were members of the IPO Committee. Mr. Easterly served as Chairman.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at 345 California Street, Suite 3300, San Francisco, CA 94104, Attention: TSLX Investor Relations, or by emailing us at IRTSL@tpg.com:</w:t>
      </w:r>
    </w:p>
    <w:p>
      <w:pPr>
        <w:spacing w:after="0" w:line="94"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78"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$100,000 annual retainer (which was $75,000 prior to the IPO);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year ended December 31, 2014, we also reimbursed directors for certain out-of-pocket expenses each Independent Director incurred in connection with the fulfillment of his duties as an Independent Director.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Fees Earned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or Paid in Cash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112,750</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John Ross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119,625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119,625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TSL Advisers, LLC is our external manager. 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the Investment Review Committee are Joshua Easterly, Michael Fishman, Alan Waxman and David Stiepleman.</w:t>
      </w:r>
    </w:p>
    <w:p>
      <w:pPr>
        <w:spacing w:after="0" w:line="15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TSSP is the special situations and credit platform of TPG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the broadly syndicated leveraged loan markets. TSSP had over $11 billion of assets under management as of December 31, 2014. TSSP has extensive experience with highly complex, global public and private investments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executed through primary originations, secondary market purchases and restructurings, and has a team of over 100 investment and operating professionals as of March 31, 2015. Twenty six of these personnel are dedicated to our business, including 19 investment professionals.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TPG is a leading global private investment firm founded in 1992 with $67 billion of assets under management as of December 31, 2014,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Investment Advisory Agreement, we pay the Adviser the Management Fee and may also pay the Incentive Fees.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2014, Management Fees were $18.3 million, of which $2.5 million were waived.</w:t>
      </w:r>
    </w:p>
    <w:p>
      <w:pPr>
        <w:spacing w:after="0" w:line="225"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has not waived its right to receive the full Management Fee and accordingly, we will be required to continue to pay the full amount of the Management Fee.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100" w:hanging="446"/>
        <w:spacing w:after="0" w:line="286"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Through March 31, 2014, the quarter in which we completed our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76" w:lineRule="auto"/>
        <w:rPr>
          <w:sz w:val="20"/>
          <w:szCs w:val="20"/>
          <w:color w:val="auto"/>
        </w:rPr>
      </w:pPr>
      <w:r>
        <w:rPr>
          <w:rFonts w:ascii="Arial" w:cs="Arial" w:eastAsia="Arial" w:hAnsi="Arial"/>
          <w:sz w:val="17"/>
          <w:szCs w:val="17"/>
          <w:color w:val="auto"/>
        </w:rPr>
        <w:t>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was the rate at which catch-up was achieved. Once the “hurdle rate” was reached and catch-up was achieved, 15% of any pre-Incentive Fee net investment income in excess of 1.76% in any quarter was payable to the Adviser.</w:t>
      </w:r>
    </w:p>
    <w:p>
      <w:pPr>
        <w:spacing w:after="0" w:line="64" w:lineRule="exact"/>
        <w:rPr>
          <w:sz w:val="20"/>
          <w:szCs w:val="20"/>
          <w:color w:val="auto"/>
        </w:rPr>
      </w:pPr>
    </w:p>
    <w:p>
      <w:pPr>
        <w:ind w:left="920"/>
        <w:spacing w:after="0" w:line="271" w:lineRule="auto"/>
        <w:rPr>
          <w:sz w:val="20"/>
          <w:szCs w:val="20"/>
          <w:color w:val="auto"/>
        </w:rPr>
      </w:pPr>
      <w:r>
        <w:rPr>
          <w:rFonts w:ascii="Arial" w:cs="Arial" w:eastAsia="Arial" w:hAnsi="Arial"/>
          <w:sz w:val="17"/>
          <w:szCs w:val="17"/>
          <w:color w:val="auto"/>
        </w:rPr>
        <w:t>Beginning April 1, 2014, the first quarter after our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1"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70"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2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2014, Incentive Fees were $17.8 million, comprised of fees related to pre-incentive fee net investment income of $20.8 million offset by ($2.9) million of incentive fees related to capital gains and losses attributable to unrealized losses on investments and realized losses on foreign exchange transactions.</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below, the Investment Advisory Agreement will remain in effect until November 3, 2015,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2014, we incurred expenses of $2.7 million for administrative services payable under the terms of the Administration Agreement.</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without penalty on 60 days’ written notice to the other party. See “Risk Factors—Risks Related to Our Business and Structure—We are dependent upon management personnel of the Adviser, TSSP, TPG and their affiliates for our future success.”</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169545</wp:posOffset>
            </wp:positionV>
            <wp:extent cx="5145405" cy="943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5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8" w:lineRule="auto"/>
        <w:rPr>
          <w:sz w:val="20"/>
          <w:szCs w:val="20"/>
          <w:color w:val="auto"/>
        </w:rPr>
      </w:pPr>
      <w:r>
        <w:rPr>
          <w:rFonts w:ascii="Arial" w:cs="Arial" w:eastAsia="Arial" w:hAnsi="Arial"/>
          <w:sz w:val="18"/>
          <w:szCs w:val="18"/>
          <w:color w:val="auto"/>
        </w:rPr>
        <w:t>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4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right="20" w:hanging="325"/>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6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6</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$16 million</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$15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 million</w:t>
            </w:r>
          </w:p>
        </w:tc>
        <w:tc>
          <w:tcPr>
            <w:tcW w:w="120" w:type="dxa"/>
            <w:vAlign w:val="bottom"/>
          </w:tcPr>
          <w:p>
            <w:pPr>
              <w:spacing w:after="0"/>
              <w:rPr>
                <w:sz w:val="11"/>
                <w:szCs w:val="11"/>
                <w:color w:val="auto"/>
              </w:rPr>
            </w:pP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(sale price)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7</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$8 million (sale</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price)</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8</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ind w:left="70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$36 million</w:t>
            </w:r>
          </w:p>
        </w:tc>
      </w:tr>
      <w:tr>
        <w:trPr>
          <w:trHeight w:val="182"/>
        </w:trPr>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920" w:right="300"/>
        <w:spacing w:after="0" w:line="308" w:lineRule="auto"/>
        <w:rPr>
          <w:sz w:val="20"/>
          <w:szCs w:val="20"/>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7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920" w:right="30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6"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7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920" w:right="220"/>
        <w:spacing w:after="0" w:line="308" w:lineRule="auto"/>
        <w:rPr>
          <w:sz w:val="20"/>
          <w:szCs w:val="20"/>
          <w:color w:val="auto"/>
        </w:rPr>
      </w:pPr>
      <w:r>
        <w:rPr>
          <w:rFonts w:ascii="Arial" w:cs="Arial" w:eastAsia="Arial" w:hAnsi="Arial"/>
          <w:sz w:val="17"/>
          <w:szCs w:val="17"/>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7"/>
          <w:szCs w:val="17"/>
          <w:b w:val="1"/>
          <w:bCs w:val="1"/>
          <w:color w:val="auto"/>
        </w:rPr>
        <w:t>$0.00</w:t>
      </w:r>
    </w:p>
    <w:p>
      <w:pPr>
        <w:spacing w:after="0" w:line="38"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240" w:top="459" w:right="5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920" w:right="520"/>
        <w:spacing w:after="0" w:line="342" w:lineRule="auto"/>
        <w:rPr>
          <w:sz w:val="20"/>
          <w:szCs w:val="20"/>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6" w:lineRule="exact"/>
        <w:rPr>
          <w:sz w:val="20"/>
          <w:szCs w:val="20"/>
          <w:color w:val="auto"/>
        </w:rPr>
      </w:pPr>
    </w:p>
    <w:p>
      <w:pPr>
        <w:ind w:left="920" w:right="620"/>
        <w:spacing w:after="0" w:line="277" w:lineRule="auto"/>
        <w:rPr>
          <w:sz w:val="20"/>
          <w:szCs w:val="20"/>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8"/>
          <w:szCs w:val="18"/>
          <w:b w:val="1"/>
          <w:bCs w:val="1"/>
          <w:color w:val="auto"/>
        </w:rPr>
        <w:t>16.39%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131"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3, 2015,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“Risk Factors—Risks Related to Our Business and Structure—We are dependent upon management personnel of the Adviser, TSSP, TPG and their affiliates for our future success.”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2014.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2,799,817 shares, or 5.1%, of our common stock as of March 27, 2015.</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Adviser entered into a purchase agreement, the Adviser 10b5-1 Plan, in accordance with Rules 10b5-1 and 10b-18 under the Exchange Act, under which Goldman, Sachs &amp; Co., as agent for the Adviser, would buy up to $25 million in the aggregate of our common stock during the period beginning April 23, 2014 and ending on the earlier of the date on which all the capital committed to the Adviser 10b5-1 Plan had been exhausted or December 31, 2014, subject to certain conditions. The Adviser 10b5-1 Plan expired in accordance with its terms on December 31, 2014. During the year ended December 31, 2014, 300 shares were purchased under the Adviser 10b5-1 Plan.</w:t>
      </w:r>
    </w:p>
    <w:p>
      <w:pPr>
        <w:spacing w:after="0" w:line="18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relief order (other than in certain limited situations pursuant to current regulatory guidance).</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88"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Further, in accordance with the exemptive relief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with our investment strategies and policies;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TPG and the Adviser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27, 2015,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percentage ownership is based on 53,959,848 shares of common stock outstanding as of March 27, 2015.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Number of Shares of</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 Common</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244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244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0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17,926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5"/>
                <w:szCs w:val="15"/>
                <w:color w:val="auto"/>
              </w:rPr>
              <w:t>(3)</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36,366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16,575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31,091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 xml:space="preserve">Alan Kirshenbaum </w:t>
            </w:r>
            <w:r>
              <w:rPr>
                <w:rFonts w:ascii="Arial" w:cs="Arial" w:eastAsia="Arial" w:hAnsi="Arial"/>
                <w:sz w:val="15"/>
                <w:szCs w:val="15"/>
                <w:color w:val="auto"/>
              </w:rPr>
              <w:t>(4)</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4,181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All Directors and Executive Officers as a Group (12 persons) </w:t>
            </w:r>
            <w:r>
              <w:rPr>
                <w:rFonts w:ascii="Arial" w:cs="Arial" w:eastAsia="Arial" w:hAnsi="Arial"/>
                <w:sz w:val="15"/>
                <w:szCs w:val="15"/>
                <w:color w:val="auto"/>
              </w:rPr>
              <w:t>(5)(6)</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2,916,755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(7)</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7,258,761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(8)</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4,836,382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(9)</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3,806,977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Universities Superannuation Scheme Ltd. </w:t>
            </w:r>
            <w:r>
              <w:rPr>
                <w:rFonts w:ascii="Arial" w:cs="Arial" w:eastAsia="Arial" w:hAnsi="Arial"/>
                <w:sz w:val="15"/>
                <w:szCs w:val="15"/>
                <w:color w:val="auto"/>
              </w:rPr>
              <w:t>(10)</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3,488,476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TPG Funds </w:t>
            </w:r>
            <w:r>
              <w:rPr>
                <w:rFonts w:ascii="Arial" w:cs="Arial" w:eastAsia="Arial" w:hAnsi="Arial"/>
                <w:sz w:val="15"/>
                <w:szCs w:val="15"/>
                <w:color w:val="auto"/>
              </w:rPr>
              <w:t>(6)</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3,235,229</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 xml:space="preserve">Silver Creek Group </w:t>
            </w:r>
            <w:r>
              <w:rPr>
                <w:rFonts w:ascii="Arial" w:cs="Arial" w:eastAsia="Arial" w:hAnsi="Arial"/>
                <w:sz w:val="15"/>
                <w:szCs w:val="15"/>
                <w:color w:val="auto"/>
              </w:rPr>
              <w:t>(11)</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3,178,051</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460" w:hanging="452"/>
        <w:spacing w:after="0" w:line="268"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53"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Easterly is a director and our Co-Chief Executive Officer and a TPG and TPG Special Situations Partners, or TSSP, Partner. TPG and TSSP are affiliated with Tarrant and Group Advisors (both as defined below). The common stock held by Mr. Easterly includes 6,996 shares indirectly beneficially owned by Mr. Easterly (through his limited partnership interest in TSL Equity Partners, L.P., which is a member of TSL Advisers, LLC, or TSL Advisers). Mr. Easterly disclaims beneficial ownership of the shares that are or may be beneficially owned by Tarrant, Group Advisors or any of its affiliates.</w:t>
      </w:r>
    </w:p>
    <w:p>
      <w:pPr>
        <w:spacing w:after="0" w:line="3" w:lineRule="exact"/>
        <w:rPr>
          <w:rFonts w:ascii="Arial" w:cs="Arial" w:eastAsia="Arial" w:hAnsi="Arial"/>
          <w:sz w:val="18"/>
          <w:szCs w:val="18"/>
          <w:color w:val="auto"/>
        </w:rPr>
      </w:pPr>
    </w:p>
    <w:p>
      <w:pPr>
        <w:ind w:left="460" w:right="320" w:hanging="452"/>
        <w:spacing w:after="0" w:line="281"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Fishman a director and our Co-Chief Executive Officer and is employed by TSL Advisers, which is affiliated with Tarrant and Group Advisors. Mr. Fishman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Kirshenbaum is our Chief Financial Officer. Mr. Kirshenbaum disclaims beneficial ownership of the shares that are or may be beneficially owned by Tarrant, Group Advisors or any of its affiliates.</w:t>
      </w:r>
    </w:p>
    <w:p>
      <w:pPr>
        <w:ind w:left="460" w:right="560" w:hanging="452"/>
        <w:spacing w:after="0" w:line="250"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w:t>
      </w:r>
    </w:p>
    <w:p>
      <w:pPr>
        <w:ind w:left="460" w:hanging="452"/>
        <w:spacing w:after="0" w:line="254"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common stock held by the TPG Funds (as defined below) includes (i) 2,799,817 shares of common stock, or the TSLX Shares, held by TSL Advisers; (ii) 435,346 shares of common stock, or the TSL FOF Shares, held by TSL FOF, L.P., a Delaware limited partnership, or TSL FOF; and (iii) 66 shares of common stock held by Tarrant Advisors, Inc., a Texas corporation, or Tarrant, and, together with TSL Advisers and TSL FOF, the TPG Funds.</w:t>
      </w:r>
    </w:p>
    <w:p>
      <w:pPr>
        <w:spacing w:after="0" w:line="82" w:lineRule="exact"/>
        <w:rPr>
          <w:sz w:val="20"/>
          <w:szCs w:val="20"/>
          <w:color w:val="auto"/>
        </w:rPr>
      </w:pPr>
    </w:p>
    <w:p>
      <w:pPr>
        <w:jc w:val="both"/>
        <w:ind w:left="460" w:right="460"/>
        <w:spacing w:after="0" w:line="259" w:lineRule="auto"/>
        <w:rPr>
          <w:sz w:val="20"/>
          <w:szCs w:val="20"/>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Messrs. Bonderman, Coulter and Waxman. Any decision or determination by the board of directors of TSSP HoldCo Management requires unanimous approval of the directors in attendance once a quorum is established.</w:t>
      </w:r>
    </w:p>
    <w:p>
      <w:pPr>
        <w:spacing w:after="0" w:line="79"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TSLX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81"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2,375,225 of the TSLX Shares, or the Tarrant TSLX Shares. Tarrant is also the general partner of TSL FOF. Because of the relationship between Tarrant and TSL FOF, Tarrant Capital may be deemed to beneficially own the TSL FOF Shares and, together with the Tarrant TSLX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59"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TSLX Shares. TSL Advisers is required to vote all proxies in respect of the TSLX Shares proportionately in accordance with such instructions. Equity Partners is required to solicit voting instructions from its limited partners in respect of their indirect interests in the TSLX Shares. Equity Partners is required to instruct TSL Advisers to vote proxies in respect of its TSLX Shares proportionately in accordance with such instructions.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 Capital and Group Advisors, each of Messrs. Bonderman and Coulter may be deemed to beneficially own the TSLX Shares and the Tarrant Shares. Also, because Messrs. Bonderman and Coulter are members of the board of directors of TSSP HoldCo Management, each of Messrs. Bonderman and Coulter may be deemed to beneficially own the TSLX Shares. Messrs. Bonderman and Coulter disclaim beneficial ownership of the TSL Shares and the Tarrant Shares except to the extent of their pecuniary interest therein. Because Mr. Waxman is a member of the board of directors of TSSP HoldCo Management, he may be deemed to beneficially own the TSLX Shares. Mr. Waxman disclaims beneficial ownership of the TSLX Shares except to the extent of his pecuniary interest therein. The address of Group Advisors, Tarrant Capital and Messrs. Bonderman, Coulter and Waxman is c/o TPG Global, LLC, 301 Commerce Street, Suite 3300, Fort Worth, TX 76102.</w:t>
      </w:r>
    </w:p>
    <w:p>
      <w:pPr>
        <w:spacing w:after="0" w:line="83" w:lineRule="exact"/>
        <w:rPr>
          <w:sz w:val="20"/>
          <w:szCs w:val="20"/>
          <w:color w:val="auto"/>
        </w:rPr>
      </w:pPr>
    </w:p>
    <w:p>
      <w:pPr>
        <w:ind w:left="460" w:right="240" w:hanging="452"/>
        <w:spacing w:after="0" w:line="277"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13, 2015 by FMR LLC, Edward C. Johnson 3d and Abigail P. Johnson. FMR LLC has</w:t>
      </w:r>
    </w:p>
    <w:p>
      <w:pPr>
        <w:spacing w:after="0" w:line="46" w:lineRule="exact"/>
        <w:rPr>
          <w:rFonts w:ascii="Arial" w:cs="Arial" w:eastAsia="Arial" w:hAnsi="Arial"/>
          <w:sz w:val="16"/>
          <w:szCs w:val="16"/>
          <w:color w:val="auto"/>
        </w:rPr>
      </w:pPr>
    </w:p>
    <w:p>
      <w:pPr>
        <w:ind w:left="460" w:right="40"/>
        <w:spacing w:after="0" w:line="267" w:lineRule="auto"/>
        <w:rPr>
          <w:rFonts w:ascii="Arial" w:cs="Arial" w:eastAsia="Arial" w:hAnsi="Arial"/>
          <w:sz w:val="16"/>
          <w:szCs w:val="16"/>
          <w:color w:val="auto"/>
        </w:rPr>
      </w:pPr>
      <w:r>
        <w:rPr>
          <w:rFonts w:ascii="Arial" w:cs="Arial" w:eastAsia="Arial" w:hAnsi="Arial"/>
          <w:sz w:val="17"/>
          <w:szCs w:val="17"/>
          <w:color w:val="auto"/>
        </w:rPr>
        <w:t>(i) sole power to vote 173,641 shares and (ii) sole power to dispose of 4,836,382 shares. Edward C. Johnson 3d has sole power to dispose of 4,836,382 shares. Abigail P. Johnson has sole power to dispose of 4,836,382 shares.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Edward C. Johnson 3d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Edward C. Johnson 3d and Abigail P. Johnson is 245 Summer Street, Boston, MA 02210.</w:t>
      </w:r>
    </w:p>
    <w:p>
      <w:pPr>
        <w:spacing w:after="0" w:line="89"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130" w:lineRule="exact"/>
        <w:rPr>
          <w:rFonts w:ascii="Arial" w:cs="Arial" w:eastAsia="Arial" w:hAnsi="Arial"/>
          <w:sz w:val="18"/>
          <w:szCs w:val="18"/>
          <w:color w:val="auto"/>
        </w:rPr>
      </w:pPr>
    </w:p>
    <w:p>
      <w:pPr>
        <w:ind w:left="460" w:right="40" w:hanging="452"/>
        <w:spacing w:after="0" w:line="276"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3,488,476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77" w:lineRule="exact"/>
        <w:rPr>
          <w:rFonts w:ascii="Arial" w:cs="Arial" w:eastAsia="Arial" w:hAnsi="Arial"/>
          <w:sz w:val="17"/>
          <w:szCs w:val="17"/>
          <w:color w:val="auto"/>
        </w:rPr>
      </w:pPr>
    </w:p>
    <w:p>
      <w:pPr>
        <w:ind w:left="460" w:right="4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13, 2015 by Silver Creek Capital Management LLC, Silver Creek Advisory Partners LLC, Silver Creek Special Opportunities Fund III, L.P., Silver Creek Special Opportunities Fund Cayman III, L.P, Silver Creek Credit Opportunities II Master Fund A, L.P. and Silver Creek Credit Opportunities III Master Fund B, L.P. (collectively, the Silver Creek Group). The address of each of the Silver Creek Group entities is 1301 Fifth Avenue, 40th Floor, Seattle, WA 98101.</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as of March 27, 2015. We are not part of a “family of investment companies,” as that term is defined in the 1940 Act.</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Dollar Range of</w:t>
            </w:r>
          </w:p>
        </w:tc>
      </w:tr>
      <w:tr>
        <w:trPr>
          <w:trHeight w:val="149"/>
        </w:trPr>
        <w:tc>
          <w:tcPr>
            <w:tcW w:w="4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our Common</w:t>
            </w:r>
          </w:p>
        </w:tc>
      </w:tr>
      <w:tr>
        <w:trPr>
          <w:trHeight w:val="149"/>
        </w:trPr>
        <w:tc>
          <w:tcPr>
            <w:tcW w:w="4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49"/>
        </w:trPr>
        <w:tc>
          <w:tcPr>
            <w:tcW w:w="4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r>
      <w:tr>
        <w:trPr>
          <w:trHeight w:val="171"/>
        </w:trPr>
        <w:tc>
          <w:tcPr>
            <w:tcW w:w="4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Owned </w:t>
            </w:r>
            <w:r>
              <w:rPr>
                <w:rFonts w:ascii="Arial" w:cs="Arial" w:eastAsia="Arial" w:hAnsi="Arial"/>
                <w:sz w:val="12"/>
                <w:szCs w:val="12"/>
                <w:b w:val="1"/>
                <w:bCs w:val="1"/>
                <w:color w:val="auto"/>
                <w:w w:val="92"/>
              </w:rPr>
              <w:t>(1)(2)</w:t>
            </w: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3920" w:type="dxa"/>
            <w:vAlign w:val="bottom"/>
            <w:gridSpan w:val="3"/>
          </w:tcPr>
          <w:p>
            <w:pPr>
              <w:jc w:val="center"/>
              <w:ind w:left="2570"/>
              <w:spacing w:after="0"/>
              <w:rPr>
                <w:sz w:val="20"/>
                <w:szCs w:val="20"/>
                <w:color w:val="auto"/>
              </w:rPr>
            </w:pPr>
            <w:r>
              <w:rPr>
                <w:rFonts w:ascii="Arial" w:cs="Arial" w:eastAsia="Arial" w:hAnsi="Arial"/>
                <w:sz w:val="18"/>
                <w:szCs w:val="18"/>
                <w:color w:val="auto"/>
                <w:w w:val="92"/>
              </w:rPr>
              <w:t>over $100,000</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3920" w:type="dxa"/>
            <w:vAlign w:val="bottom"/>
            <w:gridSpan w:val="3"/>
            <w:shd w:val="clear" w:color="auto" w:fill="CCEEFF"/>
          </w:tcPr>
          <w:p>
            <w:pPr>
              <w:jc w:val="center"/>
              <w:ind w:left="2570"/>
              <w:spacing w:after="0"/>
              <w:rPr>
                <w:sz w:val="20"/>
                <w:szCs w:val="20"/>
                <w:color w:val="auto"/>
              </w:rPr>
            </w:pPr>
            <w:r>
              <w:rPr>
                <w:rFonts w:ascii="Arial" w:cs="Arial" w:eastAsia="Arial" w:hAnsi="Arial"/>
                <w:sz w:val="18"/>
                <w:szCs w:val="18"/>
                <w:color w:val="auto"/>
                <w:w w:val="92"/>
              </w:rPr>
              <w:t>over $100,000</w:t>
            </w:r>
          </w:p>
        </w:tc>
      </w:tr>
      <w:tr>
        <w:trPr>
          <w:trHeight w:val="216"/>
        </w:trPr>
        <w:tc>
          <w:tcPr>
            <w:tcW w:w="47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2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3920" w:type="dxa"/>
            <w:vAlign w:val="bottom"/>
            <w:gridSpan w:val="3"/>
          </w:tcPr>
          <w:p>
            <w:pPr>
              <w:jc w:val="center"/>
              <w:ind w:left="2570"/>
              <w:spacing w:after="0"/>
              <w:rPr>
                <w:sz w:val="20"/>
                <w:szCs w:val="20"/>
                <w:color w:val="auto"/>
              </w:rPr>
            </w:pPr>
            <w:r>
              <w:rPr>
                <w:rFonts w:ascii="Arial" w:cs="Arial" w:eastAsia="Arial" w:hAnsi="Arial"/>
                <w:sz w:val="18"/>
                <w:szCs w:val="18"/>
                <w:color w:val="auto"/>
                <w:w w:val="92"/>
              </w:rPr>
              <w:t>over $100,000</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3920" w:type="dxa"/>
            <w:vAlign w:val="bottom"/>
            <w:gridSpan w:val="3"/>
            <w:shd w:val="clear" w:color="auto" w:fill="CCEEFF"/>
          </w:tcPr>
          <w:p>
            <w:pPr>
              <w:jc w:val="center"/>
              <w:ind w:left="2570"/>
              <w:spacing w:after="0"/>
              <w:rPr>
                <w:sz w:val="20"/>
                <w:szCs w:val="20"/>
                <w:color w:val="auto"/>
              </w:rPr>
            </w:pPr>
            <w:r>
              <w:rPr>
                <w:rFonts w:ascii="Arial" w:cs="Arial" w:eastAsia="Arial" w:hAnsi="Arial"/>
                <w:sz w:val="18"/>
                <w:szCs w:val="18"/>
                <w:color w:val="auto"/>
                <w:w w:val="92"/>
              </w:rPr>
              <w:t>over $100,000</w:t>
            </w:r>
          </w:p>
        </w:tc>
      </w:tr>
    </w:tbl>
    <w:p>
      <w:pPr>
        <w:spacing w:after="0" w:line="229"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March 27, 2015, multiplied by the closing sale price of our common stock as reported on the NYSE as of March 27,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40"/>
          </w:cols>
          <w:pgMar w:left="240" w:top="459" w:right="3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make distributions under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80"/>
          </w:cols>
          <w:pgMar w:left="240" w:top="459" w:right="3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that or preferred stock that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April 1, 2015 may be eligible for look-through tax treatment if Congress extends certain rules to apply to such taxable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900" w:right="180" w:hanging="325"/>
        <w:spacing w:after="0" w:line="286"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70" w:lineRule="exact"/>
        <w:rPr>
          <w:rFonts w:ascii="Arial" w:cs="Arial" w:eastAsia="Arial" w:hAnsi="Arial"/>
          <w:sz w:val="17"/>
          <w:szCs w:val="17"/>
          <w:color w:val="auto"/>
        </w:rPr>
      </w:pPr>
    </w:p>
    <w:p>
      <w:pPr>
        <w:ind w:left="900" w:right="30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and distributions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92" w:lineRule="exact"/>
        <w:rPr>
          <w:sz w:val="20"/>
          <w:szCs w:val="20"/>
          <w:color w:val="auto"/>
        </w:rPr>
      </w:pPr>
    </w:p>
    <w:p>
      <w:pPr>
        <w:ind w:left="900" w:right="100" w:hanging="325"/>
        <w:spacing w:after="0" w:line="31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75"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2014.</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8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92" w:lineRule="exact"/>
        <w:rPr>
          <w:sz w:val="20"/>
          <w:szCs w:val="20"/>
          <w:color w:val="auto"/>
        </w:rPr>
      </w:pPr>
    </w:p>
    <w:p>
      <w:pPr>
        <w:ind w:left="900" w:right="20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but</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rules expired for taxable years beginning after December 31, 2014. Further legislation is required to make the exemption available with respect to taxable years that commence after December 31, 2014. We cannot assure you that Congress will enact an extension or that any such extension will apply to all dividends that we distribute with respect to taxable years commencing after December 31, 2014. If Congress does extend the exemption, dividends that we designate as “interest-related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8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the case of distributions made on or after July 1, 2014, and in the case of gross proceeds from the sale or other of shares of our common stock or preferred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w:t>
      </w:r>
    </w:p>
    <w:p>
      <w:pPr>
        <w:spacing w:after="0" w:line="2" w:lineRule="exact"/>
        <w:rPr>
          <w:sz w:val="20"/>
          <w:szCs w:val="20"/>
          <w:color w:val="auto"/>
        </w:rPr>
      </w:pPr>
    </w:p>
    <w:p>
      <w:pPr>
        <w:ind w:left="220" w:hanging="212"/>
        <w:spacing w:after="0"/>
        <w:tabs>
          <w:tab w:leader="none" w:pos="2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is a United States person, (ii) derives 50% or more of its gross income for certain periods from the conduct of a trade or business in the United States,</w:t>
      </w:r>
    </w:p>
    <w:p>
      <w:pPr>
        <w:spacing w:after="0" w:line="32" w:lineRule="exact"/>
        <w:rPr>
          <w:rFonts w:ascii="Arial" w:cs="Arial" w:eastAsia="Arial" w:hAnsi="Arial"/>
          <w:sz w:val="16"/>
          <w:szCs w:val="16"/>
          <w:color w:val="auto"/>
        </w:rPr>
      </w:pPr>
    </w:p>
    <w:p>
      <w:pPr>
        <w:ind w:firstLine="8"/>
        <w:spacing w:after="0" w:line="288" w:lineRule="auto"/>
        <w:tabs>
          <w:tab w:leader="none" w:pos="31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00"/>
          </w:cols>
          <w:pgMar w:left="240" w:top="459" w:right="3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53,959,848 shares are outstanding as of March 27, 2015, and 100,000,000 shares of preferred stock, par value $0.01 per share, of which no shares are outstanding as of March 27, 2015.</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March 27,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Held by Us or for Our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Outstanding Exclusive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Amount Held by Us or for</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999</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53,959,848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pre-IPO investors, which included a</w:t>
      </w:r>
    </w:p>
    <w:p>
      <w:pPr>
        <w:ind w:right="180"/>
        <w:spacing w:after="0" w:line="261" w:lineRule="auto"/>
        <w:rPr>
          <w:sz w:val="20"/>
          <w:szCs w:val="20"/>
          <w:color w:val="auto"/>
        </w:rPr>
      </w:pPr>
      <w:r>
        <w:rPr>
          <w:rFonts w:ascii="Arial" w:cs="Arial" w:eastAsia="Arial" w:hAnsi="Arial"/>
          <w:sz w:val="18"/>
          <w:szCs w:val="18"/>
          <w:color w:val="auto"/>
        </w:rPr>
        <w:t>$100 million capital commitment by our Adviser. Our pre-IPO investors’ obligations to purchase additional shares from the undrawn portion of their capital commitments terminated upon the completion of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64"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w:t>
      </w:r>
    </w:p>
    <w:p>
      <w:pPr>
        <w:spacing w:after="0" w:line="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purposes of calculating “a majority of the outstanding voting securities” under our certificate of incorporation, each class and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shares will vote together as a single class, except to the extent required by the 1940 Act or our certificate of incorporation, with respect to any class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of shares. If a separate class vote is required, the applicable proportion of shares of the class or series, voting as a separate class or series, also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w:t>
      </w:r>
    </w:p>
    <w:p>
      <w:pPr>
        <w:spacing w:after="0" w:line="211"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40"/>
          </w:cols>
          <w:pgMar w:left="240" w:top="459" w:right="3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0"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they will receive payments on their debt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establishment of the form or terms of new securities of any series as permitted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must deliver to the trustee a legal opinion and officers’ certificate stating that all conditions precedent to defeasance have been complied with.</w:t>
      </w:r>
    </w:p>
    <w:p>
      <w:pPr>
        <w:spacing w:after="0" w:line="24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20" w:hanging="325"/>
        <w:spacing w:after="0" w:line="259"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2013, our asset coverage was 311.0% and 232.9%,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relief order (other than in certain limited situations pursuant to current regulatory guidance).</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88"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Further, in accordance with the exemptive relief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6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with our investment strategies and policies;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00" w:hanging="325"/>
        <w:spacing w:after="0" w:line="259"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75" w:lineRule="exact"/>
        <w:rPr>
          <w:rFonts w:ascii="Arial" w:cs="Arial" w:eastAsia="Arial" w:hAnsi="Arial"/>
          <w:sz w:val="18"/>
          <w:szCs w:val="18"/>
          <w:color w:val="auto"/>
        </w:rPr>
      </w:pPr>
    </w:p>
    <w:p>
      <w:pPr>
        <w:ind w:left="1480" w:right="180" w:hanging="446"/>
        <w:spacing w:after="0" w:line="264" w:lineRule="auto"/>
        <w:tabs>
          <w:tab w:leader="none" w:pos="14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“—Qualifying Assets” above. However, to count portfolio securities as qualifying assets for the purpose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Co-Chief Executive Officers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You may read and copy the codes of ethics at the SEC’s Public Reference Room in Washington, D.C. You may obtain information on the operation of the Public Reference Room by calling the SEC at 1-800-SEC-0330. In addition, the codes of ethics are attached as exhibits to the registration statement of which this prospectus is a part, and are available on the SEC’s internet site at http://www.sec.gov. You may also obtain copies of the codes of ethics, after paying a duplicating fee, by electronic request at the following e-mail address: publicinfo@sec.gov, or by writing the SEC’s Public Reference Section at 100 F Street, N.E., Room 1580, Washington, D.C. 20549. We also hereby undertake to provide a copy of these codes to any person, without charge, upon request. Requests for a copy of the codes may be made in writing addressed to our Secretary, Jennifer Mello, TPG Specialty Lending, Inc., 345 California Street, Suite 3300, San Francisco, CA 94104, Attention: TSLX Investor Relations, or by emailing us at IRTSL@tpg.com.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200" w:hanging="325"/>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86"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345 California Street, Suite 3300 San Francisco, CA 94104, Attention: TSLX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TSLX Investor Relations, or by emailing us at IRTSL@tpg.com.</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or a combination of these methods.</w:t>
      </w:r>
    </w:p>
    <w:p>
      <w:pPr>
        <w:spacing w:after="0" w:line="18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2014 and 2013, and for each of the years in the three-year period ended December 31, 2014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9520" w:type="dxa"/>
            <w:vAlign w:val="bottom"/>
            <w:gridSpan w:val="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7"/>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445"/>
        </w:trPr>
        <w:tc>
          <w:tcPr>
            <w:tcW w:w="9520" w:type="dxa"/>
            <w:vAlign w:val="bottom"/>
            <w:gridSpan w:val="9"/>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9"/>
          </w:tcPr>
          <w:p>
            <w:pPr>
              <w:spacing w:after="0" w:line="190" w:lineRule="exact"/>
              <w:rPr>
                <w:rFonts w:ascii="Arial" w:cs="Arial" w:eastAsia="Arial" w:hAnsi="Arial"/>
                <w:sz w:val="18"/>
                <w:szCs w:val="18"/>
                <w:color w:val="0000EE"/>
              </w:rPr>
            </w:pPr>
            <w:hyperlink w:anchor="page183">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Consolidated Balance Sheets as of December 31, 2014 and 2013</w:t>
              </w:r>
            </w:hyperlink>
          </w:p>
        </w:tc>
        <w:tc>
          <w:tcPr>
            <w:tcW w:w="48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9520" w:type="dxa"/>
            <w:vAlign w:val="bottom"/>
            <w:gridSpan w:val="9"/>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Consolidated Statements of Operations for the Years Ended December 31, 2014, 2013 and 2012</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9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Consolidated Schedules of Investments as of December 31, 2014 and 2013</w:t>
              </w:r>
            </w:hyperlink>
          </w:p>
        </w:tc>
        <w:tc>
          <w:tcPr>
            <w:tcW w:w="262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9"/>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Consolidated Statements of Changes in Net Assets for the Years Ended December 31, 2014, 2013 and 2012</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r>
      <w:tr>
        <w:trPr>
          <w:trHeight w:val="196"/>
        </w:trPr>
        <w:tc>
          <w:tcPr>
            <w:tcW w:w="774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194">
              <w:r>
                <w:rPr>
                  <w:rFonts w:ascii="Arial" w:cs="Arial" w:eastAsia="Arial" w:hAnsi="Arial"/>
                  <w:sz w:val="18"/>
                  <w:szCs w:val="18"/>
                  <w:color w:val="0000EE"/>
                  <w:w w:val="99"/>
                </w:rPr>
                <w:t>Consolidated Statements of Cash Flows for the Years Ended December 31, 2014, 2013 and 2012</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69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Notes to Consolidated Financial Statements</w:t>
              </w:r>
            </w:hyperlink>
          </w:p>
        </w:tc>
        <w:tc>
          <w:tcPr>
            <w:tcW w:w="256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4"/>
          </w:tcPr>
          <w:p>
            <w:pPr>
              <w:jc w:val="center"/>
              <w:ind w:right="350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2014 and 2013, and the related consolidated statements of operations, changes in net assets, and cash flows for each of the years in the three-year period ended December 31, 2014. We also have audited TPG Specialty Lending, Inc.’s internal control over financial reporting as of December 31, 2014, based on criteria established in Internal Control—Integrated Framework (1992)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balance sheets of TPG Specialty Lending, Inc. (and subsidiaries), including the consolidated schedules of investments, as of December 31, 2014 and 2013, and the related consolidated statements of operations, changes in net assets, and cash flows for each of the years in the three-year period ended December 31, 2014, in conformity with U.S. generally accepted accounting principles. Also in our opinion, TPG Specialty Lending, Inc. maintained, in all material respects, effective internal control over financial reporting as of December 31, 2014, based on criteria established in Internal Control – Integrated Framework (1992) issued by the Committee of Sponsoring Organizations of the Treadway Commission (COSO).</w:t>
      </w:r>
    </w:p>
    <w:p>
      <w:pPr>
        <w:spacing w:after="0" w:line="19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$1,225,672 and $997,298,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1,221,875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$47,580 and $0, respectively)</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$1,273,252 and $997,298, respectively)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1,263,511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1,303,731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395,864</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468,326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53,798,357 and 37,027,022 shares issued, respectively;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and 53,797,358 and 37,026,023 shares outstanding, respectively</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808,053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unrealized gains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1,303,731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1,039,150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00" w:type="dxa"/>
            <w:vAlign w:val="bottom"/>
          </w:tcPr>
          <w:p>
            <w:pPr>
              <w:spacing w:after="0"/>
              <w:rPr>
                <w:sz w:val="14"/>
                <w:szCs w:val="14"/>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December 31, 2013</w:t>
            </w:r>
          </w:p>
        </w:tc>
        <w:tc>
          <w:tcPr>
            <w:tcW w:w="400" w:type="dxa"/>
            <w:vAlign w:val="bottom"/>
          </w:tcPr>
          <w:p>
            <w:pPr>
              <w:spacing w:after="0"/>
              <w:rPr>
                <w:sz w:val="14"/>
                <w:szCs w:val="14"/>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Income</w:t>
            </w:r>
          </w:p>
        </w:tc>
        <w:tc>
          <w:tcPr>
            <w:tcW w:w="4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Investment income from non-controlled, non-affiliated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from investments</w:t>
            </w:r>
          </w:p>
        </w:tc>
        <w:tc>
          <w:tcPr>
            <w:tcW w:w="5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151,020</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90,374</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46,402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9,162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2,233</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from cash and cash equivalents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56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160,183</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92,610</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47,046</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income from 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Interest from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Dividend income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investment income from 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Investment income from controlled, 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from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2,994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investment income from 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3,137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163,320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92,610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51,011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Interest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15,078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10,469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18,296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13,376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Incentive fees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17,839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11,790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4,752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3,691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Directors’ fees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285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general and administrative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3,858</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2,434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560"/>
              <w:spacing w:after="0" w:line="155" w:lineRule="exact"/>
              <w:rPr>
                <w:sz w:val="20"/>
                <w:szCs w:val="20"/>
                <w:color w:val="auto"/>
              </w:rPr>
            </w:pPr>
            <w:r>
              <w:rPr>
                <w:rFonts w:ascii="Arial" w:cs="Arial" w:eastAsia="Arial" w:hAnsi="Arial"/>
                <w:sz w:val="14"/>
                <w:szCs w:val="14"/>
                <w:color w:val="auto"/>
              </w:rPr>
              <w:t>Total expenses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60,165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42,045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26,640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fees waived (Note 3)</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(2,464)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(7,135)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b w:val="1"/>
                <w:bCs w:val="1"/>
                <w:color w:val="auto"/>
              </w:rPr>
              <w:t>Net Expenses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57,701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34,910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22,936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Investment Income Before Income Taxes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105,619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57,700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Income taxes, including excise taxes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1,144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199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Investment Income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104,475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57,501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28,029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b w:val="1"/>
                <w:bCs w:val="1"/>
                <w:color w:val="auto"/>
              </w:rPr>
              <w:t>Unrealized and Realized Gains (Losses)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gains (losses):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(22,950)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9,630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Controlled, 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(5,945)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Translation of assets and liabilities in foreign currencies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8,909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Interest rate swaps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1,020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 currency forward contracts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1,244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(1,244)</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(17,722)</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8,386</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7,211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Realized gains (losses):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Non-controlled, non-affiliated investments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1,061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Non-controlled, affiliated investments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280"/>
              <w:spacing w:after="0" w:line="149" w:lineRule="exact"/>
              <w:rPr>
                <w:sz w:val="20"/>
                <w:szCs w:val="20"/>
                <w:color w:val="auto"/>
              </w:rPr>
            </w:pPr>
            <w:r>
              <w:rPr>
                <w:rFonts w:ascii="Arial" w:cs="Arial" w:eastAsia="Arial" w:hAnsi="Arial"/>
                <w:sz w:val="14"/>
                <w:szCs w:val="14"/>
                <w:color w:val="auto"/>
              </w:rPr>
              <w:t>Foreign currency transactions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(1,839)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35</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realized gains (losses)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(1,703)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1,096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4,355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Total Unrealized and Realized Gains (Losses)</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(19,425)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9,482</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11,566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85,050</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66,983</w:t>
            </w:r>
          </w:p>
        </w:tc>
        <w:tc>
          <w:tcPr>
            <w:tcW w:w="54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39,595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4"/>
                <w:szCs w:val="14"/>
                <w:color w:val="auto"/>
              </w:rPr>
              <w:t>Earnings per common share—basic and diluted</w:t>
            </w:r>
            <w:r>
              <w:rPr>
                <w:rFonts w:ascii="Arial" w:cs="Arial" w:eastAsia="Arial" w:hAnsi="Arial"/>
                <w:sz w:val="12"/>
                <w:szCs w:val="12"/>
                <w:color w:val="auto"/>
              </w:rPr>
              <w:t>(1)</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1.68</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1.93</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1.93</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of common stock outstanding—basic and diluted</w:t>
            </w:r>
            <w:r>
              <w:rPr>
                <w:rFonts w:ascii="Arial" w:cs="Arial" w:eastAsia="Arial" w:hAnsi="Arial"/>
                <w:sz w:val="12"/>
                <w:szCs w:val="12"/>
                <w:color w:val="auto"/>
              </w:rPr>
              <w:t>(1)</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50,509,692</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34,635,208</w:t>
            </w: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20,541,475</w:t>
            </w: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right="400" w:hanging="332"/>
        <w:spacing w:after="0" w:line="253"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As further described in Note 9, the indicated amounts for the year ended December 31, 2012 have been retroactively adjusted for the stock split which was effected in the form of a stock dividend.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5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Investment</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Automotive</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First-lien loan ($32,826 par, due 6/2017)</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9.75%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8/28/2012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32,340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30,447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80" w:type="dxa"/>
            <w:vAlign w:val="bottom"/>
            <w:gridSpan w:val="2"/>
          </w:tcPr>
          <w:p>
            <w:pPr>
              <w:spacing w:after="0" w:line="130" w:lineRule="exact"/>
              <w:rPr>
                <w:sz w:val="20"/>
                <w:szCs w:val="20"/>
                <w:color w:val="auto"/>
              </w:rPr>
            </w:pPr>
            <w:r>
              <w:rPr>
                <w:rFonts w:ascii="Arial" w:cs="Arial" w:eastAsia="Arial" w:hAnsi="Arial"/>
                <w:sz w:val="14"/>
                <w:szCs w:val="14"/>
                <w:color w:val="auto"/>
              </w:rPr>
              <w:t>First-lien revolving loan</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($4,500 par, due 6/2017)</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80" w:type="dxa"/>
            <w:vAlign w:val="bottom"/>
          </w:tcPr>
          <w:p>
            <w:pPr>
              <w:jc w:val="right"/>
              <w:spacing w:after="0"/>
              <w:rPr>
                <w:sz w:val="20"/>
                <w:szCs w:val="20"/>
                <w:color w:val="auto"/>
              </w:rPr>
            </w:pPr>
            <w:r>
              <w:rPr>
                <w:rFonts w:ascii="Arial" w:cs="Arial" w:eastAsia="Arial" w:hAnsi="Arial"/>
                <w:sz w:val="14"/>
                <w:szCs w:val="14"/>
                <w:color w:val="auto"/>
              </w:rPr>
              <w:t>4,421</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4,097</w:t>
            </w:r>
          </w:p>
        </w:tc>
        <w:tc>
          <w:tcPr>
            <w:tcW w:w="30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36,761</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34,544</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Beverage, food and tobacco</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($64,399 par, due 3/2020)</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3/3/2014</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63,102</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63,111</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4200" w:type="dxa"/>
            <w:vAlign w:val="bottom"/>
            <w:gridSpan w:val="2"/>
          </w:tcPr>
          <w:p>
            <w:pPr>
              <w:spacing w:after="0"/>
              <w:rPr>
                <w:sz w:val="20"/>
                <w:szCs w:val="20"/>
                <w:color w:val="auto"/>
              </w:rPr>
            </w:pPr>
            <w:r>
              <w:rPr>
                <w:rFonts w:ascii="Arial" w:cs="Arial" w:eastAsia="Arial" w:hAnsi="Arial"/>
                <w:sz w:val="14"/>
                <w:szCs w:val="14"/>
                <w:color w:val="auto"/>
              </w:rPr>
              <w:t>Great Atlantic &amp; Pacific Tea Co. Inc.</w:t>
            </w:r>
            <w:r>
              <w:rPr>
                <w:rFonts w:ascii="Arial" w:cs="Arial" w:eastAsia="Arial" w:hAnsi="Arial"/>
                <w:sz w:val="12"/>
                <w:szCs w:val="12"/>
                <w:color w:val="auto"/>
              </w:rPr>
              <w:t>(3)(4)</w:t>
            </w:r>
          </w:p>
        </w:tc>
        <w:tc>
          <w:tcPr>
            <w:tcW w:w="2580" w:type="dxa"/>
            <w:vAlign w:val="bottom"/>
            <w:gridSpan w:val="2"/>
          </w:tcPr>
          <w:p>
            <w:pPr>
              <w:spacing w:after="0"/>
              <w:rPr>
                <w:sz w:val="20"/>
                <w:szCs w:val="20"/>
                <w:color w:val="auto"/>
              </w:rPr>
            </w:pPr>
            <w:r>
              <w:rPr>
                <w:rFonts w:ascii="Arial" w:cs="Arial" w:eastAsia="Arial" w:hAnsi="Arial"/>
                <w:sz w:val="14"/>
                <w:szCs w:val="14"/>
                <w:color w:val="auto"/>
              </w:rPr>
              <w:t>First-lien loan ($22,787 par, due 9/2019)</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9.85%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9/17/2014</w:t>
            </w:r>
          </w:p>
        </w:tc>
        <w:tc>
          <w:tcPr>
            <w:tcW w:w="680" w:type="dxa"/>
            <w:vAlign w:val="bottom"/>
          </w:tcPr>
          <w:p>
            <w:pPr>
              <w:jc w:val="right"/>
              <w:spacing w:after="0"/>
              <w:rPr>
                <w:sz w:val="20"/>
                <w:szCs w:val="20"/>
                <w:color w:val="auto"/>
              </w:rPr>
            </w:pPr>
            <w:r>
              <w:rPr>
                <w:rFonts w:ascii="Arial" w:cs="Arial" w:eastAsia="Arial" w:hAnsi="Arial"/>
                <w:sz w:val="14"/>
                <w:szCs w:val="14"/>
                <w:color w:val="auto"/>
              </w:rPr>
              <w:t>22,426</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22,274</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85,528</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85,385</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Business services</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($63,933 par, due 4/2018)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4/11/2013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62,282</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63,933</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12"/>
                <w:szCs w:val="12"/>
                <w:color w:val="auto"/>
              </w:rPr>
              <w:t>(3)(5)</w:t>
            </w:r>
          </w:p>
        </w:tc>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($16,418 par, due 6/2019)</w:t>
            </w:r>
          </w:p>
        </w:tc>
        <w:tc>
          <w:tcPr>
            <w:tcW w:w="8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6/30/2014</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16,077</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16,003</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12"/>
                <w:szCs w:val="12"/>
                <w:color w:val="auto"/>
              </w:rPr>
              <w:t>(3)(4)</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($29,659 par, due 9/2018)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9/12/2013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29,204</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29,506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12"/>
                <w:szCs w:val="12"/>
                <w:color w:val="auto"/>
              </w:rPr>
              <w:t>(3)(4)</w:t>
            </w:r>
          </w:p>
        </w:tc>
        <w:tc>
          <w:tcPr>
            <w:tcW w:w="258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($16,071 par,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color w:val="auto"/>
              </w:rPr>
              <w:t>due 12/2019)</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12/30/2014</w:t>
            </w:r>
          </w:p>
        </w:tc>
        <w:tc>
          <w:tcPr>
            <w:tcW w:w="680" w:type="dxa"/>
            <w:vAlign w:val="bottom"/>
          </w:tcPr>
          <w:p>
            <w:pPr>
              <w:jc w:val="right"/>
              <w:spacing w:after="0"/>
              <w:rPr>
                <w:sz w:val="20"/>
                <w:szCs w:val="20"/>
                <w:color w:val="auto"/>
              </w:rPr>
            </w:pPr>
            <w:r>
              <w:rPr>
                <w:rFonts w:ascii="Arial" w:cs="Arial" w:eastAsia="Arial" w:hAnsi="Arial"/>
                <w:sz w:val="14"/>
                <w:szCs w:val="14"/>
                <w:color w:val="auto"/>
              </w:rPr>
              <w:t>15,628</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15,621</w:t>
            </w:r>
          </w:p>
        </w:tc>
        <w:tc>
          <w:tcPr>
            <w:tcW w:w="3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123,191</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125,063</w:t>
            </w:r>
          </w:p>
        </w:tc>
        <w:tc>
          <w:tcPr>
            <w:tcW w:w="3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Chemicals</w:t>
            </w: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12"/>
                <w:szCs w:val="12"/>
                <w:color w:val="auto"/>
              </w:rPr>
              <w:t>(3)(4)</w:t>
            </w:r>
          </w:p>
        </w:tc>
        <w:tc>
          <w:tcPr>
            <w:tcW w:w="2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($19,950 par,</w:t>
            </w: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10/2019)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10/31/2014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19,267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18,753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Communications</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IPC Systems, Inc.</w:t>
            </w:r>
            <w:r>
              <w:rPr>
                <w:rFonts w:ascii="Arial" w:cs="Arial" w:eastAsia="Arial" w:hAnsi="Arial"/>
                <w:sz w:val="12"/>
                <w:szCs w:val="12"/>
                <w:color w:val="auto"/>
              </w:rPr>
              <w:t>(3)(4)</w:t>
            </w:r>
          </w:p>
        </w:tc>
        <w:tc>
          <w:tcPr>
            <w:tcW w:w="25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($17,000 par,</w:t>
            </w: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5/2021)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5/2/2014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16,935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17,680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Containers and packaging</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Newark Group, Inc.</w:t>
            </w:r>
            <w:r>
              <w:rPr>
                <w:rFonts w:ascii="Arial" w:cs="Arial" w:eastAsia="Arial" w:hAnsi="Arial"/>
                <w:sz w:val="12"/>
                <w:szCs w:val="12"/>
                <w:color w:val="auto"/>
              </w:rPr>
              <w:t>(3)(4)</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($39,240 par, due 2/2018)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38,984</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40,025</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42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Education</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12"/>
                <w:szCs w:val="12"/>
                <w:color w:val="auto"/>
              </w:rPr>
              <w:t>(3)(4)(6)</w:t>
            </w: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($28,125 par, due 9/2018)</w:t>
            </w:r>
          </w:p>
        </w:tc>
        <w:tc>
          <w:tcPr>
            <w:tcW w:w="8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8.75%</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9/30/2013</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27,576</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27,914</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Cost</w:t>
            </w:r>
            <w:r>
              <w:rPr>
                <w:rFonts w:ascii="Arial" w:cs="Arial" w:eastAsia="Arial" w:hAnsi="Arial"/>
                <w:sz w:val="12"/>
                <w:szCs w:val="12"/>
                <w:b w:val="1"/>
                <w:bCs w:val="1"/>
                <w:color w:val="auto"/>
                <w:w w:val="91"/>
              </w:rPr>
              <w:t>(2)</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Electronics</w:t>
            </w:r>
          </w:p>
        </w:tc>
        <w:tc>
          <w:tcPr>
            <w:tcW w:w="2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lef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MyAlarm Center, LLC</w:t>
            </w:r>
            <w:r>
              <w:rPr>
                <w:rFonts w:ascii="Arial" w:cs="Arial" w:eastAsia="Arial" w:hAnsi="Arial"/>
                <w:sz w:val="12"/>
                <w:szCs w:val="12"/>
                <w:color w:val="auto"/>
              </w:rPr>
              <w:t>(3)(4)</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($61,861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1/2018)</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1/9/2014</w:t>
            </w:r>
          </w:p>
        </w:tc>
        <w:tc>
          <w:tcPr>
            <w:tcW w:w="740" w:type="dxa"/>
            <w:vAlign w:val="bottom"/>
          </w:tcPr>
          <w:p>
            <w:pPr>
              <w:jc w:val="right"/>
              <w:spacing w:after="0"/>
              <w:rPr>
                <w:sz w:val="20"/>
                <w:szCs w:val="20"/>
                <w:color w:val="auto"/>
              </w:rPr>
            </w:pPr>
            <w:r>
              <w:rPr>
                <w:rFonts w:ascii="Arial" w:cs="Arial" w:eastAsia="Arial" w:hAnsi="Arial"/>
                <w:sz w:val="14"/>
                <w:szCs w:val="14"/>
                <w:color w:val="auto"/>
              </w:rPr>
              <w:t>61,013</w:t>
            </w: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60,893</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16.25%</w:t>
            </w: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Mezzanine loan ($4,887 par,</w:t>
            </w: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(incl. 4.25%</w:t>
            </w: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7/2018)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4,520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APX Group Inc.</w:t>
            </w:r>
            <w:r>
              <w:rPr>
                <w:rFonts w:ascii="Arial" w:cs="Arial" w:eastAsia="Arial" w:hAnsi="Arial"/>
                <w:sz w:val="12"/>
                <w:szCs w:val="12"/>
                <w:color w:val="auto"/>
              </w:rPr>
              <w:t>(3)(4)</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bond 6.375%</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($5,000 par, due 12/2019)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6.38%</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12/12/2014</w:t>
            </w:r>
          </w:p>
        </w:tc>
        <w:tc>
          <w:tcPr>
            <w:tcW w:w="740" w:type="dxa"/>
            <w:vAlign w:val="bottom"/>
          </w:tcPr>
          <w:p>
            <w:pPr>
              <w:jc w:val="right"/>
              <w:spacing w:after="0"/>
              <w:rPr>
                <w:sz w:val="20"/>
                <w:szCs w:val="20"/>
                <w:color w:val="auto"/>
              </w:rPr>
            </w:pPr>
            <w:r>
              <w:rPr>
                <w:rFonts w:ascii="Arial" w:cs="Arial" w:eastAsia="Arial" w:hAnsi="Arial"/>
                <w:sz w:val="14"/>
                <w:szCs w:val="14"/>
                <w:color w:val="auto"/>
              </w:rPr>
              <w:t>4,727</w:t>
            </w: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4,788</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bond 8.75%</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($10,000 par, due 12/2020)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12/11/2014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8,566</w:t>
            </w:r>
          </w:p>
        </w:tc>
        <w:tc>
          <w:tcPr>
            <w:tcW w:w="30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79,155</w:t>
            </w:r>
          </w:p>
        </w:tc>
        <w:tc>
          <w:tcPr>
            <w:tcW w:w="30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78,645</w:t>
            </w:r>
          </w:p>
        </w:tc>
        <w:tc>
          <w:tcPr>
            <w:tcW w:w="300" w:type="dxa"/>
            <w:vAlign w:val="bottom"/>
            <w:vMerge w:val="continue"/>
          </w:tcPr>
          <w:p>
            <w:pPr>
              <w:spacing w:after="0"/>
              <w:rPr>
                <w:sz w:val="14"/>
                <w:szCs w:val="14"/>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Financial services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($40,243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12/2017)</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12/28/2012</w:t>
            </w:r>
          </w:p>
        </w:tc>
        <w:tc>
          <w:tcPr>
            <w:tcW w:w="740" w:type="dxa"/>
            <w:vAlign w:val="bottom"/>
          </w:tcPr>
          <w:p>
            <w:pPr>
              <w:jc w:val="right"/>
              <w:spacing w:after="0"/>
              <w:rPr>
                <w:sz w:val="20"/>
                <w:szCs w:val="20"/>
                <w:color w:val="auto"/>
              </w:rPr>
            </w:pPr>
            <w:r>
              <w:rPr>
                <w:rFonts w:ascii="Arial" w:cs="Arial" w:eastAsia="Arial" w:hAnsi="Arial"/>
                <w:sz w:val="14"/>
                <w:szCs w:val="14"/>
                <w:color w:val="auto"/>
              </w:rPr>
              <w:t>39,585</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40,544</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($66,470 par,</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11/21/2012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65,344</w:t>
            </w:r>
          </w:p>
        </w:tc>
        <w:tc>
          <w:tcPr>
            <w:tcW w:w="30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65,971</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104,929</w:t>
            </w:r>
          </w:p>
        </w:tc>
        <w:tc>
          <w:tcPr>
            <w:tcW w:w="30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106,515</w:t>
            </w:r>
          </w:p>
        </w:tc>
        <w:tc>
          <w:tcPr>
            <w:tcW w:w="300" w:type="dxa"/>
            <w:vAlign w:val="bottom"/>
            <w:vMerge w:val="continue"/>
          </w:tcPr>
          <w:p>
            <w:pPr>
              <w:spacing w:after="0"/>
              <w:rPr>
                <w:sz w:val="14"/>
                <w:szCs w:val="14"/>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Aesynt Incorporated</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($34,563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5/2019)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7.00%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5/8/2014</w:t>
            </w:r>
          </w:p>
        </w:tc>
        <w:tc>
          <w:tcPr>
            <w:tcW w:w="740" w:type="dxa"/>
            <w:vAlign w:val="bottom"/>
          </w:tcPr>
          <w:p>
            <w:pPr>
              <w:jc w:val="right"/>
              <w:spacing w:after="0"/>
              <w:rPr>
                <w:sz w:val="20"/>
                <w:szCs w:val="20"/>
                <w:color w:val="auto"/>
              </w:rPr>
            </w:pPr>
            <w:r>
              <w:rPr>
                <w:rFonts w:ascii="Arial" w:cs="Arial" w:eastAsia="Arial" w:hAnsi="Arial"/>
                <w:sz w:val="14"/>
                <w:szCs w:val="14"/>
                <w:color w:val="auto"/>
              </w:rPr>
              <w:t>33,714</w:t>
            </w: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33,526</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Global Healthcare Exchange, Inc.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($46,250 par,</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3/2020)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3/11/2014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45,149</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45,139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(3)(5)</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11.50%</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spacing w:after="0" w:line="154" w:lineRule="exact"/>
              <w:rPr>
                <w:sz w:val="20"/>
                <w:szCs w:val="20"/>
                <w:color w:val="auto"/>
              </w:rPr>
            </w:pPr>
            <w:r>
              <w:rPr>
                <w:rFonts w:ascii="Arial" w:cs="Arial" w:eastAsia="Arial" w:hAnsi="Arial"/>
                <w:sz w:val="14"/>
                <w:szCs w:val="14"/>
                <w:color w:val="auto"/>
              </w:rPr>
              <w:t>First-lien loan (EUR 28,014</w:t>
            </w:r>
          </w:p>
        </w:tc>
        <w:tc>
          <w:tcPr>
            <w:tcW w:w="114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(incl. 3.00%</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par, due 9/2019)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9/30/2014</w:t>
            </w:r>
          </w:p>
        </w:tc>
        <w:tc>
          <w:tcPr>
            <w:tcW w:w="740" w:type="dxa"/>
            <w:vAlign w:val="bottom"/>
          </w:tcPr>
          <w:p>
            <w:pPr>
              <w:jc w:val="right"/>
              <w:spacing w:after="0"/>
              <w:rPr>
                <w:sz w:val="20"/>
                <w:szCs w:val="20"/>
                <w:color w:val="auto"/>
              </w:rPr>
            </w:pPr>
            <w:r>
              <w:rPr>
                <w:rFonts w:ascii="Arial" w:cs="Arial" w:eastAsia="Arial" w:hAnsi="Arial"/>
                <w:sz w:val="14"/>
                <w:szCs w:val="14"/>
                <w:color w:val="auto"/>
              </w:rPr>
              <w:t>33,761</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32,373</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4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revolving loan</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 300 par, due 9/2019)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9/30/2014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300" w:type="dxa"/>
            <w:vAlign w:val="bottom"/>
            <w:tcBorders>
              <w:left w:val="single" w:sz="8" w:color="CCEEFF"/>
            </w:tcBorders>
            <w:shd w:val="clear" w:color="auto" w:fill="CCEEFF"/>
          </w:tcPr>
          <w:p>
            <w:pPr>
              <w:spacing w:after="0"/>
              <w:rPr>
                <w:sz w:val="15"/>
                <w:szCs w:val="15"/>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227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($69,405 par,</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5/2018)</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7.00%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11/9/2012</w:t>
            </w:r>
          </w:p>
        </w:tc>
        <w:tc>
          <w:tcPr>
            <w:tcW w:w="740" w:type="dxa"/>
            <w:vAlign w:val="bottom"/>
          </w:tcPr>
          <w:p>
            <w:pPr>
              <w:jc w:val="right"/>
              <w:spacing w:after="0"/>
              <w:rPr>
                <w:sz w:val="20"/>
                <w:szCs w:val="20"/>
                <w:color w:val="auto"/>
              </w:rPr>
            </w:pPr>
            <w:r>
              <w:rPr>
                <w:rFonts w:ascii="Arial" w:cs="Arial" w:eastAsia="Arial" w:hAnsi="Arial"/>
                <w:sz w:val="14"/>
                <w:szCs w:val="14"/>
                <w:color w:val="auto"/>
              </w:rPr>
              <w:t>68,221</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68,885</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($33,750 par,</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12/2017)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12/28/2012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33,192</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33,834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revolving loan</w:t>
            </w: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par, due 12/2017)</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12/28/2012</w:t>
            </w:r>
          </w:p>
        </w:tc>
        <w:tc>
          <w:tcPr>
            <w:tcW w:w="740" w:type="dxa"/>
            <w:vAlign w:val="bottom"/>
          </w:tcPr>
          <w:p>
            <w:pPr>
              <w:jc w:val="right"/>
              <w:spacing w:after="0"/>
              <w:rPr>
                <w:sz w:val="20"/>
                <w:szCs w:val="20"/>
                <w:color w:val="auto"/>
              </w:rPr>
            </w:pPr>
            <w:r>
              <w:rPr>
                <w:rFonts w:ascii="Arial" w:cs="Arial" w:eastAsia="Arial" w:hAnsi="Arial"/>
                <w:sz w:val="14"/>
                <w:szCs w:val="14"/>
                <w:color w:val="auto"/>
              </w:rPr>
              <w:t>1,933</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2,005</w:t>
            </w:r>
          </w:p>
        </w:tc>
        <w:tc>
          <w:tcPr>
            <w:tcW w:w="3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216,205</w:t>
            </w:r>
          </w:p>
        </w:tc>
        <w:tc>
          <w:tcPr>
            <w:tcW w:w="30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215,989</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56"/>
        </w:trPr>
        <w:tc>
          <w:tcPr>
            <w:tcW w:w="420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($10,000</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2/2020)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2/15/2013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9,931</w:t>
            </w:r>
          </w:p>
        </w:tc>
        <w:tc>
          <w:tcPr>
            <w:tcW w:w="300" w:type="dxa"/>
            <w:vAlign w:val="bottom"/>
            <w:tcBorders>
              <w:lef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9,913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IRG Sports &amp; Entertainment, LLC</w:t>
            </w:r>
            <w:r>
              <w:rPr>
                <w:rFonts w:ascii="Arial" w:cs="Arial" w:eastAsia="Arial" w:hAnsi="Arial"/>
                <w:sz w:val="12"/>
                <w:szCs w:val="12"/>
                <w:color w:val="auto"/>
              </w:rPr>
              <w:t>(3)(4)</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12.00%</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spacing w:after="0" w:line="154" w:lineRule="exact"/>
              <w:rPr>
                <w:sz w:val="20"/>
                <w:szCs w:val="20"/>
                <w:color w:val="auto"/>
              </w:rPr>
            </w:pPr>
            <w:r>
              <w:rPr>
                <w:rFonts w:ascii="Arial" w:cs="Arial" w:eastAsia="Arial" w:hAnsi="Arial"/>
                <w:sz w:val="14"/>
                <w:szCs w:val="14"/>
                <w:color w:val="auto"/>
              </w:rPr>
              <w:t>First-lien loan ($43,653 par,</w:t>
            </w:r>
          </w:p>
        </w:tc>
        <w:tc>
          <w:tcPr>
            <w:tcW w:w="114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(incl. 5.00%</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9/2019)</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9/30/2014</w:t>
            </w:r>
          </w:p>
        </w:tc>
        <w:tc>
          <w:tcPr>
            <w:tcW w:w="740" w:type="dxa"/>
            <w:vAlign w:val="bottom"/>
          </w:tcPr>
          <w:p>
            <w:pPr>
              <w:jc w:val="right"/>
              <w:spacing w:after="0"/>
              <w:rPr>
                <w:sz w:val="20"/>
                <w:szCs w:val="20"/>
                <w:color w:val="auto"/>
              </w:rPr>
            </w:pPr>
            <w:r>
              <w:rPr>
                <w:rFonts w:ascii="Arial" w:cs="Arial" w:eastAsia="Arial" w:hAnsi="Arial"/>
                <w:sz w:val="14"/>
                <w:szCs w:val="14"/>
                <w:color w:val="auto"/>
              </w:rPr>
              <w:t>41,073</w:t>
            </w:r>
          </w:p>
        </w:tc>
        <w:tc>
          <w:tcPr>
            <w:tcW w:w="3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40,161</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bond (GBP</w:t>
            </w: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13,750 par, due 10/2018)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9.13%</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9/20/2013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22,826</w:t>
            </w:r>
          </w:p>
        </w:tc>
        <w:tc>
          <w:tcPr>
            <w:tcW w:w="30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22,565</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73,830</w:t>
            </w:r>
          </w:p>
        </w:tc>
        <w:tc>
          <w:tcPr>
            <w:tcW w:w="30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72,639</w:t>
            </w:r>
          </w:p>
        </w:tc>
        <w:tc>
          <w:tcPr>
            <w:tcW w:w="300" w:type="dxa"/>
            <w:vAlign w:val="bottom"/>
            <w:vMerge w:val="continue"/>
          </w:tcPr>
          <w:p>
            <w:pPr>
              <w:spacing w:after="0"/>
              <w:rPr>
                <w:sz w:val="13"/>
                <w:szCs w:val="13"/>
                <w:color w:val="auto"/>
              </w:rPr>
            </w:pPr>
          </w:p>
        </w:tc>
        <w:tc>
          <w:tcPr>
            <w:tcW w:w="11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Initial</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Amortized</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0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b w:val="1"/>
                <w:bCs w:val="1"/>
                <w:color w:val="auto"/>
              </w:rPr>
              <w:t>Insurance</w:t>
            </w:r>
          </w:p>
        </w:tc>
        <w:tc>
          <w:tcPr>
            <w:tcW w:w="2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($35,438 par,</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6/2017)</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10.00%</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6/1/2012</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35,034</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35,260</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revolving loan</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($2,010 par, due 6/2017)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6/1/2012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1,961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1,985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Insurity, Inc.</w:t>
            </w:r>
            <w:r>
              <w:rPr>
                <w:rFonts w:ascii="Arial" w:cs="Arial" w:eastAsia="Arial" w:hAnsi="Arial"/>
                <w:sz w:val="12"/>
                <w:szCs w:val="12"/>
                <w:color w:val="auto"/>
              </w:rPr>
              <w:t>(3)(4)(6)</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($65,000 par,</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10/2020)</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7.50%</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10/31/2014</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64,363</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64,025</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101,358</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101,270</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Internet Services</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($41,401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7/2018)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3/7/2014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40,931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40,859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Manufacturing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(SEK 203,140</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3/2019)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8.75%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6/5/2013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30,897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25,690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Metals and mining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(3)(4)(6)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($19,973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10.50%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11/21/2013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17,699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21,321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Office products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($35,390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3/2019)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7.25%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3/11/2014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35,090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34,868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Milagro Exploration, LLC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($62,857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9/2017)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9/4/2014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62,130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61,457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(3)(4)(7)</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13.00%</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($39,505 par,</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(incl. 1.50%</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due 6/2018)</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6/4/2014</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38,706</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37,381</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100,836</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98,838</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Specialty Retail</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Toys ‘R’ Us-Delaware, Inc.</w:t>
            </w:r>
            <w:r>
              <w:rPr>
                <w:rFonts w:ascii="Arial" w:cs="Arial" w:eastAsia="Arial" w:hAnsi="Arial"/>
                <w:sz w:val="12"/>
                <w:szCs w:val="12"/>
                <w:color w:val="auto"/>
              </w:rPr>
              <w:t>(3)(4)</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($42,000 par,</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8.25%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10/10/2014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41,149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41,370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Transportation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Second-lien loan ($62,500</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 due 10/2019)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9.50%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10/2/2013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61,428</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61,250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Debt Investments</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18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1,251,749</w:t>
            </w:r>
          </w:p>
        </w:tc>
        <w:tc>
          <w:tcPr>
            <w:tcW w:w="30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1,248,618</w:t>
            </w:r>
          </w:p>
        </w:tc>
        <w:tc>
          <w:tcPr>
            <w:tcW w:w="300" w:type="dxa"/>
            <w:vAlign w:val="bottom"/>
            <w:vMerge w:val="continue"/>
          </w:tcPr>
          <w:p>
            <w:pPr>
              <w:spacing w:after="0"/>
              <w:rPr>
                <w:sz w:val="14"/>
                <w:szCs w:val="14"/>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and Other Investments Business services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Network Merchants, Inc</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Non-Voting Preferred Units</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(774,099 units)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9/12/2013</w:t>
            </w:r>
          </w:p>
        </w:tc>
        <w:tc>
          <w:tcPr>
            <w:tcW w:w="720" w:type="dxa"/>
            <w:vAlign w:val="bottom"/>
          </w:tcPr>
          <w:p>
            <w:pPr>
              <w:jc w:val="right"/>
              <w:spacing w:after="0"/>
              <w:rPr>
                <w:sz w:val="20"/>
                <w:szCs w:val="20"/>
                <w:color w:val="auto"/>
              </w:rPr>
            </w:pPr>
            <w:r>
              <w:rPr>
                <w:rFonts w:ascii="Arial" w:cs="Arial" w:eastAsia="Arial" w:hAnsi="Arial"/>
                <w:sz w:val="14"/>
                <w:szCs w:val="14"/>
                <w:color w:val="auto"/>
              </w:rPr>
              <w:t>780</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932</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tcPr>
          <w:p>
            <w:pPr>
              <w:spacing w:after="0" w:line="130" w:lineRule="exact"/>
              <w:rPr>
                <w:sz w:val="20"/>
                <w:szCs w:val="20"/>
                <w:color w:val="auto"/>
              </w:rPr>
            </w:pPr>
            <w:r>
              <w:rPr>
                <w:rFonts w:ascii="Arial" w:cs="Arial" w:eastAsia="Arial" w:hAnsi="Arial"/>
                <w:sz w:val="14"/>
                <w:szCs w:val="14"/>
                <w:color w:val="auto"/>
              </w:rPr>
              <w:t>Global Healthcare Exchange, LLC</w:t>
            </w: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A</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(598 shares)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3/11/2014</w:t>
            </w:r>
          </w:p>
        </w:tc>
        <w:tc>
          <w:tcPr>
            <w:tcW w:w="720" w:type="dxa"/>
            <w:vAlign w:val="bottom"/>
          </w:tcPr>
          <w:p>
            <w:pPr>
              <w:jc w:val="right"/>
              <w:spacing w:after="0"/>
              <w:rPr>
                <w:sz w:val="20"/>
                <w:szCs w:val="20"/>
                <w:color w:val="auto"/>
              </w:rPr>
            </w:pPr>
            <w:r>
              <w:rPr>
                <w:rFonts w:ascii="Arial" w:cs="Arial" w:eastAsia="Arial" w:hAnsi="Arial"/>
                <w:sz w:val="14"/>
                <w:szCs w:val="14"/>
                <w:color w:val="auto"/>
              </w:rPr>
              <w:t>467</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467</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B</w:t>
            </w: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(196 shares)</w:t>
            </w: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3/11/2014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137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Helix Health, Ltd.</w:t>
            </w:r>
            <w:r>
              <w:rPr>
                <w:rFonts w:ascii="Arial" w:cs="Arial" w:eastAsia="Arial" w:hAnsi="Arial"/>
                <w:sz w:val="12"/>
                <w:szCs w:val="12"/>
                <w:color w:val="auto"/>
              </w:rPr>
              <w:t>(5)</w:t>
            </w:r>
          </w:p>
        </w:tc>
        <w:tc>
          <w:tcPr>
            <w:tcW w:w="1920" w:type="dxa"/>
            <w:vAlign w:val="bottom"/>
            <w:gridSpan w:val="2"/>
          </w:tcPr>
          <w:p>
            <w:pPr>
              <w:spacing w:after="0"/>
              <w:rPr>
                <w:sz w:val="20"/>
                <w:szCs w:val="20"/>
                <w:color w:val="auto"/>
              </w:rPr>
            </w:pPr>
            <w:r>
              <w:rPr>
                <w:rFonts w:ascii="Arial" w:cs="Arial" w:eastAsia="Arial" w:hAnsi="Arial"/>
                <w:sz w:val="14"/>
                <w:szCs w:val="14"/>
                <w:color w:val="auto"/>
              </w:rPr>
              <w:t>Warrants</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9/30/2014</w:t>
            </w:r>
          </w:p>
        </w:tc>
        <w:tc>
          <w:tcPr>
            <w:tcW w:w="720" w:type="dxa"/>
            <w:vAlign w:val="bottom"/>
          </w:tcPr>
          <w:p>
            <w:pPr>
              <w:jc w:val="right"/>
              <w:spacing w:after="0"/>
              <w:rPr>
                <w:sz w:val="20"/>
                <w:szCs w:val="20"/>
                <w:color w:val="auto"/>
              </w:rPr>
            </w:pPr>
            <w:r>
              <w:rPr>
                <w:rFonts w:ascii="Arial" w:cs="Arial" w:eastAsia="Arial" w:hAnsi="Arial"/>
                <w:sz w:val="14"/>
                <w:szCs w:val="14"/>
                <w:color w:val="auto"/>
              </w:rPr>
              <w:t>877</w:t>
            </w:r>
          </w:p>
        </w:tc>
        <w:tc>
          <w:tcPr>
            <w:tcW w:w="30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840</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Fair</w:t>
            </w: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SRS Parent Corp.</w:t>
            </w:r>
          </w:p>
        </w:tc>
        <w:tc>
          <w:tcPr>
            <w:tcW w:w="200" w:type="dxa"/>
            <w:vAlign w:val="bottom"/>
            <w:tcBorders>
              <w:top w:val="single" w:sz="8" w:color="CCEEFF"/>
            </w:tcBorders>
            <w:shd w:val="clear" w:color="auto" w:fill="CCEEFF"/>
          </w:tcPr>
          <w:p>
            <w:pPr>
              <w:spacing w:after="0"/>
              <w:rPr>
                <w:sz w:val="10"/>
                <w:szCs w:val="10"/>
                <w:color w:val="auto"/>
              </w:rPr>
            </w:pPr>
          </w:p>
        </w:tc>
        <w:tc>
          <w:tcPr>
            <w:tcW w:w="17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Common Shares Class A</w:t>
            </w:r>
          </w:p>
        </w:tc>
        <w:tc>
          <w:tcPr>
            <w:tcW w:w="2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(1,980 shares)</w:t>
            </w: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12/28/2012</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1,980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1,099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B</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color w:val="auto"/>
              </w:rPr>
              <w:t>(2,953,020 shares)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12/28/2012</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11</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3,481</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2,554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IRG Sports &amp; Entertainment, LLC</w:t>
            </w: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9/30/2014</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1,494</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1,494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gridSpan w:val="2"/>
          </w:tcPr>
          <w:p>
            <w:pPr>
              <w:ind w:left="280"/>
              <w:spacing w:after="0"/>
              <w:rPr>
                <w:sz w:val="20"/>
                <w:szCs w:val="20"/>
                <w:color w:val="auto"/>
              </w:rPr>
            </w:pPr>
            <w:r>
              <w:rPr>
                <w:rFonts w:ascii="Arial" w:cs="Arial" w:eastAsia="Arial" w:hAnsi="Arial"/>
                <w:sz w:val="14"/>
                <w:szCs w:val="14"/>
                <w:b w:val="1"/>
                <w:bCs w:val="1"/>
                <w:color w:val="auto"/>
              </w:rPr>
              <w:t>Metals and mining</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Metalico, Inc.</w:t>
            </w: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Warrants</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11/21/2013</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1,343</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12"/>
                <w:szCs w:val="12"/>
                <w:color w:val="auto"/>
              </w:rPr>
              <w:t>(7)</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6/4/2014</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8,874</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4,254</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Other</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Symphony</w:t>
            </w:r>
            <w:r>
              <w:rPr>
                <w:rFonts w:ascii="Arial" w:cs="Arial" w:eastAsia="Arial" w:hAnsi="Arial"/>
                <w:sz w:val="12"/>
                <w:szCs w:val="12"/>
                <w:color w:val="auto"/>
              </w:rPr>
              <w:t>(5)</w:t>
            </w:r>
          </w:p>
        </w:tc>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CLO Tranche F</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5.98%</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11/17/2014</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5,531</w:t>
            </w: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5,526</w:t>
            </w: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 Equity and Other Investments</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vMerge w:val="continue"/>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21,503</w:t>
            </w:r>
          </w:p>
        </w:tc>
        <w:tc>
          <w:tcPr>
            <w:tcW w:w="1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14,893</w:t>
            </w:r>
          </w:p>
        </w:tc>
        <w:tc>
          <w:tcPr>
            <w:tcW w:w="320" w:type="dxa"/>
            <w:vAlign w:val="bottom"/>
            <w:vMerge w:val="continue"/>
          </w:tcPr>
          <w:p>
            <w:pPr>
              <w:spacing w:after="0"/>
              <w:rPr>
                <w:sz w:val="13"/>
                <w:szCs w:val="13"/>
                <w:color w:val="auto"/>
              </w:rPr>
            </w:pPr>
          </w:p>
        </w:tc>
        <w:tc>
          <w:tcPr>
            <w:tcW w:w="11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1,273,252</w:t>
            </w:r>
          </w:p>
        </w:tc>
        <w:tc>
          <w:tcPr>
            <w:tcW w:w="1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  1,263,511</w:t>
            </w: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Unless otherwise indicated, the Company’s portfolio companies are domiciled in the United States. Certain portfolio company investments are subject to contractual restrictions on sales.</w:t>
      </w:r>
    </w:p>
    <w:p>
      <w:pPr>
        <w:spacing w:after="0" w:line="11" w:lineRule="exact"/>
        <w:rPr>
          <w:rFonts w:ascii="Arial" w:cs="Arial" w:eastAsia="Arial" w:hAnsi="Arial"/>
          <w:sz w:val="13"/>
          <w:szCs w:val="13"/>
          <w:color w:val="auto"/>
        </w:rPr>
      </w:pPr>
    </w:p>
    <w:p>
      <w:pPr>
        <w:ind w:left="34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right="40" w:hanging="332"/>
        <w:spacing w:after="0" w:line="229"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7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1"/>
              </w:rPr>
              <w:t>Realized</w:t>
            </w:r>
          </w:p>
        </w:tc>
        <w:tc>
          <w:tcPr>
            <w:tcW w:w="18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Additions(a)</w:t>
            </w: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Reductions(b)</w:t>
            </w:r>
          </w:p>
        </w:tc>
        <w:tc>
          <w:tcPr>
            <w:tcW w:w="1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Gain/(Loss)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Gain/(Losses)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3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Mississippi Resources, LLC</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47,580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(5,944)</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41,636</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ind w:left="88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47,580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(5,944)</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41,636</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143</w:t>
            </w:r>
          </w:p>
        </w:tc>
        <w:tc>
          <w:tcPr>
            <w:tcW w:w="200" w:type="dxa"/>
            <w:vAlign w:val="bottom"/>
          </w:tcPr>
          <w:p>
            <w:pPr>
              <w:spacing w:after="0"/>
              <w:rPr>
                <w:sz w:val="13"/>
                <w:szCs w:val="13"/>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0" w:hanging="332"/>
        <w:spacing w:after="0" w:line="230"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340" w:right="60" w:hanging="332"/>
        <w:spacing w:after="0" w:line="237"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Schedule of Investments as of December 31, 2013</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amounts)</w:t>
      </w:r>
    </w:p>
    <w:p>
      <w:pPr>
        <w:sectPr>
          <w:pgSz w:w="11900" w:h="16838" w:orient="portrait"/>
          <w:cols w:equalWidth="0" w:num="1">
            <w:col w:w="11380"/>
          </w:cols>
          <w:pgMar w:left="240" w:top="460" w:right="279"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20" w:type="dxa"/>
            <w:vAlign w:val="bottom"/>
          </w:tcPr>
          <w:p>
            <w:pPr>
              <w:spacing w:after="0"/>
              <w:rPr>
                <w:sz w:val="16"/>
                <w:szCs w:val="16"/>
                <w:color w:val="auto"/>
              </w:rPr>
            </w:pPr>
          </w:p>
        </w:tc>
        <w:tc>
          <w:tcPr>
            <w:tcW w:w="1760" w:type="dxa"/>
            <w:vAlign w:val="bottom"/>
          </w:tcPr>
          <w:p>
            <w:pPr>
              <w:ind w:left="54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Debt Investments</w:t>
            </w:r>
          </w:p>
        </w:tc>
        <w:tc>
          <w:tcPr>
            <w:tcW w:w="220" w:type="dxa"/>
            <w:vAlign w:val="bottom"/>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6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Aerospace and defense</w:t>
            </w: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MSC Software Corporation</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($53,452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Automotive</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11/2017)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($36,733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6/2017)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revolving loan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($4,611 par, due 6/2017)</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Sage Automotive Interiors, 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($21,553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12/2016)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60" w:type="dxa"/>
            <w:vAlign w:val="bottom"/>
          </w:tcPr>
          <w:p>
            <w:pPr>
              <w:ind w:left="280"/>
              <w:spacing w:after="0"/>
              <w:rPr>
                <w:sz w:val="20"/>
                <w:szCs w:val="20"/>
                <w:color w:val="auto"/>
              </w:rPr>
            </w:pPr>
            <w:r>
              <w:rPr>
                <w:rFonts w:ascii="Arial" w:cs="Arial" w:eastAsia="Arial" w:hAnsi="Arial"/>
                <w:sz w:val="14"/>
                <w:szCs w:val="14"/>
                <w:b w:val="1"/>
                <w:bCs w:val="1"/>
                <w:color w:val="auto"/>
              </w:rPr>
              <w:t>Beverage, food and tobacco</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($44,394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Business services</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8/2015)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Actian Corporation</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($67,933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4/2018)</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Aptean Holdings, Inc. f/k/a Consona Holdings,Inc.</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($29,625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8/2018)</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Beyond Trust Software Holding Group, Inc.</w:t>
            </w:r>
            <w:r>
              <w:rPr>
                <w:rFonts w:ascii="Arial" w:cs="Arial" w:eastAsia="Arial" w:hAnsi="Arial"/>
                <w:sz w:val="12"/>
                <w:szCs w:val="12"/>
                <w:color w:val="auto"/>
              </w:rPr>
              <w:t>(3)(6)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($42,500 par,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12/2019)</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Network Merchants, Inc </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($29,659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9/2018)</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360" w:type="dxa"/>
            <w:vAlign w:val="bottom"/>
          </w:tcPr>
          <w:p>
            <w:pPr>
              <w:ind w:left="280"/>
              <w:spacing w:after="0"/>
              <w:rPr>
                <w:sz w:val="20"/>
                <w:szCs w:val="20"/>
                <w:color w:val="auto"/>
              </w:rPr>
            </w:pPr>
            <w:r>
              <w:rPr>
                <w:rFonts w:ascii="Arial" w:cs="Arial" w:eastAsia="Arial" w:hAnsi="Arial"/>
                <w:sz w:val="14"/>
                <w:szCs w:val="14"/>
                <w:b w:val="1"/>
                <w:bCs w:val="1"/>
                <w:color w:val="auto"/>
              </w:rPr>
              <w:t>Construction and building</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80" w:type="dxa"/>
            <w:vAlign w:val="bottom"/>
            <w:gridSpan w:val="2"/>
          </w:tcPr>
          <w:p>
            <w:pPr>
              <w:spacing w:after="0"/>
              <w:rPr>
                <w:sz w:val="20"/>
                <w:szCs w:val="20"/>
                <w:color w:val="auto"/>
              </w:rPr>
            </w:pPr>
            <w:r>
              <w:rPr>
                <w:rFonts w:ascii="Arial" w:cs="Arial" w:eastAsia="Arial" w:hAnsi="Arial"/>
                <w:sz w:val="14"/>
                <w:szCs w:val="14"/>
                <w:color w:val="auto"/>
              </w:rPr>
              <w:t>Mannington Mills, Inc.</w:t>
            </w:r>
            <w:r>
              <w:rPr>
                <w:rFonts w:ascii="Arial" w:cs="Arial" w:eastAsia="Arial" w:hAnsi="Arial"/>
                <w:sz w:val="12"/>
                <w:szCs w:val="12"/>
                <w:color w:val="auto"/>
              </w:rPr>
              <w:t>(3)(4)</w:t>
            </w:r>
          </w:p>
        </w:tc>
        <w:tc>
          <w:tcPr>
            <w:tcW w:w="1980" w:type="dxa"/>
            <w:vAlign w:val="bottom"/>
            <w:gridSpan w:val="2"/>
            <w:vMerge w:val="restart"/>
          </w:tcPr>
          <w:p>
            <w:pPr>
              <w:ind w:left="220"/>
              <w:spacing w:after="0"/>
              <w:rPr>
                <w:sz w:val="20"/>
                <w:szCs w:val="20"/>
                <w:color w:val="auto"/>
              </w:rPr>
            </w:pPr>
            <w:r>
              <w:rPr>
                <w:rFonts w:ascii="Arial" w:cs="Arial" w:eastAsia="Arial" w:hAnsi="Arial"/>
                <w:sz w:val="14"/>
                <w:szCs w:val="14"/>
                <w:color w:val="auto"/>
              </w:rPr>
              <w:t>Second-lien loan ($47,430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Containers and packaging</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par, due 3/2017)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The Newark Group, Inc.</w:t>
            </w:r>
            <w:r>
              <w:rPr>
                <w:rFonts w:ascii="Arial" w:cs="Arial" w:eastAsia="Arial" w:hAnsi="Arial"/>
                <w:sz w:val="12"/>
                <w:szCs w:val="12"/>
                <w:color w:val="auto"/>
              </w:rPr>
              <w:t>(3)(4)</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($46,560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Education</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2/2018)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Campus Management,Inc.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($29,625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Financial services</w:t>
            </w: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9/2018)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Embarcadero Technologies, Inc.</w:t>
            </w:r>
            <w:r>
              <w:rPr>
                <w:rFonts w:ascii="Arial" w:cs="Arial" w:eastAsia="Arial" w:hAnsi="Arial"/>
                <w:sz w:val="12"/>
                <w:szCs w:val="12"/>
                <w:color w:val="auto"/>
              </w:rPr>
              <w:t>(3)(4)(6)</w:t>
            </w:r>
          </w:p>
        </w:tc>
        <w:tc>
          <w:tcPr>
            <w:tcW w:w="1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First-lien loan ($42,479 par,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color w:val="auto"/>
              </w:rPr>
              <w:t>due 12/2017)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ind w:left="98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-4055745</wp:posOffset>
            </wp:positionV>
            <wp:extent cx="7246620" cy="1028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974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-3566795</wp:posOffset>
            </wp:positionV>
            <wp:extent cx="7246620" cy="1974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-3077845</wp:posOffset>
            </wp:positionV>
            <wp:extent cx="7246620" cy="1974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-2752090</wp:posOffset>
            </wp:positionV>
            <wp:extent cx="7246620" cy="946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-2468880</wp:posOffset>
            </wp:positionV>
            <wp:extent cx="7246620" cy="946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-2177415</wp:posOffset>
            </wp:positionV>
            <wp:extent cx="7246620" cy="1974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724662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946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7246620" cy="94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246620" cy="946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946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Interest</w:t>
            </w:r>
          </w:p>
        </w:tc>
        <w:tc>
          <w:tcPr>
            <w:tcW w:w="300" w:type="dxa"/>
            <w:vAlign w:val="bottom"/>
            <w:vMerge w:val="restart"/>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12/23/2011</w:t>
            </w:r>
          </w:p>
        </w:tc>
        <w:tc>
          <w:tcPr>
            <w:tcW w:w="660" w:type="dxa"/>
            <w:vAlign w:val="bottom"/>
          </w:tcPr>
          <w:p>
            <w:pPr>
              <w:jc w:val="right"/>
              <w:spacing w:after="0"/>
              <w:rPr>
                <w:sz w:val="20"/>
                <w:szCs w:val="20"/>
                <w:color w:val="auto"/>
              </w:rPr>
            </w:pPr>
            <w:r>
              <w:rPr>
                <w:rFonts w:ascii="Arial" w:cs="Arial" w:eastAsia="Arial" w:hAnsi="Arial"/>
                <w:sz w:val="14"/>
                <w:szCs w:val="14"/>
                <w:color w:val="auto"/>
              </w:rPr>
              <w:t>$   52,828</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$ 53,720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459"/>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9.75%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36,002</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36,182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459"/>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4,500</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4,528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9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12/31/2012</w:t>
            </w:r>
          </w:p>
        </w:tc>
        <w:tc>
          <w:tcPr>
            <w:tcW w:w="660" w:type="dxa"/>
            <w:vAlign w:val="bottom"/>
          </w:tcPr>
          <w:p>
            <w:pPr>
              <w:jc w:val="right"/>
              <w:spacing w:after="0"/>
              <w:rPr>
                <w:sz w:val="20"/>
                <w:szCs w:val="20"/>
                <w:color w:val="auto"/>
              </w:rPr>
            </w:pPr>
            <w:r>
              <w:rPr>
                <w:rFonts w:ascii="Arial" w:cs="Arial" w:eastAsia="Arial" w:hAnsi="Arial"/>
                <w:sz w:val="14"/>
                <w:szCs w:val="14"/>
                <w:color w:val="auto"/>
              </w:rPr>
              <w:t>21,336</w:t>
            </w:r>
          </w:p>
        </w:tc>
        <w:tc>
          <w:tcPr>
            <w:tcW w:w="3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21,445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61,838</w:t>
            </w:r>
          </w:p>
        </w:tc>
        <w:tc>
          <w:tcPr>
            <w:tcW w:w="3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62,155</w:t>
            </w:r>
          </w:p>
        </w:tc>
        <w:tc>
          <w:tcPr>
            <w:tcW w:w="30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8/31/2011</w:t>
            </w:r>
          </w:p>
        </w:tc>
        <w:tc>
          <w:tcPr>
            <w:tcW w:w="660" w:type="dxa"/>
            <w:vAlign w:val="bottom"/>
          </w:tcPr>
          <w:p>
            <w:pPr>
              <w:jc w:val="right"/>
              <w:spacing w:after="0"/>
              <w:rPr>
                <w:sz w:val="20"/>
                <w:szCs w:val="20"/>
                <w:color w:val="auto"/>
              </w:rPr>
            </w:pPr>
            <w:r>
              <w:rPr>
                <w:rFonts w:ascii="Arial" w:cs="Arial" w:eastAsia="Arial" w:hAnsi="Arial"/>
                <w:sz w:val="14"/>
                <w:szCs w:val="14"/>
                <w:color w:val="auto"/>
              </w:rPr>
              <w:t>43,837</w:t>
            </w:r>
          </w:p>
        </w:tc>
        <w:tc>
          <w:tcPr>
            <w:tcW w:w="3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45,837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459"/>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4/11/2013</w:t>
            </w:r>
          </w:p>
        </w:tc>
        <w:tc>
          <w:tcPr>
            <w:tcW w:w="660" w:type="dxa"/>
            <w:vAlign w:val="bottom"/>
          </w:tcPr>
          <w:p>
            <w:pPr>
              <w:jc w:val="right"/>
              <w:spacing w:after="0"/>
              <w:rPr>
                <w:sz w:val="20"/>
                <w:szCs w:val="20"/>
                <w:color w:val="auto"/>
              </w:rPr>
            </w:pPr>
            <w:r>
              <w:rPr>
                <w:rFonts w:ascii="Arial" w:cs="Arial" w:eastAsia="Arial" w:hAnsi="Arial"/>
                <w:sz w:val="14"/>
                <w:szCs w:val="14"/>
                <w:color w:val="auto"/>
              </w:rPr>
              <w:t>65,762</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66,405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311"/>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7.25%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8/13/2012</w:t>
            </w:r>
          </w:p>
        </w:tc>
        <w:tc>
          <w:tcPr>
            <w:tcW w:w="660" w:type="dxa"/>
            <w:vAlign w:val="bottom"/>
          </w:tcPr>
          <w:p>
            <w:pPr>
              <w:jc w:val="right"/>
              <w:spacing w:after="0"/>
              <w:rPr>
                <w:sz w:val="20"/>
                <w:szCs w:val="20"/>
                <w:color w:val="auto"/>
              </w:rPr>
            </w:pPr>
            <w:r>
              <w:rPr>
                <w:rFonts w:ascii="Arial" w:cs="Arial" w:eastAsia="Arial" w:hAnsi="Arial"/>
                <w:sz w:val="14"/>
                <w:szCs w:val="14"/>
                <w:color w:val="auto"/>
              </w:rPr>
              <w:t>29,279</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29,477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11"/>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7.25%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12/18/2013</w:t>
            </w:r>
          </w:p>
        </w:tc>
        <w:tc>
          <w:tcPr>
            <w:tcW w:w="660" w:type="dxa"/>
            <w:vAlign w:val="bottom"/>
          </w:tcPr>
          <w:p>
            <w:pPr>
              <w:jc w:val="right"/>
              <w:spacing w:after="0"/>
              <w:rPr>
                <w:sz w:val="20"/>
                <w:szCs w:val="20"/>
                <w:color w:val="auto"/>
              </w:rPr>
            </w:pPr>
            <w:r>
              <w:rPr>
                <w:rFonts w:ascii="Arial" w:cs="Arial" w:eastAsia="Arial" w:hAnsi="Arial"/>
                <w:sz w:val="14"/>
                <w:szCs w:val="14"/>
                <w:color w:val="auto"/>
              </w:rPr>
              <w:t>41,462</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41,437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82"/>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9/12/2013</w:t>
            </w:r>
          </w:p>
        </w:tc>
        <w:tc>
          <w:tcPr>
            <w:tcW w:w="660" w:type="dxa"/>
            <w:vAlign w:val="bottom"/>
          </w:tcPr>
          <w:p>
            <w:pPr>
              <w:jc w:val="right"/>
              <w:spacing w:after="0"/>
              <w:rPr>
                <w:sz w:val="20"/>
                <w:szCs w:val="20"/>
                <w:color w:val="auto"/>
              </w:rPr>
            </w:pPr>
            <w:r>
              <w:rPr>
                <w:rFonts w:ascii="Arial" w:cs="Arial" w:eastAsia="Arial" w:hAnsi="Arial"/>
                <w:sz w:val="14"/>
                <w:szCs w:val="14"/>
                <w:color w:val="auto"/>
              </w:rPr>
              <w:t>29,105</w:t>
            </w:r>
          </w:p>
        </w:tc>
        <w:tc>
          <w:tcPr>
            <w:tcW w:w="3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29,202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165,608</w:t>
            </w:r>
          </w:p>
        </w:tc>
        <w:tc>
          <w:tcPr>
            <w:tcW w:w="30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166,521</w:t>
            </w:r>
          </w:p>
        </w:tc>
        <w:tc>
          <w:tcPr>
            <w:tcW w:w="300" w:type="dxa"/>
            <w:vAlign w:val="bottom"/>
            <w:vMerge w:val="continue"/>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85"/>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14.00%</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(incl. 2.00%</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PIK)</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3/2/2012</w:t>
            </w:r>
          </w:p>
        </w:tc>
        <w:tc>
          <w:tcPr>
            <w:tcW w:w="660" w:type="dxa"/>
            <w:vAlign w:val="bottom"/>
          </w:tcPr>
          <w:p>
            <w:pPr>
              <w:jc w:val="right"/>
              <w:spacing w:after="0"/>
              <w:rPr>
                <w:sz w:val="20"/>
                <w:szCs w:val="20"/>
                <w:color w:val="auto"/>
              </w:rPr>
            </w:pPr>
            <w:r>
              <w:rPr>
                <w:rFonts w:ascii="Arial" w:cs="Arial" w:eastAsia="Arial" w:hAnsi="Arial"/>
                <w:sz w:val="14"/>
                <w:szCs w:val="14"/>
                <w:color w:val="auto"/>
              </w:rPr>
              <w:t>46,545</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51,817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44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2/8/2013</w:t>
            </w:r>
          </w:p>
        </w:tc>
        <w:tc>
          <w:tcPr>
            <w:tcW w:w="660" w:type="dxa"/>
            <w:vAlign w:val="bottom"/>
          </w:tcPr>
          <w:p>
            <w:pPr>
              <w:jc w:val="right"/>
              <w:spacing w:after="0"/>
              <w:rPr>
                <w:sz w:val="20"/>
                <w:szCs w:val="20"/>
                <w:color w:val="auto"/>
              </w:rPr>
            </w:pPr>
            <w:r>
              <w:rPr>
                <w:rFonts w:ascii="Arial" w:cs="Arial" w:eastAsia="Arial" w:hAnsi="Arial"/>
                <w:sz w:val="14"/>
                <w:szCs w:val="14"/>
                <w:color w:val="auto"/>
              </w:rPr>
              <w:t>46,164</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47,142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44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9/30/2013</w:t>
            </w:r>
          </w:p>
        </w:tc>
        <w:tc>
          <w:tcPr>
            <w:tcW w:w="660" w:type="dxa"/>
            <w:vAlign w:val="bottom"/>
          </w:tcPr>
          <w:p>
            <w:pPr>
              <w:jc w:val="right"/>
              <w:spacing w:after="0"/>
              <w:rPr>
                <w:sz w:val="20"/>
                <w:szCs w:val="20"/>
                <w:color w:val="auto"/>
              </w:rPr>
            </w:pPr>
            <w:r>
              <w:rPr>
                <w:rFonts w:ascii="Arial" w:cs="Arial" w:eastAsia="Arial" w:hAnsi="Arial"/>
                <w:sz w:val="14"/>
                <w:szCs w:val="14"/>
                <w:color w:val="auto"/>
              </w:rPr>
              <w:t>28,931</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29,032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446"/>
        </w:trPr>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12/28/2012</w:t>
            </w:r>
          </w:p>
        </w:tc>
        <w:tc>
          <w:tcPr>
            <w:tcW w:w="660" w:type="dxa"/>
            <w:vAlign w:val="bottom"/>
          </w:tcPr>
          <w:p>
            <w:pPr>
              <w:jc w:val="right"/>
              <w:spacing w:after="0"/>
              <w:rPr>
                <w:sz w:val="20"/>
                <w:szCs w:val="20"/>
                <w:color w:val="auto"/>
              </w:rPr>
            </w:pPr>
            <w:r>
              <w:rPr>
                <w:rFonts w:ascii="Arial" w:cs="Arial" w:eastAsia="Arial" w:hAnsi="Arial"/>
                <w:sz w:val="14"/>
                <w:szCs w:val="14"/>
                <w:color w:val="auto"/>
              </w:rPr>
              <w:t>41,597</w:t>
            </w:r>
          </w:p>
        </w:tc>
        <w:tc>
          <w:tcPr>
            <w:tcW w:w="1140" w:type="dxa"/>
            <w:vAlign w:val="bottom"/>
            <w:gridSpan w:val="3"/>
          </w:tcPr>
          <w:p>
            <w:pPr>
              <w:jc w:val="right"/>
              <w:ind w:right="300"/>
              <w:spacing w:after="0"/>
              <w:rPr>
                <w:sz w:val="20"/>
                <w:szCs w:val="20"/>
                <w:color w:val="auto"/>
              </w:rPr>
            </w:pPr>
            <w:r>
              <w:rPr>
                <w:rFonts w:ascii="Arial" w:cs="Arial" w:eastAsia="Arial" w:hAnsi="Arial"/>
                <w:sz w:val="14"/>
                <w:szCs w:val="14"/>
                <w:color w:val="auto"/>
              </w:rPr>
              <w:t>42,372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bl>
    <w:p>
      <w:pPr>
        <w:sectPr>
          <w:pgSz w:w="11900" w:h="16838" w:orient="portrait"/>
          <w:cols w:equalWidth="0" w:num="2">
            <w:col w:w="6360" w:space="220"/>
            <w:col w:w="4800"/>
          </w:cols>
          <w:pgMar w:left="240" w:top="460" w:right="27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Amortized</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9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23"/>
        </w:trPr>
        <w:tc>
          <w:tcPr>
            <w:tcW w:w="45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Rogue Wave Holdings, Inc.</w:t>
            </w:r>
            <w:r>
              <w:rPr>
                <w:rFonts w:ascii="Arial" w:cs="Arial" w:eastAsia="Arial" w:hAnsi="Arial"/>
                <w:sz w:val="12"/>
                <w:szCs w:val="12"/>
                <w:color w:val="auto"/>
              </w:rPr>
              <w:t>(3)(4)(6)</w:t>
            </w:r>
          </w:p>
        </w:tc>
        <w:tc>
          <w:tcPr>
            <w:tcW w:w="200" w:type="dxa"/>
            <w:vAlign w:val="bottom"/>
            <w:tcBorders>
              <w:top w:val="single" w:sz="8" w:color="CCEEFF"/>
            </w:tcBorders>
            <w:shd w:val="clear" w:color="auto" w:fill="CCEEFF"/>
          </w:tcPr>
          <w:p>
            <w:pPr>
              <w:spacing w:after="0"/>
              <w:rPr>
                <w:sz w:val="10"/>
                <w:szCs w:val="10"/>
                <w:color w:val="auto"/>
              </w:rPr>
            </w:pPr>
          </w:p>
        </w:tc>
        <w:tc>
          <w:tcPr>
            <w:tcW w:w="17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First-lien loan ($76,337 par,</w:t>
            </w:r>
          </w:p>
        </w:tc>
        <w:tc>
          <w:tcPr>
            <w:tcW w:w="2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spacing w:after="0"/>
              <w:rPr>
                <w:sz w:val="15"/>
                <w:szCs w:val="15"/>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12/2018)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8.25%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11/21/2012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74,752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75,764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116,349</w:t>
            </w:r>
          </w:p>
        </w:tc>
        <w:tc>
          <w:tcPr>
            <w:tcW w:w="280" w:type="dxa"/>
            <w:vAlign w:val="bottom"/>
            <w:vMerge w:val="continue"/>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118,136</w:t>
            </w:r>
          </w:p>
        </w:tc>
        <w:tc>
          <w:tcPr>
            <w:tcW w:w="28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12"/>
                <w:szCs w:val="12"/>
                <w:color w:val="auto"/>
              </w:rPr>
              <w:t>(3)(4)(6)</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($71,634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5/2018)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8.00%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11/9/2012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70,120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71,097</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SRS Software, LLC</w:t>
            </w:r>
            <w:r>
              <w:rPr>
                <w:rFonts w:ascii="Arial" w:cs="Arial" w:eastAsia="Arial" w:hAnsi="Arial"/>
                <w:sz w:val="12"/>
                <w:szCs w:val="12"/>
                <w:color w:val="auto"/>
              </w:rPr>
              <w:t>(3)(4)</w:t>
            </w: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($35,625 par,</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12/2017)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12/28/2012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34,782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35,625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0"/>
        </w:trPr>
        <w:tc>
          <w:tcPr>
            <w:tcW w:w="4540" w:type="dxa"/>
            <w:vAlign w:val="bottom"/>
          </w:tcPr>
          <w:p>
            <w:pPr>
              <w:spacing w:after="0"/>
              <w:rPr>
                <w:sz w:val="11"/>
                <w:szCs w:val="11"/>
                <w:color w:val="auto"/>
              </w:rPr>
            </w:pP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($2,000</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15"/>
                <w:szCs w:val="15"/>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12/2017)</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12/28/2012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2,000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2,000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106,902</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108,722</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AMF Bowling Worldwide, Inc.</w:t>
            </w:r>
            <w:r>
              <w:rPr>
                <w:rFonts w:ascii="Arial" w:cs="Arial" w:eastAsia="Arial" w:hAnsi="Arial"/>
                <w:sz w:val="12"/>
                <w:szCs w:val="12"/>
                <w:color w:val="auto"/>
              </w:rPr>
              <w:t>(3)(4)</w:t>
            </w: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($14,813 par,</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6/2018)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7/2/2013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13,687</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14,821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Centaur, LLC</w:t>
            </w:r>
            <w:r>
              <w:rPr>
                <w:rFonts w:ascii="Arial" w:cs="Arial" w:eastAsia="Arial" w:hAnsi="Arial"/>
                <w:sz w:val="12"/>
                <w:szCs w:val="12"/>
                <w:color w:val="auto"/>
              </w:rPr>
              <w:t>(3)</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loan ($10,000</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2/2020)</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8.75%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2/15/2013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9,923</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10,250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Mandalay Baseball Properties, LLC</w:t>
            </w:r>
            <w:r>
              <w:rPr>
                <w:rFonts w:ascii="Arial" w:cs="Arial" w:eastAsia="Arial" w:hAnsi="Arial"/>
                <w:sz w:val="12"/>
                <w:szCs w:val="12"/>
                <w:color w:val="auto"/>
              </w:rPr>
              <w:t>(3)(4)</w:t>
            </w:r>
          </w:p>
        </w:tc>
        <w:tc>
          <w:tcPr>
            <w:tcW w:w="2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12.00%</w:t>
            </w: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1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First-lien loan ($34,886 par,</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(incl. 4.50%</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3/2017)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PIK)</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4/12/2012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34,303</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35,758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Soho House</w:t>
            </w:r>
            <w:r>
              <w:rPr>
                <w:rFonts w:ascii="Arial" w:cs="Arial" w:eastAsia="Arial" w:hAnsi="Arial"/>
                <w:sz w:val="12"/>
                <w:szCs w:val="12"/>
                <w:color w:val="auto"/>
              </w:rPr>
              <w:t>(5)</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Second-lien bond (GBP 7,000</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10/2018)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9.13%</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9/20/2013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11,200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11,913</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69,113</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72,742</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6"/>
        </w:trPr>
        <w:tc>
          <w:tcPr>
            <w:tcW w:w="45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Pai Group, Inc.</w:t>
            </w:r>
            <w:r>
              <w:rPr>
                <w:rFonts w:ascii="Arial" w:cs="Arial" w:eastAsia="Arial" w:hAnsi="Arial"/>
                <w:sz w:val="12"/>
                <w:szCs w:val="12"/>
                <w:color w:val="auto"/>
              </w:rPr>
              <w:t>(3)(4)</w:t>
            </w: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loan ($34,737 par,</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due 5/2018)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10.50%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5/8/2013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33,979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34,141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SumTotal Systems, LLC</w:t>
            </w:r>
            <w:r>
              <w:rPr>
                <w:rFonts w:ascii="Arial" w:cs="Arial" w:eastAsia="Arial" w:hAnsi="Arial"/>
                <w:sz w:val="12"/>
                <w:szCs w:val="12"/>
                <w:color w:val="auto"/>
              </w:rPr>
              <w:t>(3)(4)</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($7,483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11/2018)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6.25%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11/16/2012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7,405</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7,371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Second-lien loan ($12,000</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par, due 5/2019)</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10.25%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11/16/2012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11,932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11,790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53,316</w:t>
            </w:r>
          </w:p>
        </w:tc>
        <w:tc>
          <w:tcPr>
            <w:tcW w:w="280" w:type="dxa"/>
            <w:vAlign w:val="bottom"/>
            <w:vMerge w:val="continue"/>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53,302</w:t>
            </w:r>
          </w:p>
        </w:tc>
        <w:tc>
          <w:tcPr>
            <w:tcW w:w="28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Insurance</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Infogix, Inc.</w:t>
            </w:r>
            <w:r>
              <w:rPr>
                <w:rFonts w:ascii="Arial" w:cs="Arial" w:eastAsia="Arial" w:hAnsi="Arial"/>
                <w:sz w:val="12"/>
                <w:szCs w:val="12"/>
                <w:color w:val="auto"/>
              </w:rPr>
              <w:t>(3)(4)</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($31,888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6/2017)</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10.00%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6/1/2012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31,433</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31,808</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14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First-lien revolving loan</w:t>
            </w: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1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($850 par, due 6/2017)</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10.00%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6/1/2012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32,215</w:t>
            </w:r>
          </w:p>
        </w:tc>
        <w:tc>
          <w:tcPr>
            <w:tcW w:w="280" w:type="dxa"/>
            <w:vAlign w:val="bottom"/>
            <w:vMerge w:val="continue"/>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32,646</w:t>
            </w:r>
          </w:p>
        </w:tc>
        <w:tc>
          <w:tcPr>
            <w:tcW w:w="280" w:type="dxa"/>
            <w:vAlign w:val="bottom"/>
            <w:vMerge w:val="continue"/>
          </w:tcPr>
          <w:p>
            <w:pPr>
              <w:spacing w:after="0"/>
              <w:rPr>
                <w:sz w:val="14"/>
                <w:szCs w:val="14"/>
                <w:color w:val="auto"/>
              </w:rPr>
            </w:pPr>
          </w:p>
        </w:tc>
        <w:tc>
          <w:tcPr>
            <w:tcW w:w="9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Manufacturing</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12"/>
                <w:szCs w:val="12"/>
                <w:color w:val="auto"/>
              </w:rPr>
              <w:t>(3)(5)</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(SEK 177,161</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par, due 6/2018)</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9.25%</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6/5/2013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26,486</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27,170</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Metals and mining</w:t>
            </w:r>
          </w:p>
        </w:tc>
        <w:tc>
          <w:tcPr>
            <w:tcW w:w="2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540" w:type="dxa"/>
            <w:vAlign w:val="bottom"/>
          </w:tcPr>
          <w:p>
            <w:pPr>
              <w:spacing w:after="0" w:line="130" w:lineRule="exact"/>
              <w:rPr>
                <w:sz w:val="20"/>
                <w:szCs w:val="20"/>
                <w:color w:val="auto"/>
              </w:rPr>
            </w:pPr>
            <w:r>
              <w:rPr>
                <w:rFonts w:ascii="Arial" w:cs="Arial" w:eastAsia="Arial" w:hAnsi="Arial"/>
                <w:sz w:val="14"/>
                <w:szCs w:val="14"/>
                <w:color w:val="auto"/>
              </w:rPr>
              <w:t>Metalico, Inc.</w:t>
            </w:r>
            <w:r>
              <w:rPr>
                <w:rFonts w:ascii="Arial" w:cs="Arial" w:eastAsia="Arial" w:hAnsi="Arial"/>
                <w:sz w:val="12"/>
                <w:szCs w:val="12"/>
                <w:color w:val="auto"/>
              </w:rPr>
              <w:t>(3)(6)</w:t>
            </w:r>
          </w:p>
        </w:tc>
        <w:tc>
          <w:tcPr>
            <w:tcW w:w="214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First-lien loan ($35,650 par,</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2140" w:type="dxa"/>
            <w:vAlign w:val="bottom"/>
            <w:gridSpan w:val="3"/>
          </w:tcPr>
          <w:p>
            <w:pPr>
              <w:ind w:left="200"/>
              <w:spacing w:after="0"/>
              <w:rPr>
                <w:sz w:val="20"/>
                <w:szCs w:val="20"/>
                <w:color w:val="auto"/>
              </w:rPr>
            </w:pPr>
            <w:r>
              <w:rPr>
                <w:rFonts w:ascii="Arial" w:cs="Arial" w:eastAsia="Arial" w:hAnsi="Arial"/>
                <w:sz w:val="14"/>
                <w:szCs w:val="14"/>
                <w:color w:val="auto"/>
              </w:rPr>
              <w:t>due 11/2019)</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9.50%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11/21/2013</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33,523</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33,841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6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142"/>
        </w:trPr>
        <w:tc>
          <w:tcPr>
            <w:tcW w:w="454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rPr>
              <w:t>Office products</w:t>
            </w:r>
          </w:p>
        </w:tc>
        <w:tc>
          <w:tcPr>
            <w:tcW w:w="20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12"/>
                <w:szCs w:val="12"/>
                <w:color w:val="auto"/>
              </w:rPr>
              <w:t>(3)(4)(6)</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($19,936 par,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due 10/2016)</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8.00%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10/17/2011</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19,764</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20,086</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Global Geophysical</w:t>
            </w:r>
            <w:r>
              <w:rPr>
                <w:rFonts w:ascii="Arial" w:cs="Arial" w:eastAsia="Arial" w:hAnsi="Arial"/>
                <w:sz w:val="12"/>
                <w:szCs w:val="12"/>
                <w:color w:val="auto"/>
              </w:rPr>
              <w:t>(3)(4)</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($40,883 par,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due 9/2016)</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10.75%</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9/30/2013</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39,617</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40,065</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Transportation</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Kewill, Ltd.</w:t>
            </w:r>
            <w:r>
              <w:rPr>
                <w:rFonts w:ascii="Arial" w:cs="Arial" w:eastAsia="Arial" w:hAnsi="Arial"/>
                <w:sz w:val="12"/>
                <w:szCs w:val="12"/>
                <w:color w:val="auto"/>
              </w:rPr>
              <w:t>(3)(5)</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Second-lien loan ($52,500</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par, due 10/2019)</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9.50%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10/2/2013</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51,482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51,713</w:t>
            </w:r>
          </w:p>
        </w:tc>
        <w:tc>
          <w:tcPr>
            <w:tcW w:w="30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Debt Investments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994,518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1,014,647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Equity Investments</w:t>
            </w: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Business services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Network Merchants, Inc</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Non-Voting Preferred Units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(774,099 units)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9/12/2013</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780</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780</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Healthcare and pharmaceuticals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40" w:type="dxa"/>
            <w:vAlign w:val="bottom"/>
            <w:gridSpan w:val="2"/>
          </w:tcPr>
          <w:p>
            <w:pPr>
              <w:spacing w:after="0" w:line="130" w:lineRule="exact"/>
              <w:rPr>
                <w:sz w:val="20"/>
                <w:szCs w:val="20"/>
                <w:color w:val="auto"/>
              </w:rPr>
            </w:pPr>
            <w:r>
              <w:rPr>
                <w:rFonts w:ascii="Arial" w:cs="Arial" w:eastAsia="Arial" w:hAnsi="Arial"/>
                <w:sz w:val="14"/>
                <w:szCs w:val="14"/>
                <w:color w:val="auto"/>
              </w:rPr>
              <w:t>SRS Parent Corp.</w:t>
            </w:r>
          </w:p>
        </w:tc>
        <w:tc>
          <w:tcPr>
            <w:tcW w:w="1980" w:type="dxa"/>
            <w:vAlign w:val="bottom"/>
            <w:gridSpan w:val="2"/>
          </w:tcPr>
          <w:p>
            <w:pPr>
              <w:spacing w:after="0" w:line="130" w:lineRule="exact"/>
              <w:rPr>
                <w:sz w:val="20"/>
                <w:szCs w:val="20"/>
                <w:color w:val="auto"/>
              </w:rPr>
            </w:pPr>
            <w:r>
              <w:rPr>
                <w:rFonts w:ascii="Arial" w:cs="Arial" w:eastAsia="Arial" w:hAnsi="Arial"/>
                <w:sz w:val="14"/>
                <w:szCs w:val="14"/>
                <w:color w:val="auto"/>
              </w:rPr>
              <w:t>Common Shares Class A</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(1,980 shares)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12/28/2012</w:t>
            </w:r>
          </w:p>
        </w:tc>
        <w:tc>
          <w:tcPr>
            <w:tcW w:w="1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1,980</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rPr>
              <w:t>1,024</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4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Shares Class B</w:t>
            </w: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(2,953,020 shares)</w:t>
            </w: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9"/>
              </w:rPr>
              <w:t>12/28/2012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2,000</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1,024</w:t>
            </w:r>
          </w:p>
        </w:tc>
        <w:tc>
          <w:tcPr>
            <w:tcW w:w="300" w:type="dxa"/>
            <w:vAlign w:val="bottom"/>
            <w:vMerge w:val="continue"/>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Equity Investments</w:t>
            </w:r>
          </w:p>
        </w:tc>
        <w:tc>
          <w:tcPr>
            <w:tcW w:w="1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997,298</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1,016,451</w:t>
            </w:r>
          </w:p>
        </w:tc>
        <w:tc>
          <w:tcPr>
            <w:tcW w:w="300" w:type="dxa"/>
            <w:vAlign w:val="bottom"/>
            <w:vMerge w:val="continue"/>
          </w:tcPr>
          <w:p>
            <w:pPr>
              <w:spacing w:after="0"/>
              <w:rPr>
                <w:sz w:val="13"/>
                <w:szCs w:val="13"/>
                <w:color w:val="auto"/>
              </w:rPr>
            </w:pPr>
          </w:p>
        </w:tc>
        <w:tc>
          <w:tcPr>
            <w:tcW w:w="9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176.9%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20" w:hanging="332"/>
        <w:spacing w:after="0" w:line="230"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34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jc w:val="both"/>
        <w:ind w:left="340" w:right="10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ind w:left="340" w:right="12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investment, or a portion thereof, is held within TPG SL SPV, LLC, a wholly-owned subsidiary of the Company, and is pledged as collateral supporting the amounts outstanding under the SPV Asset Facility (see Note 7).</w:t>
      </w:r>
    </w:p>
    <w:p>
      <w:pPr>
        <w:ind w:left="340" w:right="24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340" w:right="280" w:hanging="332"/>
        <w:spacing w:after="0" w:line="237"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 2012</w:t>
            </w: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104,475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57,501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28,029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4,355</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39,595</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234,419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287,692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22,566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26,438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9,194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(26,997)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(2,773)</w:t>
            </w: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175,659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267,116</w:t>
            </w: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94,893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306,711</w:t>
            </w:r>
          </w:p>
        </w:tc>
        <w:tc>
          <w:tcPr>
            <w:tcW w:w="14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574,696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479,803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173,092</w:t>
            </w: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600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4"/>
              </w:rPr>
              <w:t>Undistributed Net Investment Income Included in Net Assets at the End of</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the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December 31, 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83"/>
        </w:trPr>
        <w:tc>
          <w:tcPr>
            <w:tcW w:w="61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85,050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66,983</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39,595</w:t>
            </w:r>
          </w:p>
        </w:tc>
        <w:tc>
          <w:tcPr>
            <w:tcW w:w="0" w:type="dxa"/>
            <w:vAlign w:val="bottom"/>
          </w:tcPr>
          <w:p>
            <w:pPr>
              <w:spacing w:after="0"/>
              <w:rPr>
                <w:sz w:val="1"/>
                <w:szCs w:val="1"/>
                <w:color w:val="auto"/>
              </w:rPr>
            </w:pPr>
          </w:p>
        </w:tc>
      </w:tr>
      <w:tr>
        <w:trPr>
          <w:trHeight w:val="185"/>
        </w:trPr>
        <w:tc>
          <w:tcPr>
            <w:tcW w:w="61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6"/>
              </w:rPr>
              <w:t>Adjustments to reconcile increase in net assets resulting from operations to net cash</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used in operating activities: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Net change in unrealized (gains) losses on investments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28,895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(9,630)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(7,211)</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change in unrealized (gains) losses on foreign currency transactions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Net realized gains on investments</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(1,061)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(4,355)</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realized gains on foreign currency transactions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Net amortization of discount on securities</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(19,627)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(6,728)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(4,489)</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2,553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Accretion of discount on Convertible Senior Notes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Purchases of investments, net</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(974,824)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(602,988)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(760,668)</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Proceeds from investments, net</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100,656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46,390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119,126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Repayments on investments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620,671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214,293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190,594</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Paid-in-kind interest</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(2,748)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(2,749)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(1,808)</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Interest receivable</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(1,167)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(2,579)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(1,071)</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receivable paid-in-kind</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Prepaid expenses and other assets</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(12,443)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(6,292)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Management fees payable to affiliate</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Incentive fees payable to affiliate</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2,083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3,706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Payable to affiliate</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2,188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31,972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1,324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Operating Activities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(148,831)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(289,631)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(430,099)</w:t>
            </w:r>
          </w:p>
        </w:tc>
        <w:tc>
          <w:tcPr>
            <w:tcW w:w="0" w:type="dxa"/>
            <w:vAlign w:val="bottom"/>
          </w:tcPr>
          <w:p>
            <w:pPr>
              <w:spacing w:after="0"/>
              <w:rPr>
                <w:sz w:val="1"/>
                <w:szCs w:val="1"/>
                <w:color w:val="auto"/>
              </w:rPr>
            </w:pPr>
          </w:p>
        </w:tc>
      </w:tr>
      <w:tr>
        <w:trPr>
          <w:trHeight w:val="206"/>
        </w:trPr>
        <w:tc>
          <w:tcPr>
            <w:tcW w:w="61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1,108,097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902,000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1,332,688</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Payments on debt</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(1,135,388)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(801,569)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7"/>
                <w:szCs w:val="17"/>
                <w:color w:val="auto"/>
              </w:rPr>
              <w:t>(1,155,852)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Proceeds from issuance of common stock, net of offering and underwriting costs</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234,419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56,857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287,692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to stockholders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(52,589)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(24,396)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(10,968)</w:t>
            </w:r>
          </w:p>
        </w:tc>
        <w:tc>
          <w:tcPr>
            <w:tcW w:w="0" w:type="dxa"/>
            <w:vAlign w:val="bottom"/>
          </w:tcPr>
          <w:p>
            <w:pPr>
              <w:spacing w:after="0"/>
              <w:rPr>
                <w:sz w:val="1"/>
                <w:szCs w:val="1"/>
                <w:color w:val="auto"/>
              </w:rPr>
            </w:pPr>
          </w:p>
        </w:tc>
      </w:tr>
      <w:tr>
        <w:trPr>
          <w:trHeight w:val="217"/>
        </w:trPr>
        <w:tc>
          <w:tcPr>
            <w:tcW w:w="6160" w:type="dxa"/>
            <w:vAlign w:val="bottom"/>
          </w:tcPr>
          <w:p>
            <w:pPr>
              <w:ind w:left="360"/>
              <w:spacing w:after="0"/>
              <w:rPr>
                <w:sz w:val="20"/>
                <w:szCs w:val="20"/>
                <w:color w:val="auto"/>
              </w:rPr>
            </w:pPr>
            <w:r>
              <w:rPr>
                <w:rFonts w:ascii="Arial" w:cs="Arial" w:eastAsia="Arial" w:hAnsi="Arial"/>
                <w:sz w:val="17"/>
                <w:szCs w:val="17"/>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147,773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448,232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(158,354)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18,133</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3,471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161,825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143,692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161,825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7"/>
                <w:szCs w:val="17"/>
                <w:color w:val="auto"/>
              </w:rPr>
              <w:t>Supplemental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paid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11,394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8,792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3,580</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Excise taxes paid during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199</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declared during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81,326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55,385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29,770</w:t>
            </w:r>
          </w:p>
        </w:tc>
        <w:tc>
          <w:tcPr>
            <w:tcW w:w="0" w:type="dxa"/>
            <w:vAlign w:val="bottom"/>
          </w:tcPr>
          <w:p>
            <w:pPr>
              <w:spacing w:after="0"/>
              <w:rPr>
                <w:sz w:val="1"/>
                <w:szCs w:val="1"/>
                <w:color w:val="auto"/>
              </w:rPr>
            </w:pPr>
          </w:p>
        </w:tc>
      </w:tr>
      <w:tr>
        <w:trPr>
          <w:trHeight w:val="203"/>
        </w:trPr>
        <w:tc>
          <w:tcPr>
            <w:tcW w:w="6160" w:type="dxa"/>
            <w:vAlign w:val="bottom"/>
          </w:tcPr>
          <w:p>
            <w:pPr>
              <w:ind w:left="360"/>
              <w:spacing w:after="0"/>
              <w:rPr>
                <w:sz w:val="20"/>
                <w:szCs w:val="20"/>
                <w:color w:val="auto"/>
              </w:rPr>
            </w:pPr>
            <w:r>
              <w:rPr>
                <w:rFonts w:ascii="Arial" w:cs="Arial" w:eastAsia="Arial" w:hAnsi="Arial"/>
                <w:sz w:val="17"/>
                <w:szCs w:val="17"/>
                <w:color w:val="auto"/>
              </w:rPr>
              <w:t>Reinvestment of dividends during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22,566</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26,438</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7"/>
                <w:szCs w:val="17"/>
                <w:color w:val="auto"/>
              </w:rPr>
              <w:t>9,194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Subscription receivable from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Net of underwriting fees and offering costs, the Company received additional total cash proceeds of $15.4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applying the specialized accounting and reporting guidance in Accounting Standards Codification (“ASC”) Topic 946, </w:t>
      </w:r>
      <w:r>
        <w:rPr>
          <w:rFonts w:ascii="Arial" w:cs="Arial" w:eastAsia="Arial" w:hAnsi="Arial"/>
          <w:sz w:val="18"/>
          <w:szCs w:val="18"/>
          <w:i w:val="1"/>
          <w:iCs w:val="1"/>
          <w:color w:val="auto"/>
        </w:rPr>
        <w:t>Financial Services—Investment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40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Statements—Going Concern (Subtopic 205 – 40): Disclosure of Uncertainties About an Entity’s Ability to Continue as a Going Concern</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The Company is currently assessing the additional disclosure requirements, if any, of ASU 2014-15. ASU 2014-15 is effective for the annual period ending after December 31, 2016 and for annual periods and interim periods thereafter, with early adoption permitted.</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May 2014, the Financial Accounting Standards Board issued Accounting Standards Update 2014-09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(Topic 606).” </w:t>
      </w:r>
      <w:r>
        <w:rPr>
          <w:rFonts w:ascii="Arial" w:cs="Arial" w:eastAsia="Arial" w:hAnsi="Arial"/>
          <w:sz w:val="18"/>
          <w:szCs w:val="18"/>
          <w:color w:val="auto"/>
        </w:rPr>
        <w:t>The guidance in this ASU supersedes the revenue recognition requirements in Topic 605, Revenue Recognition. Under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 entity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should recognize revenue to depict the transfer of promised goods or services to customers in an amount that reflects the consideration to which the entity expects to be entitled in exchange for those goods or services. The amendments in ASU 2014-09 are effective for annual reporting periods beginning after December 15, 2016, including interim periods within that reporting period. Early application is not permitted. The Company is currently evaluating the impact of adopting this ASU on its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the years ended December 31, 2014, 2013 and 2012, the Company incurred expenses of $2.7 million, $1.4 million and $1.0 million, respectively, for administrative services payable to the Adviser under the terms of the Administration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jc w:val="center"/>
        <w:ind w:right="300"/>
        <w:spacing w:after="0" w:line="449" w:lineRule="auto"/>
        <w:rPr>
          <w:sz w:val="20"/>
          <w:szCs w:val="20"/>
          <w:color w:val="auto"/>
        </w:rPr>
      </w:pPr>
      <w:r>
        <w:rPr>
          <w:rFonts w:ascii="Arial" w:cs="Arial" w:eastAsia="Arial" w:hAnsi="Arial"/>
          <w:sz w:val="18"/>
          <w:szCs w:val="18"/>
          <w:color w:val="auto"/>
        </w:rPr>
        <w:t>For the years ended December 31, 2014, 2013 and 2012, Management Fees were $18.3 million, $13.4 million, and $8.9 million, respectively. F-20</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4"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For the years ended December 31, 2014, 2013, and 2012, Management Fees of $2.5 million, $7.1 million, and $3.7 million, respectively, were waived. Any waived Management Fees were not subject to recoupment by the Adviser. Following the IPO, the Adviser has not waived its right to receive the full Management Fee and accordingly, the Company will be required to continue to pay the full amount of the Management Fee.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80" w:hanging="446"/>
        <w:spacing w:after="0" w:line="254"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97" w:lineRule="exact"/>
        <w:rPr>
          <w:rFonts w:ascii="Arial" w:cs="Arial" w:eastAsia="Arial" w:hAnsi="Arial"/>
          <w:sz w:val="18"/>
          <w:szCs w:val="18"/>
          <w:color w:val="auto"/>
        </w:rPr>
      </w:pPr>
    </w:p>
    <w:p>
      <w:pPr>
        <w:ind w:left="900" w:right="20"/>
        <w:spacing w:after="0" w:line="254"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97" w:lineRule="exact"/>
        <w:rPr>
          <w:rFonts w:ascii="Arial" w:cs="Arial" w:eastAsia="Arial" w:hAnsi="Arial"/>
          <w:sz w:val="18"/>
          <w:szCs w:val="18"/>
          <w:color w:val="auto"/>
        </w:rPr>
      </w:pPr>
    </w:p>
    <w:p>
      <w:pPr>
        <w:ind w:left="900"/>
        <w:spacing w:after="0" w:line="255" w:lineRule="auto"/>
        <w:rPr>
          <w:rFonts w:ascii="Arial" w:cs="Arial" w:eastAsia="Arial" w:hAnsi="Arial"/>
          <w:sz w:val="18"/>
          <w:szCs w:val="18"/>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4"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now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8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2014, Incentive Fees were $17.8 million, comprised of fees related to pre-incentive fee net investment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$20.8 million offset by ($2.9) million of incentive fees related to capital gains and losses attributable to unrealized losses on investments and realized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foreign exchange transactions. For the year ended December 31, 2013, Incentive Fees were $11.8 million, comprised of fees related to pre-incentive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investment income of $10.4 million and $1.4 million of incentive fees related to capital gains and losses. For the year ended December 31, 2012, Incentive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Fees were $7.0 million, comprised of fees related to pre-incentive fee net investment income of $5.3 million and $1.7 million of incentive fees related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 gains and losses.</w:t>
      </w:r>
    </w:p>
    <w:p>
      <w:pPr>
        <w:spacing w:after="0" w:line="21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November 3, 2014, the Board renewed the Investment Advisory Agreement. Unless earlier terminated as described above, the Investment Advisory Agreement will remain in effect until November 3, 2015,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2014, the Adviser entered into a purchase agreement (the “Adviser 10b5-1 Plan”), in accordance with Rules 10b5-1 and 10b-18 under the Securities Exchange Act of 1934, as amended (the “Exchange Act”), under which an agent for the Adviser would buy up to $25 million in the aggregate of the Company’s common stock, subject to certain conditions. The Adviser 10b5-1 Plan expired in accordance with its terms on December 31, 2014. During the year ended December 31, 2014, 300 shares were purchased under the Adviser 10b5-1 Plan. These 300 shares were purchased prior to the approval and implementation of the Company 10b5-1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Amortized Cost</w:t>
            </w:r>
            <w:r>
              <w:rPr>
                <w:rFonts w:ascii="Arial" w:cs="Arial" w:eastAsia="Arial" w:hAnsi="Arial"/>
                <w:sz w:val="12"/>
                <w:szCs w:val="12"/>
                <w:b w:val="1"/>
                <w:bCs w:val="1"/>
                <w:color w:val="auto"/>
                <w:w w:val="94"/>
              </w:rPr>
              <w:t>(1)</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1,127,215</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1,124,246</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111,121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111,408</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12,964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21,502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14,893</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1,273,252</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1,263,511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4"/>
              </w:rPr>
              <w:t>Amortized Cost</w:t>
            </w:r>
            <w:r>
              <w:rPr>
                <w:rFonts w:ascii="Arial" w:cs="Arial" w:eastAsia="Arial" w:hAnsi="Arial"/>
                <w:sz w:val="12"/>
                <w:szCs w:val="12"/>
                <w:b w:val="1"/>
                <w:bCs w:val="1"/>
                <w:color w:val="auto"/>
                <w:w w:val="94"/>
              </w:rPr>
              <w:t>(1)</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131,082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137,482</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2,780</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997,298</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1,016,451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77"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00"/>
          </w:cols>
          <w:pgMar w:left="240" w:top="460" w:right="3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2014 and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1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Automotive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2.7%</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Business services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10.0%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1240" w:type="dxa"/>
            <w:vAlign w:val="bottom"/>
          </w:tcPr>
          <w:p>
            <w:pPr>
              <w:spacing w:after="0"/>
              <w:rPr>
                <w:sz w:val="18"/>
                <w:szCs w:val="18"/>
                <w:color w:val="auto"/>
              </w:rPr>
            </w:pPr>
          </w:p>
        </w:tc>
        <w:tc>
          <w:tcPr>
            <w:tcW w:w="18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Education</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Financial services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8.4%</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5.9%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1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Insurance</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8.0%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Internet services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Manufacturing</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3.5%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Office products</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2.8%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3100" w:type="dxa"/>
            <w:vAlign w:val="bottom"/>
            <w:gridSpan w:val="3"/>
          </w:tcPr>
          <w:p>
            <w:pPr>
              <w:jc w:val="right"/>
              <w:ind w:right="56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3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3.3%</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Transportation</w:t>
            </w:r>
          </w:p>
        </w:tc>
        <w:tc>
          <w:tcPr>
            <w:tcW w:w="1240" w:type="dxa"/>
            <w:vAlign w:val="bottom"/>
          </w:tcPr>
          <w:p>
            <w:pPr>
              <w:spacing w:after="0"/>
              <w:rPr>
                <w:sz w:val="18"/>
                <w:szCs w:val="18"/>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2014 and 2013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37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2014</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Midwest</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13.1%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27.1%</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South</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23.6%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Canada</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9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2014 generally had terms of approximately two months or less.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40"/>
          </w:cols>
          <w:pgMar w:left="240" w:top="459" w:right="3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During the year ended December 31, 2014, the Company entered into foreign currency forward contracts related to its non-USD investments. The Company did not have any open foreign currency forward contracts as of December 31, 2014.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presented in</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5"/>
              </w:rPr>
              <w:t>Foreign Currency Forward</w:t>
            </w: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w w:val="98"/>
              </w:rPr>
              <w:t>Amount (in ‘000s)</w:t>
            </w: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USD Value at</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USD Value at</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4"/>
        </w:trPr>
        <w:tc>
          <w:tcPr>
            <w:tcW w:w="170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Settlement Date</w:t>
            </w:r>
          </w:p>
        </w:tc>
        <w:tc>
          <w:tcPr>
            <w:tcW w:w="1600" w:type="dxa"/>
            <w:vAlign w:val="bottom"/>
            <w:gridSpan w:val="3"/>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Financial</w:t>
            </w:r>
          </w:p>
        </w:tc>
        <w:tc>
          <w:tcPr>
            <w:tcW w:w="0" w:type="dxa"/>
            <w:vAlign w:val="bottom"/>
          </w:tcPr>
          <w:p>
            <w:pPr>
              <w:spacing w:after="0"/>
              <w:rPr>
                <w:sz w:val="1"/>
                <w:szCs w:val="1"/>
                <w:color w:val="auto"/>
              </w:rPr>
            </w:pPr>
          </w:p>
        </w:tc>
      </w:tr>
      <w:tr>
        <w:trPr>
          <w:trHeight w:val="176"/>
        </w:trPr>
        <w:tc>
          <w:tcPr>
            <w:tcW w:w="1700" w:type="dxa"/>
            <w:vAlign w:val="bottom"/>
          </w:tcPr>
          <w:p>
            <w:pPr>
              <w:spacing w:after="0"/>
              <w:rPr>
                <w:sz w:val="20"/>
                <w:szCs w:val="20"/>
                <w:color w:val="auto"/>
              </w:rPr>
            </w:pPr>
            <w:r>
              <w:rPr>
                <w:rFonts w:ascii="Arial" w:cs="Arial" w:eastAsia="Arial" w:hAnsi="Arial"/>
                <w:sz w:val="14"/>
                <w:szCs w:val="14"/>
                <w:b w:val="1"/>
                <w:bCs w:val="1"/>
                <w:color w:val="auto"/>
              </w:rPr>
              <w:t>Contracts</w:t>
            </w:r>
          </w:p>
        </w:tc>
        <w:tc>
          <w:tcPr>
            <w:tcW w:w="23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00" w:type="dxa"/>
            <w:vAlign w:val="bottom"/>
            <w:gridSpan w:val="3"/>
          </w:tcPr>
          <w:p>
            <w:pPr>
              <w:jc w:val="right"/>
              <w:ind w:right="405"/>
              <w:spacing w:after="0"/>
              <w:rPr>
                <w:sz w:val="20"/>
                <w:szCs w:val="20"/>
                <w:color w:val="auto"/>
              </w:rPr>
            </w:pPr>
            <w:r>
              <w:rPr>
                <w:rFonts w:ascii="Arial" w:cs="Arial" w:eastAsia="Arial" w:hAnsi="Arial"/>
                <w:sz w:val="14"/>
                <w:szCs w:val="14"/>
                <w:b w:val="1"/>
                <w:bCs w:val="1"/>
                <w:color w:val="auto"/>
              </w:rPr>
              <w:t>and Transaction</w:t>
            </w: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Settlement Date</w:t>
            </w:r>
          </w:p>
        </w:tc>
        <w:tc>
          <w:tcPr>
            <w:tcW w:w="10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Swedish Krona (SEK)</w:t>
            </w:r>
          </w:p>
        </w:tc>
        <w:tc>
          <w:tcPr>
            <w:tcW w:w="2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January 24, 2014</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188,672 sold</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7"/>
              </w:rPr>
              <w:t>(28,440)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0"/>
              </w:rPr>
              <w:t>(29,366)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w w:val="97"/>
              </w:rPr>
              <w:t>Pound Sterling (GBP)</w:t>
            </w:r>
          </w:p>
        </w:tc>
        <w:tc>
          <w:tcPr>
            <w:tcW w:w="230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color w:val="auto"/>
              </w:rPr>
              <w:t>January 24, 2014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7,000 sold</w:t>
            </w:r>
          </w:p>
        </w:tc>
        <w:tc>
          <w:tcPr>
            <w:tcW w:w="14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18"/>
                <w:szCs w:val="18"/>
                <w:color w:val="auto"/>
              </w:rPr>
            </w:pPr>
          </w:p>
        </w:tc>
        <w:tc>
          <w:tcPr>
            <w:tcW w:w="1500" w:type="dxa"/>
            <w:vAlign w:val="bottom"/>
            <w:gridSpan w:val="2"/>
          </w:tcPr>
          <w:p>
            <w:pPr>
              <w:ind w:left="72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(39,714)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(40,958)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June 2014, the Company entered into two interest rate swap transactions, each with a $57.5 million notional amount. As of December 31, 2014 the Company received fixed rate interest at 4.50% and paid variable rate interest based on the 3-month London Interbank Offered Rate (“LIBOR”) plus 2.529%. The swap transactions mature on December 15, 2019. For the year ended December 31, 2014, the Company recognized $1.0 million in unrealized appreciation on derivatives in the consolidated statement of operations related to the swap transactions. As of December 31, 2014, the swap transactions had a fair value of $1.0 million, which is included in receivable on interest rate swaps on the Company’s consolidated balance sheet.</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the year ended December 31, 2014, the Company received $2.6 million and paid $1.6 million related to the quarterly settlements of its interest rate swaps. This net amount is a reduction to interest expense in the Company’s consolidated statements of operations.</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2014, $2.3 million of cash is pledged as collateral under the Company’s derivative instruments and is included in restricted cash as a component of other assets on the Company’s consolidated balance sheet. The Company also had less than $0.1 million of cash collateral posted as of December 31, 2014, which is also included in restricted cash as a component of other assets on the Company’s consolidated balance sheet.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2014 and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2"/>
          </w:tcPr>
          <w:p>
            <w:pPr>
              <w:jc w:val="center"/>
              <w:ind w:left="182"/>
              <w:spacing w:after="0"/>
              <w:rPr>
                <w:sz w:val="20"/>
                <w:szCs w:val="20"/>
                <w:color w:val="auto"/>
              </w:rPr>
            </w:pPr>
            <w:r>
              <w:rPr>
                <w:rFonts w:ascii="Arial" w:cs="Arial" w:eastAsia="Arial" w:hAnsi="Arial"/>
                <w:sz w:val="14"/>
                <w:szCs w:val="14"/>
                <w:b w:val="1"/>
                <w:bCs w:val="1"/>
                <w:color w:val="auto"/>
                <w:w w:val="94"/>
              </w:rPr>
              <w:t>Fair Value Hierarchy at December 31, 2014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64,910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1,059,336</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1,124,246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50,158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61,250</w:t>
            </w: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111,408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12,964</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9,368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14,893</w:t>
            </w:r>
          </w:p>
        </w:tc>
        <w:tc>
          <w:tcPr>
            <w:tcW w:w="8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129,037</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1,134,474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1,263,511</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130,057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1,134,474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1,264,531</w:t>
            </w:r>
          </w:p>
        </w:tc>
        <w:tc>
          <w:tcPr>
            <w:tcW w:w="8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tcPr>
          <w:p>
            <w:pPr>
              <w:jc w:val="right"/>
              <w:ind w:right="180"/>
              <w:spacing w:after="0"/>
              <w:rPr>
                <w:sz w:val="20"/>
                <w:szCs w:val="20"/>
                <w:color w:val="auto"/>
              </w:rPr>
            </w:pPr>
            <w:r>
              <w:rPr>
                <w:rFonts w:ascii="Arial" w:cs="Arial" w:eastAsia="Arial" w:hAnsi="Arial"/>
                <w:sz w:val="14"/>
                <w:szCs w:val="14"/>
                <w:b w:val="1"/>
                <w:bCs w:val="1"/>
                <w:color w:val="auto"/>
              </w:rPr>
              <w:t>Fair Value Hierarchy at December 31, 2013</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Level 1</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340" w:type="dxa"/>
            <w:vAlign w:val="bottom"/>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854,972</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33,952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103,530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Equity investments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1,805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at Fair Value</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56,144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1,016,451</w:t>
            </w:r>
          </w:p>
        </w:tc>
        <w:tc>
          <w:tcPr>
            <w:tcW w:w="80" w:type="dxa"/>
            <w:vAlign w:val="bottom"/>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gridSpan w:val="2"/>
          </w:tcPr>
          <w:p>
            <w:pPr>
              <w:spacing w:after="0"/>
              <w:rPr>
                <w:sz w:val="20"/>
                <w:szCs w:val="20"/>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7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1,015,207</w:t>
            </w:r>
          </w:p>
        </w:tc>
        <w:tc>
          <w:tcPr>
            <w:tcW w:w="8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2014</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First-lien</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280" w:type="dxa"/>
            <w:vAlign w:val="bottom"/>
          </w:tcPr>
          <w:p>
            <w:pPr>
              <w:spacing w:after="0"/>
              <w:rPr>
                <w:sz w:val="10"/>
                <w:szCs w:val="10"/>
                <w:color w:val="auto"/>
              </w:rPr>
            </w:pPr>
          </w:p>
        </w:tc>
        <w:tc>
          <w:tcPr>
            <w:tcW w:w="12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Mezzanine</w:t>
            </w:r>
          </w:p>
        </w:tc>
        <w:tc>
          <w:tcPr>
            <w:tcW w:w="12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Equity and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debt</w:t>
            </w:r>
          </w:p>
        </w:tc>
        <w:tc>
          <w:tcPr>
            <w:tcW w:w="16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investments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investments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103,530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Purchases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770,732</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72,850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4,640</w:t>
            </w: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(94,952)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(473,178)</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(113,148)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(586,326)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(15,365)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(27,003)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15,357</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18,347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Level 3</w:t>
            </w: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1,059,336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1,134,474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580" w:type="dxa"/>
            <w:vAlign w:val="bottom"/>
            <w:gridSpan w:val="5"/>
          </w:tcPr>
          <w:p>
            <w:pPr>
              <w:jc w:val="right"/>
              <w:ind w:right="980"/>
              <w:spacing w:after="0"/>
              <w:rPr>
                <w:sz w:val="20"/>
                <w:szCs w:val="20"/>
                <w:color w:val="auto"/>
              </w:rPr>
            </w:pPr>
            <w:r>
              <w:rPr>
                <w:rFonts w:ascii="Arial" w:cs="Arial" w:eastAsia="Arial" w:hAnsi="Arial"/>
                <w:sz w:val="18"/>
                <w:szCs w:val="18"/>
                <w:color w:val="auto"/>
              </w:rPr>
              <w:t>F-26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First-lien</w:t>
            </w: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280" w:type="dxa"/>
            <w:vAlign w:val="bottom"/>
          </w:tcPr>
          <w:p>
            <w:pPr>
              <w:spacing w:after="0"/>
              <w:rPr>
                <w:sz w:val="10"/>
                <w:szCs w:val="10"/>
                <w:color w:val="auto"/>
              </w:rPr>
            </w:pPr>
          </w:p>
        </w:tc>
        <w:tc>
          <w:tcPr>
            <w:tcW w:w="11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Mezzanine</w:t>
            </w:r>
          </w:p>
        </w:tc>
        <w:tc>
          <w:tcPr>
            <w:tcW w:w="16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investments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investments</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507,056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51,270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780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1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(30,615)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(178,831)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1,865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(975)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5,367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of Level 3</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b w:val="1"/>
                <w:bCs w:val="1"/>
                <w:color w:val="auto"/>
              </w:rPr>
              <w:t>Balance, End of Year</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$ 854,972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103,530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$ 960,307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Net Change in Unrealized</w:t>
            </w:r>
          </w:p>
        </w:tc>
        <w:tc>
          <w:tcPr>
            <w:tcW w:w="180" w:type="dxa"/>
            <w:vAlign w:val="bottom"/>
          </w:tcPr>
          <w:p>
            <w:pPr>
              <w:spacing w:after="0"/>
              <w:rPr>
                <w:sz w:val="14"/>
                <w:szCs w:val="14"/>
                <w:color w:val="auto"/>
              </w:rPr>
            </w:pP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December 31, 2014 on</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 2013 on</w:t>
            </w: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Investments Held at</w:t>
            </w:r>
          </w:p>
        </w:tc>
        <w:tc>
          <w:tcPr>
            <w:tcW w:w="180" w:type="dxa"/>
            <w:vAlign w:val="bottom"/>
          </w:tcPr>
          <w:p>
            <w:pPr>
              <w:spacing w:after="0"/>
              <w:rPr>
                <w:sz w:val="12"/>
                <w:szCs w:val="12"/>
                <w:color w:val="auto"/>
              </w:rPr>
            </w:pPr>
          </w:p>
        </w:tc>
        <w:tc>
          <w:tcPr>
            <w:tcW w:w="2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December 31, 2014</w:t>
            </w:r>
          </w:p>
        </w:tc>
        <w:tc>
          <w:tcPr>
            <w:tcW w:w="180" w:type="dxa"/>
            <w:vAlign w:val="bottom"/>
          </w:tcPr>
          <w:p>
            <w:pPr>
              <w:spacing w:after="0"/>
              <w:rPr>
                <w:sz w:val="14"/>
                <w:szCs w:val="14"/>
                <w:color w:val="auto"/>
              </w:rPr>
            </w:pPr>
          </w:p>
        </w:tc>
        <w:tc>
          <w:tcPr>
            <w:tcW w:w="2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 w:type="dxa"/>
            <w:vAlign w:val="bottom"/>
          </w:tcPr>
          <w:p>
            <w:pPr>
              <w:spacing w:after="0"/>
              <w:rPr>
                <w:sz w:val="18"/>
                <w:szCs w:val="18"/>
                <w:color w:val="auto"/>
              </w:rPr>
            </w:pPr>
          </w:p>
        </w:tc>
        <w:tc>
          <w:tcPr>
            <w:tcW w:w="2720" w:type="dxa"/>
            <w:vAlign w:val="bottom"/>
            <w:gridSpan w:val="2"/>
          </w:tcPr>
          <w:p>
            <w:pPr>
              <w:jc w:val="right"/>
              <w:ind w:right="46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2400" w:type="dxa"/>
            <w:vAlign w:val="bottom"/>
            <w:gridSpan w:val="2"/>
          </w:tcPr>
          <w:p>
            <w:pPr>
              <w:jc w:val="right"/>
              <w:ind w:right="140"/>
              <w:spacing w:after="0"/>
              <w:rPr>
                <w:sz w:val="20"/>
                <w:szCs w:val="20"/>
                <w:color w:val="auto"/>
              </w:rPr>
            </w:pPr>
            <w:r>
              <w:rPr>
                <w:rFonts w:ascii="Arial" w:cs="Arial" w:eastAsia="Arial" w:hAnsi="Arial"/>
                <w:sz w:val="18"/>
                <w:szCs w:val="18"/>
                <w:color w:val="auto"/>
              </w:rPr>
              <w:t>1,865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60" w:type="dxa"/>
            <w:vAlign w:val="bottom"/>
          </w:tcPr>
          <w:p>
            <w:pPr>
              <w:spacing w:after="0"/>
              <w:rPr>
                <w:sz w:val="18"/>
                <w:szCs w:val="18"/>
                <w:color w:val="auto"/>
              </w:rPr>
            </w:pPr>
          </w:p>
        </w:tc>
        <w:tc>
          <w:tcPr>
            <w:tcW w:w="2720" w:type="dxa"/>
            <w:vAlign w:val="bottom"/>
            <w:gridSpan w:val="2"/>
          </w:tcPr>
          <w:p>
            <w:pPr>
              <w:jc w:val="right"/>
              <w:ind w:right="460"/>
              <w:spacing w:after="0"/>
              <w:rPr>
                <w:sz w:val="20"/>
                <w:szCs w:val="20"/>
                <w:color w:val="auto"/>
              </w:rPr>
            </w:pPr>
            <w:r>
              <w:rPr>
                <w:rFonts w:ascii="Arial" w:cs="Arial" w:eastAsia="Arial" w:hAnsi="Arial"/>
                <w:sz w:val="18"/>
                <w:szCs w:val="18"/>
                <w:color w:val="auto"/>
              </w:rPr>
              <w:t>(5,629)</w:t>
            </w:r>
          </w:p>
        </w:tc>
        <w:tc>
          <w:tcPr>
            <w:tcW w:w="180" w:type="dxa"/>
            <w:vAlign w:val="bottom"/>
          </w:tcPr>
          <w:p>
            <w:pPr>
              <w:spacing w:after="0"/>
              <w:rPr>
                <w:sz w:val="18"/>
                <w:szCs w:val="18"/>
                <w:color w:val="auto"/>
              </w:rPr>
            </w:pPr>
          </w:p>
        </w:tc>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r>
      <w:tr>
        <w:trPr>
          <w:trHeight w:val="27"/>
        </w:trPr>
        <w:tc>
          <w:tcPr>
            <w:tcW w:w="4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9,358</w:t>
            </w: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December 31, 2014</w:t>
            </w: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w:t>
            </w:r>
          </w:p>
        </w:tc>
        <w:tc>
          <w:tcPr>
            <w:tcW w:w="220" w:type="dxa"/>
            <w:vAlign w:val="bottom"/>
          </w:tcPr>
          <w:p>
            <w:pPr>
              <w:spacing w:after="0"/>
              <w:rPr>
                <w:sz w:val="10"/>
                <w:szCs w:val="10"/>
                <w:color w:val="auto"/>
              </w:rPr>
            </w:pPr>
          </w:p>
        </w:tc>
        <w:tc>
          <w:tcPr>
            <w:tcW w:w="14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16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4"/>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ind w:left="380"/>
              <w:spacing w:after="0"/>
              <w:rPr>
                <w:sz w:val="20"/>
                <w:szCs w:val="20"/>
                <w:color w:val="auto"/>
              </w:rPr>
            </w:pPr>
            <w:r>
              <w:rPr>
                <w:rFonts w:ascii="Arial" w:cs="Arial" w:eastAsia="Arial" w:hAnsi="Arial"/>
                <w:sz w:val="14"/>
                <w:szCs w:val="14"/>
                <w:b w:val="1"/>
                <w:bCs w:val="1"/>
                <w:color w:val="auto"/>
              </w:rPr>
              <w:t>Technique</w:t>
            </w:r>
          </w:p>
        </w:tc>
        <w:tc>
          <w:tcPr>
            <w:tcW w:w="220" w:type="dxa"/>
            <w:vAlign w:val="bottom"/>
          </w:tcPr>
          <w:p>
            <w:pPr>
              <w:spacing w:after="0"/>
              <w:rPr>
                <w:sz w:val="14"/>
                <w:szCs w:val="1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Input</w:t>
            </w: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Income</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8.00%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1,059,336</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r>
              <w:rPr>
                <w:rFonts w:ascii="Arial" w:cs="Arial" w:eastAsia="Arial" w:hAnsi="Arial"/>
                <w:sz w:val="15"/>
                <w:szCs w:val="15"/>
                <w:color w:val="auto"/>
              </w:rPr>
              <w:t>(1)</w:t>
            </w:r>
          </w:p>
        </w:tc>
        <w:tc>
          <w:tcPr>
            <w:tcW w:w="1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15.35% (10.86%)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Income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10.97% —</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61,250</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approach</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10.97% (10.97%)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20.78% —</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1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Market yield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20.78% (20.78%)</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Market Multiple,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Discounted Cash</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Comparable</w:t>
            </w:r>
          </w:p>
        </w:tc>
        <w:tc>
          <w:tcPr>
            <w:tcW w:w="16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7.9x — 13.0x</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Flow or Black</w:t>
            </w:r>
          </w:p>
        </w:tc>
        <w:tc>
          <w:tcPr>
            <w:tcW w:w="166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multiple,</w:t>
            </w:r>
          </w:p>
        </w:tc>
        <w:tc>
          <w:tcPr>
            <w:tcW w:w="164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Scholes Option</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discount rate</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(10.4x) or 14.4%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Increase or</w:t>
            </w: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9,368</w:t>
            </w:r>
          </w:p>
        </w:tc>
        <w:tc>
          <w:tcPr>
            <w:tcW w:w="160" w:type="dxa"/>
            <w:vAlign w:val="bottom"/>
          </w:tcPr>
          <w:p>
            <w:pPr>
              <w:spacing w:after="0"/>
              <w:rPr>
                <w:sz w:val="21"/>
                <w:szCs w:val="21"/>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Model</w:t>
            </w:r>
          </w:p>
        </w:tc>
        <w:tc>
          <w:tcPr>
            <w:tcW w:w="1660" w:type="dxa"/>
            <w:vAlign w:val="bottom"/>
            <w:gridSpan w:val="4"/>
          </w:tcPr>
          <w:p>
            <w:pPr>
              <w:ind w:left="220"/>
              <w:spacing w:after="0"/>
              <w:rPr>
                <w:sz w:val="20"/>
                <w:szCs w:val="20"/>
                <w:color w:val="auto"/>
              </w:rPr>
            </w:pPr>
            <w:r>
              <w:rPr>
                <w:rFonts w:ascii="Arial" w:cs="Arial" w:eastAsia="Arial" w:hAnsi="Arial"/>
                <w:sz w:val="18"/>
                <w:szCs w:val="18"/>
                <w:color w:val="auto"/>
              </w:rPr>
              <w:t>or volatility</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or 40%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77"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5"/>
              </w:rPr>
              <w:t>December 31, 2013</w:t>
            </w:r>
          </w:p>
        </w:tc>
        <w:tc>
          <w:tcPr>
            <w:tcW w:w="1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Valuation</w:t>
            </w:r>
          </w:p>
        </w:tc>
        <w:tc>
          <w:tcPr>
            <w:tcW w:w="200" w:type="dxa"/>
            <w:vAlign w:val="bottom"/>
          </w:tcPr>
          <w:p>
            <w:pPr>
              <w:spacing w:after="0"/>
              <w:rPr>
                <w:sz w:val="10"/>
                <w:szCs w:val="10"/>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Unobservable</w:t>
            </w:r>
          </w:p>
        </w:tc>
        <w:tc>
          <w:tcPr>
            <w:tcW w:w="16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Range (Weighted</w:t>
            </w: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 Valuation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Technique</w:t>
            </w:r>
          </w:p>
        </w:tc>
        <w:tc>
          <w:tcPr>
            <w:tcW w:w="2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Input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Average)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5.50% —</w:t>
            </w:r>
          </w:p>
        </w:tc>
        <w:tc>
          <w:tcPr>
            <w:tcW w:w="3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854,972</w:t>
            </w:r>
          </w:p>
        </w:tc>
        <w:tc>
          <w:tcPr>
            <w:tcW w:w="1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Approach</w:t>
            </w:r>
          </w:p>
        </w:tc>
        <w:tc>
          <w:tcPr>
            <w:tcW w:w="17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Market Yield</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9.32% —</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103,530</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Income Approach</w:t>
            </w:r>
          </w:p>
        </w:tc>
        <w:tc>
          <w:tcPr>
            <w:tcW w:w="1780" w:type="dxa"/>
            <w:vAlign w:val="bottom"/>
            <w:gridSpan w:val="3"/>
          </w:tcPr>
          <w:p>
            <w:pPr>
              <w:ind w:left="200"/>
              <w:spacing w:after="0"/>
              <w:rPr>
                <w:sz w:val="20"/>
                <w:szCs w:val="20"/>
                <w:color w:val="auto"/>
              </w:rPr>
            </w:pPr>
            <w:r>
              <w:rPr>
                <w:rFonts w:ascii="Arial" w:cs="Arial" w:eastAsia="Arial" w:hAnsi="Arial"/>
                <w:sz w:val="18"/>
                <w:szCs w:val="18"/>
                <w:color w:val="auto"/>
              </w:rPr>
              <w:t>Market Yield</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9.87% (9.59%)</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Weighted</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3"/>
          </w:tcPr>
          <w:p>
            <w:pPr>
              <w:ind w:left="200"/>
              <w:spacing w:after="0"/>
              <w:rPr>
                <w:sz w:val="20"/>
                <w:szCs w:val="20"/>
                <w:color w:val="auto"/>
              </w:rPr>
            </w:pPr>
            <w:r>
              <w:rPr>
                <w:rFonts w:ascii="Arial" w:cs="Arial" w:eastAsia="Arial" w:hAnsi="Arial"/>
                <w:sz w:val="18"/>
                <w:szCs w:val="18"/>
                <w:color w:val="auto"/>
              </w:rPr>
              <w:t>Average Cost of</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12.1% —</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1,805</w:t>
            </w: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Income Approach</w:t>
            </w:r>
          </w:p>
        </w:tc>
        <w:tc>
          <w:tcPr>
            <w:tcW w:w="1780" w:type="dxa"/>
            <w:vAlign w:val="bottom"/>
            <w:gridSpan w:val="3"/>
          </w:tcPr>
          <w:p>
            <w:pPr>
              <w:ind w:left="200"/>
              <w:spacing w:after="0"/>
              <w:rPr>
                <w:sz w:val="20"/>
                <w:szCs w:val="20"/>
                <w:color w:val="auto"/>
              </w:rPr>
            </w:pPr>
            <w:r>
              <w:rPr>
                <w:rFonts w:ascii="Arial" w:cs="Arial" w:eastAsia="Arial" w:hAnsi="Arial"/>
                <w:sz w:val="18"/>
                <w:szCs w:val="18"/>
                <w:color w:val="auto"/>
              </w:rPr>
              <w:t>Capital (WACC)</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15.3% (14.0%)</w:t>
            </w:r>
          </w:p>
        </w:tc>
        <w:tc>
          <w:tcPr>
            <w:tcW w:w="1520" w:type="dxa"/>
            <w:vAlign w:val="bottom"/>
            <w:gridSpan w:val="2"/>
          </w:tcPr>
          <w:p>
            <w:pPr>
              <w:ind w:left="740"/>
              <w:spacing w:after="0"/>
              <w:rPr>
                <w:sz w:val="20"/>
                <w:szCs w:val="20"/>
                <w:color w:val="auto"/>
              </w:rPr>
            </w:pPr>
            <w:r>
              <w:rPr>
                <w:rFonts w:ascii="Arial" w:cs="Arial" w:eastAsia="Arial" w:hAnsi="Arial"/>
                <w:sz w:val="18"/>
                <w:szCs w:val="18"/>
                <w:color w:val="auto"/>
                <w:w w:val="98"/>
              </w:rPr>
              <w:t>Decrease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fair value of the Company’s revolving credit facilities, which are categorized as Level 3 within the fair value hierarchy, as of December 31, 2014 and 2013, approximates their carrying value as the outstanding balances are callable at carrying value.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fair value of the Company’s Convertible Senior Notes, which is categorized as Level 2 within the fair value hierarchy, as of December 31, 2014, was $112.2 million, based on broker quotes received by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2014 and 2013, the Company’s asset coverage was 311.0% and 232.9%,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December 31, 2014</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13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11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r>
              <w:rPr>
                <w:rFonts w:ascii="Arial" w:cs="Arial" w:eastAsia="Arial" w:hAnsi="Arial"/>
                <w:sz w:val="15"/>
                <w:szCs w:val="15"/>
                <w:color w:val="auto"/>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45,279</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177,216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466,189</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177,216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111,923</w:t>
            </w: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398,941</w:t>
            </w:r>
          </w:p>
        </w:tc>
        <w:tc>
          <w:tcPr>
            <w:tcW w:w="4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$ 511,468</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395,864</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December 31, 2013</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13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11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Available</w:t>
            </w: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Credit Facility</w:t>
            </w:r>
            <w:r>
              <w:rPr>
                <w:rFonts w:ascii="Arial" w:cs="Arial" w:eastAsia="Arial" w:hAnsi="Arial"/>
                <w:sz w:val="15"/>
                <w:szCs w:val="15"/>
                <w:color w:val="auto"/>
              </w:rPr>
              <w:t>(3)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SPV Asset Facility</w:t>
            </w:r>
          </w:p>
        </w:tc>
        <w:tc>
          <w:tcPr>
            <w:tcW w:w="1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77,767</w:t>
            </w: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77,767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77,500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322,500</w:t>
            </w: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4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$ 145,500</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432,267</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ind w:left="460" w:right="20" w:hanging="452"/>
        <w:spacing w:after="0" w:line="261"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2014, 2013 and 2012,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5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December 31, 2014</w:t>
            </w:r>
          </w:p>
        </w:tc>
        <w:tc>
          <w:tcPr>
            <w:tcW w:w="220" w:type="dxa"/>
            <w:vAlign w:val="bottom"/>
          </w:tcPr>
          <w:p>
            <w:pPr>
              <w:spacing w:after="0"/>
              <w:rPr>
                <w:sz w:val="14"/>
                <w:szCs w:val="14"/>
                <w:color w:val="auto"/>
              </w:rPr>
            </w:pPr>
          </w:p>
        </w:tc>
        <w:tc>
          <w:tcPr>
            <w:tcW w:w="16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December 31, 2013</w:t>
            </w:r>
          </w:p>
        </w:tc>
        <w:tc>
          <w:tcPr>
            <w:tcW w:w="220" w:type="dxa"/>
            <w:vAlign w:val="bottom"/>
          </w:tcPr>
          <w:p>
            <w:pPr>
              <w:spacing w:after="0"/>
              <w:rPr>
                <w:sz w:val="14"/>
                <w:szCs w:val="14"/>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Commitment fees</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Average debt outstanding (in millions)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377.1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Revolving Credit Facility continues to include the accordion feature, which would allow the Company, under certain circumstances, to increase the size to a maximum of $956.3 million.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2014, the Company had outstanding debt denominated in Swedish Krona (SEK) of 205.8 million, Euro (EUR) of 28.1 million and Pound Sterling (GBP) of 14.1 million on its Revolving Credit Facility, included in the Outstanding Principal amount in the table above.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116" w:lineRule="exact"/>
        <w:rPr>
          <w:sz w:val="20"/>
          <w:szCs w:val="20"/>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reinvestment period under the SPV Asset Facility terminated on January 21, 2015 and accordingly any undrawn availability under the facility also terminated.</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the Company’s borrowings under the SPV Asset Facility.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8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2014, and 2013 TPG SL SPV had $334.0 million and $184.3 million, respectively, in investments at fair value, and $108.8 million and $78.3 million, respectively, in liabilities, including the outstanding borrowings, on its balance sheet. As of December 31, 2014, and 2013 TPG SL SPV had $10.2 million and $6.3 million, respectively, in restricted cash, a component of prepaid expenses and other assets, in the accompanying consolidated financial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10, 2014, the Company issued $115 million aggregate principal amount convertible senior notes due December 2019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as of December 31, 2014, the Company’s effective interest rate on the Convertible Senior Notes was three-month LIBOR plus 252.9 basis points. See Note 5 for further information related to the Company’s interest rate swaps.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2014, the components of interest expense related to the Convertible Senior Notes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 ended December 31, 2014, the Company received $2.6 million and paid $1.6 million related to the quarterly settlement of its interest rate swaps. This net amount is a reduction to interest expense in the Company’s consolidated statements of operations. Please see Note 5 for further information about the Company’s interest rate swaps.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2014, the principal amount of the Convertible Senior Notes exceeded the value of the underlying shares multiplied by the per share closing price of the Company’s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the components of the carrying value of the Convertible Senior Notes and the stated interest rate were as follows: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The Company’s swap-adjusted interest rate as of December 31, 2014 was three-month LIBOR plus 252.9 basis points. Please see Note 5 for further information about the Company’s interest rate swaps.</w:t>
      </w:r>
    </w:p>
    <w:p>
      <w:pPr>
        <w:spacing w:after="0" w:line="124"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2014, the Company was in compliance with the terms of the Convertible Senior Notes Indenture.</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December 31, 2013, the Company was in compliance with the terms of its debt obligations.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From time to time, the Company may enter into commitments to fund investments. As of December 31, 2014 and 2013, the Company had the following commitments to fund investments: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December 31, 2014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20" w:type="dxa"/>
            <w:vAlign w:val="bottom"/>
          </w:tcPr>
          <w:p>
            <w:pPr>
              <w:spacing w:after="0"/>
              <w:rPr>
                <w:sz w:val="19"/>
                <w:szCs w:val="19"/>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2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Unfunded capital commitments terminated upon the completion of the Company’s IPO.</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2014,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9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2014 and 2013:</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tcPr>
          <w:p>
            <w:pPr>
              <w:jc w:val="right"/>
              <w:ind w:right="366"/>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Shares Issued</w:t>
            </w:r>
          </w:p>
        </w:tc>
        <w:tc>
          <w:tcPr>
            <w:tcW w:w="6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w w:val="99"/>
              </w:rPr>
              <w:t>Proceeds Received</w:t>
            </w:r>
          </w:p>
        </w:tc>
        <w:tc>
          <w:tcPr>
            <w:tcW w:w="120" w:type="dxa"/>
            <w:vAlign w:val="bottom"/>
            <w:tcBorders>
              <w:bottom w:val="single" w:sz="8" w:color="CCEEFF"/>
            </w:tcBorders>
          </w:tcPr>
          <w:p>
            <w:pPr>
              <w:spacing w:after="0"/>
              <w:rPr>
                <w:sz w:val="12"/>
                <w:szCs w:val="12"/>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January 15, 2014</w:t>
            </w:r>
          </w:p>
        </w:tc>
        <w:tc>
          <w:tcPr>
            <w:tcW w:w="23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4,234,501</w:t>
            </w:r>
          </w:p>
        </w:tc>
        <w:tc>
          <w:tcPr>
            <w:tcW w:w="6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shd w:val="clear" w:color="auto" w:fill="CCEEFF"/>
          </w:tcPr>
          <w:p>
            <w:pPr>
              <w:spacing w:after="0"/>
              <w:rPr>
                <w:sz w:val="18"/>
                <w:szCs w:val="18"/>
                <w:color w:val="auto"/>
              </w:rPr>
            </w:pPr>
          </w:p>
        </w:tc>
      </w:tr>
      <w:tr>
        <w:trPr>
          <w:trHeight w:val="223"/>
        </w:trPr>
        <w:tc>
          <w:tcPr>
            <w:tcW w:w="3240" w:type="dxa"/>
            <w:vAlign w:val="bottom"/>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23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4,234,501</w:t>
            </w:r>
          </w:p>
        </w:tc>
        <w:tc>
          <w:tcPr>
            <w:tcW w:w="600" w:type="dxa"/>
            <w:vAlign w:val="bottom"/>
          </w:tcPr>
          <w:p>
            <w:pPr>
              <w:spacing w:after="0"/>
              <w:rPr>
                <w:sz w:val="19"/>
                <w:szCs w:val="19"/>
                <w:color w:val="auto"/>
              </w:rPr>
            </w:pPr>
          </w:p>
        </w:tc>
        <w:tc>
          <w:tcPr>
            <w:tcW w:w="7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240" w:type="dxa"/>
            <w:vAlign w:val="bottom"/>
            <w:gridSpan w:val="2"/>
          </w:tcPr>
          <w:p>
            <w:pPr>
              <w:jc w:val="right"/>
              <w:ind w:right="1899"/>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gridSpan w:val="2"/>
          </w:tcPr>
          <w:p>
            <w:pPr>
              <w:jc w:val="right"/>
              <w:ind w:right="347"/>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54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rPr>
              <w:t>December 31, 2013</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 Issued</w:t>
            </w:r>
            <w:r>
              <w:rPr>
                <w:rFonts w:ascii="Arial" w:cs="Arial" w:eastAsia="Arial" w:hAnsi="Arial"/>
                <w:sz w:val="12"/>
                <w:szCs w:val="12"/>
                <w:b w:val="1"/>
                <w:bCs w:val="1"/>
                <w:color w:val="auto"/>
                <w:w w:val="89"/>
              </w:rPr>
              <w:t>(1)</w:t>
            </w:r>
          </w:p>
        </w:tc>
        <w:tc>
          <w:tcPr>
            <w:tcW w:w="6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w w:val="96"/>
              </w:rPr>
              <w:t>Proceeds Received</w:t>
            </w:r>
          </w:p>
        </w:tc>
        <w:tc>
          <w:tcPr>
            <w:tcW w:w="12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February 20, 2013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20" w:type="dxa"/>
            <w:vAlign w:val="bottom"/>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September 26, 2013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1,633,829</w:t>
            </w:r>
          </w:p>
        </w:tc>
        <w:tc>
          <w:tcPr>
            <w:tcW w:w="6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Capital Drawdowns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3,713,053</w:t>
            </w:r>
          </w:p>
        </w:tc>
        <w:tc>
          <w:tcPr>
            <w:tcW w:w="1280" w:type="dxa"/>
            <w:vAlign w:val="bottom"/>
            <w:gridSpan w:val="2"/>
            <w:shd w:val="clear" w:color="auto" w:fill="CCEEFF"/>
          </w:tcPr>
          <w:p>
            <w:pPr>
              <w:jc w:val="right"/>
              <w:ind w:right="5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2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0" w:hanging="452"/>
        <w:spacing w:after="0" w:line="277"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2014 and 2013. All shares issued to stockholders in the tables below are newly issued shares.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Record Date</w:t>
            </w:r>
          </w:p>
        </w:tc>
        <w:tc>
          <w:tcPr>
            <w:tcW w:w="2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10"/>
                <w:szCs w:val="10"/>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4"/>
              </w:rPr>
              <w:t>Shares Issued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Shares Issued</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8"/>
              </w:rPr>
              <w:t>February 13, 2014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March 31, 2014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May 1, 2014</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410,183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6, 2014</w:t>
            </w:r>
          </w:p>
        </w:tc>
        <w:tc>
          <w:tcPr>
            <w:tcW w:w="1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June 30, 2014</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August 1, 2014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218,892</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August 4, 2014</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September 30, 2014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gridSpan w:val="3"/>
          </w:tcPr>
          <w:p>
            <w:pPr>
              <w:jc w:val="right"/>
              <w:ind w:right="380"/>
              <w:spacing w:after="0"/>
              <w:rPr>
                <w:sz w:val="20"/>
                <w:szCs w:val="20"/>
                <w:color w:val="auto"/>
              </w:rPr>
            </w:pPr>
            <w:r>
              <w:rPr>
                <w:rFonts w:ascii="Arial" w:cs="Arial" w:eastAsia="Arial" w:hAnsi="Arial"/>
                <w:sz w:val="18"/>
                <w:szCs w:val="18"/>
                <w:color w:val="auto"/>
              </w:rPr>
              <w:t>November 3, 2014</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230,575</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3"/>
            <w:vMerge w:val="restart"/>
          </w:tcPr>
          <w:p>
            <w:pPr>
              <w:jc w:val="center"/>
              <w:ind w:right="11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82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Record Date</w:t>
            </w:r>
          </w:p>
        </w:tc>
        <w:tc>
          <w:tcPr>
            <w:tcW w:w="240" w:type="dxa"/>
            <w:vAlign w:val="bottom"/>
            <w:gridSpan w:val="2"/>
            <w:vMerge w:val="restart"/>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40" w:type="dxa"/>
            <w:vAlign w:val="bottom"/>
            <w:gridSpan w:val="3"/>
          </w:tcPr>
          <w:p>
            <w:pPr>
              <w:jc w:val="right"/>
              <w:ind w:right="1140"/>
              <w:spacing w:after="0" w:line="119" w:lineRule="exact"/>
              <w:rPr>
                <w:sz w:val="20"/>
                <w:szCs w:val="20"/>
                <w:color w:val="auto"/>
              </w:rPr>
            </w:pPr>
            <w:r>
              <w:rPr>
                <w:rFonts w:ascii="Arial" w:cs="Arial" w:eastAsia="Arial" w:hAnsi="Arial"/>
                <w:sz w:val="13"/>
                <w:szCs w:val="13"/>
                <w:b w:val="1"/>
                <w:bCs w:val="1"/>
                <w:color w:val="auto"/>
              </w:rPr>
              <w:t>Date</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Shares Issued</w:t>
            </w:r>
            <w:r>
              <w:rPr>
                <w:rFonts w:ascii="Arial" w:cs="Arial" w:eastAsia="Arial" w:hAnsi="Arial"/>
                <w:sz w:val="12"/>
                <w:szCs w:val="12"/>
                <w:b w:val="1"/>
                <w:bCs w:val="1"/>
                <w:color w:val="auto"/>
                <w:w w:val="94"/>
              </w:rPr>
              <w:t>(1)</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gridSpan w:val="2"/>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Shares Issued</w:t>
            </w:r>
          </w:p>
        </w:tc>
        <w:tc>
          <w:tcPr>
            <w:tcW w:w="480" w:type="dxa"/>
            <w:vAlign w:val="bottom"/>
            <w:tcBorders>
              <w:bottom w:val="single" w:sz="8" w:color="CCEEFF"/>
            </w:tcBorders>
            <w:gridSpan w:val="2"/>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2012</w:t>
            </w:r>
          </w:p>
        </w:tc>
        <w:tc>
          <w:tcPr>
            <w:tcW w:w="2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12, 2013</w:t>
            </w:r>
          </w:p>
        </w:tc>
        <w:tc>
          <w:tcPr>
            <w:tcW w:w="4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1960" w:type="dxa"/>
            <w:vAlign w:val="bottom"/>
            <w:gridSpan w:val="3"/>
          </w:tcPr>
          <w:p>
            <w:pPr>
              <w:jc w:val="right"/>
              <w:ind w:right="240"/>
              <w:spacing w:after="0"/>
              <w:rPr>
                <w:sz w:val="20"/>
                <w:szCs w:val="20"/>
                <w:color w:val="auto"/>
              </w:rPr>
            </w:pPr>
            <w:r>
              <w:rPr>
                <w:rFonts w:ascii="Arial" w:cs="Arial" w:eastAsia="Arial" w:hAnsi="Arial"/>
                <w:sz w:val="18"/>
                <w:szCs w:val="18"/>
                <w:color w:val="auto"/>
              </w:rPr>
              <w:t>March 31, 2013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May 7, 2013</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1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June 30, 2013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August 6, 2013</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1960" w:type="dxa"/>
            <w:vAlign w:val="bottom"/>
            <w:gridSpan w:val="3"/>
          </w:tcPr>
          <w:p>
            <w:pPr>
              <w:jc w:val="right"/>
              <w:ind w:right="240"/>
              <w:spacing w:after="0"/>
              <w:rPr>
                <w:sz w:val="20"/>
                <w:szCs w:val="20"/>
                <w:color w:val="auto"/>
              </w:rPr>
            </w:pPr>
            <w:r>
              <w:rPr>
                <w:rFonts w:ascii="Arial" w:cs="Arial" w:eastAsia="Arial" w:hAnsi="Arial"/>
                <w:sz w:val="18"/>
                <w:szCs w:val="18"/>
                <w:color w:val="auto"/>
              </w:rPr>
              <w:t>September 30, 2013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November 5, 2013</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479,534</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1,730,042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November 3, 2014, the Company’s Board of Directors approved a stock repurchase plan (the “Company 10b5-1 Plan”) to acquire up to $50 million in the aggregate of the Company’s common stock at prices below the Company’s net asset value per share, in accordance with the guidelines specified in Rule 10b-18 and Rule 10b5-1 of the Exchange Act.</w:t>
      </w:r>
    </w:p>
    <w:p>
      <w:pPr>
        <w:spacing w:after="0" w:line="18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Company 10b5-1 Plan is designed to allow the Company to repurchase its common stock at times when it otherwise might be prevented from doing so under insider trading laws. The Company 10b5-1 Plan requires an agent selected by the Company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6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Unless extended or terminated by the Board of Directors, the Company 10b5-1 Plan will be in effect through the earlier of May 4, 2015 or such time as the approved $50 million repurchase amount has been fully utilized, subject to certain conditions. On February 20, 2015, the Company’s Board of Directors authorized the extension of the termination date of the Company 10b5-1 Plan from May 4, 2015 to June 30,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no shares had been repurchased under the Company 10b5-1 Plan.</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80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5"/>
              </w:rPr>
              <w:t>December 31, 2014</w:t>
            </w:r>
          </w:p>
        </w:tc>
        <w:tc>
          <w:tcPr>
            <w:tcW w:w="540" w:type="dxa"/>
            <w:vAlign w:val="bottom"/>
          </w:tcPr>
          <w:p>
            <w:pPr>
              <w:spacing w:after="0"/>
              <w:rPr>
                <w:sz w:val="12"/>
                <w:szCs w:val="12"/>
                <w:color w:val="auto"/>
              </w:rPr>
            </w:pPr>
          </w:p>
        </w:tc>
        <w:tc>
          <w:tcPr>
            <w:tcW w:w="2360" w:type="dxa"/>
            <w:vAlign w:val="bottom"/>
            <w:gridSpan w:val="3"/>
          </w:tcPr>
          <w:p>
            <w:pPr>
              <w:jc w:val="center"/>
              <w:ind w:right="1080"/>
              <w:spacing w:after="0" w:line="142" w:lineRule="exact"/>
              <w:rPr>
                <w:sz w:val="20"/>
                <w:szCs w:val="20"/>
                <w:color w:val="auto"/>
              </w:rPr>
            </w:pPr>
            <w:r>
              <w:rPr>
                <w:rFonts w:ascii="Arial" w:cs="Arial" w:eastAsia="Arial" w:hAnsi="Arial"/>
                <w:sz w:val="14"/>
                <w:szCs w:val="14"/>
                <w:b w:val="1"/>
                <w:bCs w:val="1"/>
                <w:color w:val="auto"/>
                <w:w w:val="91"/>
              </w:rPr>
              <w:t>December 31, 2013</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December 31, 2012</w:t>
            </w:r>
          </w:p>
        </w:tc>
        <w:tc>
          <w:tcPr>
            <w:tcW w:w="100" w:type="dxa"/>
            <w:vAlign w:val="bottom"/>
          </w:tcPr>
          <w:p>
            <w:pPr>
              <w:spacing w:after="0"/>
              <w:rPr>
                <w:sz w:val="12"/>
                <w:szCs w:val="12"/>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85,050</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outstanding—basic and diluted</w:t>
            </w:r>
            <w:r>
              <w:rPr>
                <w:rFonts w:ascii="Arial" w:cs="Arial" w:eastAsia="Arial" w:hAnsi="Arial"/>
                <w:sz w:val="15"/>
                <w:szCs w:val="15"/>
                <w:color w:val="auto"/>
              </w:rPr>
              <w:t>(1)</w:t>
            </w:r>
          </w:p>
        </w:tc>
        <w:tc>
          <w:tcPr>
            <w:tcW w:w="28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50,509,692</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2"/>
          </w:tcPr>
          <w:p>
            <w:pPr>
              <w:jc w:val="right"/>
              <w:ind w:right="1080"/>
              <w:spacing w:after="0"/>
              <w:rPr>
                <w:sz w:val="20"/>
                <w:szCs w:val="20"/>
                <w:color w:val="auto"/>
              </w:rPr>
            </w:pPr>
            <w:r>
              <w:rPr>
                <w:rFonts w:ascii="Arial" w:cs="Arial" w:eastAsia="Arial" w:hAnsi="Arial"/>
                <w:sz w:val="18"/>
                <w:szCs w:val="18"/>
                <w:color w:val="auto"/>
              </w:rPr>
              <w:t>34,635,208</w:t>
            </w: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20,541,475</w:t>
            </w: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common share—basic and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bl>
    <w:p>
      <w:pPr>
        <w:spacing w:after="0" w:line="229" w:lineRule="exact"/>
        <w:rPr>
          <w:sz w:val="20"/>
          <w:szCs w:val="20"/>
          <w:color w:val="auto"/>
        </w:rPr>
      </w:pPr>
    </w:p>
    <w:p>
      <w:pPr>
        <w:ind w:left="460" w:right="160" w:hanging="452"/>
        <w:spacing w:after="0" w:line="277"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2014 was less than the conversion price for the Convertible Senior Notes outstanding as of December 31, 2014.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9"/>
              </w:rPr>
              <w:t>December 31, 2014</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2300" w:type="dxa"/>
            <w:vAlign w:val="bottom"/>
            <w:gridSpan w:val="2"/>
          </w:tcPr>
          <w:p>
            <w:pPr>
              <w:jc w:val="right"/>
              <w:ind w:right="1020"/>
              <w:spacing w:after="0" w:line="142" w:lineRule="exact"/>
              <w:rPr>
                <w:sz w:val="20"/>
                <w:szCs w:val="20"/>
                <w:color w:val="auto"/>
              </w:rPr>
            </w:pPr>
            <w:r>
              <w:rPr>
                <w:rFonts w:ascii="Arial" w:cs="Arial" w:eastAsia="Arial" w:hAnsi="Arial"/>
                <w:sz w:val="14"/>
                <w:szCs w:val="14"/>
                <w:b w:val="1"/>
                <w:bCs w:val="1"/>
                <w:color w:val="auto"/>
              </w:rPr>
              <w:t>Record Date</w:t>
            </w:r>
          </w:p>
        </w:tc>
        <w:tc>
          <w:tcPr>
            <w:tcW w:w="18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Payment Date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Dividend per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2014</w:t>
            </w:r>
          </w:p>
        </w:tc>
        <w:tc>
          <w:tcPr>
            <w:tcW w:w="5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May 6, 2014</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June 30, 2014</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July 31, 2014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August 4, 2014</w:t>
            </w:r>
          </w:p>
        </w:tc>
        <w:tc>
          <w:tcPr>
            <w:tcW w:w="2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September 30, 2014</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31, 2014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November 3, 2014</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December 31, 2014</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30, 2015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9"/>
              </w:rPr>
              <w:t>December 31, 2013</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2300" w:type="dxa"/>
            <w:vAlign w:val="bottom"/>
            <w:gridSpan w:val="2"/>
          </w:tcPr>
          <w:p>
            <w:pPr>
              <w:jc w:val="right"/>
              <w:ind w:right="1020"/>
              <w:spacing w:after="0" w:line="142" w:lineRule="exact"/>
              <w:rPr>
                <w:sz w:val="20"/>
                <w:szCs w:val="20"/>
                <w:color w:val="auto"/>
              </w:rPr>
            </w:pPr>
            <w:r>
              <w:rPr>
                <w:rFonts w:ascii="Arial" w:cs="Arial" w:eastAsia="Arial" w:hAnsi="Arial"/>
                <w:sz w:val="14"/>
                <w:szCs w:val="14"/>
                <w:b w:val="1"/>
                <w:bCs w:val="1"/>
                <w:color w:val="auto"/>
              </w:rPr>
              <w:t>Record Date</w:t>
            </w:r>
          </w:p>
        </w:tc>
        <w:tc>
          <w:tcPr>
            <w:tcW w:w="18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Payment Date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Dividend per Share</w:t>
            </w:r>
            <w:r>
              <w:rPr>
                <w:rFonts w:ascii="Arial" w:cs="Arial" w:eastAsia="Arial" w:hAnsi="Arial"/>
                <w:sz w:val="12"/>
                <w:szCs w:val="12"/>
                <w:b w:val="1"/>
                <w:bCs w:val="1"/>
                <w:color w:val="auto"/>
                <w:w w:val="94"/>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12, 2013</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2013</w:t>
            </w:r>
          </w:p>
        </w:tc>
        <w:tc>
          <w:tcPr>
            <w:tcW w:w="5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6, 2013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June 30, 2013</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June 30, 2013</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July 31, 2013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September 30, 2013</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31, 2013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December 31, 2013</w:t>
            </w:r>
            <w:r>
              <w:rPr>
                <w:rFonts w:ascii="Arial" w:cs="Arial" w:eastAsia="Arial" w:hAnsi="Arial"/>
                <w:sz w:val="15"/>
                <w:szCs w:val="15"/>
                <w:color w:val="auto"/>
              </w:rPr>
              <w:t>(1)</w:t>
            </w:r>
          </w:p>
        </w:tc>
        <w:tc>
          <w:tcPr>
            <w:tcW w:w="2300" w:type="dxa"/>
            <w:vAlign w:val="bottom"/>
            <w:gridSpan w:val="2"/>
          </w:tcPr>
          <w:p>
            <w:pPr>
              <w:jc w:val="right"/>
              <w:ind w:right="500"/>
              <w:spacing w:after="0"/>
              <w:rPr>
                <w:sz w:val="20"/>
                <w:szCs w:val="20"/>
                <w:color w:val="auto"/>
              </w:rPr>
            </w:pPr>
            <w:r>
              <w:rPr>
                <w:rFonts w:ascii="Arial" w:cs="Arial" w:eastAsia="Arial" w:hAnsi="Arial"/>
                <w:sz w:val="18"/>
                <w:szCs w:val="18"/>
                <w:color w:val="auto"/>
              </w:rPr>
              <w:t>December 31, 2013</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January 30, 2014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23"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8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2014 and December 31, 2013, were derived from net investment income and long-term capital gains, determined on a tax basis.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fiscal years ended December 31, 2014, 2013 and 2012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5"/>
              </w:rPr>
              <w:t>December 31, 2014</w:t>
            </w:r>
          </w:p>
        </w:tc>
        <w:tc>
          <w:tcPr>
            <w:tcW w:w="140" w:type="dxa"/>
            <w:vAlign w:val="bottom"/>
          </w:tcPr>
          <w:p>
            <w:pPr>
              <w:spacing w:after="0"/>
              <w:rPr>
                <w:sz w:val="14"/>
                <w:szCs w:val="14"/>
                <w:color w:val="auto"/>
              </w:rPr>
            </w:pPr>
          </w:p>
        </w:tc>
        <w:tc>
          <w:tcPr>
            <w:tcW w:w="19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December 31, 2013</w:t>
            </w:r>
          </w:p>
        </w:tc>
        <w:tc>
          <w:tcPr>
            <w:tcW w:w="14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80,077</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51,476</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Capital Gains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3,909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1,776</w:t>
            </w:r>
          </w:p>
        </w:tc>
      </w:tr>
      <w:tr>
        <w:trPr>
          <w:trHeight w:val="27"/>
        </w:trPr>
        <w:tc>
          <w:tcPr>
            <w:tcW w:w="2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81,326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29,770</w:t>
            </w:r>
          </w:p>
        </w:tc>
      </w:tr>
      <w:tr>
        <w:trPr>
          <w:trHeight w:val="20"/>
        </w:trPr>
        <w:tc>
          <w:tcPr>
            <w:tcW w:w="2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77"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the years ended December 31, 2014, 2013 and 2012, 78.85%, 91.52% and 78.08% of ordinary income qualified as interest related dividend which is exempt from U.S. withholding tax applicable to non U.S. shareholders.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2014, 2013 and 2012, to taxable income at December 31, 2014, 2013 and 2012:</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3"/>
              </w:rPr>
              <w:t>December 31, 2014</w:t>
            </w:r>
          </w:p>
        </w:tc>
        <w:tc>
          <w:tcPr>
            <w:tcW w:w="140" w:type="dxa"/>
            <w:vAlign w:val="bottom"/>
          </w:tcPr>
          <w:p>
            <w:pPr>
              <w:spacing w:after="0"/>
              <w:rPr>
                <w:sz w:val="14"/>
                <w:szCs w:val="14"/>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December 31, 2013</w:t>
            </w:r>
          </w:p>
        </w:tc>
        <w:tc>
          <w:tcPr>
            <w:tcW w:w="1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2012</w:t>
            </w:r>
          </w:p>
        </w:tc>
      </w:tr>
      <w:tr>
        <w:trPr>
          <w:trHeight w:val="182"/>
        </w:trPr>
        <w:tc>
          <w:tcPr>
            <w:tcW w:w="3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1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85,050</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66,983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39,595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17,722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(8,386)</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(7,211)</w:t>
            </w:r>
          </w:p>
        </w:tc>
      </w:tr>
      <w:tr>
        <w:trPr>
          <w:trHeight w:val="202"/>
        </w:trPr>
        <w:tc>
          <w:tcPr>
            <w:tcW w:w="3720" w:type="dxa"/>
            <w:vAlign w:val="bottom"/>
          </w:tcPr>
          <w:p>
            <w:pPr>
              <w:ind w:left="360"/>
              <w:spacing w:after="0" w:line="201" w:lineRule="exact"/>
              <w:rPr>
                <w:sz w:val="20"/>
                <w:szCs w:val="20"/>
                <w:color w:val="auto"/>
              </w:rPr>
            </w:pPr>
            <w:r>
              <w:rPr>
                <w:rFonts w:ascii="Arial" w:cs="Arial" w:eastAsia="Arial" w:hAnsi="Arial"/>
                <w:sz w:val="18"/>
                <w:szCs w:val="18"/>
                <w:color w:val="auto"/>
              </w:rPr>
              <w:t>Other income (expense) for tax</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720" w:type="dxa"/>
            <w:vAlign w:val="bottom"/>
          </w:tcPr>
          <w:p>
            <w:pPr>
              <w:ind w:left="540"/>
              <w:spacing w:after="0"/>
              <w:rPr>
                <w:sz w:val="20"/>
                <w:szCs w:val="20"/>
                <w:color w:val="auto"/>
              </w:rPr>
            </w:pPr>
            <w:r>
              <w:rPr>
                <w:rFonts w:ascii="Arial" w:cs="Arial" w:eastAsia="Arial" w:hAnsi="Arial"/>
                <w:sz w:val="18"/>
                <w:szCs w:val="18"/>
                <w:color w:val="auto"/>
              </w:rPr>
              <w:t>purposes, not book</w:t>
            </w: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1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02"/>
        </w:trPr>
        <w:tc>
          <w:tcPr>
            <w:tcW w:w="3720" w:type="dxa"/>
            <w:vAlign w:val="bottom"/>
          </w:tcPr>
          <w:p>
            <w:pPr>
              <w:ind w:left="360"/>
              <w:spacing w:after="0" w:line="201" w:lineRule="exact"/>
              <w:rPr>
                <w:sz w:val="20"/>
                <w:szCs w:val="20"/>
                <w:color w:val="auto"/>
              </w:rPr>
            </w:pPr>
            <w:r>
              <w:rPr>
                <w:rFonts w:ascii="Arial" w:cs="Arial" w:eastAsia="Arial" w:hAnsi="Arial"/>
                <w:sz w:val="18"/>
                <w:szCs w:val="18"/>
                <w:color w:val="auto"/>
              </w:rPr>
              <w:t>Other expenses not currently</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720" w:type="dxa"/>
            <w:vAlign w:val="bottom"/>
          </w:tcPr>
          <w:p>
            <w:pPr>
              <w:ind w:left="540"/>
              <w:spacing w:after="0"/>
              <w:rPr>
                <w:sz w:val="20"/>
                <w:szCs w:val="20"/>
                <w:color w:val="auto"/>
              </w:rPr>
            </w:pPr>
            <w:r>
              <w:rPr>
                <w:rFonts w:ascii="Arial" w:cs="Arial" w:eastAsia="Arial" w:hAnsi="Arial"/>
                <w:sz w:val="18"/>
                <w:szCs w:val="18"/>
                <w:color w:val="auto"/>
              </w:rPr>
              <w:t>deductible</w:t>
            </w: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r>
      <w:tr>
        <w:trPr>
          <w:trHeight w:val="223"/>
        </w:trPr>
        <w:tc>
          <w:tcPr>
            <w:tcW w:w="3720" w:type="dxa"/>
            <w:vAlign w:val="bottom"/>
          </w:tcPr>
          <w:p>
            <w:pPr>
              <w:ind w:left="720"/>
              <w:spacing w:after="0"/>
              <w:rPr>
                <w:sz w:val="20"/>
                <w:szCs w:val="20"/>
                <w:color w:val="auto"/>
              </w:rPr>
            </w:pPr>
            <w:r>
              <w:rPr>
                <w:rFonts w:ascii="Arial" w:cs="Arial" w:eastAsia="Arial" w:hAnsi="Arial"/>
                <w:sz w:val="18"/>
                <w:szCs w:val="18"/>
                <w:b w:val="1"/>
                <w:bCs w:val="1"/>
                <w:color w:val="auto"/>
              </w:rPr>
              <w:t>Taxable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58,401</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14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 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w:t>
      </w:r>
    </w:p>
    <w:p>
      <w:pPr>
        <w:spacing w:after="0" w:line="17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 xml:space="preserve">The Company neither has any uncertain tax positions that met the recognition or measurement criteria of ASC 740-10-25, </w:t>
      </w:r>
      <w:r>
        <w:rPr>
          <w:rFonts w:ascii="Arial" w:cs="Arial" w:eastAsia="Arial" w:hAnsi="Arial"/>
          <w:sz w:val="17"/>
          <w:szCs w:val="17"/>
          <w:i w:val="1"/>
          <w:iCs w:val="1"/>
          <w:color w:val="auto"/>
        </w:rPr>
        <w:t>Income Taxes</w:t>
      </w:r>
      <w:r>
        <w:rPr>
          <w:rFonts w:ascii="Arial" w:cs="Arial" w:eastAsia="Arial" w:hAnsi="Arial"/>
          <w:sz w:val="17"/>
          <w:szCs w:val="17"/>
          <w:color w:val="auto"/>
        </w:rPr>
        <w:t>, nor did the Company have any unrecognized tax benefits as of the periods presented herein. Although the Company files federal and state tax returns, our major tax jurisdiction is federal. Our inception-to-date federal tax year remains subject to examination by the Internal Revenue Service.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2014 and 2013, approximates their amortized cost.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2014, 2013, 2012, and 2011. There was no activity for the period from July 21, 2010 (inception) to December 31, 2010 other than the initial issuance of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2014</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
        </w:trPr>
        <w:tc>
          <w:tcPr>
            <w:tcW w:w="20" w:type="dxa"/>
            <w:vAlign w:val="bottom"/>
          </w:tcPr>
          <w:p>
            <w:pPr>
              <w:spacing w:after="0" w:line="20" w:lineRule="exact"/>
              <w:rPr>
                <w:sz w:val="1"/>
                <w:szCs w:val="1"/>
                <w:color w:val="auto"/>
              </w:rPr>
            </w:pPr>
          </w:p>
        </w:tc>
        <w:tc>
          <w:tcPr>
            <w:tcW w:w="2640" w:type="dxa"/>
            <w:vAlign w:val="bottom"/>
            <w:shd w:val="clear" w:color="auto" w:fill="CCEEFF"/>
          </w:tcPr>
          <w:p>
            <w:pPr>
              <w:spacing w:after="0" w:line="6" w:lineRule="exact"/>
              <w:rPr>
                <w:sz w:val="20"/>
                <w:szCs w:val="20"/>
                <w:color w:val="auto"/>
              </w:rPr>
            </w:pPr>
            <w:r>
              <w:rPr>
                <w:rFonts w:ascii="Arial" w:cs="Arial" w:eastAsia="Arial" w:hAnsi="Arial"/>
                <w:sz w:val="1"/>
                <w:szCs w:val="1"/>
                <w:b w:val="1"/>
                <w:bCs w:val="1"/>
                <w:color w:val="auto"/>
              </w:rPr>
              <w:t>Per Share Data</w:t>
            </w: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ind w:left="1100"/>
              <w:spacing w:after="0"/>
              <w:rPr>
                <w:sz w:val="20"/>
                <w:szCs w:val="20"/>
                <w:color w:val="auto"/>
              </w:rPr>
            </w:pPr>
            <w:r>
              <w:rPr>
                <w:rFonts w:ascii="Arial" w:cs="Arial" w:eastAsia="Arial" w:hAnsi="Arial"/>
                <w:sz w:val="15"/>
                <w:szCs w:val="15"/>
                <w:b w:val="1"/>
                <w:bCs w:val="1"/>
                <w:color w:val="auto"/>
              </w:rPr>
              <w:t>(5)</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Net asset value,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beginning of period</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7"/>
                <w:szCs w:val="17"/>
                <w:color w:val="auto"/>
              </w:rPr>
              <w:t>15.52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15.19</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14.71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0.01</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investment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7"/>
                <w:szCs w:val="17"/>
                <w:color w:val="auto"/>
              </w:rPr>
              <w:t>2.07</w:t>
            </w:r>
          </w:p>
        </w:tc>
        <w:tc>
          <w:tcPr>
            <w:tcW w:w="14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7"/>
                <w:szCs w:val="17"/>
                <w:color w:val="auto"/>
              </w:rPr>
              <w:t>1.66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(0.44)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2"/>
                <w:szCs w:val="2"/>
                <w:color w:val="auto"/>
              </w:rPr>
              <w:t>income (loss)</w:t>
            </w: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gridSpan w:val="2"/>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gridSpan w:val="2"/>
            <w:vMerge w:val="continue"/>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gridSpan w:val="2"/>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gridSpan w:val="2"/>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4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Net realized and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unrealized gain (loss)</w:t>
            </w: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(0.33)</w:t>
            </w: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0.29</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from operations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(0.22)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Issuance of common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stock, net of offering</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costs</w:t>
            </w:r>
            <w:r>
              <w:rPr>
                <w:rFonts w:ascii="Arial" w:cs="Arial" w:eastAsia="Arial" w:hAnsi="Arial"/>
                <w:sz w:val="14"/>
                <w:szCs w:val="14"/>
                <w:color w:val="auto"/>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(0.20)</w:t>
            </w: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14.98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Dividends declared</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from net investment income</w:t>
            </w:r>
            <w:r>
              <w:rPr>
                <w:rFonts w:ascii="Arial" w:cs="Arial" w:eastAsia="Arial" w:hAnsi="Arial"/>
                <w:sz w:val="14"/>
                <w:szCs w:val="14"/>
                <w:color w:val="auto"/>
              </w:rPr>
              <w:t>(2)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(1.51)</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(0.06)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Dividends declared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from realized gains</w:t>
            </w:r>
            <w:r>
              <w:rPr>
                <w:rFonts w:ascii="Arial" w:cs="Arial" w:eastAsia="Arial" w:hAnsi="Arial"/>
                <w:sz w:val="14"/>
                <w:szCs w:val="14"/>
                <w:color w:val="auto"/>
              </w:rPr>
              <w:t>(2)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7"/>
                <w:szCs w:val="17"/>
                <w:color w:val="auto"/>
              </w:rPr>
              <w:t>(0.02)</w:t>
            </w:r>
          </w:p>
        </w:tc>
        <w:tc>
          <w:tcPr>
            <w:tcW w:w="14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(0.20)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7"/>
                <w:szCs w:val="17"/>
                <w:color w:val="auto"/>
              </w:rPr>
              <w:t>(0.11)</w:t>
            </w:r>
          </w:p>
        </w:tc>
        <w:tc>
          <w:tcPr>
            <w:tcW w:w="12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rPr>
              <w:t>Total increase in</w:t>
            </w: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net assets</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0.33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0.48</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14.70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40" w:type="dxa"/>
            <w:vAlign w:val="bottom"/>
          </w:tcPr>
          <w:p>
            <w:pPr>
              <w:ind w:left="340"/>
              <w:spacing w:after="0" w:line="186" w:lineRule="exact"/>
              <w:rPr>
                <w:sz w:val="20"/>
                <w:szCs w:val="20"/>
                <w:color w:val="auto"/>
              </w:rPr>
            </w:pPr>
            <w:r>
              <w:rPr>
                <w:rFonts w:ascii="Arial" w:cs="Arial" w:eastAsia="Arial" w:hAnsi="Arial"/>
                <w:sz w:val="17"/>
                <w:szCs w:val="17"/>
                <w:b w:val="1"/>
                <w:bCs w:val="1"/>
                <w:color w:val="auto"/>
              </w:rPr>
              <w:t>Net Asset Value,</w:t>
            </w: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40" w:type="dxa"/>
            <w:vAlign w:val="bottom"/>
          </w:tcPr>
          <w:p>
            <w:pPr>
              <w:ind w:left="500"/>
              <w:spacing w:after="0"/>
              <w:rPr>
                <w:sz w:val="20"/>
                <w:szCs w:val="20"/>
                <w:color w:val="auto"/>
              </w:rPr>
            </w:pPr>
            <w:r>
              <w:rPr>
                <w:rFonts w:ascii="Arial" w:cs="Arial" w:eastAsia="Arial" w:hAnsi="Arial"/>
                <w:sz w:val="17"/>
                <w:szCs w:val="17"/>
                <w:b w:val="1"/>
                <w:bCs w:val="1"/>
                <w:color w:val="auto"/>
              </w:rPr>
              <w:t>End of Period</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7"/>
                <w:szCs w:val="17"/>
                <w:color w:val="auto"/>
              </w:rPr>
              <w:t>15.53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15.52</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7"/>
                <w:szCs w:val="17"/>
                <w:color w:val="auto"/>
              </w:rPr>
              <w:t>15.19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14.71</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Per share market</w:t>
            </w: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value at end of period</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16.82</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Total return based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vMerge w:val="restart"/>
          </w:tcPr>
          <w:p>
            <w:pPr>
              <w:jc w:val="right"/>
              <w:ind w:right="440"/>
              <w:spacing w:after="0"/>
              <w:rPr>
                <w:sz w:val="20"/>
                <w:szCs w:val="20"/>
                <w:color w:val="auto"/>
              </w:rPr>
            </w:pPr>
            <w:r>
              <w:rPr>
                <w:rFonts w:ascii="Arial" w:cs="Arial" w:eastAsia="Arial" w:hAnsi="Arial"/>
                <w:sz w:val="17"/>
                <w:szCs w:val="17"/>
                <w:color w:val="auto"/>
              </w:rPr>
              <w:t>14.7%</w:t>
            </w:r>
          </w:p>
        </w:tc>
        <w:tc>
          <w:tcPr>
            <w:tcW w:w="140" w:type="dxa"/>
            <w:vAlign w:val="bottom"/>
          </w:tcPr>
          <w:p>
            <w:pPr>
              <w:spacing w:after="0"/>
              <w:rPr>
                <w:sz w:val="16"/>
                <w:szCs w:val="16"/>
                <w:color w:val="auto"/>
              </w:rPr>
            </w:pPr>
          </w:p>
        </w:tc>
        <w:tc>
          <w:tcPr>
            <w:tcW w:w="144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vMerge w:val="restart"/>
          </w:tcPr>
          <w:p>
            <w:pPr>
              <w:jc w:val="right"/>
              <w:ind w:righ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360" w:type="dxa"/>
            <w:vAlign w:val="bottom"/>
            <w:gridSpan w:val="2"/>
            <w:vMerge w:val="restart"/>
          </w:tcPr>
          <w:p>
            <w:pPr>
              <w:jc w:val="right"/>
              <w:ind w:right="3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40" w:type="dxa"/>
            <w:vAlign w:val="bottom"/>
          </w:tcPr>
          <w:p>
            <w:pPr>
              <w:ind w:left="160"/>
              <w:spacing w:after="0"/>
              <w:rPr>
                <w:sz w:val="20"/>
                <w:szCs w:val="20"/>
                <w:color w:val="auto"/>
              </w:rPr>
            </w:pPr>
            <w:r>
              <w:rPr>
                <w:rFonts w:ascii="Arial" w:cs="Arial" w:eastAsia="Arial" w:hAnsi="Arial"/>
                <w:sz w:val="2"/>
                <w:szCs w:val="2"/>
                <w:color w:val="auto"/>
              </w:rPr>
              <w:t>on market value</w:t>
            </w: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gridSpan w:val="2"/>
          </w:tcPr>
          <w:p>
            <w:pPr>
              <w:jc w:val="right"/>
              <w:ind w:right="1143"/>
              <w:spacing w:after="0"/>
              <w:rPr>
                <w:sz w:val="20"/>
                <w:szCs w:val="20"/>
                <w:color w:val="auto"/>
              </w:rPr>
            </w:pPr>
            <w:r>
              <w:rPr>
                <w:rFonts w:ascii="Arial" w:cs="Arial" w:eastAsia="Arial" w:hAnsi="Arial"/>
                <w:sz w:val="15"/>
                <w:szCs w:val="15"/>
                <w:color w:val="auto"/>
              </w:rPr>
              <w:t>(3)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Total return based on</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asset value</w:t>
            </w:r>
            <w:r>
              <w:rPr>
                <w:rFonts w:ascii="Arial" w:cs="Arial" w:eastAsia="Arial" w:hAnsi="Arial"/>
                <w:sz w:val="14"/>
                <w:szCs w:val="14"/>
                <w:color w:val="auto"/>
              </w:rPr>
              <w:t>(4)</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n.m.</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line="185" w:lineRule="exact"/>
              <w:rPr>
                <w:sz w:val="20"/>
                <w:szCs w:val="20"/>
                <w:color w:val="auto"/>
              </w:rPr>
            </w:pPr>
            <w:r>
              <w:rPr>
                <w:rFonts w:ascii="Arial" w:cs="Arial" w:eastAsia="Arial" w:hAnsi="Arial"/>
                <w:sz w:val="17"/>
                <w:szCs w:val="17"/>
                <w:color w:val="auto"/>
              </w:rPr>
              <w:t>Shares Outstanding,</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7"/>
                <w:szCs w:val="17"/>
                <w:color w:val="auto"/>
              </w:rPr>
              <w:t>End of Period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7"/>
                <w:szCs w:val="17"/>
                <w:color w:val="auto"/>
              </w:rPr>
              <w:t>53,797,358</w:t>
            </w: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37,026,023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31,582,954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11,770,514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66,676</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Year 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2"/>
                <w:szCs w:val="12"/>
                <w:color w:val="auto"/>
              </w:rPr>
            </w:pPr>
          </w:p>
        </w:tc>
        <w:tc>
          <w:tcPr>
            <w:tcW w:w="15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July 21, 2010</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7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0"/>
              </w:rPr>
              <w:t>December 31, 2011</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2010</w:t>
            </w:r>
          </w:p>
        </w:tc>
        <w:tc>
          <w:tcPr>
            <w:tcW w:w="0" w:type="dxa"/>
            <w:vAlign w:val="bottom"/>
          </w:tcPr>
          <w:p>
            <w:pPr>
              <w:spacing w:after="0"/>
              <w:rPr>
                <w:sz w:val="1"/>
                <w:szCs w:val="1"/>
                <w:color w:val="auto"/>
              </w:rPr>
            </w:pPr>
          </w:p>
        </w:tc>
      </w:tr>
      <w:tr>
        <w:trPr>
          <w:trHeight w:val="183"/>
        </w:trPr>
        <w:tc>
          <w:tcPr>
            <w:tcW w:w="3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Ratios / Supplemental Data</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7"/>
                <w:szCs w:val="17"/>
                <w:color w:val="auto"/>
                <w:w w:val="93"/>
              </w:rPr>
              <w:t>Ratio of net expenses to average net 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17"/>
                <w:szCs w:val="17"/>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85"/>
        </w:trPr>
        <w:tc>
          <w:tcPr>
            <w:tcW w:w="3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Ratio of net investment income (loss) to</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average net assets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12.3%</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7"/>
                <w:szCs w:val="17"/>
                <w:color w:val="auto"/>
              </w:rPr>
              <w:t>Portfolio turnover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53.2%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27.0%</w:t>
            </w:r>
          </w:p>
        </w:tc>
        <w:tc>
          <w:tcPr>
            <w:tcW w:w="16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7"/>
                <w:szCs w:val="17"/>
                <w:color w:val="auto"/>
              </w:rPr>
              <w:t>45.7%</w:t>
            </w:r>
          </w:p>
        </w:tc>
        <w:tc>
          <w:tcPr>
            <w:tcW w:w="160" w:type="dxa"/>
            <w:vAlign w:val="bottom"/>
          </w:tcPr>
          <w:p>
            <w:pPr>
              <w:spacing w:after="0"/>
              <w:rPr>
                <w:sz w:val="17"/>
                <w:szCs w:val="17"/>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7"/>
                <w:szCs w:val="17"/>
                <w:color w:val="auto"/>
              </w:rPr>
              <w:t>n.m.</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Net assets, end of period</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835,405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574,696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479,803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173,092</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right="60" w:hanging="452"/>
        <w:spacing w:after="0" w:line="250"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460" w:right="20" w:hanging="452"/>
        <w:spacing w:after="0" w:line="261"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780"/>
              <w:spacing w:after="0" w:line="142" w:lineRule="exact"/>
              <w:rPr>
                <w:sz w:val="20"/>
                <w:szCs w:val="20"/>
                <w:color w:val="auto"/>
              </w:rPr>
            </w:pPr>
            <w:r>
              <w:rPr>
                <w:rFonts w:ascii="Arial" w:cs="Arial" w:eastAsia="Arial" w:hAnsi="Arial"/>
                <w:sz w:val="14"/>
                <w:szCs w:val="14"/>
                <w:b w:val="1"/>
                <w:bCs w:val="1"/>
                <w:color w:val="auto"/>
                <w:w w:val="96"/>
              </w:rPr>
              <w:t>Q4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1"/>
              </w:rPr>
              <w:t>$ 45,778</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$38,404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$45,657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Expenses</w:t>
            </w:r>
          </w:p>
        </w:tc>
        <w:tc>
          <w:tcPr>
            <w:tcW w:w="1820" w:type="dxa"/>
            <w:vAlign w:val="bottom"/>
            <w:gridSpan w:val="5"/>
          </w:tcPr>
          <w:p>
            <w:pPr>
              <w:ind w:left="1120"/>
              <w:spacing w:after="0"/>
              <w:rPr>
                <w:sz w:val="20"/>
                <w:szCs w:val="20"/>
                <w:color w:val="auto"/>
              </w:rPr>
            </w:pPr>
            <w:r>
              <w:rPr>
                <w:rFonts w:ascii="Arial" w:cs="Arial" w:eastAsia="Arial" w:hAnsi="Arial"/>
                <w:sz w:val="18"/>
                <w:szCs w:val="18"/>
                <w:color w:val="auto"/>
                <w:w w:val="96"/>
              </w:rPr>
              <w:t>$ 15,094</w:t>
            </w:r>
          </w:p>
        </w:tc>
        <w:tc>
          <w:tcPr>
            <w:tcW w:w="50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$15,288</w:t>
            </w:r>
          </w:p>
        </w:tc>
        <w:tc>
          <w:tcPr>
            <w:tcW w:w="4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$16,224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12,239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20" w:type="dxa"/>
            <w:vAlign w:val="bottom"/>
            <w:gridSpan w:val="5"/>
            <w:shd w:val="clear" w:color="auto" w:fill="CCEEFF"/>
          </w:tcPr>
          <w:p>
            <w:pPr>
              <w:ind w:left="1120"/>
              <w:spacing w:after="0"/>
              <w:rPr>
                <w:sz w:val="20"/>
                <w:szCs w:val="20"/>
                <w:color w:val="auto"/>
              </w:rPr>
            </w:pPr>
            <w:r>
              <w:rPr>
                <w:rFonts w:ascii="Arial" w:cs="Arial" w:eastAsia="Arial" w:hAnsi="Arial"/>
                <w:sz w:val="18"/>
                <w:szCs w:val="18"/>
                <w:color w:val="auto"/>
                <w:w w:val="96"/>
              </w:rPr>
              <w:t>$ 30,684</w:t>
            </w:r>
          </w:p>
        </w:tc>
        <w:tc>
          <w:tcPr>
            <w:tcW w:w="5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6"/>
              </w:rPr>
              <w:t>$23,116</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$29,433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21,242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2320" w:type="dxa"/>
            <w:vAlign w:val="bottom"/>
            <w:gridSpan w:val="6"/>
          </w:tcPr>
          <w:p>
            <w:pPr>
              <w:ind w:left="1120"/>
              <w:spacing w:after="0"/>
              <w:rPr>
                <w:sz w:val="20"/>
                <w:szCs w:val="20"/>
                <w:color w:val="auto"/>
              </w:rPr>
            </w:pPr>
            <w:r>
              <w:rPr>
                <w:rFonts w:ascii="Arial" w:cs="Arial" w:eastAsia="Arial" w:hAnsi="Arial"/>
                <w:sz w:val="18"/>
                <w:szCs w:val="18"/>
                <w:color w:val="auto"/>
              </w:rPr>
              <w:t>$(16,879)</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(4,513)</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(2,139)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820" w:type="dxa"/>
            <w:vAlign w:val="bottom"/>
            <w:gridSpan w:val="5"/>
            <w:shd w:val="clear" w:color="auto" w:fill="CCEEFF"/>
          </w:tcPr>
          <w:p>
            <w:pPr>
              <w:ind w:left="1120"/>
              <w:spacing w:after="0"/>
              <w:rPr>
                <w:sz w:val="20"/>
                <w:szCs w:val="20"/>
                <w:color w:val="auto"/>
              </w:rPr>
            </w:pPr>
            <w:r>
              <w:rPr>
                <w:rFonts w:ascii="Arial" w:cs="Arial" w:eastAsia="Arial" w:hAnsi="Arial"/>
                <w:sz w:val="18"/>
                <w:szCs w:val="18"/>
                <w:color w:val="auto"/>
                <w:w w:val="96"/>
              </w:rPr>
              <w:t>$ 13,805</w:t>
            </w:r>
          </w:p>
        </w:tc>
        <w:tc>
          <w:tcPr>
            <w:tcW w:w="5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6"/>
              </w:rPr>
              <w:t>$18,603</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$27,294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25,348</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220" w:type="dxa"/>
            <w:vAlign w:val="bottom"/>
            <w:gridSpan w:val="2"/>
          </w:tcPr>
          <w:p>
            <w:pPr>
              <w:ind w:left="11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15.53</w:t>
            </w:r>
          </w:p>
        </w:tc>
        <w:tc>
          <w:tcPr>
            <w:tcW w:w="50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15.66</w:t>
            </w:r>
          </w:p>
        </w:tc>
        <w:tc>
          <w:tcPr>
            <w:tcW w:w="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15.70</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377"/>
        </w:trPr>
        <w:tc>
          <w:tcPr>
            <w:tcW w:w="5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$27,569</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23,298</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Expenses</w:t>
            </w:r>
          </w:p>
        </w:tc>
        <w:tc>
          <w:tcPr>
            <w:tcW w:w="2320" w:type="dxa"/>
            <w:vAlign w:val="bottom"/>
            <w:gridSpan w:val="6"/>
          </w:tcPr>
          <w:p>
            <w:pPr>
              <w:jc w:val="right"/>
              <w:ind w:right="500"/>
              <w:spacing w:after="0"/>
              <w:rPr>
                <w:sz w:val="20"/>
                <w:szCs w:val="20"/>
                <w:color w:val="auto"/>
              </w:rPr>
            </w:pPr>
            <w:r>
              <w:rPr>
                <w:rFonts w:ascii="Arial" w:cs="Arial" w:eastAsia="Arial" w:hAnsi="Arial"/>
                <w:sz w:val="18"/>
                <w:szCs w:val="18"/>
                <w:color w:val="auto"/>
              </w:rPr>
              <w:t>$10,576</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8,713</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8,123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7,696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$16,993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14,585</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12,817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13,106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4,063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1,674</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1,391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$21,056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16,259</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14,208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15,461</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r>
              <w:rPr>
                <w:rFonts w:ascii="Arial" w:cs="Arial" w:eastAsia="Arial" w:hAnsi="Arial"/>
                <w:sz w:val="15"/>
                <w:szCs w:val="15"/>
                <w:color w:val="auto"/>
              </w:rPr>
              <w:t>(1)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15.52</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15.35</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15.29</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r>
      <w:tr>
        <w:trPr>
          <w:trHeight w:val="350"/>
        </w:trPr>
        <w:tc>
          <w:tcPr>
            <w:tcW w:w="5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Q4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$18,169</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14,554</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Expenses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7,277</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6,637</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4,711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$10,892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7,917</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1,568</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5,664</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232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$12,460</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13,581</w:t>
            </w:r>
          </w:p>
        </w:tc>
        <w:tc>
          <w:tcPr>
            <w:tcW w:w="5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5,786</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r>
              <w:rPr>
                <w:rFonts w:ascii="Arial" w:cs="Arial" w:eastAsia="Arial" w:hAnsi="Arial"/>
                <w:sz w:val="15"/>
                <w:szCs w:val="15"/>
                <w:color w:val="auto"/>
              </w:rPr>
              <w:t>(1)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15.19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15.12</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r>
    </w:tbl>
    <w:p>
      <w:pPr>
        <w:spacing w:after="0" w:line="214" w:lineRule="exact"/>
        <w:rPr>
          <w:sz w:val="20"/>
          <w:szCs w:val="20"/>
          <w:color w:val="auto"/>
        </w:rPr>
      </w:pPr>
    </w:p>
    <w:p>
      <w:pPr>
        <w:ind w:left="460" w:right="180" w:hanging="452"/>
        <w:spacing w:after="0" w:line="277"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10-K or would be required to be recognized in the Consolidated Financial Statements as of and for the year ended December 31,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60" w:right="25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07"/>
        </w:trPr>
        <w:tc>
          <w:tcPr>
            <w:tcW w:w="1008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2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auto"/>
              </w:rPr>
              <w:t>TPG SPECIALTY LENDING, INC.</w:t>
            </w:r>
          </w:p>
        </w:tc>
        <w:tc>
          <w:tcPr>
            <w:tcW w:w="124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auto"/>
                <w:w w:val="95"/>
              </w:rPr>
              <w:t>PART C</w:t>
            </w:r>
          </w:p>
        </w:tc>
        <w:tc>
          <w:tcPr>
            <w:tcW w:w="124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720" w:type="dxa"/>
            <w:vAlign w:val="bottom"/>
          </w:tcPr>
          <w:p>
            <w:pPr>
              <w:jc w:val="center"/>
              <w:spacing w:after="0"/>
              <w:rPr>
                <w:sz w:val="20"/>
                <w:szCs w:val="20"/>
                <w:color w:val="auto"/>
              </w:rPr>
            </w:pPr>
            <w:r>
              <w:rPr>
                <w:rFonts w:ascii="Arial" w:cs="Arial" w:eastAsia="Arial" w:hAnsi="Arial"/>
                <w:sz w:val="18"/>
                <w:szCs w:val="18"/>
                <w:b w:val="1"/>
                <w:bCs w:val="1"/>
                <w:color w:val="auto"/>
                <w:w w:val="94"/>
              </w:rPr>
              <w:t>Other Information</w:t>
            </w:r>
          </w:p>
        </w:tc>
        <w:tc>
          <w:tcPr>
            <w:tcW w:w="1240" w:type="dxa"/>
            <w:vAlign w:val="bottom"/>
          </w:tcPr>
          <w:p>
            <w:pPr>
              <w:spacing w:after="0"/>
              <w:rPr>
                <w:sz w:val="24"/>
                <w:szCs w:val="24"/>
                <w:color w:val="auto"/>
              </w:rPr>
            </w:pPr>
          </w:p>
        </w:tc>
      </w:tr>
      <w:tr>
        <w:trPr>
          <w:trHeight w:val="338"/>
        </w:trPr>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240" w:type="dxa"/>
            <w:vAlign w:val="bottom"/>
          </w:tcPr>
          <w:p>
            <w:pPr>
              <w:spacing w:after="0"/>
              <w:rPr>
                <w:sz w:val="24"/>
                <w:szCs w:val="24"/>
                <w:color w:val="auto"/>
              </w:rPr>
            </w:pPr>
          </w:p>
        </w:tc>
      </w:tr>
      <w:tr>
        <w:trPr>
          <w:trHeight w:val="324"/>
        </w:trPr>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(1) Financial Statements</w:t>
            </w:r>
          </w:p>
        </w:tc>
        <w:tc>
          <w:tcPr>
            <w:tcW w:w="1240" w:type="dxa"/>
            <w:vAlign w:val="bottom"/>
          </w:tcPr>
          <w:p>
            <w:pPr>
              <w:spacing w:after="0"/>
              <w:rPr>
                <w:sz w:val="24"/>
                <w:szCs w:val="24"/>
                <w:color w:val="auto"/>
              </w:rPr>
            </w:pPr>
          </w:p>
        </w:tc>
      </w:tr>
      <w:tr>
        <w:trPr>
          <w:trHeight w:val="324"/>
        </w:trPr>
        <w:tc>
          <w:tcPr>
            <w:tcW w:w="10080" w:type="dxa"/>
            <w:vAlign w:val="bottom"/>
            <w:gridSpan w:val="2"/>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240" w:type="dxa"/>
            <w:vAlign w:val="bottom"/>
          </w:tcPr>
          <w:p>
            <w:pPr>
              <w:spacing w:after="0"/>
              <w:rPr>
                <w:sz w:val="24"/>
                <w:szCs w:val="24"/>
                <w:color w:val="auto"/>
              </w:rPr>
            </w:pPr>
          </w:p>
        </w:tc>
      </w:tr>
      <w:tr>
        <w:trPr>
          <w:trHeight w:val="445"/>
        </w:trPr>
        <w:tc>
          <w:tcPr>
            <w:tcW w:w="10080" w:type="dxa"/>
            <w:vAlign w:val="bottom"/>
            <w:gridSpan w:val="2"/>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240" w:type="dxa"/>
            <w:vAlign w:val="bottom"/>
          </w:tcPr>
          <w:p>
            <w:pPr>
              <w:spacing w:after="0"/>
              <w:rPr>
                <w:sz w:val="24"/>
                <w:szCs w:val="24"/>
                <w:color w:val="auto"/>
              </w:rPr>
            </w:pP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2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Years Ended December 31, 2014,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Schedules of Investments as of December 31, 2014 and 2013</w:t>
            </w:r>
          </w:p>
        </w:tc>
        <w:tc>
          <w:tcPr>
            <w:tcW w:w="12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2014,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tc>
        <w:tc>
          <w:tcPr>
            <w:tcW w:w="12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30"/>
        </w:trPr>
        <w:tc>
          <w:tcPr>
            <w:tcW w:w="1008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F-14</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135" w:lineRule="exact"/>
        <w:rPr>
          <w:sz w:val="20"/>
          <w:szCs w:val="20"/>
          <w:color w:val="auto"/>
        </w:rPr>
      </w:pPr>
    </w:p>
    <w:p>
      <w:pPr>
        <w:jc w:val="both"/>
        <w:ind w:left="880" w:right="60" w:hanging="879"/>
        <w:spacing w:after="0" w:line="277" w:lineRule="auto"/>
        <w:tabs>
          <w:tab w:leader="none" w:pos="8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880" w:right="440" w:hanging="879"/>
        <w:spacing w:after="0" w:line="277" w:lineRule="auto"/>
        <w:tabs>
          <w:tab w:leader="none" w:pos="8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880" w:right="180" w:hanging="872"/>
        <w:spacing w:after="0" w:line="277" w:lineRule="auto"/>
        <w:tabs>
          <w:tab w:leader="none" w:pos="8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hanging="879"/>
        <w:spacing w:after="0" w:line="277" w:lineRule="auto"/>
        <w:tabs>
          <w:tab w:leader="none" w:pos="8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880" w:right="120" w:hanging="879"/>
        <w:spacing w:after="0" w:line="277" w:lineRule="auto"/>
        <w:tabs>
          <w:tab w:leader="none" w:pos="8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880" w:right="40" w:hanging="879"/>
        <w:spacing w:after="0" w:line="277" w:lineRule="auto"/>
        <w:tabs>
          <w:tab w:leader="none" w:pos="86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Indenture</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Statement of Eligibility of Trustee on Form T-1</w:t>
      </w:r>
    </w:p>
    <w:p>
      <w:pPr>
        <w:spacing w:after="0" w:line="117"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880" w:right="200" w:hanging="872"/>
        <w:spacing w:after="0" w:line="277" w:lineRule="auto"/>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46"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80" w:right="360" w:hanging="872"/>
        <w:spacing w:after="0" w:line="308" w:lineRule="auto"/>
        <w:tabs>
          <w:tab w:leader="none" w:pos="8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w:t>
      </w:r>
    </w:p>
    <w:p>
      <w:pPr>
        <w:spacing w:after="0" w:line="117" w:lineRule="exact"/>
        <w:rPr>
          <w:sz w:val="20"/>
          <w:szCs w:val="20"/>
          <w:color w:val="auto"/>
        </w:rPr>
      </w:pPr>
    </w:p>
    <w:p>
      <w:pPr>
        <w:ind w:left="880" w:hanging="872"/>
        <w:spacing w:after="0"/>
        <w:tabs>
          <w:tab w:leader="none" w:pos="8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220" w:hanging="872"/>
        <w:spacing w:after="0" w:line="277" w:lineRule="auto"/>
        <w:tabs>
          <w:tab w:leader="none" w:pos="8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880" w:right="600" w:hanging="879"/>
        <w:spacing w:after="0" w:line="277" w:lineRule="auto"/>
        <w:tabs>
          <w:tab w:leader="none" w:pos="86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880" w:right="160" w:hanging="879"/>
        <w:spacing w:after="0" w:line="277" w:lineRule="auto"/>
        <w:tabs>
          <w:tab w:leader="none" w:pos="86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dated as of March 15, 2011, between the Company and the Adviser (incorporated by reference to Exhibit 10.1 to the Company’s Current Report on Form 8-K filed on March 15, 2011)</w:t>
      </w:r>
    </w:p>
    <w:p>
      <w:pPr>
        <w:spacing w:after="0" w:line="62" w:lineRule="exact"/>
        <w:rPr>
          <w:sz w:val="20"/>
          <w:szCs w:val="20"/>
          <w:color w:val="auto"/>
        </w:rPr>
      </w:pPr>
    </w:p>
    <w:p>
      <w:pPr>
        <w:ind w:left="880" w:right="60" w:hanging="879"/>
        <w:spacing w:after="0" w:line="286" w:lineRule="auto"/>
        <w:tabs>
          <w:tab w:leader="none" w:pos="860" w:val="left"/>
        </w:tabs>
        <w:rPr>
          <w:sz w:val="20"/>
          <w:szCs w:val="20"/>
          <w:color w:val="auto"/>
        </w:rPr>
      </w:pPr>
      <w:r>
        <w:rPr>
          <w:rFonts w:ascii="Arial" w:cs="Arial" w:eastAsia="Arial" w:hAnsi="Arial"/>
          <w:sz w:val="17"/>
          <w:szCs w:val="17"/>
          <w:color w:val="auto"/>
        </w:rPr>
        <w:t>(k)(3)</w:t>
      </w:r>
      <w:r>
        <w:rPr>
          <w:sz w:val="20"/>
          <w:szCs w:val="20"/>
          <w:color w:val="auto"/>
        </w:rPr>
        <w:tab/>
      </w:r>
      <w:r>
        <w:rPr>
          <w:rFonts w:ascii="Arial" w:cs="Arial" w:eastAsia="Arial" w:hAnsi="Arial"/>
          <w:sz w:val="17"/>
          <w:szCs w:val="17"/>
          <w:color w:val="auto"/>
        </w:rPr>
        <w:t>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13, 2012)</w:t>
      </w:r>
    </w:p>
    <w:p>
      <w:pPr>
        <w:spacing w:after="0" w:line="57" w:lineRule="exact"/>
        <w:rPr>
          <w:sz w:val="20"/>
          <w:szCs w:val="20"/>
          <w:color w:val="auto"/>
        </w:rPr>
      </w:pPr>
    </w:p>
    <w:p>
      <w:pPr>
        <w:jc w:val="both"/>
        <w:ind w:left="880" w:right="180" w:hanging="879"/>
        <w:spacing w:after="0" w:line="342" w:lineRule="auto"/>
        <w:tabs>
          <w:tab w:leader="none" w:pos="86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Master Sale and Contribution Agreement by and between TPG Specialty Lending, Inc., as the Originator and TPG SL SPV, LLC, as the Buyer, dated as of May 8, 2012 (incorporated by reference to Exhibit 10.2 to the Company’s Quarterly Report on Form 10-Q filed on August 13, 2012)</w:t>
      </w:r>
    </w:p>
    <w:p>
      <w:pPr>
        <w:spacing w:after="0" w:line="16" w:lineRule="exact"/>
        <w:rPr>
          <w:sz w:val="20"/>
          <w:szCs w:val="20"/>
          <w:color w:val="auto"/>
        </w:rPr>
      </w:pPr>
    </w:p>
    <w:p>
      <w:pPr>
        <w:jc w:val="both"/>
        <w:ind w:left="880" w:right="200" w:hanging="879"/>
        <w:spacing w:after="0" w:line="264" w:lineRule="auto"/>
        <w:tabs>
          <w:tab w:leader="none" w:pos="86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880" w:hanging="879"/>
        <w:spacing w:after="0" w:line="264" w:lineRule="auto"/>
        <w:tabs>
          <w:tab w:leader="none" w:pos="86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Instrument of Removal, Appointment and Acceptance, dated November 29, 2012, among State Street Bank and Trust Company and TPG SL SPV, LLC, TPG Specialty Lending, Inc. and the Bank of New York Mellon Trust Company, N.A. (incorporated by reference to Exhibit 10.1 to the Company’s Current Report on Form 8-K filed on January 2, 2013)</w:t>
      </w:r>
    </w:p>
    <w:p>
      <w:pPr>
        <w:spacing w:after="0" w:line="73" w:lineRule="exact"/>
        <w:rPr>
          <w:sz w:val="20"/>
          <w:szCs w:val="20"/>
          <w:color w:val="auto"/>
        </w:rPr>
      </w:pPr>
    </w:p>
    <w:p>
      <w:pPr>
        <w:jc w:val="both"/>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jc w:val="both"/>
        <w:ind w:left="880" w:right="40" w:hanging="879"/>
        <w:spacing w:after="0" w:line="312" w:lineRule="auto"/>
        <w:tabs>
          <w:tab w:leader="none" w:pos="860" w:val="left"/>
        </w:tabs>
        <w:rPr>
          <w:sz w:val="20"/>
          <w:szCs w:val="20"/>
          <w:color w:val="auto"/>
        </w:rPr>
      </w:pPr>
      <w:r>
        <w:rPr>
          <w:rFonts w:ascii="Arial" w:cs="Arial" w:eastAsia="Arial" w:hAnsi="Arial"/>
          <w:sz w:val="16"/>
          <w:szCs w:val="16"/>
          <w:color w:val="auto"/>
        </w:rPr>
        <w:t>(k)(8)</w:t>
      </w:r>
      <w:r>
        <w:rPr>
          <w:sz w:val="20"/>
          <w:szCs w:val="20"/>
          <w:color w:val="auto"/>
        </w:rPr>
        <w:tab/>
      </w:r>
      <w:r>
        <w:rPr>
          <w:rFonts w:ascii="Arial" w:cs="Arial" w:eastAsia="Arial" w:hAnsi="Arial"/>
          <w:sz w:val="16"/>
          <w:szCs w:val="16"/>
          <w:color w:val="auto"/>
        </w:rPr>
        <w:t>Amendment No. 1 dated July 17, 2013 to 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9, 2013)</w:t>
      </w:r>
    </w:p>
    <w:p>
      <w:pPr>
        <w:spacing w:after="0" w:line="39" w:lineRule="exact"/>
        <w:rPr>
          <w:sz w:val="20"/>
          <w:szCs w:val="20"/>
          <w:color w:val="auto"/>
        </w:rPr>
      </w:pPr>
    </w:p>
    <w:p>
      <w:pPr>
        <w:ind w:left="880" w:right="100" w:hanging="879"/>
        <w:spacing w:after="0" w:line="286" w:lineRule="auto"/>
        <w:tabs>
          <w:tab w:leader="none" w:pos="860" w:val="left"/>
        </w:tabs>
        <w:rPr>
          <w:sz w:val="20"/>
          <w:szCs w:val="20"/>
          <w:color w:val="auto"/>
        </w:rPr>
      </w:pPr>
      <w:r>
        <w:rPr>
          <w:rFonts w:ascii="Arial" w:cs="Arial" w:eastAsia="Arial" w:hAnsi="Arial"/>
          <w:sz w:val="17"/>
          <w:szCs w:val="17"/>
          <w:color w:val="auto"/>
        </w:rPr>
        <w:t>(k)(9)</w:t>
      </w:r>
      <w:r>
        <w:rPr>
          <w:sz w:val="20"/>
          <w:szCs w:val="20"/>
          <w:color w:val="auto"/>
        </w:rPr>
        <w:tab/>
      </w:r>
      <w:r>
        <w:rPr>
          <w:rFonts w:ascii="Arial" w:cs="Arial" w:eastAsia="Arial" w:hAnsi="Arial"/>
          <w:sz w:val="17"/>
          <w:szCs w:val="17"/>
          <w:color w:val="auto"/>
        </w:rPr>
        <w:t>Amended and Restated Revolving Credit and Security Agreement, dated as of January 21, 2014, among TPG SL SPV, LLC, as Borrower, the Lenders from Time to Time Parties Hereto, Natixis, New York Branch, as Facility Agent and State Street Bank and Trust Company, as Collateral Agent (incorporated by reference to Exhibit 10.18 to the Company’s Annual Report on Form 10-K filed on March 4, 2014)</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1059"/>
        <w:spacing w:after="0" w:line="264" w:lineRule="auto"/>
        <w:tabs>
          <w:tab w:leader="none" w:pos="1040" w:val="left"/>
        </w:tabs>
        <w:rPr>
          <w:sz w:val="20"/>
          <w:szCs w:val="20"/>
          <w:color w:val="auto"/>
        </w:rPr>
      </w:pPr>
      <w:r>
        <w:rPr>
          <w:rFonts w:ascii="Arial" w:cs="Arial" w:eastAsia="Arial" w:hAnsi="Arial"/>
          <w:sz w:val="18"/>
          <w:szCs w:val="18"/>
          <w:color w:val="auto"/>
        </w:rPr>
        <w:t>(k)(10)</w:t>
      </w:r>
      <w:r>
        <w:rPr>
          <w:sz w:val="20"/>
          <w:szCs w:val="20"/>
          <w:color w:val="auto"/>
        </w:rPr>
        <w:tab/>
      </w:r>
      <w:r>
        <w:rPr>
          <w:rFonts w:ascii="Arial" w:cs="Arial" w:eastAsia="Arial" w:hAnsi="Arial"/>
          <w:sz w:val="18"/>
          <w:szCs w:val="18"/>
          <w:color w:val="auto"/>
        </w:rPr>
        <w:t>Amended and Restated Master Sale and Contribution Agreement by and between TPG Specialty Lending, Inc., as the Originator and TPG SL SPV, LLC, as the Buyer, dated as of January 21, 2014 (incorporated by reference to Exhibit 10.19 to the Company’s Annual Report on Form 10-K filed on March 4, 2014)</w:t>
      </w:r>
    </w:p>
    <w:p>
      <w:pPr>
        <w:spacing w:after="0" w:line="73" w:lineRule="exact"/>
        <w:rPr>
          <w:sz w:val="20"/>
          <w:szCs w:val="20"/>
          <w:color w:val="auto"/>
        </w:rPr>
      </w:pPr>
    </w:p>
    <w:p>
      <w:pPr>
        <w:jc w:val="both"/>
        <w:ind w:left="1060" w:hanging="1059"/>
        <w:spacing w:after="0" w:line="286" w:lineRule="auto"/>
        <w:tabs>
          <w:tab w:leader="none" w:pos="1040" w:val="left"/>
        </w:tabs>
        <w:rPr>
          <w:sz w:val="20"/>
          <w:szCs w:val="20"/>
          <w:color w:val="auto"/>
        </w:rPr>
      </w:pPr>
      <w:r>
        <w:rPr>
          <w:rFonts w:ascii="Arial" w:cs="Arial" w:eastAsia="Arial" w:hAnsi="Arial"/>
          <w:sz w:val="17"/>
          <w:szCs w:val="17"/>
          <w:color w:val="auto"/>
        </w:rPr>
        <w:t>(k)(11)</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1060" w:hanging="1059"/>
        <w:spacing w:after="0" w:line="259" w:lineRule="auto"/>
        <w:tabs>
          <w:tab w:leader="none" w:pos="1040" w:val="left"/>
        </w:tabs>
        <w:rPr>
          <w:sz w:val="20"/>
          <w:szCs w:val="20"/>
          <w:color w:val="auto"/>
        </w:rPr>
      </w:pPr>
      <w:r>
        <w:rPr>
          <w:rFonts w:ascii="Arial" w:cs="Arial" w:eastAsia="Arial" w:hAnsi="Arial"/>
          <w:sz w:val="18"/>
          <w:szCs w:val="18"/>
          <w:color w:val="auto"/>
        </w:rPr>
        <w:t>(k)(12)</w:t>
      </w:r>
      <w:r>
        <w:rPr>
          <w:sz w:val="20"/>
          <w:szCs w:val="20"/>
          <w:color w:val="auto"/>
        </w:rPr>
        <w:tab/>
      </w:r>
      <w:r>
        <w:rPr>
          <w:rFonts w:ascii="Arial" w:cs="Arial" w:eastAsia="Arial" w:hAnsi="Arial"/>
          <w:sz w:val="18"/>
          <w:szCs w:val="18"/>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79" w:lineRule="exact"/>
        <w:rPr>
          <w:sz w:val="20"/>
          <w:szCs w:val="20"/>
          <w:color w:val="auto"/>
        </w:rPr>
      </w:pPr>
    </w:p>
    <w:p>
      <w:pPr>
        <w:ind w:left="1060" w:right="600" w:hanging="1059"/>
        <w:spacing w:after="0" w:line="312" w:lineRule="auto"/>
        <w:tabs>
          <w:tab w:leader="none" w:pos="1040" w:val="left"/>
        </w:tabs>
        <w:rPr>
          <w:sz w:val="20"/>
          <w:szCs w:val="20"/>
          <w:color w:val="auto"/>
        </w:rPr>
      </w:pPr>
      <w:r>
        <w:rPr>
          <w:rFonts w:ascii="Arial" w:cs="Arial" w:eastAsia="Arial" w:hAnsi="Arial"/>
          <w:sz w:val="16"/>
          <w:szCs w:val="16"/>
          <w:color w:val="auto"/>
        </w:rPr>
        <w:t>(k)(13)</w:t>
      </w:r>
      <w:r>
        <w:rPr>
          <w:sz w:val="20"/>
          <w:szCs w:val="20"/>
          <w:color w:val="auto"/>
        </w:rPr>
        <w:tab/>
      </w:r>
      <w:r>
        <w:rPr>
          <w:rFonts w:ascii="Arial" w:cs="Arial" w:eastAsia="Arial" w:hAnsi="Arial"/>
          <w:sz w:val="16"/>
          <w:szCs w:val="16"/>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39" w:lineRule="exact"/>
        <w:rPr>
          <w:sz w:val="20"/>
          <w:szCs w:val="20"/>
          <w:color w:val="auto"/>
        </w:rPr>
      </w:pPr>
    </w:p>
    <w:p>
      <w:pPr>
        <w:ind w:left="1060" w:right="60" w:hanging="1059"/>
        <w:spacing w:after="0" w:line="286" w:lineRule="auto"/>
        <w:tabs>
          <w:tab w:leader="none" w:pos="1040" w:val="left"/>
        </w:tabs>
        <w:rPr>
          <w:sz w:val="20"/>
          <w:szCs w:val="20"/>
          <w:color w:val="auto"/>
        </w:rPr>
      </w:pPr>
      <w:r>
        <w:rPr>
          <w:rFonts w:ascii="Arial" w:cs="Arial" w:eastAsia="Arial" w:hAnsi="Arial"/>
          <w:sz w:val="17"/>
          <w:szCs w:val="17"/>
          <w:color w:val="auto"/>
        </w:rPr>
        <w:t>(k)(14)</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57" w:lineRule="exact"/>
        <w:rPr>
          <w:sz w:val="20"/>
          <w:szCs w:val="20"/>
          <w:color w:val="auto"/>
        </w:rPr>
      </w:pPr>
    </w:p>
    <w:p>
      <w:pPr>
        <w:ind w:left="1060" w:right="180" w:hanging="1059"/>
        <w:spacing w:after="0" w:line="264" w:lineRule="auto"/>
        <w:tabs>
          <w:tab w:leader="none" w:pos="1040" w:val="left"/>
        </w:tabs>
        <w:rPr>
          <w:sz w:val="20"/>
          <w:szCs w:val="20"/>
          <w:color w:val="auto"/>
        </w:rPr>
      </w:pPr>
      <w:r>
        <w:rPr>
          <w:rFonts w:ascii="Arial" w:cs="Arial" w:eastAsia="Arial" w:hAnsi="Arial"/>
          <w:sz w:val="18"/>
          <w:szCs w:val="18"/>
          <w:color w:val="auto"/>
        </w:rPr>
        <w:t>(k)(15)</w:t>
      </w:r>
      <w:r>
        <w:rPr>
          <w:sz w:val="20"/>
          <w:szCs w:val="20"/>
          <w:color w:val="auto"/>
        </w:rPr>
        <w:tab/>
      </w:r>
      <w:r>
        <w:rPr>
          <w:rFonts w:ascii="Arial" w:cs="Arial" w:eastAsia="Arial" w:hAnsi="Arial"/>
          <w:sz w:val="18"/>
          <w:szCs w:val="18"/>
          <w:color w:val="auto"/>
        </w:rPr>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ind w:left="1060" w:right="400" w:hanging="1059"/>
        <w:spacing w:after="0" w:line="312" w:lineRule="auto"/>
        <w:tabs>
          <w:tab w:leader="none" w:pos="1040" w:val="left"/>
        </w:tabs>
        <w:rPr>
          <w:sz w:val="20"/>
          <w:szCs w:val="20"/>
          <w:color w:val="auto"/>
        </w:rPr>
      </w:pPr>
      <w:r>
        <w:rPr>
          <w:rFonts w:ascii="Arial" w:cs="Arial" w:eastAsia="Arial" w:hAnsi="Arial"/>
          <w:sz w:val="16"/>
          <w:szCs w:val="16"/>
          <w:color w:val="auto"/>
        </w:rPr>
        <w:t>(k)(16)</w:t>
      </w:r>
      <w:r>
        <w:rPr>
          <w:sz w:val="20"/>
          <w:szCs w:val="20"/>
          <w:color w:val="auto"/>
        </w:rPr>
        <w:tab/>
      </w:r>
      <w:r>
        <w:rPr>
          <w:rFonts w:ascii="Arial" w:cs="Arial" w:eastAsia="Arial" w:hAnsi="Arial"/>
          <w:sz w:val="16"/>
          <w:szCs w:val="16"/>
          <w:color w:val="auto"/>
        </w:rPr>
        <w:t>Second Amended and Restated Credit and Security Agreement, dated as of March 27, 2015, among TPG SL SPV, LLC, as Borrower, the Lenders from Time to Time Parties Hereto, Natixis, New York Branch, as Facility Agent and State Street Bank and Trust Company, as Collateral Agent (incorporated by reference to Exhibit 10.1 to the Company’s Current Report on Form 8-K filed on March 30, 2015)</w:t>
      </w:r>
    </w:p>
    <w:p>
      <w:pPr>
        <w:spacing w:after="0" w:line="39" w:lineRule="exact"/>
        <w:rPr>
          <w:sz w:val="20"/>
          <w:szCs w:val="20"/>
          <w:color w:val="auto"/>
        </w:rPr>
      </w:pPr>
    </w:p>
    <w:p>
      <w:pPr>
        <w:ind w:left="1060" w:hanging="1052"/>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(n)(1)</w:t>
            </w:r>
          </w:p>
        </w:tc>
        <w:tc>
          <w:tcPr>
            <w:tcW w:w="5740" w:type="dxa"/>
            <w:vAlign w:val="bottom"/>
          </w:tcPr>
          <w:p>
            <w:pPr>
              <w:ind w:left="320"/>
              <w:spacing w:after="0"/>
              <w:rPr>
                <w:sz w:val="20"/>
                <w:szCs w:val="20"/>
                <w:color w:val="auto"/>
              </w:rPr>
            </w:pPr>
            <w:r>
              <w:rPr>
                <w:rFonts w:ascii="Arial" w:cs="Arial" w:eastAsia="Arial" w:hAnsi="Arial"/>
                <w:sz w:val="18"/>
                <w:szCs w:val="18"/>
                <w:color w:val="auto"/>
                <w:w w:val="93"/>
              </w:rPr>
              <w:t>Consent of Cleary Gottlieb Steen &amp; Hamilton LLP (included in Exhibit (l))</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(n)(2)</w:t>
            </w:r>
          </w:p>
        </w:tc>
        <w:tc>
          <w:tcPr>
            <w:tcW w:w="5740" w:type="dxa"/>
            <w:vAlign w:val="bottom"/>
          </w:tcPr>
          <w:p>
            <w:pPr>
              <w:ind w:left="320"/>
              <w:spacing w:after="0"/>
              <w:rPr>
                <w:sz w:val="20"/>
                <w:szCs w:val="20"/>
                <w:color w:val="auto"/>
              </w:rPr>
            </w:pPr>
            <w:r>
              <w:rPr>
                <w:rFonts w:ascii="Arial" w:cs="Arial" w:eastAsia="Arial" w:hAnsi="Arial"/>
                <w:sz w:val="18"/>
                <w:szCs w:val="18"/>
                <w:color w:val="auto"/>
              </w:rPr>
              <w:t>Consent of KPMG LLP, dated April 16, 2015</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(n)(3)</w:t>
            </w:r>
          </w:p>
        </w:tc>
        <w:tc>
          <w:tcPr>
            <w:tcW w:w="5740" w:type="dxa"/>
            <w:vAlign w:val="bottom"/>
          </w:tcPr>
          <w:p>
            <w:pPr>
              <w:ind w:left="320"/>
              <w:spacing w:after="0"/>
              <w:rPr>
                <w:sz w:val="20"/>
                <w:szCs w:val="20"/>
                <w:color w:val="auto"/>
              </w:rPr>
            </w:pPr>
            <w:r>
              <w:rPr>
                <w:rFonts w:ascii="Arial" w:cs="Arial" w:eastAsia="Arial" w:hAnsi="Arial"/>
                <w:sz w:val="18"/>
                <w:szCs w:val="18"/>
                <w:color w:val="auto"/>
              </w:rPr>
              <w:t>Report of KPMG LLP, dated April 16, 2015</w:t>
            </w:r>
          </w:p>
        </w:tc>
      </w:tr>
    </w:tbl>
    <w:p>
      <w:pPr>
        <w:spacing w:after="0" w:line="94" w:lineRule="exact"/>
        <w:rPr>
          <w:sz w:val="20"/>
          <w:szCs w:val="20"/>
          <w:color w:val="auto"/>
        </w:rPr>
      </w:pPr>
    </w:p>
    <w:p>
      <w:pPr>
        <w:ind w:left="1060" w:hanging="1052"/>
        <w:spacing w:after="0"/>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(r)(1)</w:t>
            </w:r>
          </w:p>
        </w:tc>
        <w:tc>
          <w:tcPr>
            <w:tcW w:w="10120" w:type="dxa"/>
            <w:vAlign w:val="bottom"/>
          </w:tcPr>
          <w:p>
            <w:pPr>
              <w:ind w:left="340"/>
              <w:spacing w:after="0"/>
              <w:rPr>
                <w:sz w:val="20"/>
                <w:szCs w:val="20"/>
                <w:color w:val="auto"/>
              </w:rPr>
            </w:pPr>
            <w:r>
              <w:rPr>
                <w:rFonts w:ascii="Arial" w:cs="Arial" w:eastAsia="Arial" w:hAnsi="Arial"/>
                <w:sz w:val="18"/>
                <w:szCs w:val="18"/>
                <w:color w:val="auto"/>
                <w:w w:val="94"/>
              </w:rPr>
              <w:t>Code of Ethics of TPG Specialty Lending, Inc. (incorporated by reference to Exhibit (r)(1) to Pre-Effective Amendment No. 4 to the</w:t>
            </w:r>
          </w:p>
        </w:tc>
      </w:tr>
      <w:tr>
        <w:trPr>
          <w:trHeight w:val="230"/>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(r)(2)</w:t>
            </w:r>
          </w:p>
        </w:tc>
        <w:tc>
          <w:tcPr>
            <w:tcW w:w="10120" w:type="dxa"/>
            <w:vAlign w:val="bottom"/>
          </w:tcPr>
          <w:p>
            <w:pPr>
              <w:ind w:left="340"/>
              <w:spacing w:after="0"/>
              <w:rPr>
                <w:sz w:val="20"/>
                <w:szCs w:val="20"/>
                <w:color w:val="auto"/>
              </w:rPr>
            </w:pPr>
            <w:r>
              <w:rPr>
                <w:rFonts w:ascii="Arial" w:cs="Arial" w:eastAsia="Arial" w:hAnsi="Arial"/>
                <w:sz w:val="18"/>
                <w:szCs w:val="18"/>
                <w:color w:val="auto"/>
                <w:w w:val="92"/>
              </w:rPr>
              <w:t>Code of Ethics of TSL Advisers, LLC (incorporated by reference to Exhibit (r)(2) to Pre-Effective Amendment No. 4 to the Company’s</w:t>
            </w:r>
          </w:p>
        </w:tc>
      </w:tr>
      <w:tr>
        <w:trPr>
          <w:trHeight w:val="230"/>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120" w:type="dxa"/>
            <w:vAlign w:val="bottom"/>
          </w:tcPr>
          <w:p>
            <w:pPr>
              <w:ind w:left="340"/>
              <w:spacing w:after="0"/>
              <w:rPr>
                <w:sz w:val="20"/>
                <w:szCs w:val="20"/>
                <w:color w:val="auto"/>
              </w:rPr>
            </w:pPr>
            <w:r>
              <w:rPr>
                <w:rFonts w:ascii="Arial" w:cs="Arial" w:eastAsia="Arial" w:hAnsi="Arial"/>
                <w:sz w:val="18"/>
                <w:szCs w:val="18"/>
                <w:color w:val="auto"/>
                <w:w w:val="92"/>
              </w:rPr>
              <w:t>Form of Preliminary Prospectus Supplement For Common Stock Offerings (incorporated by reference to Exhibit 99.1 to Pre-Effective</w:t>
            </w:r>
          </w:p>
        </w:tc>
      </w:tr>
      <w:tr>
        <w:trPr>
          <w:trHeight w:val="230"/>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65"/>
        </w:trPr>
        <w:tc>
          <w:tcPr>
            <w:tcW w:w="720" w:type="dxa"/>
            <w:vAlign w:val="bottom"/>
          </w:tcPr>
          <w:p>
            <w:pPr>
              <w:spacing w:after="0"/>
              <w:rPr>
                <w:sz w:val="24"/>
                <w:szCs w:val="24"/>
                <w:color w:val="auto"/>
              </w:rPr>
            </w:pPr>
          </w:p>
        </w:tc>
        <w:tc>
          <w:tcPr>
            <w:tcW w:w="10120" w:type="dxa"/>
            <w:vAlign w:val="bottom"/>
          </w:tcPr>
          <w:p>
            <w:pPr>
              <w:ind w:left="4860"/>
              <w:spacing w:after="0"/>
              <w:rPr>
                <w:sz w:val="20"/>
                <w:szCs w:val="20"/>
                <w:color w:val="auto"/>
              </w:rPr>
            </w:pPr>
            <w:r>
              <w:rPr>
                <w:rFonts w:ascii="Arial" w:cs="Arial" w:eastAsia="Arial" w:hAnsi="Arial"/>
                <w:sz w:val="18"/>
                <w:szCs w:val="18"/>
                <w:color w:val="auto"/>
              </w:rPr>
              <w:t>C-3</w:t>
            </w:r>
          </w:p>
        </w:tc>
      </w:tr>
    </w:tbl>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99.2</w:t>
            </w:r>
          </w:p>
        </w:tc>
        <w:tc>
          <w:tcPr>
            <w:tcW w:w="10700" w:type="dxa"/>
            <w:vAlign w:val="bottom"/>
          </w:tcPr>
          <w:p>
            <w:pPr>
              <w:ind w:left="300"/>
              <w:spacing w:after="0"/>
              <w:rPr>
                <w:sz w:val="20"/>
                <w:szCs w:val="20"/>
                <w:color w:val="auto"/>
              </w:rPr>
            </w:pPr>
            <w:r>
              <w:rPr>
                <w:rFonts w:ascii="Arial" w:cs="Arial" w:eastAsia="Arial" w:hAnsi="Arial"/>
                <w:sz w:val="18"/>
                <w:szCs w:val="18"/>
                <w:color w:val="auto"/>
                <w:w w:val="98"/>
              </w:rPr>
              <w:t>Form of Preliminary Prospectus Supplement For Preferred Stock Offerings (incorporated by reference to Exhibit 99.2 to Pre-Effective</w:t>
            </w:r>
          </w:p>
        </w:tc>
      </w:tr>
      <w:tr>
        <w:trPr>
          <w:trHeight w:val="230"/>
        </w:trPr>
        <w:tc>
          <w:tcPr>
            <w:tcW w:w="62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99.3</w:t>
            </w:r>
          </w:p>
        </w:tc>
        <w:tc>
          <w:tcPr>
            <w:tcW w:w="10700" w:type="dxa"/>
            <w:vAlign w:val="bottom"/>
          </w:tcPr>
          <w:p>
            <w:pPr>
              <w:ind w:left="300"/>
              <w:spacing w:after="0"/>
              <w:rPr>
                <w:sz w:val="20"/>
                <w:szCs w:val="20"/>
                <w:color w:val="auto"/>
              </w:rPr>
            </w:pPr>
            <w:r>
              <w:rPr>
                <w:rFonts w:ascii="Arial" w:cs="Arial" w:eastAsia="Arial" w:hAnsi="Arial"/>
                <w:sz w:val="18"/>
                <w:szCs w:val="18"/>
                <w:color w:val="auto"/>
                <w:w w:val="98"/>
              </w:rPr>
              <w:t>Form of Preliminary Prospectus Supplement For Debt Securities Offerings (incorporated by reference to Exhibit 99.3 to Pre-Effective</w:t>
            </w:r>
          </w:p>
        </w:tc>
      </w:tr>
      <w:tr>
        <w:trPr>
          <w:trHeight w:val="230"/>
        </w:trPr>
        <w:tc>
          <w:tcPr>
            <w:tcW w:w="62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99.4</w:t>
            </w:r>
          </w:p>
        </w:tc>
        <w:tc>
          <w:tcPr>
            <w:tcW w:w="10700" w:type="dxa"/>
            <w:vAlign w:val="bottom"/>
          </w:tcPr>
          <w:p>
            <w:pPr>
              <w:ind w:left="300"/>
              <w:spacing w:after="0"/>
              <w:rPr>
                <w:sz w:val="20"/>
                <w:szCs w:val="20"/>
                <w:color w:val="auto"/>
              </w:rPr>
            </w:pPr>
            <w:r>
              <w:rPr>
                <w:rFonts w:ascii="Arial" w:cs="Arial" w:eastAsia="Arial" w:hAnsi="Arial"/>
                <w:sz w:val="18"/>
                <w:szCs w:val="18"/>
                <w:color w:val="auto"/>
                <w:w w:val="91"/>
              </w:rPr>
              <w:t>Form of Preliminary Prospectus Supplement For Rights Offerings (incorporated by reference to Exhibit 99.4 to Pre-Effective Amendment No. 1</w:t>
            </w:r>
          </w:p>
        </w:tc>
      </w:tr>
      <w:tr>
        <w:trPr>
          <w:trHeight w:val="230"/>
        </w:trPr>
        <w:tc>
          <w:tcPr>
            <w:tcW w:w="62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to the Company’s Registration Statement on Form N-2 filed on July 25, 2014)</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99.5</w:t>
            </w:r>
          </w:p>
        </w:tc>
        <w:tc>
          <w:tcPr>
            <w:tcW w:w="10700" w:type="dxa"/>
            <w:vAlign w:val="bottom"/>
          </w:tcPr>
          <w:p>
            <w:pPr>
              <w:ind w:left="300"/>
              <w:spacing w:after="0"/>
              <w:rPr>
                <w:sz w:val="20"/>
                <w:szCs w:val="20"/>
                <w:color w:val="auto"/>
              </w:rPr>
            </w:pPr>
            <w:r>
              <w:rPr>
                <w:rFonts w:ascii="Arial" w:cs="Arial" w:eastAsia="Arial" w:hAnsi="Arial"/>
                <w:sz w:val="18"/>
                <w:szCs w:val="18"/>
                <w:color w:val="auto"/>
                <w:w w:val="91"/>
              </w:rPr>
              <w:t>Form of Preliminary Prospectus Supplement For Warrant Offerings (incorporated by reference to Exhibit 99.5 to Pre-Effective Amendment No.</w:t>
            </w:r>
          </w:p>
        </w:tc>
      </w:tr>
      <w:tr>
        <w:trPr>
          <w:trHeight w:val="230"/>
        </w:trPr>
        <w:tc>
          <w:tcPr>
            <w:tcW w:w="620" w:type="dxa"/>
            <w:vAlign w:val="bottom"/>
          </w:tcPr>
          <w:p>
            <w:pPr>
              <w:spacing w:after="0"/>
              <w:rPr>
                <w:sz w:val="20"/>
                <w:szCs w:val="20"/>
                <w:color w:val="auto"/>
              </w:rPr>
            </w:pPr>
          </w:p>
        </w:tc>
        <w:tc>
          <w:tcPr>
            <w:tcW w:w="10700" w:type="dxa"/>
            <w:vAlign w:val="bottom"/>
          </w:tcPr>
          <w:p>
            <w:pPr>
              <w:ind w:left="300"/>
              <w:spacing w:after="0"/>
              <w:rPr>
                <w:sz w:val="20"/>
                <w:szCs w:val="20"/>
                <w:color w:val="auto"/>
              </w:rPr>
            </w:pPr>
            <w:r>
              <w:rPr>
                <w:rFonts w:ascii="Arial" w:cs="Arial" w:eastAsia="Arial" w:hAnsi="Arial"/>
                <w:sz w:val="18"/>
                <w:szCs w:val="18"/>
                <w:color w:val="auto"/>
              </w:rPr>
              <w:t>1 to the Company’s Registration Statement on Form N-2 filed on July 25, 2014)</w:t>
            </w:r>
          </w:p>
        </w:tc>
      </w:tr>
    </w:tbl>
    <w:p>
      <w:pPr>
        <w:spacing w:after="0" w:line="3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768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6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87,150.00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113,000.00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100,000.00(1)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200,000.00(1)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25,000.00(1)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24,850.00(1)</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600,000.00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February 24,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4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$0.01 par value</w:t>
            </w:r>
          </w:p>
        </w:tc>
        <w:tc>
          <w:tcPr>
            <w:tcW w:w="29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Arial" w:cs="Arial" w:eastAsia="Arial" w:hAnsi="Arial"/>
                <w:sz w:val="18"/>
                <w:szCs w:val="18"/>
                <w:color w:val="auto"/>
              </w:rPr>
              <w:t>C-4</w:t>
            </w:r>
          </w:p>
        </w:tc>
      </w:tr>
    </w:tbl>
    <w:p>
      <w:pPr>
        <w:sectPr>
          <w:pgSz w:w="11900" w:h="16838" w:orient="portrait"/>
          <w:cols w:equalWidth="0" w:num="1">
            <w:col w:w="11320"/>
          </w:cols>
          <w:pgMar w:left="24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7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Advisor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right="20" w:hanging="446"/>
        <w:spacing w:after="0" w:line="273" w:lineRule="auto"/>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20" w:right="20" w:hanging="440"/>
        <w:spacing w:after="0" w:line="264" w:lineRule="auto"/>
        <w:tabs>
          <w:tab w:leader="none" w:pos="192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920" w:right="100" w:hanging="440"/>
        <w:spacing w:after="0" w:line="277" w:lineRule="auto"/>
        <w:tabs>
          <w:tab w:leader="none" w:pos="192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80" w:hanging="567"/>
        <w:spacing w:after="0" w:line="277" w:lineRule="auto"/>
        <w:tabs>
          <w:tab w:leader="none" w:pos="14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480" w:right="100" w:hanging="567"/>
        <w:spacing w:after="0" w:line="290" w:lineRule="auto"/>
        <w:tabs>
          <w:tab w:leader="none" w:pos="14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supercede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1480" w:hanging="567"/>
        <w:spacing w:after="0" w:line="279" w:lineRule="auto"/>
        <w:tabs>
          <w:tab w:leader="none" w:pos="148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920" w:right="600" w:hanging="440"/>
        <w:spacing w:after="0" w:line="277" w:lineRule="auto"/>
        <w:tabs>
          <w:tab w:leader="none" w:pos="192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920" w:right="700" w:hanging="440"/>
        <w:spacing w:after="0" w:line="277" w:lineRule="auto"/>
        <w:tabs>
          <w:tab w:leader="none" w:pos="192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480" w:right="80" w:hanging="567"/>
        <w:spacing w:after="0" w:line="312" w:lineRule="auto"/>
        <w:tabs>
          <w:tab w:leader="none" w:pos="14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64" w:lineRule="auto"/>
        <w:tabs>
          <w:tab w:leader="none" w:pos="14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respect of any one or more offerings by us of shares of our common stock (including subscription rights to purchase shares of common stock) below net asset value as of the date of the commencement of such offering.</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16th day of April, 2015.</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officer and director of TPG Specialty Lending, Inc. whose signature appears below constitutes and appoints Joshua Easterly, Michael Fishman, Alan Kirshenbaum, David Stiepleman, Jennifer Mello and Jennifer Gordon, and 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Fishman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and Director (Principal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95"/>
              </w:rPr>
              <w:t>April 16,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Joshua Easterly</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Co-Chief Executive Officer, Director and Chairman</w:t>
            </w:r>
          </w:p>
        </w:tc>
        <w:tc>
          <w:tcPr>
            <w:tcW w:w="2100" w:type="dxa"/>
            <w:vAlign w:val="bottom"/>
          </w:tcPr>
          <w:p>
            <w:pPr>
              <w:jc w:val="center"/>
              <w:spacing w:after="0"/>
              <w:rPr>
                <w:sz w:val="20"/>
                <w:szCs w:val="20"/>
                <w:color w:val="auto"/>
              </w:rPr>
            </w:pPr>
            <w:r>
              <w:rPr>
                <w:rFonts w:ascii="Arial" w:cs="Arial" w:eastAsia="Arial" w:hAnsi="Arial"/>
                <w:sz w:val="18"/>
                <w:szCs w:val="18"/>
                <w:color w:val="auto"/>
                <w:w w:val="95"/>
              </w:rPr>
              <w:t>April 16,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of the Board of Directors</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Alan Kirshenbaum</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c>
          <w:tcPr>
            <w:tcW w:w="2100" w:type="dxa"/>
            <w:vAlign w:val="bottom"/>
          </w:tcPr>
          <w:p>
            <w:pPr>
              <w:jc w:val="center"/>
              <w:spacing w:after="0"/>
              <w:rPr>
                <w:sz w:val="20"/>
                <w:szCs w:val="20"/>
                <w:color w:val="auto"/>
              </w:rPr>
            </w:pPr>
            <w:r>
              <w:rPr>
                <w:rFonts w:ascii="Arial" w:cs="Arial" w:eastAsia="Arial" w:hAnsi="Arial"/>
                <w:sz w:val="18"/>
                <w:szCs w:val="18"/>
                <w:color w:val="auto"/>
                <w:w w:val="95"/>
              </w:rPr>
              <w:t>April 16,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Alan Kirshenbaum</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A. Ross</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 and Chairman of the Audit Committee</w:t>
            </w:r>
          </w:p>
        </w:tc>
        <w:tc>
          <w:tcPr>
            <w:tcW w:w="2100" w:type="dxa"/>
            <w:vAlign w:val="bottom"/>
          </w:tcPr>
          <w:p>
            <w:pPr>
              <w:jc w:val="center"/>
              <w:spacing w:after="0"/>
              <w:rPr>
                <w:sz w:val="20"/>
                <w:szCs w:val="20"/>
                <w:color w:val="auto"/>
              </w:rPr>
            </w:pPr>
            <w:r>
              <w:rPr>
                <w:rFonts w:ascii="Arial" w:cs="Arial" w:eastAsia="Arial" w:hAnsi="Arial"/>
                <w:sz w:val="18"/>
                <w:szCs w:val="18"/>
                <w:color w:val="auto"/>
                <w:w w:val="95"/>
              </w:rPr>
              <w:t>April 16,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Higginbotham</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5"/>
              </w:rPr>
              <w:t>April 16,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Ronald K. Tanemura</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5"/>
              </w:rPr>
              <w:t>April 16, 2015</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1"/>
              </w:rPr>
              <w:t>Ronald K. Tanemura</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(d)(5)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25" w:lineRule="exact"/>
        <w:rPr>
          <w:sz w:val="20"/>
          <w:szCs w:val="20"/>
          <w:color w:val="auto"/>
        </w:rPr>
      </w:pPr>
    </w:p>
    <w:tbl>
      <w:tblPr>
        <w:tblLayout w:type="fixed"/>
        <w:tblInd w:w="3500" w:type="dxa"/>
        <w:tblCellMar>
          <w:top w:w="0" w:type="dxa"/>
          <w:left w:w="0" w:type="dxa"/>
          <w:bottom w:w="0" w:type="dxa"/>
          <w:right w:w="0" w:type="dxa"/>
        </w:tblCellMar>
      </w:tblPr>
      <w:tr>
        <w:trPr>
          <w:trHeight w:val="234"/>
        </w:trPr>
        <w:tc>
          <w:tcPr>
            <w:tcW w:w="146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(Trustee)</w:t>
            </w:r>
          </w:p>
        </w:tc>
        <w:tc>
          <w:tcPr>
            <w:tcW w:w="560" w:type="dxa"/>
            <w:vAlign w:val="bottom"/>
          </w:tcPr>
          <w:p>
            <w:pPr>
              <w:spacing w:after="0"/>
              <w:rPr>
                <w:sz w:val="20"/>
                <w:szCs w:val="20"/>
                <w:color w:val="auto"/>
              </w:rPr>
            </w:pPr>
          </w:p>
        </w:tc>
      </w:tr>
      <w:tr>
        <w:trPr>
          <w:trHeight w:val="432"/>
        </w:trPr>
        <w:tc>
          <w:tcPr>
            <w:tcW w:w="146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Indenture</w:t>
            </w:r>
          </w:p>
        </w:tc>
        <w:tc>
          <w:tcPr>
            <w:tcW w:w="560" w:type="dxa"/>
            <w:vAlign w:val="bottom"/>
          </w:tcPr>
          <w:p>
            <w:pPr>
              <w:spacing w:after="0"/>
              <w:rPr>
                <w:sz w:val="24"/>
                <w:szCs w:val="24"/>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Dated as of [</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6"/>
              </w:rPr>
              <w:t>], 2015</w:t>
            </w:r>
          </w:p>
        </w:tc>
      </w:tr>
    </w:tbl>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Providing for the Issuance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220"/>
          </w:cols>
          <w:pgMar w:left="1440" w:top="121" w:right="239" w:bottom="1440" w:gutter="0" w:footer="0" w:header="0"/>
        </w:sectPr>
      </w:pPr>
    </w:p>
    <w:bookmarkStart w:id="233" w:name="page234"/>
    <w:bookmarkEnd w:id="23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ARTICLE ONE DEFINITIONS AND OTHER PROVISIONS OF GENERAL APPLICATION</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580" w:type="dxa"/>
            <w:vAlign w:val="bottom"/>
          </w:tcPr>
          <w:p>
            <w:pPr>
              <w:ind w:left="420"/>
              <w:spacing w:after="0"/>
              <w:rPr>
                <w:sz w:val="20"/>
                <w:szCs w:val="20"/>
                <w:color w:val="auto"/>
              </w:rPr>
            </w:pPr>
            <w:r>
              <w:rPr>
                <w:rFonts w:ascii="Arial" w:cs="Arial" w:eastAsia="Arial" w:hAnsi="Arial"/>
                <w:sz w:val="18"/>
                <w:szCs w:val="18"/>
                <w:color w:val="auto"/>
              </w:rPr>
              <w:t>Definitions</w:t>
            </w:r>
          </w:p>
        </w:tc>
        <w:tc>
          <w:tcPr>
            <w:tcW w:w="2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580" w:type="dxa"/>
            <w:vAlign w:val="bottom"/>
          </w:tcPr>
          <w:p>
            <w:pPr>
              <w:ind w:left="420"/>
              <w:spacing w:after="0"/>
              <w:rPr>
                <w:sz w:val="20"/>
                <w:szCs w:val="20"/>
                <w:color w:val="auto"/>
              </w:rPr>
            </w:pPr>
            <w:r>
              <w:rPr>
                <w:rFonts w:ascii="Arial" w:cs="Arial" w:eastAsia="Arial" w:hAnsi="Arial"/>
                <w:sz w:val="18"/>
                <w:szCs w:val="18"/>
                <w:color w:val="auto"/>
              </w:rPr>
              <w:t>Compliance Certificates</w:t>
            </w:r>
          </w:p>
        </w:tc>
        <w:tc>
          <w:tcPr>
            <w:tcW w:w="2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580" w:type="dxa"/>
            <w:vAlign w:val="bottom"/>
          </w:tcPr>
          <w:p>
            <w:pPr>
              <w:ind w:left="420"/>
              <w:spacing w:after="0"/>
              <w:rPr>
                <w:sz w:val="20"/>
                <w:szCs w:val="20"/>
                <w:color w:val="auto"/>
              </w:rPr>
            </w:pPr>
            <w:r>
              <w:rPr>
                <w:rFonts w:ascii="Arial" w:cs="Arial" w:eastAsia="Arial" w:hAnsi="Arial"/>
                <w:sz w:val="18"/>
                <w:szCs w:val="18"/>
                <w:color w:val="auto"/>
              </w:rPr>
              <w:t>Form of Documents Delivered to Trustee</w:t>
            </w:r>
          </w:p>
        </w:tc>
        <w:tc>
          <w:tcPr>
            <w:tcW w:w="2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580" w:type="dxa"/>
            <w:vAlign w:val="bottom"/>
          </w:tcPr>
          <w:p>
            <w:pPr>
              <w:ind w:left="420"/>
              <w:spacing w:after="0"/>
              <w:rPr>
                <w:sz w:val="20"/>
                <w:szCs w:val="20"/>
                <w:color w:val="auto"/>
              </w:rPr>
            </w:pPr>
            <w:r>
              <w:rPr>
                <w:rFonts w:ascii="Arial" w:cs="Arial" w:eastAsia="Arial" w:hAnsi="Arial"/>
                <w:sz w:val="18"/>
                <w:szCs w:val="18"/>
                <w:color w:val="auto"/>
              </w:rPr>
              <w:t>Acts of 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580" w:type="dxa"/>
            <w:vAlign w:val="bottom"/>
          </w:tcPr>
          <w:p>
            <w:pPr>
              <w:ind w:left="420"/>
              <w:spacing w:after="0"/>
              <w:rPr>
                <w:sz w:val="20"/>
                <w:szCs w:val="20"/>
                <w:color w:val="auto"/>
              </w:rPr>
            </w:pPr>
            <w:r>
              <w:rPr>
                <w:rFonts w:ascii="Arial" w:cs="Arial" w:eastAsia="Arial" w:hAnsi="Arial"/>
                <w:sz w:val="18"/>
                <w:szCs w:val="18"/>
                <w:color w:val="auto"/>
              </w:rPr>
              <w:t>Notices, Etc., to Trustee and Company</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580" w:type="dxa"/>
            <w:vAlign w:val="bottom"/>
          </w:tcPr>
          <w:p>
            <w:pPr>
              <w:ind w:left="420"/>
              <w:spacing w:after="0"/>
              <w:rPr>
                <w:sz w:val="20"/>
                <w:szCs w:val="20"/>
                <w:color w:val="auto"/>
              </w:rPr>
            </w:pPr>
            <w:r>
              <w:rPr>
                <w:rFonts w:ascii="Arial" w:cs="Arial" w:eastAsia="Arial" w:hAnsi="Arial"/>
                <w:sz w:val="18"/>
                <w:szCs w:val="18"/>
                <w:color w:val="auto"/>
              </w:rPr>
              <w:t>Notice to Holders; Waiver</w:t>
            </w: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7580" w:type="dxa"/>
            <w:vAlign w:val="bottom"/>
          </w:tcPr>
          <w:p>
            <w:pPr>
              <w:ind w:left="420"/>
              <w:spacing w:after="0"/>
              <w:rPr>
                <w:sz w:val="20"/>
                <w:szCs w:val="20"/>
                <w:color w:val="auto"/>
              </w:rPr>
            </w:pPr>
            <w:r>
              <w:rPr>
                <w:rFonts w:ascii="Arial" w:cs="Arial" w:eastAsia="Arial" w:hAnsi="Arial"/>
                <w:sz w:val="18"/>
                <w:szCs w:val="18"/>
                <w:color w:val="auto"/>
              </w:rPr>
              <w:t>Effect of Headings and Table of Contents</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7580" w:type="dxa"/>
            <w:vAlign w:val="bottom"/>
          </w:tcPr>
          <w:p>
            <w:pPr>
              <w:ind w:left="420"/>
              <w:spacing w:after="0"/>
              <w:rPr>
                <w:sz w:val="20"/>
                <w:szCs w:val="20"/>
                <w:color w:val="auto"/>
              </w:rPr>
            </w:pPr>
            <w:r>
              <w:rPr>
                <w:rFonts w:ascii="Arial" w:cs="Arial" w:eastAsia="Arial" w:hAnsi="Arial"/>
                <w:sz w:val="18"/>
                <w:szCs w:val="18"/>
                <w:color w:val="auto"/>
              </w:rPr>
              <w:t>Successors and Assigns</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7580" w:type="dxa"/>
            <w:vAlign w:val="bottom"/>
          </w:tcPr>
          <w:p>
            <w:pPr>
              <w:ind w:left="420"/>
              <w:spacing w:after="0"/>
              <w:rPr>
                <w:sz w:val="20"/>
                <w:szCs w:val="20"/>
                <w:color w:val="auto"/>
              </w:rPr>
            </w:pPr>
            <w:r>
              <w:rPr>
                <w:rFonts w:ascii="Arial" w:cs="Arial" w:eastAsia="Arial" w:hAnsi="Arial"/>
                <w:sz w:val="18"/>
                <w:szCs w:val="18"/>
                <w:color w:val="auto"/>
              </w:rPr>
              <w:t>Separability Clause</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7580" w:type="dxa"/>
            <w:vAlign w:val="bottom"/>
          </w:tcPr>
          <w:p>
            <w:pPr>
              <w:ind w:left="420"/>
              <w:spacing w:after="0"/>
              <w:rPr>
                <w:sz w:val="20"/>
                <w:szCs w:val="20"/>
                <w:color w:val="auto"/>
              </w:rPr>
            </w:pPr>
            <w:r>
              <w:rPr>
                <w:rFonts w:ascii="Arial" w:cs="Arial" w:eastAsia="Arial" w:hAnsi="Arial"/>
                <w:sz w:val="18"/>
                <w:szCs w:val="18"/>
                <w:color w:val="auto"/>
              </w:rPr>
              <w:t>Benefits of Indenture</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7580" w:type="dxa"/>
            <w:vAlign w:val="bottom"/>
          </w:tcPr>
          <w:p>
            <w:pPr>
              <w:ind w:left="420"/>
              <w:spacing w:after="0"/>
              <w:rPr>
                <w:sz w:val="20"/>
                <w:szCs w:val="20"/>
                <w:color w:val="auto"/>
              </w:rPr>
            </w:pPr>
            <w:r>
              <w:rPr>
                <w:rFonts w:ascii="Arial" w:cs="Arial" w:eastAsia="Arial" w:hAnsi="Arial"/>
                <w:sz w:val="18"/>
                <w:szCs w:val="18"/>
                <w:color w:val="auto"/>
              </w:rPr>
              <w:t>Governing Law</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7580" w:type="dxa"/>
            <w:vAlign w:val="bottom"/>
          </w:tcPr>
          <w:p>
            <w:pPr>
              <w:ind w:left="420"/>
              <w:spacing w:after="0"/>
              <w:rPr>
                <w:sz w:val="20"/>
                <w:szCs w:val="20"/>
                <w:color w:val="auto"/>
              </w:rPr>
            </w:pPr>
            <w:r>
              <w:rPr>
                <w:rFonts w:ascii="Arial" w:cs="Arial" w:eastAsia="Arial" w:hAnsi="Arial"/>
                <w:sz w:val="18"/>
                <w:szCs w:val="18"/>
                <w:color w:val="auto"/>
              </w:rPr>
              <w:t>Legal Holidays</w:t>
            </w: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7580" w:type="dxa"/>
            <w:vAlign w:val="bottom"/>
          </w:tcPr>
          <w:p>
            <w:pPr>
              <w:ind w:left="420"/>
              <w:spacing w:after="0"/>
              <w:rPr>
                <w:sz w:val="20"/>
                <w:szCs w:val="20"/>
                <w:color w:val="auto"/>
              </w:rPr>
            </w:pPr>
            <w:r>
              <w:rPr>
                <w:rFonts w:ascii="Arial" w:cs="Arial" w:eastAsia="Arial" w:hAnsi="Arial"/>
                <w:sz w:val="18"/>
                <w:szCs w:val="18"/>
                <w:color w:val="auto"/>
              </w:rPr>
              <w:t>Submission to Jurisdiction</w:t>
            </w: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7580" w:type="dxa"/>
            <w:vAlign w:val="bottom"/>
          </w:tcPr>
          <w:p>
            <w:pPr>
              <w:ind w:left="420"/>
              <w:spacing w:after="0"/>
              <w:rPr>
                <w:sz w:val="20"/>
                <w:szCs w:val="20"/>
                <w:color w:val="auto"/>
              </w:rPr>
            </w:pPr>
            <w:r>
              <w:rPr>
                <w:rFonts w:ascii="Arial" w:cs="Arial" w:eastAsia="Arial" w:hAnsi="Arial"/>
                <w:sz w:val="18"/>
                <w:szCs w:val="18"/>
                <w:color w:val="auto"/>
              </w:rPr>
              <w:t>Waiver of Jury Trial</w:t>
            </w: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7580" w:type="dxa"/>
            <w:vAlign w:val="bottom"/>
          </w:tcPr>
          <w:p>
            <w:pPr>
              <w:ind w:left="420"/>
              <w:spacing w:after="0"/>
              <w:rPr>
                <w:sz w:val="20"/>
                <w:szCs w:val="20"/>
                <w:color w:val="auto"/>
              </w:rPr>
            </w:pPr>
            <w:r>
              <w:rPr>
                <w:rFonts w:ascii="Arial" w:cs="Arial" w:eastAsia="Arial" w:hAnsi="Arial"/>
                <w:sz w:val="18"/>
                <w:szCs w:val="18"/>
                <w:color w:val="auto"/>
              </w:rPr>
              <w:t>U.S.A. Patriot Act</w:t>
            </w: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ARTICLE TWO SECURITIES FORMS</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580" w:type="dxa"/>
            <w:vAlign w:val="bottom"/>
          </w:tcPr>
          <w:p>
            <w:pPr>
              <w:ind w:left="420"/>
              <w:spacing w:after="0"/>
              <w:rPr>
                <w:sz w:val="20"/>
                <w:szCs w:val="20"/>
                <w:color w:val="auto"/>
              </w:rPr>
            </w:pPr>
            <w:r>
              <w:rPr>
                <w:rFonts w:ascii="Arial" w:cs="Arial" w:eastAsia="Arial" w:hAnsi="Arial"/>
                <w:sz w:val="18"/>
                <w:szCs w:val="18"/>
                <w:color w:val="auto"/>
              </w:rPr>
              <w:t>Forms of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580" w:type="dxa"/>
            <w:vAlign w:val="bottom"/>
          </w:tcPr>
          <w:p>
            <w:pPr>
              <w:ind w:left="420"/>
              <w:spacing w:after="0"/>
              <w:rPr>
                <w:sz w:val="20"/>
                <w:szCs w:val="20"/>
                <w:color w:val="auto"/>
              </w:rPr>
            </w:pPr>
            <w:r>
              <w:rPr>
                <w:rFonts w:ascii="Arial" w:cs="Arial" w:eastAsia="Arial" w:hAnsi="Arial"/>
                <w:sz w:val="18"/>
                <w:szCs w:val="18"/>
                <w:color w:val="auto"/>
              </w:rPr>
              <w:t>Form of Trustee’s Certificate of Authentication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580" w:type="dxa"/>
            <w:vAlign w:val="bottom"/>
          </w:tcPr>
          <w:p>
            <w:pPr>
              <w:ind w:left="420"/>
              <w:spacing w:after="0"/>
              <w:rPr>
                <w:sz w:val="20"/>
                <w:szCs w:val="20"/>
                <w:color w:val="auto"/>
              </w:rPr>
            </w:pPr>
            <w:r>
              <w:rPr>
                <w:rFonts w:ascii="Arial" w:cs="Arial" w:eastAsia="Arial" w:hAnsi="Arial"/>
                <w:sz w:val="18"/>
                <w:szCs w:val="18"/>
                <w:color w:val="auto"/>
              </w:rPr>
              <w:t>Securities Issuable in Global Form</w:t>
            </w:r>
          </w:p>
        </w:tc>
        <w:tc>
          <w:tcPr>
            <w:tcW w:w="2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ARTICLE THREE THE SECURITIES</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580" w:type="dxa"/>
            <w:vAlign w:val="bottom"/>
          </w:tcPr>
          <w:p>
            <w:pPr>
              <w:ind w:left="420"/>
              <w:spacing w:after="0"/>
              <w:rPr>
                <w:sz w:val="20"/>
                <w:szCs w:val="20"/>
                <w:color w:val="auto"/>
              </w:rPr>
            </w:pPr>
            <w:r>
              <w:rPr>
                <w:rFonts w:ascii="Arial" w:cs="Arial" w:eastAsia="Arial" w:hAnsi="Arial"/>
                <w:sz w:val="18"/>
                <w:szCs w:val="18"/>
                <w:color w:val="auto"/>
              </w:rPr>
              <w:t>Amount Unlimited; Issuable in Series</w:t>
            </w:r>
          </w:p>
        </w:tc>
        <w:tc>
          <w:tcPr>
            <w:tcW w:w="2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580" w:type="dxa"/>
            <w:vAlign w:val="bottom"/>
          </w:tcPr>
          <w:p>
            <w:pPr>
              <w:ind w:left="420"/>
              <w:spacing w:after="0"/>
              <w:rPr>
                <w:sz w:val="20"/>
                <w:szCs w:val="20"/>
                <w:color w:val="auto"/>
              </w:rPr>
            </w:pPr>
            <w:r>
              <w:rPr>
                <w:rFonts w:ascii="Arial" w:cs="Arial" w:eastAsia="Arial" w:hAnsi="Arial"/>
                <w:sz w:val="18"/>
                <w:szCs w:val="18"/>
                <w:color w:val="auto"/>
              </w:rPr>
              <w:t>Denominations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580" w:type="dxa"/>
            <w:vAlign w:val="bottom"/>
          </w:tcPr>
          <w:p>
            <w:pPr>
              <w:ind w:left="420"/>
              <w:spacing w:after="0"/>
              <w:rPr>
                <w:sz w:val="20"/>
                <w:szCs w:val="20"/>
                <w:color w:val="auto"/>
              </w:rPr>
            </w:pPr>
            <w:r>
              <w:rPr>
                <w:rFonts w:ascii="Arial" w:cs="Arial" w:eastAsia="Arial" w:hAnsi="Arial"/>
                <w:sz w:val="18"/>
                <w:szCs w:val="18"/>
                <w:color w:val="auto"/>
              </w:rPr>
              <w:t>Execution, Authentication, Delivery and Dating</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580" w:type="dxa"/>
            <w:vAlign w:val="bottom"/>
          </w:tcPr>
          <w:p>
            <w:pPr>
              <w:ind w:left="420"/>
              <w:spacing w:after="0"/>
              <w:rPr>
                <w:sz w:val="20"/>
                <w:szCs w:val="20"/>
                <w:color w:val="auto"/>
              </w:rPr>
            </w:pPr>
            <w:r>
              <w:rPr>
                <w:rFonts w:ascii="Arial" w:cs="Arial" w:eastAsia="Arial" w:hAnsi="Arial"/>
                <w:sz w:val="18"/>
                <w:szCs w:val="18"/>
                <w:color w:val="auto"/>
              </w:rPr>
              <w:t>Temporary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7580" w:type="dxa"/>
            <w:vAlign w:val="bottom"/>
          </w:tcPr>
          <w:p>
            <w:pPr>
              <w:ind w:left="420"/>
              <w:spacing w:after="0"/>
              <w:rPr>
                <w:sz w:val="20"/>
                <w:szCs w:val="20"/>
                <w:color w:val="auto"/>
              </w:rPr>
            </w:pPr>
            <w:r>
              <w:rPr>
                <w:rFonts w:ascii="Arial" w:cs="Arial" w:eastAsia="Arial" w:hAnsi="Arial"/>
                <w:sz w:val="18"/>
                <w:szCs w:val="18"/>
                <w:color w:val="auto"/>
              </w:rPr>
              <w:t>Registration, Registration of Transfer and Exchange</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7580" w:type="dxa"/>
            <w:vAlign w:val="bottom"/>
          </w:tcPr>
          <w:p>
            <w:pPr>
              <w:ind w:left="420"/>
              <w:spacing w:after="0"/>
              <w:rPr>
                <w:sz w:val="20"/>
                <w:szCs w:val="20"/>
                <w:color w:val="auto"/>
              </w:rPr>
            </w:pPr>
            <w:r>
              <w:rPr>
                <w:rFonts w:ascii="Arial" w:cs="Arial" w:eastAsia="Arial" w:hAnsi="Arial"/>
                <w:sz w:val="18"/>
                <w:szCs w:val="18"/>
                <w:color w:val="auto"/>
              </w:rPr>
              <w:t>Mutilated, Destroyed, Lost and Stolen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7580" w:type="dxa"/>
            <w:vAlign w:val="bottom"/>
          </w:tcPr>
          <w:p>
            <w:pPr>
              <w:ind w:left="420"/>
              <w:spacing w:after="0"/>
              <w:rPr>
                <w:sz w:val="20"/>
                <w:szCs w:val="20"/>
                <w:color w:val="auto"/>
              </w:rPr>
            </w:pPr>
            <w:r>
              <w:rPr>
                <w:rFonts w:ascii="Arial" w:cs="Arial" w:eastAsia="Arial" w:hAnsi="Arial"/>
                <w:sz w:val="18"/>
                <w:szCs w:val="18"/>
                <w:color w:val="auto"/>
              </w:rPr>
              <w:t>Payment of Interest; Interest Rights Preserved; Optional Interest Reset</w:t>
            </w:r>
          </w:p>
        </w:tc>
        <w:tc>
          <w:tcPr>
            <w:tcW w:w="2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7580" w:type="dxa"/>
            <w:vAlign w:val="bottom"/>
          </w:tcPr>
          <w:p>
            <w:pPr>
              <w:ind w:left="420"/>
              <w:spacing w:after="0"/>
              <w:rPr>
                <w:sz w:val="20"/>
                <w:szCs w:val="20"/>
                <w:color w:val="auto"/>
              </w:rPr>
            </w:pPr>
            <w:r>
              <w:rPr>
                <w:rFonts w:ascii="Arial" w:cs="Arial" w:eastAsia="Arial" w:hAnsi="Arial"/>
                <w:sz w:val="18"/>
                <w:szCs w:val="18"/>
                <w:color w:val="auto"/>
              </w:rPr>
              <w:t>Optional Extension of Maturity</w:t>
            </w:r>
          </w:p>
        </w:tc>
        <w:tc>
          <w:tcPr>
            <w:tcW w:w="2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7580" w:type="dxa"/>
            <w:vAlign w:val="bottom"/>
          </w:tcPr>
          <w:p>
            <w:pPr>
              <w:ind w:left="420"/>
              <w:spacing w:after="0"/>
              <w:rPr>
                <w:sz w:val="20"/>
                <w:szCs w:val="20"/>
                <w:color w:val="auto"/>
              </w:rPr>
            </w:pPr>
            <w:r>
              <w:rPr>
                <w:rFonts w:ascii="Arial" w:cs="Arial" w:eastAsia="Arial" w:hAnsi="Arial"/>
                <w:sz w:val="18"/>
                <w:szCs w:val="18"/>
                <w:color w:val="auto"/>
              </w:rPr>
              <w:t>Persons Deemed Owners</w:t>
            </w:r>
          </w:p>
        </w:tc>
        <w:tc>
          <w:tcPr>
            <w:tcW w:w="2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7580" w:type="dxa"/>
            <w:vAlign w:val="bottom"/>
          </w:tcPr>
          <w:p>
            <w:pPr>
              <w:ind w:left="420"/>
              <w:spacing w:after="0"/>
              <w:rPr>
                <w:sz w:val="20"/>
                <w:szCs w:val="20"/>
                <w:color w:val="auto"/>
              </w:rPr>
            </w:pPr>
            <w:r>
              <w:rPr>
                <w:rFonts w:ascii="Arial" w:cs="Arial" w:eastAsia="Arial" w:hAnsi="Arial"/>
                <w:sz w:val="18"/>
                <w:szCs w:val="18"/>
                <w:color w:val="auto"/>
              </w:rPr>
              <w:t>Cancellation</w:t>
            </w: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7580" w:type="dxa"/>
            <w:vAlign w:val="bottom"/>
          </w:tcPr>
          <w:p>
            <w:pPr>
              <w:ind w:left="420"/>
              <w:spacing w:after="0"/>
              <w:rPr>
                <w:sz w:val="20"/>
                <w:szCs w:val="20"/>
                <w:color w:val="auto"/>
              </w:rPr>
            </w:pPr>
            <w:r>
              <w:rPr>
                <w:rFonts w:ascii="Arial" w:cs="Arial" w:eastAsia="Arial" w:hAnsi="Arial"/>
                <w:sz w:val="18"/>
                <w:szCs w:val="18"/>
                <w:color w:val="auto"/>
              </w:rPr>
              <w:t>Computation of Interest</w:t>
            </w: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7580" w:type="dxa"/>
            <w:vAlign w:val="bottom"/>
          </w:tcPr>
          <w:p>
            <w:pPr>
              <w:ind w:left="420"/>
              <w:spacing w:after="0"/>
              <w:rPr>
                <w:sz w:val="20"/>
                <w:szCs w:val="20"/>
                <w:color w:val="auto"/>
              </w:rPr>
            </w:pPr>
            <w:r>
              <w:rPr>
                <w:rFonts w:ascii="Arial" w:cs="Arial" w:eastAsia="Arial" w:hAnsi="Arial"/>
                <w:sz w:val="18"/>
                <w:szCs w:val="18"/>
                <w:color w:val="auto"/>
              </w:rPr>
              <w:t>Currency and Manner of Payments in Respect of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7580" w:type="dxa"/>
            <w:vAlign w:val="bottom"/>
          </w:tcPr>
          <w:p>
            <w:pPr>
              <w:ind w:left="420"/>
              <w:spacing w:after="0"/>
              <w:rPr>
                <w:sz w:val="20"/>
                <w:szCs w:val="20"/>
                <w:color w:val="auto"/>
              </w:rPr>
            </w:pPr>
            <w:r>
              <w:rPr>
                <w:rFonts w:ascii="Arial" w:cs="Arial" w:eastAsia="Arial" w:hAnsi="Arial"/>
                <w:sz w:val="18"/>
                <w:szCs w:val="18"/>
                <w:color w:val="auto"/>
              </w:rPr>
              <w:t>Appointment and Resignation of Successor Exchange Rate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7580" w:type="dxa"/>
            <w:vAlign w:val="bottom"/>
          </w:tcPr>
          <w:p>
            <w:pPr>
              <w:ind w:left="420"/>
              <w:spacing w:after="0"/>
              <w:rPr>
                <w:sz w:val="20"/>
                <w:szCs w:val="20"/>
                <w:color w:val="auto"/>
              </w:rPr>
            </w:pPr>
            <w:r>
              <w:rPr>
                <w:rFonts w:ascii="Arial" w:cs="Arial" w:eastAsia="Arial" w:hAnsi="Arial"/>
                <w:sz w:val="18"/>
                <w:szCs w:val="18"/>
                <w:color w:val="auto"/>
              </w:rPr>
              <w:t>CUSIP Numbers</w:t>
            </w: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ARTICLE FOUR SATISFACTION AND DISCHARGE</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580" w:type="dxa"/>
            <w:vAlign w:val="bottom"/>
          </w:tcPr>
          <w:p>
            <w:pPr>
              <w:ind w:left="420"/>
              <w:spacing w:after="0"/>
              <w:rPr>
                <w:sz w:val="20"/>
                <w:szCs w:val="20"/>
                <w:color w:val="auto"/>
              </w:rPr>
            </w:pPr>
            <w:r>
              <w:rPr>
                <w:rFonts w:ascii="Arial" w:cs="Arial" w:eastAsia="Arial" w:hAnsi="Arial"/>
                <w:sz w:val="18"/>
                <w:szCs w:val="18"/>
                <w:color w:val="auto"/>
              </w:rPr>
              <w:t>Satisfaction and Discharge of Indenture</w:t>
            </w: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580" w:type="dxa"/>
            <w:vAlign w:val="bottom"/>
          </w:tcPr>
          <w:p>
            <w:pPr>
              <w:ind w:left="420"/>
              <w:spacing w:after="0"/>
              <w:rPr>
                <w:sz w:val="20"/>
                <w:szCs w:val="20"/>
                <w:color w:val="auto"/>
              </w:rPr>
            </w:pPr>
            <w:r>
              <w:rPr>
                <w:rFonts w:ascii="Arial" w:cs="Arial" w:eastAsia="Arial" w:hAnsi="Arial"/>
                <w:sz w:val="18"/>
                <w:szCs w:val="18"/>
                <w:color w:val="auto"/>
              </w:rPr>
              <w:t>Application of Trust Funds</w:t>
            </w: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ARTICLE FIVE REMEDIES</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580" w:type="dxa"/>
            <w:vAlign w:val="bottom"/>
          </w:tcPr>
          <w:p>
            <w:pPr>
              <w:ind w:left="420"/>
              <w:spacing w:after="0"/>
              <w:rPr>
                <w:sz w:val="20"/>
                <w:szCs w:val="20"/>
                <w:color w:val="auto"/>
              </w:rPr>
            </w:pPr>
            <w:r>
              <w:rPr>
                <w:rFonts w:ascii="Arial" w:cs="Arial" w:eastAsia="Arial" w:hAnsi="Arial"/>
                <w:sz w:val="18"/>
                <w:szCs w:val="18"/>
                <w:color w:val="auto"/>
              </w:rPr>
              <w:t>Events of Default</w:t>
            </w: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580" w:type="dxa"/>
            <w:vAlign w:val="bottom"/>
          </w:tcPr>
          <w:p>
            <w:pPr>
              <w:ind w:left="420"/>
              <w:spacing w:after="0"/>
              <w:rPr>
                <w:sz w:val="20"/>
                <w:szCs w:val="20"/>
                <w:color w:val="auto"/>
              </w:rPr>
            </w:pPr>
            <w:r>
              <w:rPr>
                <w:rFonts w:ascii="Arial" w:cs="Arial" w:eastAsia="Arial" w:hAnsi="Arial"/>
                <w:sz w:val="18"/>
                <w:szCs w:val="18"/>
                <w:color w:val="auto"/>
              </w:rPr>
              <w:t>Acceleration of Maturity; Rescission and Annulment</w:t>
            </w: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580" w:type="dxa"/>
            <w:vAlign w:val="bottom"/>
          </w:tcPr>
          <w:p>
            <w:pPr>
              <w:ind w:left="420"/>
              <w:spacing w:after="0"/>
              <w:rPr>
                <w:sz w:val="20"/>
                <w:szCs w:val="20"/>
                <w:color w:val="auto"/>
              </w:rPr>
            </w:pPr>
            <w:r>
              <w:rPr>
                <w:rFonts w:ascii="Arial" w:cs="Arial" w:eastAsia="Arial" w:hAnsi="Arial"/>
                <w:sz w:val="18"/>
                <w:szCs w:val="18"/>
                <w:color w:val="auto"/>
              </w:rPr>
              <w:t>Collection of Indebtedness and Suits for Enforcement by Trustee</w:t>
            </w: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580" w:type="dxa"/>
            <w:vAlign w:val="bottom"/>
          </w:tcPr>
          <w:p>
            <w:pPr>
              <w:ind w:left="420"/>
              <w:spacing w:after="0"/>
              <w:rPr>
                <w:sz w:val="20"/>
                <w:szCs w:val="20"/>
                <w:color w:val="auto"/>
              </w:rPr>
            </w:pPr>
            <w:r>
              <w:rPr>
                <w:rFonts w:ascii="Arial" w:cs="Arial" w:eastAsia="Arial" w:hAnsi="Arial"/>
                <w:sz w:val="18"/>
                <w:szCs w:val="18"/>
                <w:color w:val="auto"/>
              </w:rPr>
              <w:t>Trustee May File Proofs of Claim</w:t>
            </w: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580" w:type="dxa"/>
            <w:vAlign w:val="bottom"/>
          </w:tcPr>
          <w:p>
            <w:pPr>
              <w:ind w:left="420"/>
              <w:spacing w:after="0"/>
              <w:rPr>
                <w:sz w:val="20"/>
                <w:szCs w:val="20"/>
                <w:color w:val="auto"/>
              </w:rPr>
            </w:pPr>
            <w:r>
              <w:rPr>
                <w:rFonts w:ascii="Arial" w:cs="Arial" w:eastAsia="Arial" w:hAnsi="Arial"/>
                <w:sz w:val="18"/>
                <w:szCs w:val="18"/>
                <w:color w:val="auto"/>
              </w:rPr>
              <w:t>Trustee May Enforce Claims Without Possession of Securities</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580" w:type="dxa"/>
            <w:vAlign w:val="bottom"/>
          </w:tcPr>
          <w:p>
            <w:pPr>
              <w:ind w:left="420"/>
              <w:spacing w:after="0"/>
              <w:rPr>
                <w:sz w:val="20"/>
                <w:szCs w:val="20"/>
                <w:color w:val="auto"/>
              </w:rPr>
            </w:pPr>
            <w:r>
              <w:rPr>
                <w:rFonts w:ascii="Arial" w:cs="Arial" w:eastAsia="Arial" w:hAnsi="Arial"/>
                <w:sz w:val="18"/>
                <w:szCs w:val="18"/>
                <w:color w:val="auto"/>
              </w:rPr>
              <w:t>Application of Money Collected</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580" w:type="dxa"/>
            <w:vAlign w:val="bottom"/>
          </w:tcPr>
          <w:p>
            <w:pPr>
              <w:ind w:left="420"/>
              <w:spacing w:after="0"/>
              <w:rPr>
                <w:sz w:val="20"/>
                <w:szCs w:val="20"/>
                <w:color w:val="auto"/>
              </w:rPr>
            </w:pPr>
            <w:r>
              <w:rPr>
                <w:rFonts w:ascii="Arial" w:cs="Arial" w:eastAsia="Arial" w:hAnsi="Arial"/>
                <w:sz w:val="18"/>
                <w:szCs w:val="18"/>
                <w:color w:val="auto"/>
              </w:rPr>
              <w:t>Limitation on Suits</w:t>
            </w: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580" w:type="dxa"/>
            <w:vAlign w:val="bottom"/>
          </w:tcPr>
          <w:p>
            <w:pPr>
              <w:ind w:left="42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2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580" w:type="dxa"/>
            <w:vAlign w:val="bottom"/>
          </w:tcPr>
          <w:p>
            <w:pPr>
              <w:ind w:left="420"/>
              <w:spacing w:after="0"/>
              <w:rPr>
                <w:sz w:val="20"/>
                <w:szCs w:val="20"/>
                <w:color w:val="auto"/>
              </w:rPr>
            </w:pPr>
            <w:r>
              <w:rPr>
                <w:rFonts w:ascii="Arial" w:cs="Arial" w:eastAsia="Arial" w:hAnsi="Arial"/>
                <w:sz w:val="18"/>
                <w:szCs w:val="18"/>
                <w:color w:val="auto"/>
              </w:rPr>
              <w:t>Restoration of Rights and Remedies</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7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580" w:type="dxa"/>
            <w:vAlign w:val="bottom"/>
          </w:tcPr>
          <w:p>
            <w:pPr>
              <w:ind w:left="420"/>
              <w:spacing w:after="0"/>
              <w:rPr>
                <w:sz w:val="20"/>
                <w:szCs w:val="20"/>
                <w:color w:val="auto"/>
              </w:rPr>
            </w:pPr>
            <w:r>
              <w:rPr>
                <w:rFonts w:ascii="Arial" w:cs="Arial" w:eastAsia="Arial" w:hAnsi="Arial"/>
                <w:sz w:val="18"/>
                <w:szCs w:val="18"/>
                <w:color w:val="auto"/>
              </w:rPr>
              <w:t>Rights and Remedies Cumulative</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720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r>
      <w:tr>
        <w:trPr>
          <w:trHeight w:val="230"/>
        </w:trPr>
        <w:tc>
          <w:tcPr>
            <w:tcW w:w="1780" w:type="dxa"/>
            <w:vAlign w:val="bottom"/>
          </w:tcPr>
          <w:p>
            <w:pPr>
              <w:spacing w:after="0"/>
              <w:rPr>
                <w:sz w:val="20"/>
                <w:szCs w:val="20"/>
                <w:color w:val="auto"/>
              </w:rPr>
            </w:pPr>
          </w:p>
        </w:tc>
        <w:tc>
          <w:tcPr>
            <w:tcW w:w="7200" w:type="dxa"/>
            <w:vAlign w:val="bottom"/>
          </w:tcPr>
          <w:p>
            <w:pPr>
              <w:ind w:left="3520"/>
              <w:spacing w:after="0"/>
              <w:rPr>
                <w:sz w:val="20"/>
                <w:szCs w:val="20"/>
                <w:color w:val="auto"/>
              </w:rPr>
            </w:pPr>
            <w:r>
              <w:rPr>
                <w:rFonts w:ascii="Arial" w:cs="Arial" w:eastAsia="Arial" w:hAnsi="Arial"/>
                <w:sz w:val="18"/>
                <w:szCs w:val="18"/>
                <w:color w:val="auto"/>
              </w:rPr>
              <w:t>(continued)</w:t>
            </w:r>
          </w:p>
        </w:tc>
        <w:tc>
          <w:tcPr>
            <w:tcW w:w="2340" w:type="dxa"/>
            <w:vAlign w:val="bottom"/>
          </w:tcPr>
          <w:p>
            <w:pPr>
              <w:spacing w:after="0"/>
              <w:rPr>
                <w:sz w:val="20"/>
                <w:szCs w:val="20"/>
                <w:color w:val="auto"/>
              </w:rPr>
            </w:pPr>
          </w:p>
        </w:tc>
      </w:tr>
      <w:tr>
        <w:trPr>
          <w:trHeight w:val="377"/>
        </w:trPr>
        <w:tc>
          <w:tcPr>
            <w:tcW w:w="178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200" w:type="dxa"/>
            <w:vAlign w:val="bottom"/>
          </w:tcPr>
          <w:p>
            <w:pPr>
              <w:ind w:left="360"/>
              <w:spacing w:after="0"/>
              <w:rPr>
                <w:sz w:val="20"/>
                <w:szCs w:val="20"/>
                <w:color w:val="auto"/>
              </w:rPr>
            </w:pPr>
            <w:r>
              <w:rPr>
                <w:rFonts w:ascii="Arial" w:cs="Arial" w:eastAsia="Arial" w:hAnsi="Arial"/>
                <w:sz w:val="18"/>
                <w:szCs w:val="18"/>
                <w:color w:val="auto"/>
              </w:rPr>
              <w:t>Delay or Omission Not 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200" w:type="dxa"/>
            <w:vAlign w:val="bottom"/>
          </w:tcPr>
          <w:p>
            <w:pPr>
              <w:ind w:left="360"/>
              <w:spacing w:after="0"/>
              <w:rPr>
                <w:sz w:val="20"/>
                <w:szCs w:val="20"/>
                <w:color w:val="auto"/>
              </w:rPr>
            </w:pPr>
            <w:r>
              <w:rPr>
                <w:rFonts w:ascii="Arial" w:cs="Arial" w:eastAsia="Arial" w:hAnsi="Arial"/>
                <w:sz w:val="18"/>
                <w:szCs w:val="18"/>
                <w:color w:val="auto"/>
              </w:rPr>
              <w:t>Control by Holders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200" w:type="dxa"/>
            <w:vAlign w:val="bottom"/>
          </w:tcPr>
          <w:p>
            <w:pPr>
              <w:ind w:left="360"/>
              <w:spacing w:after="0"/>
              <w:rPr>
                <w:sz w:val="20"/>
                <w:szCs w:val="20"/>
                <w:color w:val="auto"/>
              </w:rPr>
            </w:pPr>
            <w:r>
              <w:rPr>
                <w:rFonts w:ascii="Arial" w:cs="Arial" w:eastAsia="Arial" w:hAnsi="Arial"/>
                <w:sz w:val="18"/>
                <w:szCs w:val="18"/>
                <w:color w:val="auto"/>
              </w:rPr>
              <w:t>Waiver of Past Defaults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200" w:type="dxa"/>
            <w:vAlign w:val="bottom"/>
          </w:tcPr>
          <w:p>
            <w:pPr>
              <w:ind w:left="360"/>
              <w:spacing w:after="0"/>
              <w:rPr>
                <w:sz w:val="20"/>
                <w:szCs w:val="20"/>
                <w:color w:val="auto"/>
              </w:rPr>
            </w:pPr>
            <w:r>
              <w:rPr>
                <w:rFonts w:ascii="Arial" w:cs="Arial" w:eastAsia="Arial" w:hAnsi="Arial"/>
                <w:sz w:val="18"/>
                <w:szCs w:val="18"/>
                <w:color w:val="auto"/>
              </w:rPr>
              <w:t>Waiver of Stay or Extension Laws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ARTICLE SIX THE TRUSTEE</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200" w:type="dxa"/>
            <w:vAlign w:val="bottom"/>
          </w:tcPr>
          <w:p>
            <w:pPr>
              <w:ind w:left="360"/>
              <w:spacing w:after="0"/>
              <w:rPr>
                <w:sz w:val="20"/>
                <w:szCs w:val="20"/>
                <w:color w:val="auto"/>
              </w:rPr>
            </w:pPr>
            <w:r>
              <w:rPr>
                <w:rFonts w:ascii="Arial" w:cs="Arial" w:eastAsia="Arial" w:hAnsi="Arial"/>
                <w:sz w:val="18"/>
                <w:szCs w:val="18"/>
                <w:color w:val="auto"/>
              </w:rPr>
              <w:t>Notice of Defaults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200" w:type="dxa"/>
            <w:vAlign w:val="bottom"/>
          </w:tcPr>
          <w:p>
            <w:pPr>
              <w:ind w:left="360"/>
              <w:spacing w:after="0"/>
              <w:rPr>
                <w:sz w:val="20"/>
                <w:szCs w:val="20"/>
                <w:color w:val="auto"/>
              </w:rPr>
            </w:pPr>
            <w:r>
              <w:rPr>
                <w:rFonts w:ascii="Arial" w:cs="Arial" w:eastAsia="Arial" w:hAnsi="Arial"/>
                <w:sz w:val="18"/>
                <w:szCs w:val="18"/>
                <w:color w:val="auto"/>
              </w:rPr>
              <w:t>Certain Rights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200" w:type="dxa"/>
            <w:vAlign w:val="bottom"/>
          </w:tcPr>
          <w:p>
            <w:pPr>
              <w:ind w:left="360"/>
              <w:spacing w:after="0"/>
              <w:rPr>
                <w:sz w:val="20"/>
                <w:szCs w:val="20"/>
                <w:color w:val="auto"/>
              </w:rPr>
            </w:pPr>
            <w:r>
              <w:rPr>
                <w:rFonts w:ascii="Arial" w:cs="Arial" w:eastAsia="Arial" w:hAnsi="Arial"/>
                <w:sz w:val="18"/>
                <w:szCs w:val="18"/>
                <w:color w:val="auto"/>
              </w:rPr>
              <w:t>Not Responsible for Recitals or Issuance of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200" w:type="dxa"/>
            <w:vAlign w:val="bottom"/>
          </w:tcPr>
          <w:p>
            <w:pPr>
              <w:ind w:left="360"/>
              <w:spacing w:after="0"/>
              <w:rPr>
                <w:sz w:val="20"/>
                <w:szCs w:val="20"/>
                <w:color w:val="auto"/>
              </w:rPr>
            </w:pPr>
            <w:r>
              <w:rPr>
                <w:rFonts w:ascii="Arial" w:cs="Arial" w:eastAsia="Arial" w:hAnsi="Arial"/>
                <w:sz w:val="18"/>
                <w:szCs w:val="18"/>
                <w:color w:val="auto"/>
              </w:rPr>
              <w:t>May Hold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200" w:type="dxa"/>
            <w:vAlign w:val="bottom"/>
          </w:tcPr>
          <w:p>
            <w:pPr>
              <w:ind w:left="360"/>
              <w:spacing w:after="0"/>
              <w:rPr>
                <w:sz w:val="20"/>
                <w:szCs w:val="20"/>
                <w:color w:val="auto"/>
              </w:rPr>
            </w:pPr>
            <w:r>
              <w:rPr>
                <w:rFonts w:ascii="Arial" w:cs="Arial" w:eastAsia="Arial" w:hAnsi="Arial"/>
                <w:sz w:val="18"/>
                <w:szCs w:val="18"/>
                <w:color w:val="auto"/>
              </w:rPr>
              <w:t>Money Held in Trust</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200" w:type="dxa"/>
            <w:vAlign w:val="bottom"/>
          </w:tcPr>
          <w:p>
            <w:pPr>
              <w:ind w:left="360"/>
              <w:spacing w:after="0"/>
              <w:rPr>
                <w:sz w:val="20"/>
                <w:szCs w:val="20"/>
                <w:color w:val="auto"/>
              </w:rPr>
            </w:pPr>
            <w:r>
              <w:rPr>
                <w:rFonts w:ascii="Arial" w:cs="Arial" w:eastAsia="Arial" w:hAnsi="Arial"/>
                <w:sz w:val="18"/>
                <w:szCs w:val="18"/>
                <w:color w:val="auto"/>
              </w:rPr>
              <w:t>Compensation and Reimbursement and Indemnification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200" w:type="dxa"/>
            <w:vAlign w:val="bottom"/>
          </w:tcPr>
          <w:p>
            <w:pPr>
              <w:ind w:left="360"/>
              <w:spacing w:after="0"/>
              <w:rPr>
                <w:sz w:val="20"/>
                <w:szCs w:val="20"/>
                <w:color w:val="auto"/>
              </w:rPr>
            </w:pPr>
            <w:r>
              <w:rPr>
                <w:rFonts w:ascii="Arial" w:cs="Arial" w:eastAsia="Arial" w:hAnsi="Arial"/>
                <w:sz w:val="18"/>
                <w:szCs w:val="18"/>
                <w:color w:val="auto"/>
              </w:rPr>
              <w:t>Corporate Trustee Required; Eligibility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200" w:type="dxa"/>
            <w:vAlign w:val="bottom"/>
          </w:tcPr>
          <w:p>
            <w:pPr>
              <w:ind w:left="360"/>
              <w:spacing w:after="0"/>
              <w:rPr>
                <w:sz w:val="20"/>
                <w:szCs w:val="20"/>
                <w:color w:val="auto"/>
              </w:rPr>
            </w:pPr>
            <w:r>
              <w:rPr>
                <w:rFonts w:ascii="Arial" w:cs="Arial" w:eastAsia="Arial" w:hAnsi="Arial"/>
                <w:sz w:val="18"/>
                <w:szCs w:val="18"/>
                <w:color w:val="auto"/>
              </w:rPr>
              <w:t>Disqualification; Conflicting Interests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200" w:type="dxa"/>
            <w:vAlign w:val="bottom"/>
          </w:tcPr>
          <w:p>
            <w:pPr>
              <w:ind w:left="360"/>
              <w:spacing w:after="0"/>
              <w:rPr>
                <w:sz w:val="20"/>
                <w:szCs w:val="20"/>
                <w:color w:val="auto"/>
              </w:rPr>
            </w:pPr>
            <w:r>
              <w:rPr>
                <w:rFonts w:ascii="Arial" w:cs="Arial" w:eastAsia="Arial" w:hAnsi="Arial"/>
                <w:sz w:val="18"/>
                <w:szCs w:val="18"/>
                <w:color w:val="auto"/>
              </w:rPr>
              <w:t>Resignation and Removal; Appointment of Successor</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200" w:type="dxa"/>
            <w:vAlign w:val="bottom"/>
          </w:tcPr>
          <w:p>
            <w:pPr>
              <w:ind w:left="360"/>
              <w:spacing w:after="0"/>
              <w:rPr>
                <w:sz w:val="20"/>
                <w:szCs w:val="20"/>
                <w:color w:val="auto"/>
              </w:rPr>
            </w:pPr>
            <w:r>
              <w:rPr>
                <w:rFonts w:ascii="Arial" w:cs="Arial" w:eastAsia="Arial" w:hAnsi="Arial"/>
                <w:sz w:val="18"/>
                <w:szCs w:val="18"/>
                <w:color w:val="auto"/>
              </w:rPr>
              <w:t>Acceptance of Appointment by Successor</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200" w:type="dxa"/>
            <w:vAlign w:val="bottom"/>
          </w:tcPr>
          <w:p>
            <w:pPr>
              <w:ind w:left="360"/>
              <w:spacing w:after="0"/>
              <w:rPr>
                <w:sz w:val="20"/>
                <w:szCs w:val="20"/>
                <w:color w:val="auto"/>
              </w:rPr>
            </w:pPr>
            <w:r>
              <w:rPr>
                <w:rFonts w:ascii="Arial" w:cs="Arial" w:eastAsia="Arial" w:hAnsi="Arial"/>
                <w:sz w:val="18"/>
                <w:szCs w:val="18"/>
                <w:color w:val="auto"/>
              </w:rPr>
              <w:t>Merger, Conversion, Consolidation or Succession to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200" w:type="dxa"/>
            <w:vAlign w:val="bottom"/>
          </w:tcPr>
          <w:p>
            <w:pPr>
              <w:ind w:left="360"/>
              <w:spacing w:after="0"/>
              <w:rPr>
                <w:sz w:val="20"/>
                <w:szCs w:val="20"/>
                <w:color w:val="auto"/>
              </w:rPr>
            </w:pPr>
            <w:r>
              <w:rPr>
                <w:rFonts w:ascii="Arial" w:cs="Arial" w:eastAsia="Arial" w:hAnsi="Arial"/>
                <w:sz w:val="18"/>
                <w:szCs w:val="18"/>
                <w:color w:val="auto"/>
              </w:rPr>
              <w:t>Appointment of Authenticating Agent</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ARTICLE SEVEN HOLDERS’ LISTS AND REPORTS BY TRUSTEE AND COMPANY</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200" w:type="dxa"/>
            <w:vAlign w:val="bottom"/>
          </w:tcPr>
          <w:p>
            <w:pPr>
              <w:ind w:left="360"/>
              <w:spacing w:after="0"/>
              <w:rPr>
                <w:sz w:val="20"/>
                <w:szCs w:val="20"/>
                <w:color w:val="auto"/>
              </w:rPr>
            </w:pPr>
            <w:r>
              <w:rPr>
                <w:rFonts w:ascii="Arial" w:cs="Arial" w:eastAsia="Arial" w:hAnsi="Arial"/>
                <w:sz w:val="18"/>
                <w:szCs w:val="18"/>
                <w:color w:val="auto"/>
              </w:rPr>
              <w:t>Disclosure of Names and Addresses of 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200" w:type="dxa"/>
            <w:vAlign w:val="bottom"/>
          </w:tcPr>
          <w:p>
            <w:pPr>
              <w:ind w:left="360"/>
              <w:spacing w:after="0"/>
              <w:rPr>
                <w:sz w:val="20"/>
                <w:szCs w:val="20"/>
                <w:color w:val="auto"/>
              </w:rPr>
            </w:pPr>
            <w:r>
              <w:rPr>
                <w:rFonts w:ascii="Arial" w:cs="Arial" w:eastAsia="Arial" w:hAnsi="Arial"/>
                <w:sz w:val="18"/>
                <w:szCs w:val="18"/>
                <w:color w:val="auto"/>
              </w:rPr>
              <w:t>Preservation of Information; Communications to 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200" w:type="dxa"/>
            <w:vAlign w:val="bottom"/>
          </w:tcPr>
          <w:p>
            <w:pPr>
              <w:ind w:left="360"/>
              <w:spacing w:after="0"/>
              <w:rPr>
                <w:sz w:val="20"/>
                <w:szCs w:val="20"/>
                <w:color w:val="auto"/>
              </w:rPr>
            </w:pPr>
            <w:r>
              <w:rPr>
                <w:rFonts w:ascii="Arial" w:cs="Arial" w:eastAsia="Arial" w:hAnsi="Arial"/>
                <w:sz w:val="18"/>
                <w:szCs w:val="18"/>
                <w:color w:val="auto"/>
              </w:rPr>
              <w:t>Reports by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200" w:type="dxa"/>
            <w:vAlign w:val="bottom"/>
          </w:tcPr>
          <w:p>
            <w:pPr>
              <w:ind w:left="360"/>
              <w:spacing w:after="0"/>
              <w:rPr>
                <w:sz w:val="20"/>
                <w:szCs w:val="20"/>
                <w:color w:val="auto"/>
              </w:rPr>
            </w:pPr>
            <w:r>
              <w:rPr>
                <w:rFonts w:ascii="Arial" w:cs="Arial" w:eastAsia="Arial" w:hAnsi="Arial"/>
                <w:sz w:val="18"/>
                <w:szCs w:val="18"/>
                <w:color w:val="auto"/>
              </w:rPr>
              <w:t>Reports by Company</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200" w:type="dxa"/>
            <w:vAlign w:val="bottom"/>
          </w:tcPr>
          <w:p>
            <w:pPr>
              <w:ind w:left="360"/>
              <w:spacing w:after="0"/>
              <w:rPr>
                <w:sz w:val="20"/>
                <w:szCs w:val="20"/>
                <w:color w:val="auto"/>
              </w:rPr>
            </w:pPr>
            <w:r>
              <w:rPr>
                <w:rFonts w:ascii="Arial" w:cs="Arial" w:eastAsia="Arial" w:hAnsi="Arial"/>
                <w:sz w:val="18"/>
                <w:szCs w:val="18"/>
                <w:color w:val="auto"/>
              </w:rPr>
              <w:t>Calculation of Original Issue Discount</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ARTICLE EIGHT CONSOLIDATION, MERGER, CONVEYANCE OR TRANSFER</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200" w:type="dxa"/>
            <w:vAlign w:val="bottom"/>
          </w:tcPr>
          <w:p>
            <w:pPr>
              <w:ind w:left="360"/>
              <w:spacing w:after="0"/>
              <w:rPr>
                <w:sz w:val="20"/>
                <w:szCs w:val="20"/>
                <w:color w:val="auto"/>
              </w:rPr>
            </w:pPr>
            <w:r>
              <w:rPr>
                <w:rFonts w:ascii="Arial" w:cs="Arial" w:eastAsia="Arial" w:hAnsi="Arial"/>
                <w:sz w:val="18"/>
                <w:szCs w:val="18"/>
                <w:color w:val="auto"/>
              </w:rPr>
              <w:t>Company May Consolidate, Etc., Only on Certain Terms</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200" w:type="dxa"/>
            <w:vAlign w:val="bottom"/>
          </w:tcPr>
          <w:p>
            <w:pPr>
              <w:ind w:left="360"/>
              <w:spacing w:after="0"/>
              <w:rPr>
                <w:sz w:val="20"/>
                <w:szCs w:val="20"/>
                <w:color w:val="auto"/>
              </w:rPr>
            </w:pPr>
            <w:r>
              <w:rPr>
                <w:rFonts w:ascii="Arial" w:cs="Arial" w:eastAsia="Arial" w:hAnsi="Arial"/>
                <w:sz w:val="18"/>
                <w:szCs w:val="18"/>
                <w:color w:val="auto"/>
              </w:rPr>
              <w:t>Successor Person Substituted</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ARTICLE NINE SUPPLEMENTAL INDENTURES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200" w:type="dxa"/>
            <w:vAlign w:val="bottom"/>
          </w:tcPr>
          <w:p>
            <w:pPr>
              <w:ind w:left="360"/>
              <w:spacing w:after="0"/>
              <w:rPr>
                <w:sz w:val="20"/>
                <w:szCs w:val="20"/>
                <w:color w:val="auto"/>
              </w:rPr>
            </w:pPr>
            <w:r>
              <w:rPr>
                <w:rFonts w:ascii="Arial" w:cs="Arial" w:eastAsia="Arial" w:hAnsi="Arial"/>
                <w:sz w:val="18"/>
                <w:szCs w:val="18"/>
                <w:color w:val="auto"/>
              </w:rPr>
              <w:t>Supplemental Indentures Without Consent of 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200" w:type="dxa"/>
            <w:vAlign w:val="bottom"/>
          </w:tcPr>
          <w:p>
            <w:pPr>
              <w:ind w:left="360"/>
              <w:spacing w:after="0"/>
              <w:rPr>
                <w:sz w:val="20"/>
                <w:szCs w:val="20"/>
                <w:color w:val="auto"/>
              </w:rPr>
            </w:pPr>
            <w:r>
              <w:rPr>
                <w:rFonts w:ascii="Arial" w:cs="Arial" w:eastAsia="Arial" w:hAnsi="Arial"/>
                <w:sz w:val="18"/>
                <w:szCs w:val="18"/>
                <w:color w:val="auto"/>
              </w:rPr>
              <w:t>Supplemental Indentures With Consent of 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200" w:type="dxa"/>
            <w:vAlign w:val="bottom"/>
          </w:tcPr>
          <w:p>
            <w:pPr>
              <w:ind w:left="360"/>
              <w:spacing w:after="0"/>
              <w:rPr>
                <w:sz w:val="20"/>
                <w:szCs w:val="20"/>
                <w:color w:val="auto"/>
              </w:rPr>
            </w:pPr>
            <w:r>
              <w:rPr>
                <w:rFonts w:ascii="Arial" w:cs="Arial" w:eastAsia="Arial" w:hAnsi="Arial"/>
                <w:sz w:val="18"/>
                <w:szCs w:val="18"/>
                <w:color w:val="auto"/>
              </w:rPr>
              <w:t>Execution of Supplemental Indentures</w:t>
            </w: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200" w:type="dxa"/>
            <w:vAlign w:val="bottom"/>
          </w:tcPr>
          <w:p>
            <w:pPr>
              <w:ind w:left="360"/>
              <w:spacing w:after="0"/>
              <w:rPr>
                <w:sz w:val="20"/>
                <w:szCs w:val="20"/>
                <w:color w:val="auto"/>
              </w:rPr>
            </w:pPr>
            <w:r>
              <w:rPr>
                <w:rFonts w:ascii="Arial" w:cs="Arial" w:eastAsia="Arial" w:hAnsi="Arial"/>
                <w:sz w:val="18"/>
                <w:szCs w:val="18"/>
                <w:color w:val="auto"/>
              </w:rPr>
              <w:t>Effect of Supplemental Indentures</w:t>
            </w: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200" w:type="dxa"/>
            <w:vAlign w:val="bottom"/>
          </w:tcPr>
          <w:p>
            <w:pPr>
              <w:ind w:left="360"/>
              <w:spacing w:after="0"/>
              <w:rPr>
                <w:sz w:val="20"/>
                <w:szCs w:val="20"/>
                <w:color w:val="auto"/>
              </w:rPr>
            </w:pPr>
            <w:r>
              <w:rPr>
                <w:rFonts w:ascii="Arial" w:cs="Arial" w:eastAsia="Arial" w:hAnsi="Arial"/>
                <w:sz w:val="18"/>
                <w:szCs w:val="18"/>
                <w:color w:val="auto"/>
              </w:rPr>
              <w:t>Conformity With Trust Indenture Act</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200" w:type="dxa"/>
            <w:vAlign w:val="bottom"/>
          </w:tcPr>
          <w:p>
            <w:pPr>
              <w:ind w:left="360"/>
              <w:spacing w:after="0"/>
              <w:rPr>
                <w:sz w:val="20"/>
                <w:szCs w:val="20"/>
                <w:color w:val="auto"/>
              </w:rPr>
            </w:pPr>
            <w:r>
              <w:rPr>
                <w:rFonts w:ascii="Arial" w:cs="Arial" w:eastAsia="Arial" w:hAnsi="Arial"/>
                <w:sz w:val="18"/>
                <w:szCs w:val="18"/>
                <w:color w:val="auto"/>
              </w:rPr>
              <w:t>Reference in Securities to Supplemental Indentures</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ARTICLE TEN COVENANTS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200" w:type="dxa"/>
            <w:vAlign w:val="bottom"/>
          </w:tcPr>
          <w:p>
            <w:pPr>
              <w:ind w:left="360"/>
              <w:spacing w:after="0"/>
              <w:rPr>
                <w:sz w:val="20"/>
                <w:szCs w:val="20"/>
                <w:color w:val="auto"/>
              </w:rPr>
            </w:pPr>
            <w:r>
              <w:rPr>
                <w:rFonts w:ascii="Arial" w:cs="Arial" w:eastAsia="Arial" w:hAnsi="Arial"/>
                <w:sz w:val="18"/>
                <w:szCs w:val="18"/>
                <w:color w:val="auto"/>
              </w:rPr>
              <w:t>Payment of Principal, Premium, if any, and 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200" w:type="dxa"/>
            <w:vAlign w:val="bottom"/>
          </w:tcPr>
          <w:p>
            <w:pPr>
              <w:ind w:left="360"/>
              <w:spacing w:after="0"/>
              <w:rPr>
                <w:sz w:val="20"/>
                <w:szCs w:val="20"/>
                <w:color w:val="auto"/>
              </w:rPr>
            </w:pPr>
            <w:r>
              <w:rPr>
                <w:rFonts w:ascii="Arial" w:cs="Arial" w:eastAsia="Arial" w:hAnsi="Arial"/>
                <w:sz w:val="18"/>
                <w:szCs w:val="18"/>
                <w:color w:val="auto"/>
              </w:rPr>
              <w:t>Maintenance of Office or Agency</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200" w:type="dxa"/>
            <w:vAlign w:val="bottom"/>
          </w:tcPr>
          <w:p>
            <w:pPr>
              <w:ind w:left="360"/>
              <w:spacing w:after="0"/>
              <w:rPr>
                <w:sz w:val="20"/>
                <w:szCs w:val="20"/>
                <w:color w:val="auto"/>
              </w:rPr>
            </w:pPr>
            <w:r>
              <w:rPr>
                <w:rFonts w:ascii="Arial" w:cs="Arial" w:eastAsia="Arial" w:hAnsi="Arial"/>
                <w:sz w:val="18"/>
                <w:szCs w:val="18"/>
                <w:color w:val="auto"/>
              </w:rPr>
              <w:t>Money for Securities Payments to Be Held in Trust</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200" w:type="dxa"/>
            <w:vAlign w:val="bottom"/>
          </w:tcPr>
          <w:p>
            <w:pPr>
              <w:ind w:left="360"/>
              <w:spacing w:after="0"/>
              <w:rPr>
                <w:sz w:val="20"/>
                <w:szCs w:val="20"/>
                <w:color w:val="auto"/>
              </w:rPr>
            </w:pPr>
            <w:r>
              <w:rPr>
                <w:rFonts w:ascii="Arial" w:cs="Arial" w:eastAsia="Arial" w:hAnsi="Arial"/>
                <w:sz w:val="18"/>
                <w:szCs w:val="18"/>
                <w:color w:val="auto"/>
              </w:rPr>
              <w:t>Additional Amounts</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200" w:type="dxa"/>
            <w:vAlign w:val="bottom"/>
          </w:tcPr>
          <w:p>
            <w:pPr>
              <w:ind w:left="360"/>
              <w:spacing w:after="0"/>
              <w:rPr>
                <w:sz w:val="20"/>
                <w:szCs w:val="20"/>
                <w:color w:val="auto"/>
              </w:rPr>
            </w:pPr>
            <w:r>
              <w:rPr>
                <w:rFonts w:ascii="Arial" w:cs="Arial" w:eastAsia="Arial" w:hAnsi="Arial"/>
                <w:sz w:val="18"/>
                <w:szCs w:val="18"/>
                <w:color w:val="auto"/>
              </w:rPr>
              <w:t>Statement as to Compliance</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7200" w:type="dxa"/>
            <w:vAlign w:val="bottom"/>
          </w:tcPr>
          <w:p>
            <w:pPr>
              <w:ind w:left="360"/>
              <w:spacing w:after="0"/>
              <w:rPr>
                <w:sz w:val="20"/>
                <w:szCs w:val="20"/>
                <w:color w:val="auto"/>
              </w:rPr>
            </w:pPr>
            <w:r>
              <w:rPr>
                <w:rFonts w:ascii="Arial" w:cs="Arial" w:eastAsia="Arial" w:hAnsi="Arial"/>
                <w:sz w:val="18"/>
                <w:szCs w:val="18"/>
                <w:color w:val="auto"/>
              </w:rPr>
              <w:t>Waiver of Certain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ARTICLE ELEVEN REDEMPTION OF SECURITIES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200" w:type="dxa"/>
            <w:vAlign w:val="bottom"/>
          </w:tcPr>
          <w:p>
            <w:pPr>
              <w:ind w:left="360"/>
              <w:spacing w:after="0"/>
              <w:rPr>
                <w:sz w:val="20"/>
                <w:szCs w:val="20"/>
                <w:color w:val="auto"/>
              </w:rPr>
            </w:pPr>
            <w:r>
              <w:rPr>
                <w:rFonts w:ascii="Arial" w:cs="Arial" w:eastAsia="Arial" w:hAnsi="Arial"/>
                <w:sz w:val="18"/>
                <w:szCs w:val="18"/>
                <w:color w:val="auto"/>
              </w:rPr>
              <w:t>Applicability of Article</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200" w:type="dxa"/>
            <w:vAlign w:val="bottom"/>
          </w:tcPr>
          <w:p>
            <w:pPr>
              <w:ind w:left="360"/>
              <w:spacing w:after="0"/>
              <w:rPr>
                <w:sz w:val="20"/>
                <w:szCs w:val="20"/>
                <w:color w:val="auto"/>
              </w:rPr>
            </w:pPr>
            <w:r>
              <w:rPr>
                <w:rFonts w:ascii="Arial" w:cs="Arial" w:eastAsia="Arial" w:hAnsi="Arial"/>
                <w:sz w:val="18"/>
                <w:szCs w:val="18"/>
                <w:color w:val="auto"/>
              </w:rPr>
              <w:t>Election to Redeem; Notice to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200" w:type="dxa"/>
            <w:vAlign w:val="bottom"/>
          </w:tcPr>
          <w:p>
            <w:pPr>
              <w:ind w:left="360"/>
              <w:spacing w:after="0"/>
              <w:rPr>
                <w:sz w:val="20"/>
                <w:szCs w:val="20"/>
                <w:color w:val="auto"/>
              </w:rPr>
            </w:pPr>
            <w:r>
              <w:rPr>
                <w:rFonts w:ascii="Arial" w:cs="Arial" w:eastAsia="Arial" w:hAnsi="Arial"/>
                <w:sz w:val="18"/>
                <w:szCs w:val="18"/>
                <w:color w:val="auto"/>
              </w:rPr>
              <w:t>Selection by Trustee of Securities to Be Redeemed</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200" w:type="dxa"/>
            <w:vAlign w:val="bottom"/>
          </w:tcPr>
          <w:p>
            <w:pPr>
              <w:ind w:left="360"/>
              <w:spacing w:after="0"/>
              <w:rPr>
                <w:sz w:val="20"/>
                <w:szCs w:val="20"/>
                <w:color w:val="auto"/>
              </w:rPr>
            </w:pPr>
            <w:r>
              <w:rPr>
                <w:rFonts w:ascii="Arial" w:cs="Arial" w:eastAsia="Arial" w:hAnsi="Arial"/>
                <w:sz w:val="18"/>
                <w:szCs w:val="18"/>
                <w:color w:val="auto"/>
              </w:rPr>
              <w:t>Notice of Redemption</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235" w:name="page236"/>
    <w:bookmarkEnd w:id="23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8440" w:type="dxa"/>
            <w:vAlign w:val="bottom"/>
          </w:tcPr>
          <w:p>
            <w:pPr>
              <w:ind w:left="360"/>
              <w:spacing w:after="0"/>
              <w:rPr>
                <w:sz w:val="20"/>
                <w:szCs w:val="20"/>
                <w:color w:val="auto"/>
              </w:rPr>
            </w:pPr>
            <w:r>
              <w:rPr>
                <w:rFonts w:ascii="Arial" w:cs="Arial" w:eastAsia="Arial" w:hAnsi="Arial"/>
                <w:sz w:val="18"/>
                <w:szCs w:val="18"/>
                <w:color w:val="auto"/>
              </w:rPr>
              <w:t>Deposit of Redemption Price</w:t>
            </w: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8440" w:type="dxa"/>
            <w:vAlign w:val="bottom"/>
          </w:tcPr>
          <w:p>
            <w:pPr>
              <w:ind w:left="360"/>
              <w:spacing w:after="0"/>
              <w:rPr>
                <w:sz w:val="20"/>
                <w:szCs w:val="20"/>
                <w:color w:val="auto"/>
              </w:rPr>
            </w:pPr>
            <w:r>
              <w:rPr>
                <w:rFonts w:ascii="Arial" w:cs="Arial" w:eastAsia="Arial" w:hAnsi="Arial"/>
                <w:sz w:val="18"/>
                <w:szCs w:val="18"/>
                <w:color w:val="auto"/>
              </w:rPr>
              <w:t>Securities Payable on Redemption Date</w:t>
            </w: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8440" w:type="dxa"/>
            <w:vAlign w:val="bottom"/>
          </w:tcPr>
          <w:p>
            <w:pPr>
              <w:ind w:left="360"/>
              <w:spacing w:after="0"/>
              <w:rPr>
                <w:sz w:val="20"/>
                <w:szCs w:val="20"/>
                <w:color w:val="auto"/>
              </w:rPr>
            </w:pPr>
            <w:r>
              <w:rPr>
                <w:rFonts w:ascii="Arial" w:cs="Arial" w:eastAsia="Arial" w:hAnsi="Arial"/>
                <w:sz w:val="18"/>
                <w:szCs w:val="18"/>
                <w:color w:val="auto"/>
              </w:rPr>
              <w:t>Securities Redeemed in Part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TWELVE SINKING FUNDS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8440" w:type="dxa"/>
            <w:vAlign w:val="bottom"/>
          </w:tcPr>
          <w:p>
            <w:pPr>
              <w:ind w:left="360"/>
              <w:spacing w:after="0"/>
              <w:rPr>
                <w:sz w:val="20"/>
                <w:szCs w:val="20"/>
                <w:color w:val="auto"/>
              </w:rPr>
            </w:pPr>
            <w:r>
              <w:rPr>
                <w:rFonts w:ascii="Arial" w:cs="Arial" w:eastAsia="Arial" w:hAnsi="Arial"/>
                <w:sz w:val="18"/>
                <w:szCs w:val="18"/>
                <w:color w:val="auto"/>
              </w:rPr>
              <w:t>Applicability of Article</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8440" w:type="dxa"/>
            <w:vAlign w:val="bottom"/>
          </w:tcPr>
          <w:p>
            <w:pPr>
              <w:ind w:left="360"/>
              <w:spacing w:after="0"/>
              <w:rPr>
                <w:sz w:val="20"/>
                <w:szCs w:val="20"/>
                <w:color w:val="auto"/>
              </w:rPr>
            </w:pPr>
            <w:r>
              <w:rPr>
                <w:rFonts w:ascii="Arial" w:cs="Arial" w:eastAsia="Arial" w:hAnsi="Arial"/>
                <w:sz w:val="18"/>
                <w:szCs w:val="18"/>
                <w:color w:val="auto"/>
              </w:rPr>
              <w:t>Satisfaction of Sinking Fund Payments With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8440" w:type="dxa"/>
            <w:vAlign w:val="bottom"/>
          </w:tcPr>
          <w:p>
            <w:pPr>
              <w:ind w:left="360"/>
              <w:spacing w:after="0"/>
              <w:rPr>
                <w:sz w:val="20"/>
                <w:szCs w:val="20"/>
                <w:color w:val="auto"/>
              </w:rPr>
            </w:pPr>
            <w:r>
              <w:rPr>
                <w:rFonts w:ascii="Arial" w:cs="Arial" w:eastAsia="Arial" w:hAnsi="Arial"/>
                <w:sz w:val="18"/>
                <w:szCs w:val="18"/>
                <w:color w:val="auto"/>
              </w:rPr>
              <w:t>Redemption of Securities for Sinking Fund</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THIRTEEN REPAYMENT AT THE OPTION OF HOLDERS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8440" w:type="dxa"/>
            <w:vAlign w:val="bottom"/>
          </w:tcPr>
          <w:p>
            <w:pPr>
              <w:ind w:left="360"/>
              <w:spacing w:after="0"/>
              <w:rPr>
                <w:sz w:val="20"/>
                <w:szCs w:val="20"/>
                <w:color w:val="auto"/>
              </w:rPr>
            </w:pPr>
            <w:r>
              <w:rPr>
                <w:rFonts w:ascii="Arial" w:cs="Arial" w:eastAsia="Arial" w:hAnsi="Arial"/>
                <w:sz w:val="18"/>
                <w:szCs w:val="18"/>
                <w:color w:val="auto"/>
              </w:rPr>
              <w:t>Applicability of Article</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8440" w:type="dxa"/>
            <w:vAlign w:val="bottom"/>
          </w:tcPr>
          <w:p>
            <w:pPr>
              <w:ind w:left="360"/>
              <w:spacing w:after="0"/>
              <w:rPr>
                <w:sz w:val="20"/>
                <w:szCs w:val="20"/>
                <w:color w:val="auto"/>
              </w:rPr>
            </w:pPr>
            <w:r>
              <w:rPr>
                <w:rFonts w:ascii="Arial" w:cs="Arial" w:eastAsia="Arial" w:hAnsi="Arial"/>
                <w:sz w:val="18"/>
                <w:szCs w:val="18"/>
                <w:color w:val="auto"/>
              </w:rPr>
              <w:t>Repayment of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8440" w:type="dxa"/>
            <w:vAlign w:val="bottom"/>
          </w:tcPr>
          <w:p>
            <w:pPr>
              <w:ind w:left="360"/>
              <w:spacing w:after="0"/>
              <w:rPr>
                <w:sz w:val="20"/>
                <w:szCs w:val="20"/>
                <w:color w:val="auto"/>
              </w:rPr>
            </w:pPr>
            <w:r>
              <w:rPr>
                <w:rFonts w:ascii="Arial" w:cs="Arial" w:eastAsia="Arial" w:hAnsi="Arial"/>
                <w:sz w:val="18"/>
                <w:szCs w:val="18"/>
                <w:color w:val="auto"/>
              </w:rPr>
              <w:t>Exercise of Option</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8440" w:type="dxa"/>
            <w:vAlign w:val="bottom"/>
          </w:tcPr>
          <w:p>
            <w:pPr>
              <w:ind w:left="360"/>
              <w:spacing w:after="0"/>
              <w:rPr>
                <w:sz w:val="20"/>
                <w:szCs w:val="20"/>
                <w:color w:val="auto"/>
              </w:rPr>
            </w:pPr>
            <w:r>
              <w:rPr>
                <w:rFonts w:ascii="Arial" w:cs="Arial" w:eastAsia="Arial" w:hAnsi="Arial"/>
                <w:sz w:val="18"/>
                <w:szCs w:val="18"/>
                <w:color w:val="auto"/>
              </w:rPr>
              <w:t>When Securities Presented for Repayment Become Due and Payable</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8440" w:type="dxa"/>
            <w:vAlign w:val="bottom"/>
          </w:tcPr>
          <w:p>
            <w:pPr>
              <w:ind w:left="360"/>
              <w:spacing w:after="0"/>
              <w:rPr>
                <w:sz w:val="20"/>
                <w:szCs w:val="20"/>
                <w:color w:val="auto"/>
              </w:rPr>
            </w:pPr>
            <w:r>
              <w:rPr>
                <w:rFonts w:ascii="Arial" w:cs="Arial" w:eastAsia="Arial" w:hAnsi="Arial"/>
                <w:sz w:val="18"/>
                <w:szCs w:val="18"/>
                <w:color w:val="auto"/>
              </w:rPr>
              <w:t>Securities Repaid in Part</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FOURTEEN DEFEASANCE AND COVENANT DEFEASANCE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8440" w:type="dxa"/>
            <w:vAlign w:val="bottom"/>
          </w:tcPr>
          <w:p>
            <w:pPr>
              <w:ind w:left="360"/>
              <w:spacing w:after="0"/>
              <w:rPr>
                <w:sz w:val="20"/>
                <w:szCs w:val="20"/>
                <w:color w:val="auto"/>
              </w:rPr>
            </w:pPr>
            <w:r>
              <w:rPr>
                <w:rFonts w:ascii="Arial" w:cs="Arial" w:eastAsia="Arial" w:hAnsi="Arial"/>
                <w:sz w:val="18"/>
                <w:szCs w:val="18"/>
                <w:color w:val="auto"/>
              </w:rPr>
              <w:t>Applicability of Article; Company’s Option to Effect Defeasance or Covenant Defeasance</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8440" w:type="dxa"/>
            <w:vAlign w:val="bottom"/>
          </w:tcPr>
          <w:p>
            <w:pPr>
              <w:ind w:left="360"/>
              <w:spacing w:after="0"/>
              <w:rPr>
                <w:sz w:val="20"/>
                <w:szCs w:val="20"/>
                <w:color w:val="auto"/>
              </w:rPr>
            </w:pPr>
            <w:r>
              <w:rPr>
                <w:rFonts w:ascii="Arial" w:cs="Arial" w:eastAsia="Arial" w:hAnsi="Arial"/>
                <w:sz w:val="18"/>
                <w:szCs w:val="18"/>
                <w:color w:val="auto"/>
              </w:rPr>
              <w:t>Defeasance and Discharge</w:t>
            </w: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14.03.</w:t>
            </w:r>
          </w:p>
        </w:tc>
        <w:tc>
          <w:tcPr>
            <w:tcW w:w="8440" w:type="dxa"/>
            <w:vAlign w:val="bottom"/>
          </w:tcPr>
          <w:p>
            <w:pPr>
              <w:ind w:left="360"/>
              <w:spacing w:after="0"/>
              <w:rPr>
                <w:sz w:val="20"/>
                <w:szCs w:val="20"/>
                <w:color w:val="auto"/>
              </w:rPr>
            </w:pPr>
            <w:r>
              <w:rPr>
                <w:rFonts w:ascii="Arial" w:cs="Arial" w:eastAsia="Arial" w:hAnsi="Arial"/>
                <w:sz w:val="18"/>
                <w:szCs w:val="18"/>
                <w:color w:val="auto"/>
              </w:rPr>
              <w:t>Covenant Defeasance</w:t>
            </w: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14.04.</w:t>
            </w:r>
          </w:p>
        </w:tc>
        <w:tc>
          <w:tcPr>
            <w:tcW w:w="8440" w:type="dxa"/>
            <w:vAlign w:val="bottom"/>
          </w:tcPr>
          <w:p>
            <w:pPr>
              <w:ind w:left="360"/>
              <w:spacing w:after="0"/>
              <w:rPr>
                <w:sz w:val="20"/>
                <w:szCs w:val="20"/>
                <w:color w:val="auto"/>
              </w:rPr>
            </w:pPr>
            <w:r>
              <w:rPr>
                <w:rFonts w:ascii="Arial" w:cs="Arial" w:eastAsia="Arial" w:hAnsi="Arial"/>
                <w:sz w:val="18"/>
                <w:szCs w:val="18"/>
                <w:color w:val="auto"/>
              </w:rPr>
              <w:t>Conditions to Defeasance or Covenant Defeasance</w:t>
            </w: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14.05.</w:t>
            </w:r>
          </w:p>
        </w:tc>
        <w:tc>
          <w:tcPr>
            <w:tcW w:w="8440" w:type="dxa"/>
            <w:vAlign w:val="bottom"/>
          </w:tcPr>
          <w:p>
            <w:pPr>
              <w:ind w:left="360"/>
              <w:spacing w:after="0"/>
              <w:rPr>
                <w:sz w:val="20"/>
                <w:szCs w:val="20"/>
                <w:color w:val="auto"/>
              </w:rPr>
            </w:pPr>
            <w:r>
              <w:rPr>
                <w:rFonts w:ascii="Arial" w:cs="Arial" w:eastAsia="Arial" w:hAnsi="Arial"/>
                <w:sz w:val="18"/>
                <w:szCs w:val="18"/>
                <w:color w:val="auto"/>
              </w:rPr>
              <w:t>Deposited Money and Government Obligations to Be Held in Trust; Other Miscellaneous Provisions</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FIFTEEN MEETINGS OF HOLDERS OF SECURITIES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15.01.</w:t>
            </w:r>
          </w:p>
        </w:tc>
        <w:tc>
          <w:tcPr>
            <w:tcW w:w="8440" w:type="dxa"/>
            <w:vAlign w:val="bottom"/>
          </w:tcPr>
          <w:p>
            <w:pPr>
              <w:ind w:left="360"/>
              <w:spacing w:after="0"/>
              <w:rPr>
                <w:sz w:val="20"/>
                <w:szCs w:val="20"/>
                <w:color w:val="auto"/>
              </w:rPr>
            </w:pPr>
            <w:r>
              <w:rPr>
                <w:rFonts w:ascii="Arial" w:cs="Arial" w:eastAsia="Arial" w:hAnsi="Arial"/>
                <w:sz w:val="18"/>
                <w:szCs w:val="18"/>
                <w:color w:val="auto"/>
              </w:rPr>
              <w:t>Purposes for Which Meetings May Be Called</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8440" w:type="dxa"/>
            <w:vAlign w:val="bottom"/>
          </w:tcPr>
          <w:p>
            <w:pPr>
              <w:ind w:left="360"/>
              <w:spacing w:after="0"/>
              <w:rPr>
                <w:sz w:val="20"/>
                <w:szCs w:val="20"/>
                <w:color w:val="auto"/>
              </w:rPr>
            </w:pPr>
            <w:r>
              <w:rPr>
                <w:rFonts w:ascii="Arial" w:cs="Arial" w:eastAsia="Arial" w:hAnsi="Arial"/>
                <w:sz w:val="18"/>
                <w:szCs w:val="18"/>
                <w:color w:val="auto"/>
              </w:rPr>
              <w:t>Call, Notice and Place of Meetings</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8440" w:type="dxa"/>
            <w:vAlign w:val="bottom"/>
          </w:tcPr>
          <w:p>
            <w:pPr>
              <w:ind w:left="360"/>
              <w:spacing w:after="0"/>
              <w:rPr>
                <w:sz w:val="20"/>
                <w:szCs w:val="20"/>
                <w:color w:val="auto"/>
              </w:rPr>
            </w:pPr>
            <w:r>
              <w:rPr>
                <w:rFonts w:ascii="Arial" w:cs="Arial" w:eastAsia="Arial" w:hAnsi="Arial"/>
                <w:sz w:val="18"/>
                <w:szCs w:val="18"/>
                <w:color w:val="auto"/>
              </w:rPr>
              <w:t>Persons Entitled to Vote at Meetings</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8440" w:type="dxa"/>
            <w:vAlign w:val="bottom"/>
          </w:tcPr>
          <w:p>
            <w:pPr>
              <w:ind w:left="360"/>
              <w:spacing w:after="0"/>
              <w:rPr>
                <w:sz w:val="20"/>
                <w:szCs w:val="20"/>
                <w:color w:val="auto"/>
              </w:rPr>
            </w:pPr>
            <w:r>
              <w:rPr>
                <w:rFonts w:ascii="Arial" w:cs="Arial" w:eastAsia="Arial" w:hAnsi="Arial"/>
                <w:sz w:val="18"/>
                <w:szCs w:val="18"/>
                <w:color w:val="auto"/>
              </w:rPr>
              <w:t>Quorum; Action</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8440" w:type="dxa"/>
            <w:vAlign w:val="bottom"/>
          </w:tcPr>
          <w:p>
            <w:pPr>
              <w:ind w:left="36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8440" w:type="dxa"/>
            <w:vAlign w:val="bottom"/>
          </w:tcPr>
          <w:p>
            <w:pPr>
              <w:ind w:left="360"/>
              <w:spacing w:after="0"/>
              <w:rPr>
                <w:sz w:val="20"/>
                <w:szCs w:val="20"/>
                <w:color w:val="auto"/>
              </w:rPr>
            </w:pPr>
            <w:r>
              <w:rPr>
                <w:rFonts w:ascii="Arial" w:cs="Arial" w:eastAsia="Arial" w:hAnsi="Arial"/>
                <w:sz w:val="18"/>
                <w:szCs w:val="18"/>
                <w:color w:val="auto"/>
              </w:rPr>
              <w:t>Counting Votes and Recording Action of Meetings</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ARTICLE SIXTEEN SUBORDINATION OF SECURITIES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16.01.</w:t>
            </w:r>
          </w:p>
        </w:tc>
        <w:tc>
          <w:tcPr>
            <w:tcW w:w="8440" w:type="dxa"/>
            <w:vAlign w:val="bottom"/>
          </w:tcPr>
          <w:p>
            <w:pPr>
              <w:ind w:left="360"/>
              <w:spacing w:after="0"/>
              <w:rPr>
                <w:sz w:val="20"/>
                <w:szCs w:val="20"/>
                <w:color w:val="auto"/>
              </w:rPr>
            </w:pPr>
            <w:r>
              <w:rPr>
                <w:rFonts w:ascii="Arial" w:cs="Arial" w:eastAsia="Arial" w:hAnsi="Arial"/>
                <w:sz w:val="18"/>
                <w:szCs w:val="18"/>
                <w:color w:val="auto"/>
              </w:rPr>
              <w:t>Agreement to Subordinate</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16.02.</w:t>
            </w:r>
          </w:p>
        </w:tc>
        <w:tc>
          <w:tcPr>
            <w:tcW w:w="8440" w:type="dxa"/>
            <w:vAlign w:val="bottom"/>
          </w:tcPr>
          <w:p>
            <w:pPr>
              <w:ind w:left="360"/>
              <w:spacing w:after="0"/>
              <w:rPr>
                <w:sz w:val="20"/>
                <w:szCs w:val="20"/>
                <w:color w:val="auto"/>
              </w:rPr>
            </w:pPr>
            <w:r>
              <w:rPr>
                <w:rFonts w:ascii="Arial" w:cs="Arial" w:eastAsia="Arial" w:hAnsi="Arial"/>
                <w:sz w:val="18"/>
                <w:szCs w:val="18"/>
                <w:color w:val="auto"/>
              </w:rPr>
              <w:t>Distribution on Dissolution, Liquidation and Reorganization; Subrogation of Subordinated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16.03.</w:t>
            </w:r>
          </w:p>
        </w:tc>
        <w:tc>
          <w:tcPr>
            <w:tcW w:w="8440" w:type="dxa"/>
            <w:vAlign w:val="bottom"/>
          </w:tcPr>
          <w:p>
            <w:pPr>
              <w:ind w:left="360"/>
              <w:spacing w:after="0"/>
              <w:rPr>
                <w:sz w:val="20"/>
                <w:szCs w:val="20"/>
                <w:color w:val="auto"/>
              </w:rPr>
            </w:pPr>
            <w:r>
              <w:rPr>
                <w:rFonts w:ascii="Arial" w:cs="Arial" w:eastAsia="Arial" w:hAnsi="Arial"/>
                <w:sz w:val="18"/>
                <w:szCs w:val="18"/>
                <w:color w:val="auto"/>
              </w:rPr>
              <w:t>No Payment on Subordinated Securities in Event of Default on Senior Indebtedness</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16.04.</w:t>
            </w:r>
          </w:p>
        </w:tc>
        <w:tc>
          <w:tcPr>
            <w:tcW w:w="8440" w:type="dxa"/>
            <w:vAlign w:val="bottom"/>
          </w:tcPr>
          <w:p>
            <w:pPr>
              <w:ind w:left="360"/>
              <w:spacing w:after="0"/>
              <w:rPr>
                <w:sz w:val="20"/>
                <w:szCs w:val="20"/>
                <w:color w:val="auto"/>
              </w:rPr>
            </w:pPr>
            <w:r>
              <w:rPr>
                <w:rFonts w:ascii="Arial" w:cs="Arial" w:eastAsia="Arial" w:hAnsi="Arial"/>
                <w:sz w:val="18"/>
                <w:szCs w:val="18"/>
                <w:color w:val="auto"/>
              </w:rPr>
              <w:t>Payments on Subordinated Securities Permitted</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16.05.</w:t>
            </w:r>
          </w:p>
        </w:tc>
        <w:tc>
          <w:tcPr>
            <w:tcW w:w="8440" w:type="dxa"/>
            <w:vAlign w:val="bottom"/>
          </w:tcPr>
          <w:p>
            <w:pPr>
              <w:ind w:left="360"/>
              <w:spacing w:after="0"/>
              <w:rPr>
                <w:sz w:val="20"/>
                <w:szCs w:val="20"/>
                <w:color w:val="auto"/>
              </w:rPr>
            </w:pPr>
            <w:r>
              <w:rPr>
                <w:rFonts w:ascii="Arial" w:cs="Arial" w:eastAsia="Arial" w:hAnsi="Arial"/>
                <w:sz w:val="18"/>
                <w:szCs w:val="18"/>
                <w:color w:val="auto"/>
              </w:rPr>
              <w:t>Authorization of Holders to Trustee to Effect Subordination</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16.06.</w:t>
            </w:r>
          </w:p>
        </w:tc>
        <w:tc>
          <w:tcPr>
            <w:tcW w:w="8440" w:type="dxa"/>
            <w:vAlign w:val="bottom"/>
          </w:tcPr>
          <w:p>
            <w:pPr>
              <w:ind w:left="360"/>
              <w:spacing w:after="0"/>
              <w:rPr>
                <w:sz w:val="20"/>
                <w:szCs w:val="20"/>
                <w:color w:val="auto"/>
              </w:rPr>
            </w:pPr>
            <w:r>
              <w:rPr>
                <w:rFonts w:ascii="Arial" w:cs="Arial" w:eastAsia="Arial" w:hAnsi="Arial"/>
                <w:sz w:val="18"/>
                <w:szCs w:val="18"/>
                <w:color w:val="auto"/>
              </w:rPr>
              <w:t>Notices to Trustee</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16.07.</w:t>
            </w:r>
          </w:p>
        </w:tc>
        <w:tc>
          <w:tcPr>
            <w:tcW w:w="8440" w:type="dxa"/>
            <w:vAlign w:val="bottom"/>
          </w:tcPr>
          <w:p>
            <w:pPr>
              <w:ind w:left="360"/>
              <w:spacing w:after="0"/>
              <w:rPr>
                <w:sz w:val="20"/>
                <w:szCs w:val="20"/>
                <w:color w:val="auto"/>
              </w:rPr>
            </w:pPr>
            <w:r>
              <w:rPr>
                <w:rFonts w:ascii="Arial" w:cs="Arial" w:eastAsia="Arial" w:hAnsi="Arial"/>
                <w:sz w:val="18"/>
                <w:szCs w:val="18"/>
                <w:color w:val="auto"/>
              </w:rPr>
              <w:t>Trustee as Holder of Senior Indebtedness</w:t>
            </w: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780" w:type="dxa"/>
            <w:vAlign w:val="bottom"/>
          </w:tcPr>
          <w:p>
            <w:pPr>
              <w:ind w:left="360"/>
              <w:spacing w:after="0"/>
              <w:rPr>
                <w:sz w:val="20"/>
                <w:szCs w:val="20"/>
                <w:color w:val="auto"/>
              </w:rPr>
            </w:pPr>
            <w:r>
              <w:rPr>
                <w:rFonts w:ascii="Arial" w:cs="Arial" w:eastAsia="Arial" w:hAnsi="Arial"/>
                <w:sz w:val="18"/>
                <w:szCs w:val="18"/>
                <w:color w:val="auto"/>
              </w:rPr>
              <w:t>Section 16.08.</w:t>
            </w:r>
          </w:p>
        </w:tc>
        <w:tc>
          <w:tcPr>
            <w:tcW w:w="8440" w:type="dxa"/>
            <w:vAlign w:val="bottom"/>
          </w:tcPr>
          <w:p>
            <w:pPr>
              <w:ind w:left="360"/>
              <w:spacing w:after="0"/>
              <w:rPr>
                <w:sz w:val="20"/>
                <w:szCs w:val="20"/>
                <w:color w:val="auto"/>
              </w:rPr>
            </w:pPr>
            <w:r>
              <w:rPr>
                <w:rFonts w:ascii="Arial" w:cs="Arial" w:eastAsia="Arial" w:hAnsi="Arial"/>
                <w:sz w:val="18"/>
                <w:szCs w:val="18"/>
                <w:color w:val="auto"/>
              </w:rPr>
              <w:t>Modifications of Terms of Senior Indebtedness</w:t>
            </w: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780" w:type="dxa"/>
            <w:vAlign w:val="bottom"/>
          </w:tcPr>
          <w:p>
            <w:pPr>
              <w:ind w:left="360"/>
              <w:spacing w:after="0"/>
              <w:rPr>
                <w:sz w:val="20"/>
                <w:szCs w:val="20"/>
                <w:color w:val="auto"/>
              </w:rPr>
            </w:pPr>
            <w:r>
              <w:rPr>
                <w:rFonts w:ascii="Arial" w:cs="Arial" w:eastAsia="Arial" w:hAnsi="Arial"/>
                <w:sz w:val="18"/>
                <w:szCs w:val="18"/>
                <w:color w:val="auto"/>
              </w:rPr>
              <w:t>Section 16.09.</w:t>
            </w:r>
          </w:p>
        </w:tc>
        <w:tc>
          <w:tcPr>
            <w:tcW w:w="8440" w:type="dxa"/>
            <w:vAlign w:val="bottom"/>
          </w:tcPr>
          <w:p>
            <w:pPr>
              <w:ind w:left="360"/>
              <w:spacing w:after="0"/>
              <w:rPr>
                <w:sz w:val="20"/>
                <w:szCs w:val="20"/>
                <w:color w:val="auto"/>
              </w:rPr>
            </w:pPr>
            <w:r>
              <w:rPr>
                <w:rFonts w:ascii="Arial" w:cs="Arial" w:eastAsia="Arial" w:hAnsi="Arial"/>
                <w:sz w:val="18"/>
                <w:szCs w:val="18"/>
                <w:color w:val="auto"/>
              </w:rPr>
              <w:t>Reliance on Judicial Order or Certificate of Liquidating Agent</w:t>
            </w: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380" w:type="dxa"/>
            <w:vAlign w:val="bottom"/>
            <w:gridSpan w:val="3"/>
          </w:tcPr>
          <w:p>
            <w:pPr>
              <w:ind w:left="3280"/>
              <w:spacing w:after="0"/>
              <w:rPr>
                <w:sz w:val="20"/>
                <w:szCs w:val="20"/>
                <w:color w:val="auto"/>
              </w:rPr>
            </w:pPr>
            <w:r>
              <w:rPr>
                <w:rFonts w:ascii="Arial" w:cs="Arial" w:eastAsia="Arial" w:hAnsi="Arial"/>
                <w:sz w:val="18"/>
                <w:szCs w:val="18"/>
                <w:b w:val="1"/>
                <w:bCs w:val="1"/>
                <w:color w:val="auto"/>
              </w:rPr>
              <w:t>TPG SPECIALTY LENDING, INC.</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3"/>
          </w:tcPr>
          <w:p>
            <w:pPr>
              <w:ind w:left="2540"/>
              <w:spacing w:after="0"/>
              <w:rPr>
                <w:sz w:val="20"/>
                <w:szCs w:val="20"/>
                <w:color w:val="auto"/>
              </w:rPr>
            </w:pPr>
            <w:r>
              <w:rPr>
                <w:rFonts w:ascii="Arial" w:cs="Arial" w:eastAsia="Arial" w:hAnsi="Arial"/>
                <w:sz w:val="18"/>
                <w:szCs w:val="18"/>
                <w:color w:val="auto"/>
              </w:rPr>
              <w:t>Reconciliation and tie between Trust Indenture Act of 1939</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tcPr>
          <w:p>
            <w:pPr>
              <w:ind w:left="3160"/>
              <w:spacing w:after="0"/>
              <w:rPr>
                <w:sz w:val="20"/>
                <w:szCs w:val="20"/>
                <w:color w:val="auto"/>
              </w:rPr>
            </w:pPr>
            <w:r>
              <w:rPr>
                <w:rFonts w:ascii="Arial" w:cs="Arial" w:eastAsia="Arial" w:hAnsi="Arial"/>
                <w:sz w:val="18"/>
                <w:szCs w:val="18"/>
                <w:color w:val="auto"/>
              </w:rPr>
              <w:t>and Indenture, dated as of [</w:t>
            </w:r>
          </w:p>
        </w:tc>
        <w:tc>
          <w:tcPr>
            <w:tcW w:w="4900" w:type="dxa"/>
            <w:vAlign w:val="bottom"/>
            <w:gridSpan w:val="2"/>
          </w:tcPr>
          <w:p>
            <w:pPr>
              <w:jc w:val="right"/>
              <w:ind w:right="4116"/>
              <w:spacing w:after="0"/>
              <w:rPr>
                <w:sz w:val="20"/>
                <w:szCs w:val="20"/>
                <w:color w:val="auto"/>
              </w:rPr>
            </w:pPr>
            <w:r>
              <w:rPr>
                <w:rFonts w:ascii="Arial" w:cs="Arial" w:eastAsia="Arial" w:hAnsi="Arial"/>
                <w:sz w:val="18"/>
                <w:szCs w:val="18"/>
                <w:color w:val="auto"/>
              </w:rPr>
              <w:t>], 2015</w:t>
            </w:r>
          </w:p>
        </w:tc>
      </w:tr>
      <w:tr>
        <w:trPr>
          <w:trHeight w:val="405"/>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Trust Indenture Act Section</w:t>
            </w:r>
          </w:p>
        </w:tc>
        <w:tc>
          <w:tcPr>
            <w:tcW w:w="22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4"/>
                <w:szCs w:val="14"/>
                <w:b w:val="1"/>
                <w:bCs w:val="1"/>
                <w:color w:val="auto"/>
              </w:rPr>
              <w:t>Indenture Section</w:t>
            </w: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§310</w:t>
            </w:r>
          </w:p>
        </w:tc>
        <w:tc>
          <w:tcPr>
            <w:tcW w:w="5480" w:type="dxa"/>
            <w:vAlign w:val="bottom"/>
            <w:tcBorders>
              <w:top w:val="single" w:sz="8" w:color="auto"/>
            </w:tcBorders>
          </w:tcPr>
          <w:p>
            <w:pPr>
              <w:ind w:left="680"/>
              <w:spacing w:after="0" w:line="195" w:lineRule="exact"/>
              <w:rPr>
                <w:sz w:val="20"/>
                <w:szCs w:val="20"/>
                <w:color w:val="auto"/>
              </w:rPr>
            </w:pPr>
            <w:r>
              <w:rPr>
                <w:rFonts w:ascii="Arial" w:cs="Arial" w:eastAsia="Arial" w:hAnsi="Arial"/>
                <w:sz w:val="18"/>
                <w:szCs w:val="18"/>
                <w:color w:val="auto"/>
              </w:rPr>
              <w:t>(a)(1)</w:t>
            </w:r>
          </w:p>
        </w:tc>
        <w:tc>
          <w:tcPr>
            <w:tcW w:w="2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(a)(2)</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(b)</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6.09</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5480" w:type="dxa"/>
            <w:vAlign w:val="bottom"/>
          </w:tcPr>
          <w:p>
            <w:pPr>
              <w:ind w:left="680"/>
              <w:spacing w:after="0"/>
              <w:rPr>
                <w:sz w:val="20"/>
                <w:szCs w:val="20"/>
                <w:color w:val="auto"/>
              </w:rPr>
            </w:pPr>
            <w:r>
              <w:rPr>
                <w:rFonts w:ascii="Arial" w:cs="Arial" w:eastAsia="Arial" w:hAnsi="Arial"/>
                <w:sz w:val="18"/>
                <w:szCs w:val="18"/>
                <w:color w:val="auto"/>
              </w:rPr>
              <w:t>(c)</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7.01</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§314</w:t>
            </w:r>
          </w:p>
        </w:tc>
        <w:tc>
          <w:tcPr>
            <w:tcW w:w="5480" w:type="dxa"/>
            <w:vAlign w:val="bottom"/>
          </w:tcPr>
          <w:p>
            <w:pPr>
              <w:ind w:left="680"/>
              <w:spacing w:after="0"/>
              <w:rPr>
                <w:sz w:val="20"/>
                <w:szCs w:val="20"/>
                <w:color w:val="auto"/>
              </w:rPr>
            </w:pPr>
            <w:r>
              <w:rPr>
                <w:rFonts w:ascii="Arial" w:cs="Arial" w:eastAsia="Arial" w:hAnsi="Arial"/>
                <w:sz w:val="18"/>
                <w:szCs w:val="18"/>
                <w:color w:val="auto"/>
              </w:rPr>
              <w:t>(a)</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7.04</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(a)(4)</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10.05</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(c)(1)</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(c)(2)</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(e)</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1.02</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§315</w:t>
            </w:r>
          </w:p>
        </w:tc>
        <w:tc>
          <w:tcPr>
            <w:tcW w:w="5480" w:type="dxa"/>
            <w:vAlign w:val="bottom"/>
          </w:tcPr>
          <w:p>
            <w:pPr>
              <w:ind w:left="680"/>
              <w:spacing w:after="0"/>
              <w:rPr>
                <w:sz w:val="20"/>
                <w:szCs w:val="20"/>
                <w:color w:val="auto"/>
              </w:rPr>
            </w:pPr>
            <w:r>
              <w:rPr>
                <w:rFonts w:ascii="Arial" w:cs="Arial" w:eastAsia="Arial" w:hAnsi="Arial"/>
                <w:sz w:val="18"/>
                <w:szCs w:val="18"/>
                <w:color w:val="auto"/>
              </w:rPr>
              <w:t>(b)</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6.01</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§316</w:t>
            </w:r>
          </w:p>
        </w:tc>
        <w:tc>
          <w:tcPr>
            <w:tcW w:w="5480" w:type="dxa"/>
            <w:vAlign w:val="bottom"/>
          </w:tcPr>
          <w:p>
            <w:pPr>
              <w:ind w:left="680"/>
              <w:spacing w:after="0"/>
              <w:rPr>
                <w:sz w:val="20"/>
                <w:szCs w:val="20"/>
                <w:color w:val="auto"/>
              </w:rPr>
            </w:pPr>
            <w:r>
              <w:rPr>
                <w:rFonts w:ascii="Arial" w:cs="Arial" w:eastAsia="Arial" w:hAnsi="Arial"/>
                <w:sz w:val="18"/>
                <w:szCs w:val="18"/>
                <w:color w:val="auto"/>
              </w:rPr>
              <w:t>(a) (last sentence)</w:t>
            </w:r>
          </w:p>
        </w:tc>
        <w:tc>
          <w:tcPr>
            <w:tcW w:w="2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1.01 (“Outstanding”)</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(a)(1)(A)</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5.02, 5.12</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(a)(1)(B)</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5.13</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(b)</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5.08</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§317</w:t>
            </w:r>
          </w:p>
        </w:tc>
        <w:tc>
          <w:tcPr>
            <w:tcW w:w="5480" w:type="dxa"/>
            <w:vAlign w:val="bottom"/>
          </w:tcPr>
          <w:p>
            <w:pPr>
              <w:ind w:left="680"/>
              <w:spacing w:after="0"/>
              <w:rPr>
                <w:sz w:val="20"/>
                <w:szCs w:val="20"/>
                <w:color w:val="auto"/>
              </w:rPr>
            </w:pPr>
            <w:r>
              <w:rPr>
                <w:rFonts w:ascii="Arial" w:cs="Arial" w:eastAsia="Arial" w:hAnsi="Arial"/>
                <w:sz w:val="18"/>
                <w:szCs w:val="18"/>
                <w:color w:val="auto"/>
              </w:rPr>
              <w:t>(a)(1)</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(a)(2)</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5.04</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§318</w:t>
            </w:r>
          </w:p>
        </w:tc>
        <w:tc>
          <w:tcPr>
            <w:tcW w:w="5480" w:type="dxa"/>
            <w:vAlign w:val="bottom"/>
          </w:tcPr>
          <w:p>
            <w:pPr>
              <w:ind w:left="680"/>
              <w:spacing w:after="0"/>
              <w:rPr>
                <w:sz w:val="20"/>
                <w:szCs w:val="20"/>
                <w:color w:val="auto"/>
              </w:rPr>
            </w:pPr>
            <w:r>
              <w:rPr>
                <w:rFonts w:ascii="Arial" w:cs="Arial" w:eastAsia="Arial" w:hAnsi="Arial"/>
                <w:sz w:val="18"/>
                <w:szCs w:val="18"/>
                <w:color w:val="auto"/>
              </w:rPr>
              <w:t>(a)</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1.11</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tcPr>
          <w:p>
            <w:pPr>
              <w:ind w:left="680"/>
              <w:spacing w:after="0"/>
              <w:rPr>
                <w:sz w:val="20"/>
                <w:szCs w:val="20"/>
                <w:color w:val="auto"/>
              </w:rPr>
            </w:pPr>
            <w:r>
              <w:rPr>
                <w:rFonts w:ascii="Arial" w:cs="Arial" w:eastAsia="Arial" w:hAnsi="Arial"/>
                <w:sz w:val="18"/>
                <w:szCs w:val="18"/>
                <w:color w:val="auto"/>
              </w:rPr>
              <w:t>(c)</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ectPr>
          <w:pgSz w:w="11900" w:h="16838" w:orient="portrait"/>
          <w:cols w:equalWidth="0" w:num="1">
            <w:col w:w="11420"/>
          </w:cols>
          <w:pgMar w:left="240" w:top="270" w:right="239" w:bottom="1440" w:gutter="0" w:footer="0" w:header="0"/>
        </w:sectPr>
      </w:pPr>
    </w:p>
    <w:bookmarkStart w:id="237" w:name="page238"/>
    <w:bookmarkEnd w:id="237"/>
    <w:p>
      <w:pPr>
        <w:ind w:right="2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 ], 2015, between TPG Specialty Lending,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as more fully set forth in Section 1.01), and Wells Fargo Bank, National Association, a national banking association, as Trustee (as trustee in such capacity and not in its individual capacity, the “</w:t>
      </w:r>
      <w:r>
        <w:rPr>
          <w:rFonts w:ascii="Arial" w:cs="Arial" w:eastAsia="Arial" w:hAnsi="Arial"/>
          <w:sz w:val="18"/>
          <w:szCs w:val="18"/>
          <w:u w:val="single" w:color="auto"/>
          <w:color w:val="auto"/>
        </w:rPr>
        <w:t>Trustee</w:t>
      </w:r>
      <w:r>
        <w:rPr>
          <w:rFonts w:ascii="Arial" w:cs="Arial" w:eastAsia="Arial" w:hAnsi="Arial"/>
          <w:sz w:val="18"/>
          <w:szCs w:val="18"/>
          <w:color w:val="auto"/>
        </w:rPr>
        <w:t>”, as more fully set forth in Section 1.01).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WHEREAS, the Company deems it necessary to issue from time to time for its lawful purposes debt securities (hereinafter called the “</w:t>
      </w:r>
      <w:r>
        <w:rPr>
          <w:rFonts w:ascii="Arial" w:cs="Arial" w:eastAsia="Arial" w:hAnsi="Arial"/>
          <w:sz w:val="18"/>
          <w:szCs w:val="18"/>
          <w:u w:val="single" w:color="auto"/>
          <w:color w:val="auto"/>
        </w:rPr>
        <w:t>Securities</w:t>
      </w:r>
      <w:r>
        <w:rPr>
          <w:rFonts w:ascii="Arial" w:cs="Arial" w:eastAsia="Arial" w:hAnsi="Arial"/>
          <w:sz w:val="18"/>
          <w:szCs w:val="18"/>
          <w:color w:val="auto"/>
        </w:rPr>
        <w:t>”) evidencing its secured or unsecured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this Indenture (as defined herein) is subject to the provisions of the Trust Indenture Act of 1939, as amended, that are required to be part of this Indenture and shall, to the extent applicable, be governed by such provisions;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all things necessary to make this Indenture a valid and legally binding agreement of, and enforceable against, the Company, in accordance with its terms, have been done.</w:t>
      </w:r>
    </w:p>
    <w:p>
      <w:pPr>
        <w:spacing w:after="0" w:line="170"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NOW, THEREFORE, for and in consideration of the premises and the purchase of the Securities by the Holders (as defined herein) thereof, it is mutually covenanted and agreed, for the equal and proportionate benefit of all Holders of the Securities, or of a series thereof,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right="260" w:firstLine="464"/>
        <w:spacing w:after="0" w:line="342" w:lineRule="auto"/>
        <w:tabs>
          <w:tab w:leader="none" w:pos="70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w:t>
      </w:r>
    </w:p>
    <w:p>
      <w:pPr>
        <w:spacing w:after="0" w:line="123" w:lineRule="exact"/>
        <w:rPr>
          <w:rFonts w:ascii="Arial" w:cs="Arial" w:eastAsia="Arial" w:hAnsi="Arial"/>
          <w:sz w:val="16"/>
          <w:szCs w:val="16"/>
          <w:color w:val="auto"/>
        </w:rPr>
      </w:pPr>
    </w:p>
    <w:p>
      <w:pPr>
        <w:ind w:right="20" w:firstLine="464"/>
        <w:spacing w:after="0" w:line="286" w:lineRule="auto"/>
        <w:tabs>
          <w:tab w:leader="none" w:pos="71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all other terms used herein which are defined in the Trust Indenture Act (as defined herein),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w:t>
      </w:r>
    </w:p>
    <w:p>
      <w:pPr>
        <w:spacing w:after="0" w:line="165" w:lineRule="exact"/>
        <w:rPr>
          <w:rFonts w:ascii="Arial" w:cs="Arial" w:eastAsia="Arial" w:hAnsi="Arial"/>
          <w:sz w:val="17"/>
          <w:szCs w:val="17"/>
          <w:color w:val="auto"/>
        </w:rPr>
      </w:pPr>
    </w:p>
    <w:p>
      <w:pPr>
        <w:ind w:right="120" w:firstLine="464"/>
        <w:spacing w:after="0" w:line="277" w:lineRule="auto"/>
        <w:tabs>
          <w:tab w:leader="none" w:pos="70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w:t>
      </w:r>
    </w:p>
    <w:p>
      <w:pPr>
        <w:spacing w:after="0" w:line="170"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38" w:name="page239"/>
    <w:bookmarkEnd w:id="238"/>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sections of or rules under the Exchange Act shall be deemed to include substitute, replacement of successor sections or rules adopted by the Commission from time to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terms, used in other Articles herein, are defined in those Articles.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of a Security, has the meaning specified in Section 1.04.</w:t>
      </w:r>
    </w:p>
    <w:p>
      <w:pPr>
        <w:spacing w:after="0" w:line="225"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Amounts</w:t>
      </w:r>
      <w:r>
        <w:rPr>
          <w:rFonts w:ascii="Arial" w:cs="Arial" w:eastAsia="Arial" w:hAnsi="Arial"/>
          <w:sz w:val="16"/>
          <w:szCs w:val="16"/>
          <w:color w:val="auto"/>
        </w:rPr>
        <w:t>” means any additional amounts that are required by a Security or by or pursuant to a Board Resolution, under circumstances specified therein, to be paid by the Company in respect of certain taxes imposed on certain Holders and that are owing to such Holders.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the Trustee or any authenticating agent appointed by the Trustee pursuant to Section 6.12 to act on behalf of the Trustee to authenticate Securities of one or more series.</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Newspaper</w:t>
      </w:r>
      <w:r>
        <w:rPr>
          <w:rFonts w:ascii="Arial" w:cs="Arial" w:eastAsia="Arial" w:hAnsi="Arial"/>
          <w:sz w:val="16"/>
          <w:szCs w:val="16"/>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 or any committee of that board duly authorized to act hereunder.</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when used with respect to any Place of Payment or any other particular location referred to in this Indenture or in the Securities, means, unless otherwise specified with respect to any Securities pursuant to Section 3.01, each Monday, Tuesday, Wednesday, Thursday and Friday that is not a day on which banking institutions in that Place of Payment or particular location are authorized or obligated by law or executive order to close.</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8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Person shall have become such pursuant to the applicable provisions of this Indenture, and thereafter “Company” shall mean such successor corporation.</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and “</w:t>
      </w:r>
      <w:r>
        <w:rPr>
          <w:rFonts w:ascii="Arial" w:cs="Arial" w:eastAsia="Arial" w:hAnsi="Arial"/>
          <w:sz w:val="18"/>
          <w:szCs w:val="18"/>
          <w:u w:val="single" w:color="auto"/>
          <w:color w:val="auto"/>
        </w:rPr>
        <w:t>Company Order</w:t>
      </w:r>
      <w:r>
        <w:rPr>
          <w:rFonts w:ascii="Arial" w:cs="Arial" w:eastAsia="Arial" w:hAnsi="Arial"/>
          <w:sz w:val="18"/>
          <w:szCs w:val="18"/>
          <w:color w:val="auto"/>
        </w:rPr>
        <w:t>” mean, respectively, a written request or order signed in the name of the Company by a Chief Executive Officer, and by the Chief Financial Officer, the Chief Operating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Chief Compliance Officer, any Vice President, the Secretary or an Assistant Secretary, of the Company, and delivered to the Trustee.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Component Currency</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has the meaning specified in Section 3.12(d).</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Event</w:t>
      </w:r>
      <w:r>
        <w:rPr>
          <w:rFonts w:ascii="Arial" w:cs="Arial" w:eastAsia="Arial" w:hAnsi="Arial"/>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shall be principally administered, which office at the date hereof is located at 150 East 42nd Street, 40th Floor, Attention: TPG Specialty Lending, or the principal corporate trust office of any successor Trustee (or such other address as such successor Trustee may designate from time to time by notice to the Holders and the Company). With respect to presentation of notes for registration of transfer or exchange or maturity, such address shall be 608 2nd Avenue South, 12th Floor, Minneapolis, MN 55402, MAC: N9303-121, Attention: Bondholder Communications.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associations, companies and business trusts.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any currency or currencies, composite currency or currency unit or currency units, including, without limitation, the ECU, issued by the government of one or more countries or by any reorganized confederation or association of such governments.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3.07(a).</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each global Security, the Person specified in Section 3.03 as the Depositary with respect to such Securities, until a successor shall have been appointed and become such pursuant to the applicable provisions of this Indenture, and thereafter,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or include such successor.</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a dollar or other equivalent unit in such coin or currency of the United States of America as at the time shall be legal tender for the payment of public and private debts.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ECU</w:t>
      </w:r>
      <w:r>
        <w:rPr>
          <w:rFonts w:ascii="Arial" w:cs="Arial" w:eastAsia="Arial" w:hAnsi="Arial"/>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Date</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European Communities</w:t>
      </w:r>
      <w:r>
        <w:rPr>
          <w:rFonts w:ascii="Arial" w:cs="Arial" w:eastAsia="Arial" w:hAnsi="Arial"/>
          <w:sz w:val="17"/>
          <w:szCs w:val="17"/>
          <w:color w:val="auto"/>
        </w:rPr>
        <w:t>” means the European Union, the European Coal and Steel Community and the European Atomic Energy Community.</w:t>
      </w:r>
    </w:p>
    <w:p>
      <w:pPr>
        <w:spacing w:after="0" w:line="23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European Monetary System</w:t>
      </w:r>
      <w:r>
        <w:rPr>
          <w:rFonts w:ascii="Arial" w:cs="Arial" w:eastAsia="Arial" w:hAnsi="Arial"/>
          <w:sz w:val="18"/>
          <w:szCs w:val="18"/>
          <w:color w:val="auto"/>
        </w:rPr>
        <w:t>” means the European Monetary System established by the Resolution of December 5, 1978 of the Council of the European Communities.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and the rules and regulations promulgated by the Commission thereunder and any statute successor thereto, in each case as amended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40" w:name="page241"/>
    <w:bookmarkEnd w:id="240"/>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Exchange Rate Agent</w:t>
      </w:r>
      <w:r>
        <w:rPr>
          <w:rFonts w:ascii="Arial" w:cs="Arial" w:eastAsia="Arial" w:hAnsi="Arial"/>
          <w:sz w:val="18"/>
          <w:szCs w:val="18"/>
          <w:color w:val="auto"/>
        </w:rPr>
        <w:t>”, with respect to Securities of or within any series, means, unless otherwise specified with respect to any Securities pursuant to Section 3.01, a New York Clearing House bank designated pursuant to Section 3.01 or Section 3.13.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 Officer’s Certificate</w:t>
      </w:r>
      <w:r>
        <w:rPr>
          <w:rFonts w:ascii="Arial" w:cs="Arial" w:eastAsia="Arial" w:hAnsi="Arial"/>
          <w:sz w:val="17"/>
          <w:szCs w:val="17"/>
          <w:color w:val="auto"/>
        </w:rPr>
        <w:t>” means a certificate setting forth (i) the applicable Market Exchange Rate or the applicable bid quotation and</w:t>
      </w:r>
    </w:p>
    <w:p>
      <w:pPr>
        <w:spacing w:after="0" w:line="35" w:lineRule="exact"/>
        <w:rPr>
          <w:sz w:val="20"/>
          <w:szCs w:val="20"/>
          <w:color w:val="auto"/>
        </w:rPr>
      </w:pPr>
    </w:p>
    <w:p>
      <w:pPr>
        <w:ind w:firstLine="8"/>
        <w:spacing w:after="0" w:line="302" w:lineRule="auto"/>
        <w:tabs>
          <w:tab w:leader="none" w:pos="26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Financial Officer or any Vice President of the Company.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Notice</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Period</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any Currency, including, without limitation, the ECU, issued by the government of one or more countries other than the United States of America or by any recognized confederation or association of such governments.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Obligations</w:t>
      </w:r>
      <w:r>
        <w:rPr>
          <w:rFonts w:ascii="Arial" w:cs="Arial" w:eastAsia="Arial" w:hAnsi="Arial"/>
          <w:sz w:val="17"/>
          <w:szCs w:val="17"/>
          <w:color w:val="auto"/>
        </w:rPr>
        <w:t>” means securities that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that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 Registered Security, the Person in whose name a Security is registered in the Security Register.</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that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41" w:name="page242"/>
    <w:bookmarkEnd w:id="241"/>
    <w:p>
      <w:pPr>
        <w:jc w:val="both"/>
        <w:ind w:right="3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Junior Subordinated Securities</w:t>
      </w:r>
      <w:r>
        <w:rPr>
          <w:rFonts w:ascii="Arial" w:cs="Arial" w:eastAsia="Arial" w:hAnsi="Arial"/>
          <w:sz w:val="18"/>
          <w:szCs w:val="18"/>
          <w:color w:val="auto"/>
        </w:rPr>
        <w:t>” means any Security or Securities designated pursuant to Section 3.01 as a Junior Subordinated Security.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Subordinated Indebtedness</w:t>
      </w:r>
      <w:r>
        <w:rPr>
          <w:rFonts w:ascii="Arial" w:cs="Arial" w:eastAsia="Arial" w:hAnsi="Arial"/>
          <w:sz w:val="18"/>
          <w:szCs w:val="18"/>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ranks junior in right of payment to the Company’s Senior Indebtedness and Senior Subordinated Indebtedness and equally and pari passu in right of payment to any other Junior Subordinated Indebtedness, (b) Junior Subordinated Securities, and (c) renewals, extensions, modifications and refinancings of any such indebtedness.</w:t>
      </w:r>
    </w:p>
    <w:p>
      <w:pPr>
        <w:spacing w:after="0" w:line="19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Exchange Rate</w:t>
      </w:r>
      <w:r>
        <w:rPr>
          <w:rFonts w:ascii="Arial" w:cs="Arial" w:eastAsia="Arial" w:hAnsi="Arial"/>
          <w:sz w:val="16"/>
          <w:szCs w:val="16"/>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w:t>
      </w:r>
    </w:p>
    <w:p>
      <w:pPr>
        <w:spacing w:after="0" w:line="7" w:lineRule="exact"/>
        <w:rPr>
          <w:sz w:val="20"/>
          <w:szCs w:val="20"/>
          <w:color w:val="auto"/>
        </w:rPr>
      </w:pPr>
    </w:p>
    <w:p>
      <w:pPr>
        <w:ind w:right="80" w:firstLine="8"/>
        <w:spacing w:after="0" w:line="252" w:lineRule="auto"/>
        <w:tabs>
          <w:tab w:leader="none" w:pos="26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 as determined by the Exchange Rate Agent, in its sole discretion.</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Default</w:t>
      </w:r>
      <w:r>
        <w:rPr>
          <w:rFonts w:ascii="Arial" w:cs="Arial" w:eastAsia="Arial" w:hAnsi="Arial"/>
          <w:sz w:val="18"/>
          <w:szCs w:val="18"/>
          <w:color w:val="auto"/>
        </w:rPr>
        <w:t>” has the meaning provided in Section 5.01.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42" w:name="page243"/>
    <w:bookmarkEnd w:id="242"/>
    <w:p>
      <w:pPr>
        <w:ind w:right="38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means a certificate signed by a Chief Executive Officer and by the Chief Financial Officer, the Chief Operating Officer, the Chief Compliance Officer, any Vice President, the Secretary or an Assistant Secretary of the Company, and delivered to the Trustee.</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counsel for the Company or who may be an employee of or other counsel for the Company acceptable to the Trustee.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Reset Date</w:t>
      </w:r>
      <w:r>
        <w:rPr>
          <w:rFonts w:ascii="Arial" w:cs="Arial" w:eastAsia="Arial" w:hAnsi="Arial"/>
          <w:sz w:val="18"/>
          <w:szCs w:val="18"/>
          <w:color w:val="auto"/>
        </w:rPr>
        <w:t>” has the meaning specified in Section 3.07(b).</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Stated Maturity</w:t>
      </w:r>
      <w:r>
        <w:rPr>
          <w:rFonts w:ascii="Arial" w:cs="Arial" w:eastAsia="Arial" w:hAnsi="Arial"/>
          <w:sz w:val="18"/>
          <w:szCs w:val="18"/>
          <w:color w:val="auto"/>
        </w:rPr>
        <w:t>” has the meaning specified in Section 3.08.</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xml:space="preserve">”, when used with respect to Securities or any series of Securities, means, as of the date of determination, all Securities or all Securities of such series, as the case may be, theretofore authenticated and delivered under this Indenture, </w:t>
      </w:r>
      <w:r>
        <w:rPr>
          <w:rFonts w:ascii="Arial" w:cs="Arial" w:eastAsia="Arial" w:hAnsi="Arial"/>
          <w:sz w:val="18"/>
          <w:szCs w:val="18"/>
          <w:u w:val="single" w:color="auto"/>
          <w:color w:val="auto"/>
        </w:rPr>
        <w:t>except</w:t>
      </w:r>
      <w:r>
        <w:rPr>
          <w:rFonts w:ascii="Arial" w:cs="Arial" w:eastAsia="Arial" w:hAnsi="Arial"/>
          <w:sz w:val="18"/>
          <w:szCs w:val="18"/>
          <w:color w:val="auto"/>
        </w:rPr>
        <w:t>:</w:t>
      </w:r>
    </w:p>
    <w:p>
      <w:pPr>
        <w:spacing w:after="0" w:line="62" w:lineRule="exact"/>
        <w:rPr>
          <w:sz w:val="20"/>
          <w:szCs w:val="20"/>
          <w:color w:val="auto"/>
        </w:rPr>
      </w:pPr>
    </w:p>
    <w:p>
      <w:pPr>
        <w:ind w:left="1120" w:hanging="217"/>
        <w:spacing w:after="0"/>
        <w:tabs>
          <w:tab w:leader="none" w:pos="11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17" w:lineRule="exact"/>
        <w:rPr>
          <w:rFonts w:ascii="Arial" w:cs="Arial" w:eastAsia="Arial" w:hAnsi="Arial"/>
          <w:sz w:val="18"/>
          <w:szCs w:val="18"/>
          <w:color w:val="auto"/>
        </w:rPr>
      </w:pPr>
    </w:p>
    <w:p>
      <w:pPr>
        <w:ind w:left="460" w:right="200" w:firstLine="443"/>
        <w:spacing w:after="0" w:line="302" w:lineRule="auto"/>
        <w:tabs>
          <w:tab w:leader="none" w:pos="116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Securities are to be redeemed, notice of such redemption has been duly given pursuant to this Indenture or provision therefor satisfactory to the Trustee has been made;</w:t>
      </w:r>
    </w:p>
    <w:p>
      <w:pPr>
        <w:spacing w:after="0" w:line="46" w:lineRule="exact"/>
        <w:rPr>
          <w:rFonts w:ascii="Arial" w:cs="Arial" w:eastAsia="Arial" w:hAnsi="Arial"/>
          <w:sz w:val="16"/>
          <w:szCs w:val="16"/>
          <w:color w:val="auto"/>
        </w:rPr>
      </w:pPr>
    </w:p>
    <w:p>
      <w:pPr>
        <w:ind w:left="460" w:right="340" w:firstLine="443"/>
        <w:spacing w:after="0" w:line="277" w:lineRule="auto"/>
        <w:tabs>
          <w:tab w:leader="none" w:pos="121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Sections 14.02 and 14.03, with respect to which the Company has effected defeasance and/or covenant defeasance as provided in Article Fourteen; and</w:t>
      </w:r>
    </w:p>
    <w:p>
      <w:pPr>
        <w:spacing w:after="0" w:line="62" w:lineRule="exact"/>
        <w:rPr>
          <w:rFonts w:ascii="Arial" w:cs="Arial" w:eastAsia="Arial" w:hAnsi="Arial"/>
          <w:sz w:val="18"/>
          <w:szCs w:val="18"/>
          <w:color w:val="auto"/>
        </w:rPr>
      </w:pPr>
    </w:p>
    <w:p>
      <w:pPr>
        <w:ind w:left="460" w:right="60" w:firstLine="443"/>
        <w:spacing w:after="0" w:line="286" w:lineRule="auto"/>
        <w:tabs>
          <w:tab w:leader="none" w:pos="1203"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43" w:name="page244"/>
    <w:bookmarkEnd w:id="243"/>
    <w:p>
      <w:pPr>
        <w:jc w:val="both"/>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(or premium, if any) or interest, if any, on any Securities on behalf of the Company.</w:t>
      </w:r>
    </w:p>
    <w:p>
      <w:pPr>
        <w:spacing w:after="0" w:line="170" w:lineRule="exact"/>
        <w:rPr>
          <w:sz w:val="20"/>
          <w:szCs w:val="20"/>
          <w:color w:val="auto"/>
        </w:rPr>
      </w:pPr>
    </w:p>
    <w:p>
      <w:pPr>
        <w:ind w:right="1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limited liability company, trust, unincorporated organization or government or any agency or political subdivision thereof, or any other entity.</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when used with respect to the Securities of or within any series, means the place or places where the principal of (and premium, if any) and interest, if any, on such Securities are payable as specified and as contemplated by Sections 3.01 and 10.02.</w:t>
      </w:r>
    </w:p>
    <w:p>
      <w:pPr>
        <w:spacing w:after="0" w:line="17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Predecessor Security</w:t>
      </w:r>
      <w:r>
        <w:rPr>
          <w:rFonts w:ascii="Arial" w:cs="Arial" w:eastAsia="Arial" w:hAnsi="Arial"/>
          <w:sz w:val="17"/>
          <w:szCs w:val="17"/>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Security to be redeemed, means the price at which it is to be redeemed pursuant to this Indenture.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that is registered in the Security Register.</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Date</w:t>
      </w:r>
      <w:r>
        <w:rPr>
          <w:rFonts w:ascii="Arial" w:cs="Arial" w:eastAsia="Arial" w:hAnsi="Arial"/>
          <w:sz w:val="18"/>
          <w:szCs w:val="18"/>
          <w:color w:val="auto"/>
        </w:rPr>
        <w:t>” means, when used with respect to any Security to be repaid at the option of the Holder, means the date fixed for such repayment by or pursuant to this Indenture.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Price</w:t>
      </w:r>
      <w:r>
        <w:rPr>
          <w:rFonts w:ascii="Arial" w:cs="Arial" w:eastAsia="Arial" w:hAnsi="Arial"/>
          <w:sz w:val="18"/>
          <w:szCs w:val="18"/>
          <w:color w:val="auto"/>
        </w:rPr>
        <w:t>” means, when used with respect to any Security to be repaid at the option of the Holder, means the price at which it is to be repaid by or pursuant to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Notice</w:t>
      </w:r>
      <w:r>
        <w:rPr>
          <w:rFonts w:ascii="Arial" w:cs="Arial" w:eastAsia="Arial" w:hAnsi="Arial"/>
          <w:sz w:val="18"/>
          <w:szCs w:val="18"/>
          <w:color w:val="auto"/>
        </w:rPr>
        <w:t>” has the meaning specified in Section 3.07(b).</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of the Trustee assigned by the Trustee to administer its corporate trust matters or to whom any corporate trust matter is referred because of such officer’s knowledge of and familiarity with the particular subject and in each case who shall have direct responsibility for the administration of this Indenture.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Person acting as Trustee under this Indenture, “Securities” with respect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44" w:name="page245"/>
    <w:bookmarkEnd w:id="244"/>
    <w:p>
      <w:pPr>
        <w:ind w:right="3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Indebtedness</w:t>
      </w:r>
      <w:r>
        <w:rPr>
          <w:rFonts w:ascii="Arial" w:cs="Arial" w:eastAsia="Arial" w:hAnsi="Arial"/>
          <w:sz w:val="16"/>
          <w:szCs w:val="16"/>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under which the same is outstanding it is provided that such indebtedness is not senior or prior in right of payment to Subordinated Indebtedness, (b) Senior Securities, and (c) renewals, extensions, modifications and refinancings of any such indebtedness.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Security or Securities designated pursuant to Section 3.01 as a Senior Security.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Subordinated Indebtedness</w:t>
      </w:r>
      <w:r>
        <w:rPr>
          <w:rFonts w:ascii="Arial" w:cs="Arial" w:eastAsia="Arial" w:hAnsi="Arial"/>
          <w:sz w:val="18"/>
          <w:szCs w:val="18"/>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that in the instrument creating or evidencing the same or pursuant to which the same is outstanding it is provided that such indebtedness ranks junior in right of payment to the Company’s Senior Indebtedness, equally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Subordinated Indebtedness and senior in right of payment to any Junior Subordinated Indebtedness, (b) Senior Subordinated Securities, and (c) renewals, extensions, modifications and refinancings of any such indebtedness.</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Subordinated Security</w:t>
      </w:r>
      <w:r>
        <w:rPr>
          <w:rFonts w:ascii="Arial" w:cs="Arial" w:eastAsia="Arial" w:hAnsi="Arial"/>
          <w:sz w:val="18"/>
          <w:szCs w:val="18"/>
          <w:color w:val="auto"/>
        </w:rPr>
        <w:t>” or “</w:t>
      </w:r>
      <w:r>
        <w:rPr>
          <w:rFonts w:ascii="Arial" w:cs="Arial" w:eastAsia="Arial" w:hAnsi="Arial"/>
          <w:sz w:val="18"/>
          <w:szCs w:val="18"/>
          <w:u w:val="single" w:color="auto"/>
          <w:color w:val="auto"/>
        </w:rPr>
        <w:t>Senior Subordinated Securities</w:t>
      </w:r>
      <w:r>
        <w:rPr>
          <w:rFonts w:ascii="Arial" w:cs="Arial" w:eastAsia="Arial" w:hAnsi="Arial"/>
          <w:sz w:val="18"/>
          <w:szCs w:val="18"/>
          <w:color w:val="auto"/>
        </w:rPr>
        <w:t>” means any Security or Securities designated pursuant to Section 3.01 as a Senior Subordinated Security.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on the Registered Securities of or within any series means a date fixed by the Trustee pursuant to Section 3.07.</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Amount</w:t>
      </w:r>
      <w:r>
        <w:rPr>
          <w:rFonts w:ascii="Arial" w:cs="Arial" w:eastAsia="Arial" w:hAnsi="Arial"/>
          <w:sz w:val="18"/>
          <w:szCs w:val="18"/>
          <w:color w:val="auto"/>
        </w:rPr>
        <w:t>” has the meaning specified in Section 3.12(h).</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Senior Subordinated Indebtedness or Junior Subordinated Indebtedness.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Interest Period</w:t>
      </w:r>
      <w:r>
        <w:rPr>
          <w:rFonts w:ascii="Arial" w:cs="Arial" w:eastAsia="Arial" w:hAnsi="Arial"/>
          <w:sz w:val="18"/>
          <w:szCs w:val="18"/>
          <w:color w:val="auto"/>
        </w:rPr>
        <w:t>” has the meaning specified in Section 3.07(b).</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w:t>
      </w:r>
    </w:p>
    <w:p>
      <w:pPr>
        <w:spacing w:after="0" w:line="18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or “</w:t>
      </w:r>
      <w:r>
        <w:rPr>
          <w:rFonts w:ascii="Arial" w:cs="Arial" w:eastAsia="Arial" w:hAnsi="Arial"/>
          <w:sz w:val="18"/>
          <w:szCs w:val="18"/>
          <w:u w:val="single" w:color="auto"/>
          <w:color w:val="auto"/>
        </w:rPr>
        <w:t>TIA</w:t>
      </w:r>
      <w:r>
        <w:rPr>
          <w:rFonts w:ascii="Arial" w:cs="Arial" w:eastAsia="Arial" w:hAnsi="Arial"/>
          <w:sz w:val="18"/>
          <w:szCs w:val="18"/>
          <w:color w:val="auto"/>
        </w:rPr>
        <w:t>” means the Trust Indenture Act of 1939, as amended, as in force at the date as of which this Indenture was executed, except as provided in Section 9.05.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45" w:name="page246"/>
    <w:bookmarkEnd w:id="24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there is more than one such Person, “Trustee” as used with respect to the Securities of any series shall mean only the Trustee with respect to Securities of that series.</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means, unless otherwise specified with respect to any Securities pursuant to Section 3.01, any individual who is a citizen or resident of the United States, a corporation, partnership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Date</w:t>
      </w:r>
      <w:r>
        <w:rPr>
          <w:rFonts w:ascii="Arial" w:cs="Arial" w:eastAsia="Arial" w:hAnsi="Arial"/>
          <w:sz w:val="18"/>
          <w:szCs w:val="18"/>
          <w:color w:val="auto"/>
        </w:rPr>
        <w:t>” has the meaning specified in Section 3.12(c).</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3" w:lineRule="exact"/>
        <w:rPr>
          <w:sz w:val="20"/>
          <w:szCs w:val="20"/>
          <w:color w:val="auto"/>
        </w:rPr>
      </w:pPr>
    </w:p>
    <w:p>
      <w:pPr>
        <w:ind w:right="1020" w:firstLine="456"/>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(other than pursuant to Section 10.05) shall include;</w:t>
      </w:r>
    </w:p>
    <w:p>
      <w:pPr>
        <w:spacing w:after="0" w:line="170" w:lineRule="exact"/>
        <w:rPr>
          <w:sz w:val="20"/>
          <w:szCs w:val="20"/>
          <w:color w:val="auto"/>
        </w:rPr>
      </w:pPr>
    </w:p>
    <w:p>
      <w:pPr>
        <w:ind w:left="700" w:hanging="236"/>
        <w:spacing w:after="0"/>
        <w:tabs>
          <w:tab w:leader="none" w:pos="7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 brief statement as to the nature and scope of the examination or investigation upon which the statements contained in such certificate are based;</w:t>
      </w:r>
    </w:p>
    <w:p>
      <w:pPr>
        <w:spacing w:after="0" w:line="248" w:lineRule="exact"/>
        <w:rPr>
          <w:rFonts w:ascii="Arial" w:cs="Arial" w:eastAsia="Arial" w:hAnsi="Arial"/>
          <w:sz w:val="16"/>
          <w:szCs w:val="16"/>
          <w:color w:val="auto"/>
        </w:rPr>
      </w:pPr>
    </w:p>
    <w:p>
      <w:pPr>
        <w:ind w:right="640" w:firstLine="464"/>
        <w:spacing w:after="0" w:line="277" w:lineRule="auto"/>
        <w:tabs>
          <w:tab w:leader="none" w:pos="70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statement that such individual signing the certificate or opinion has made such examination or investigation as is necessary to enable such individual to express an informed belief as to whether or not such condition or covenant has been complied with;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statement as to whether such individual believes such condition or covenant has been complied 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46" w:name="page247"/>
    <w:bookmarkEnd w:id="2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Form of Documents Delivered to Trustee</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64" w:lineRule="auto"/>
        <w:tabs>
          <w:tab w:leader="none" w:pos="70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8" w:lineRule="exact"/>
        <w:rPr>
          <w:sz w:val="20"/>
          <w:szCs w:val="20"/>
          <w:color w:val="auto"/>
        </w:rPr>
      </w:pPr>
    </w:p>
    <w:p>
      <w:pPr>
        <w:ind w:right="40" w:firstLine="464"/>
        <w:spacing w:after="0" w:line="297" w:lineRule="auto"/>
        <w:tabs>
          <w:tab w:leader="none" w:pos="71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w:t>
      </w:r>
    </w:p>
    <w:p>
      <w:pPr>
        <w:spacing w:after="0" w:line="158" w:lineRule="exact"/>
        <w:rPr>
          <w:rFonts w:ascii="Arial" w:cs="Arial" w:eastAsia="Arial" w:hAnsi="Arial"/>
          <w:sz w:val="16"/>
          <w:szCs w:val="16"/>
          <w:color w:val="auto"/>
        </w:rPr>
      </w:pPr>
    </w:p>
    <w:p>
      <w:pPr>
        <w:ind w:left="700" w:hanging="236"/>
        <w:spacing w:after="0"/>
        <w:tabs>
          <w:tab w:leader="none" w:pos="7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ownership of Registered Securities shall be proved by the Security Register.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64"/>
        <w:spacing w:after="0" w:line="286" w:lineRule="auto"/>
        <w:tabs>
          <w:tab w:leader="none" w:pos="70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47" w:name="page248"/>
    <w:bookmarkEnd w:id="24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79" w:lineRule="exact"/>
        <w:rPr>
          <w:sz w:val="20"/>
          <w:szCs w:val="20"/>
          <w:color w:val="auto"/>
        </w:rPr>
      </w:pPr>
    </w:p>
    <w:p>
      <w:pPr>
        <w:ind w:right="20" w:firstLine="464"/>
        <w:spacing w:after="0" w:line="259" w:lineRule="auto"/>
        <w:tabs>
          <w:tab w:leader="none" w:pos="68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62" w:lineRule="exact"/>
        <w:rPr>
          <w:sz w:val="20"/>
          <w:szCs w:val="20"/>
          <w:color w:val="auto"/>
        </w:rPr>
      </w:pPr>
    </w:p>
    <w:p>
      <w:pPr>
        <w:ind w:left="460" w:right="20" w:firstLine="443"/>
        <w:spacing w:after="0" w:line="291" w:lineRule="auto"/>
        <w:tabs>
          <w:tab w:leader="none" w:pos="1113"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Trustee by any Holder or by the Company shall be sufficient for every purpose hereunder if in writing and sent, first-class postage prepaid, or sent via overnight courier guaranteeing next day delivery, or same day messenger service or by electronic mail (in PDF) to the Trustee at its</w:t>
      </w:r>
    </w:p>
    <w:p>
      <w:pPr>
        <w:ind w:left="460"/>
        <w:spacing w:after="0"/>
        <w:tabs>
          <w:tab w:leader="none" w:pos="7900" w:val="left"/>
        </w:tabs>
        <w:rPr>
          <w:sz w:val="20"/>
          <w:szCs w:val="20"/>
          <w:color w:val="auto"/>
        </w:rPr>
      </w:pPr>
      <w:r>
        <w:rPr>
          <w:rFonts w:ascii="Arial" w:cs="Arial" w:eastAsia="Arial" w:hAnsi="Arial"/>
          <w:sz w:val="18"/>
          <w:szCs w:val="18"/>
          <w:color w:val="auto"/>
        </w:rPr>
        <w:t>Corporate Trust Office, Attention: TPG Specialty Lending [identify Securities], email address: [</w:t>
      </w:r>
      <w:r>
        <w:rPr>
          <w:sz w:val="20"/>
          <w:szCs w:val="20"/>
          <w:color w:val="auto"/>
        </w:rPr>
        <w:tab/>
      </w:r>
      <w:r>
        <w:rPr>
          <w:rFonts w:ascii="Arial" w:cs="Arial" w:eastAsia="Arial" w:hAnsi="Arial"/>
          <w:sz w:val="17"/>
          <w:szCs w:val="17"/>
          <w:color w:val="auto"/>
        </w:rPr>
        <w:t>], or</w:t>
      </w:r>
    </w:p>
    <w:p>
      <w:pPr>
        <w:spacing w:after="0" w:line="103" w:lineRule="exact"/>
        <w:rPr>
          <w:sz w:val="20"/>
          <w:szCs w:val="20"/>
          <w:color w:val="auto"/>
        </w:rPr>
      </w:pPr>
    </w:p>
    <w:p>
      <w:pPr>
        <w:ind w:left="460" w:right="120" w:firstLine="443"/>
        <w:spacing w:after="0" w:line="257" w:lineRule="auto"/>
        <w:tabs>
          <w:tab w:leader="none" w:pos="116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sent, first-class postage prepaid, or sent via overnight courier guaranteeing next day delivery, or same day messenger service, or by electronic mail (in PDF), to the Company, to the attention of its Chief Financial Officer at 888 Seventh Avenue, 35th Floor, New York, New York 10019, with a copy to TPG Specialty Lending, Inc., 345 California Street, Suite 3300, San Francisco, CA 94104, Attention: TSL Chief Compliance Officer.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All notices and communications (other than those sent to Holders) shall be deemed to have been duly given: (i) at the time delivered by hand, if personally delivered; (ii) when return receipt is delivered, if delivered by electronic mail; (iii) five Business Days after being deposited in the mail, postage prepaid; and (iv) the next Business Day after timely delivery to the courier, if sent by overnight air courier guaranteeing next day delivery.</w:t>
      </w:r>
    </w:p>
    <w:p>
      <w:pPr>
        <w:spacing w:after="0" w:line="166"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Whenever under this Indenture the Trustee or the Company is required to provide any notice by mail, in all cases each of the Trustee and the Company may alternatively provide notice by overnight courier, by facsimile, with confirmation of transmission, or by electronic mail, with return receipt requested.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Where this Indenture provides for notice of any event to Holders of Registered Securities by the Company or the Trustee, such notice shall be sufficiently given (unless otherwise herein expressly provided) if in writing and mailed, first-class postage prepaid, by overnight courier guaranteeing next day delivery, by facsimile or by electronic mail to each such Holder affected by such event, at his address, facsimile number or email address as it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8" w:name="page249"/>
    <w:bookmarkEnd w:id="24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appears in the Security Register, not later than the latest date, and not earlier than the earliest date, prescribed for the giving of such notice. Any notice or communication shall also be so delivered to any Person described in TIA Section 313(c), to the extent required by the TIA. In any case where notice to Holders of Registered Securities is given as provided herein, neither the failure to send such notice, nor any defect in any notice so sent, to any particular Holder shall affect the sufficiency of such notice with respect to other Holders of Registered Securities. Any notice mailed or sent to a Holder in the manner herein prescribed shall be conclusively deemed to have been received by such Holder, whether or not such Holder actually receives such notice. In the case of a global Security, notices shall be given in accordance with the applicable procedures of the Depositary.</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Separability Clause</w:t>
      </w:r>
      <w:r>
        <w:rPr>
          <w:rFonts w:ascii="Arial" w:cs="Arial" w:eastAsia="Arial" w:hAnsi="Arial"/>
          <w:sz w:val="18"/>
          <w:szCs w:val="18"/>
          <w:color w:val="auto"/>
        </w:rPr>
        <w:t>.</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This Indenture and the Securities shall be governed by and construed in accordance with the law of the State of New York without regard to principles of conflicts of laws that would cause the application of laws of another jurisdiction. This Indenture is subject to the provisions of the Trust Indenture Act that are required to be part of this Indenture and shall, to the extent applicable, be governed by such provisions.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49" w:name="page250"/>
    <w:bookmarkEnd w:id="24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1.12.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interest shall accrue on the amount so payable for the period from and after such Interest Payment Date, Redemption Date, Repayment Date, sinking fund payment date, Stated Maturity or Maturity, as the case may be.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1.13. S</w:t>
      </w:r>
      <w:r>
        <w:rPr>
          <w:rFonts w:ascii="Arial" w:cs="Arial" w:eastAsia="Arial" w:hAnsi="Arial"/>
          <w:sz w:val="18"/>
          <w:szCs w:val="18"/>
          <w:u w:val="single" w:color="auto"/>
          <w:color w:val="auto"/>
        </w:rPr>
        <w:t>ubmission to Jurisdiction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hereby irrevocably submits to the non-exclusive jurisdiction of any New York state or federal court sitting in The City of New York in any action or proceeding arising out of or relating to the Indenture and the Securities of any series, and the Company hereby irrevocably agrees that all claims in respect of such action or proceeding may be heard and determined in such New York state or federal court. The Company hereby irrevocably waives, to the fullest extent it may effectively do so, the defense of an inconvenient forum to the maintenance of such action or proceeding.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FORMS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of Securities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Registered Securities of each series,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50" w:name="page251"/>
    <w:bookmarkEnd w:id="250"/>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definitive Securities shall be printed, lithographed or engraved or produced by any combination of these methods on a steel engraved border or steel engraved borders or may be produced in any other manner, all as determined by the officers executing such Securities, as evidenced by their execution of such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Section 6.11, the Trustee’s certificate of authentication shall be in substantially the following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Securities Issuable in Global Form</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Securities of or within a series are issuable in global form, as specified as contemplated by Section 3.01, then, notwithstanding clause (viii)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provisions of the second to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with regard to the reduction in the principal amount of Securities represented thereby, together with the written statement contemplated by the second to last sentence of Section 3.03.</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the Trustee, any authenticating agent, any Paying Agent, and any Securities Registrar may deem the Person in whose name a Security shall be registered upon the Security Register to be, and may treat it as, the absolute owner of such Security (whether or not such Security shall be overdue and notwithstanding any notation of ownership or other writing thereon made by any Person other than the Company or any Security Registrar) for the purpose of receiving payment of or on account of the principal of and (subject to Section 3.07) accrued and unpaid interest on such Security, for conversion of such Security and for all other purposes; and neither the Company nor the Trustee nor any Paying Agent nor any Conversion Agent nor any Security Registrar shall be affected by any notice to the contrary. All such payments so made to any Holder for the time being, or upon its order, shall be valid, and, to the extent of the sum or sums so paid, effectual to satisfy and discharge the liability for monies payable upon any such Security.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51" w:name="page252"/>
    <w:bookmarkEnd w:id="251"/>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otherwise specified as contemplated by Section 3.01 for the Securities evidenced thereby, every global Security authenticated and delivered hereunder shall bear a legend in substantially the following form:</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 xml:space="preserve">The Securities may be issued in one or more series, each of which may consist of one or more tranches, and shall be designated as Senior Securities, Senior Subordinated Securities or Junior Subordinated Securities. Senior Securities are unsubordinated, shall rank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of the Company’s Senior Indebtedness and senior to all Subordinated Securities. Senior Subordinated Securities shall rank junior to the Company’s Senior Indebtedness,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Senior Subordinated Indebtedness and senior to any Junior Subordinated Indebtedness. Junior Subordinated Securities shall rank junior to the Company’s Senior Indebtedness and any Senior Subordinated Indebtedness and equally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other Junior Subordinated Indebtedness. There shall be (i) established in one or more Board Resolutions or pursuant to authority granted by one or more Board Resolutions and, subject to Section 3.03, set forth, or determined in the manner provided, in an Officers’ Certificate, or (ii) established in one or more indentures supplemental hereto, prior to the issuance of Securities of any series, any or all of the following, as applicable (each of which (except for the matters set forth in clauses (i), (ii) and (xv) below), if so provided, may be determined from time to time by the Company with respect to unissued Securities of the series when issued from time to time, as provided in Section 3.03):</w:t>
      </w:r>
    </w:p>
    <w:p>
      <w:pPr>
        <w:spacing w:after="0" w:line="70" w:lineRule="exact"/>
        <w:rPr>
          <w:sz w:val="20"/>
          <w:szCs w:val="20"/>
          <w:color w:val="auto"/>
        </w:rPr>
      </w:pPr>
    </w:p>
    <w:p>
      <w:pPr>
        <w:ind w:left="460" w:right="160" w:firstLine="443"/>
        <w:spacing w:after="0" w:line="277" w:lineRule="auto"/>
        <w:tabs>
          <w:tab w:leader="none" w:pos="111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(which shall distinguish the Securities of such series from all other series of Securities);</w:t>
      </w:r>
    </w:p>
    <w:p>
      <w:pPr>
        <w:spacing w:after="0" w:line="62" w:lineRule="exact"/>
        <w:rPr>
          <w:rFonts w:ascii="Arial" w:cs="Arial" w:eastAsia="Arial" w:hAnsi="Arial"/>
          <w:sz w:val="18"/>
          <w:szCs w:val="18"/>
          <w:color w:val="auto"/>
        </w:rPr>
      </w:pPr>
    </w:p>
    <w:p>
      <w:pPr>
        <w:ind w:left="460" w:firstLine="443"/>
        <w:spacing w:after="0" w:line="259" w:lineRule="auto"/>
        <w:tabs>
          <w:tab w:leader="none" w:pos="116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spacing w:after="0" w:line="78" w:lineRule="exact"/>
        <w:rPr>
          <w:rFonts w:ascii="Arial" w:cs="Arial" w:eastAsia="Arial" w:hAnsi="Arial"/>
          <w:sz w:val="18"/>
          <w:szCs w:val="18"/>
          <w:color w:val="auto"/>
        </w:rPr>
      </w:pPr>
    </w:p>
    <w:p>
      <w:pPr>
        <w:ind w:left="460" w:right="220" w:firstLine="443"/>
        <w:spacing w:after="0" w:line="277" w:lineRule="auto"/>
        <w:tabs>
          <w:tab w:leader="none" w:pos="121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date or dates, or the method by which such date or dates will be determined or extended, on which the principal of the Securities of the series shall be payable;</w:t>
      </w:r>
    </w:p>
    <w:p>
      <w:pPr>
        <w:spacing w:after="0" w:line="62" w:lineRule="exact"/>
        <w:rPr>
          <w:rFonts w:ascii="Arial" w:cs="Arial" w:eastAsia="Arial" w:hAnsi="Arial"/>
          <w:sz w:val="18"/>
          <w:szCs w:val="18"/>
          <w:color w:val="auto"/>
        </w:rPr>
      </w:pPr>
    </w:p>
    <w:p>
      <w:pPr>
        <w:ind w:left="460" w:right="100" w:firstLine="443"/>
        <w:spacing w:after="0" w:line="257" w:lineRule="auto"/>
        <w:tabs>
          <w:tab w:leader="none" w:pos="120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will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w:t>
      </w:r>
    </w:p>
    <w:p>
      <w:pPr>
        <w:spacing w:after="0" w:line="80"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the City of New York, where the principal of (and premium, if any) and interest, if any, on Securities of the series shall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52" w:name="page253"/>
    <w:bookmarkEnd w:id="252"/>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payable, any Registered Securities of the series may be surrendered for registration of transfer, Securities of the series may be surrendered for exchange, where Securities of that series that are convertible or exchangeable may be surrendered for conversion or exchange, as applicable, and where notices or demands to or upon the Company in respect of the Securities of the series and this Indenture may be served;</w:t>
      </w:r>
    </w:p>
    <w:p>
      <w:pPr>
        <w:spacing w:after="0" w:line="57" w:lineRule="exact"/>
        <w:rPr>
          <w:sz w:val="20"/>
          <w:szCs w:val="20"/>
          <w:color w:val="auto"/>
        </w:rPr>
      </w:pPr>
    </w:p>
    <w:p>
      <w:pPr>
        <w:jc w:val="both"/>
        <w:ind w:right="40" w:firstLine="443"/>
        <w:spacing w:after="0" w:line="264" w:lineRule="auto"/>
        <w:tabs>
          <w:tab w:leader="none" w:pos="7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spacing w:after="0" w:line="73" w:lineRule="exact"/>
        <w:rPr>
          <w:rFonts w:ascii="Arial" w:cs="Arial" w:eastAsia="Arial" w:hAnsi="Arial"/>
          <w:sz w:val="18"/>
          <w:szCs w:val="18"/>
          <w:color w:val="auto"/>
        </w:rPr>
      </w:pPr>
    </w:p>
    <w:p>
      <w:pPr>
        <w:ind w:right="160" w:firstLine="443"/>
        <w:spacing w:after="0" w:line="259" w:lineRule="auto"/>
        <w:tabs>
          <w:tab w:leader="none" w:pos="79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78" w:lineRule="exact"/>
        <w:rPr>
          <w:rFonts w:ascii="Arial" w:cs="Arial" w:eastAsia="Arial" w:hAnsi="Arial"/>
          <w:sz w:val="18"/>
          <w:szCs w:val="18"/>
          <w:color w:val="auto"/>
        </w:rPr>
      </w:pPr>
    </w:p>
    <w:p>
      <w:pPr>
        <w:ind w:right="560" w:firstLine="443"/>
        <w:spacing w:after="0" w:line="277" w:lineRule="auto"/>
        <w:tabs>
          <w:tab w:leader="none" w:pos="8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 or denominations in which any Registered Securities of the series shall be issuable;</w:t>
      </w:r>
    </w:p>
    <w:p>
      <w:pPr>
        <w:spacing w:after="0" w:line="62" w:lineRule="exact"/>
        <w:rPr>
          <w:rFonts w:ascii="Arial" w:cs="Arial" w:eastAsia="Arial" w:hAnsi="Arial"/>
          <w:sz w:val="18"/>
          <w:szCs w:val="18"/>
          <w:color w:val="auto"/>
        </w:rPr>
      </w:pPr>
    </w:p>
    <w:p>
      <w:pPr>
        <w:ind w:left="740" w:hanging="297"/>
        <w:spacing w:after="0"/>
        <w:tabs>
          <w:tab w:leader="none" w:pos="7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other than the Trustee, the identity of each Security Registrar and/or Paying Agent;</w:t>
      </w:r>
    </w:p>
    <w:p>
      <w:pPr>
        <w:spacing w:after="0" w:line="117" w:lineRule="exact"/>
        <w:rPr>
          <w:rFonts w:ascii="Arial" w:cs="Arial" w:eastAsia="Arial" w:hAnsi="Arial"/>
          <w:sz w:val="18"/>
          <w:szCs w:val="18"/>
          <w:color w:val="auto"/>
        </w:rPr>
      </w:pPr>
    </w:p>
    <w:p>
      <w:pPr>
        <w:ind w:right="20" w:firstLine="443"/>
        <w:spacing w:after="0" w:line="259" w:lineRule="auto"/>
        <w:tabs>
          <w:tab w:leader="none" w:pos="69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spacing w:after="0" w:line="78" w:lineRule="exact"/>
        <w:rPr>
          <w:rFonts w:ascii="Arial" w:cs="Arial" w:eastAsia="Arial" w:hAnsi="Arial"/>
          <w:sz w:val="18"/>
          <w:szCs w:val="18"/>
          <w:color w:val="auto"/>
        </w:rPr>
      </w:pPr>
    </w:p>
    <w:p>
      <w:pPr>
        <w:ind w:right="300" w:firstLine="443"/>
        <w:spacing w:after="0" w:line="264" w:lineRule="auto"/>
        <w:tabs>
          <w:tab w:leader="none" w:pos="7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73" w:lineRule="exact"/>
        <w:rPr>
          <w:rFonts w:ascii="Arial" w:cs="Arial" w:eastAsia="Arial" w:hAnsi="Arial"/>
          <w:sz w:val="18"/>
          <w:szCs w:val="18"/>
          <w:color w:val="auto"/>
        </w:rPr>
      </w:pPr>
    </w:p>
    <w:p>
      <w:pPr>
        <w:jc w:val="both"/>
        <w:ind w:right="320" w:firstLine="443"/>
        <w:spacing w:after="0" w:line="264" w:lineRule="auto"/>
        <w:tabs>
          <w:tab w:leader="none" w:pos="79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73" w:lineRule="exact"/>
        <w:rPr>
          <w:rFonts w:ascii="Arial" w:cs="Arial" w:eastAsia="Arial" w:hAnsi="Arial"/>
          <w:sz w:val="18"/>
          <w:szCs w:val="18"/>
          <w:color w:val="auto"/>
        </w:rPr>
      </w:pPr>
    </w:p>
    <w:p>
      <w:pPr>
        <w:ind w:right="60" w:firstLine="443"/>
        <w:spacing w:after="0" w:line="297" w:lineRule="auto"/>
        <w:tabs>
          <w:tab w:leader="none" w:pos="84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w:t>
      </w:r>
    </w:p>
    <w:p>
      <w:pPr>
        <w:spacing w:after="0" w:line="50" w:lineRule="exact"/>
        <w:rPr>
          <w:rFonts w:ascii="Arial" w:cs="Arial" w:eastAsia="Arial" w:hAnsi="Arial"/>
          <w:sz w:val="16"/>
          <w:szCs w:val="16"/>
          <w:color w:val="auto"/>
        </w:rPr>
      </w:pPr>
    </w:p>
    <w:p>
      <w:pPr>
        <w:ind w:right="660" w:firstLine="443"/>
        <w:spacing w:after="0" w:line="277" w:lineRule="auto"/>
        <w:tabs>
          <w:tab w:leader="none" w:pos="83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provisions, if any, granting special rights to the Holders of Securities of the series, including, without limitation, with respect to any collateral securing such Securities;</w:t>
      </w:r>
    </w:p>
    <w:p>
      <w:pPr>
        <w:spacing w:after="0" w:line="62" w:lineRule="exact"/>
        <w:rPr>
          <w:rFonts w:ascii="Arial" w:cs="Arial" w:eastAsia="Arial" w:hAnsi="Arial"/>
          <w:sz w:val="18"/>
          <w:szCs w:val="18"/>
          <w:color w:val="auto"/>
        </w:rPr>
      </w:pPr>
    </w:p>
    <w:p>
      <w:pPr>
        <w:jc w:val="both"/>
        <w:ind w:right="260" w:firstLine="443"/>
        <w:spacing w:after="0" w:line="264" w:lineRule="auto"/>
        <w:tabs>
          <w:tab w:leader="none" w:pos="78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(including any deletions from, modifications of or additions to any of the provisions of Section 10.06) of the Company with respect to Securities of the series, whether or not such Events of Default or covenants are consistent with the Events of Default or covenants set forth herein;</w:t>
      </w:r>
    </w:p>
    <w:p>
      <w:pPr>
        <w:spacing w:after="0" w:line="73" w:lineRule="exact"/>
        <w:rPr>
          <w:rFonts w:ascii="Arial" w:cs="Arial" w:eastAsia="Arial" w:hAnsi="Arial"/>
          <w:sz w:val="18"/>
          <w:szCs w:val="18"/>
          <w:color w:val="auto"/>
        </w:rPr>
      </w:pPr>
    </w:p>
    <w:p>
      <w:pPr>
        <w:ind w:firstLine="443"/>
        <w:spacing w:after="0" w:line="257" w:lineRule="auto"/>
        <w:tabs>
          <w:tab w:leader="none" w:pos="83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and the circumstances under which and the place or places where such exchanges may be</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74" w:right="239" w:bottom="1440" w:gutter="0" w:footer="0" w:header="0"/>
        </w:sectPr>
      </w:pPr>
    </w:p>
    <w:bookmarkStart w:id="253" w:name="page254"/>
    <w:bookmarkEnd w:id="2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and if Securities of the series are to be issuable as a global Security, the identity of the depositary for such series;</w:t>
      </w:r>
    </w:p>
    <w:p>
      <w:pPr>
        <w:spacing w:after="0" w:line="117" w:lineRule="exact"/>
        <w:rPr>
          <w:sz w:val="20"/>
          <w:szCs w:val="20"/>
          <w:color w:val="auto"/>
        </w:rPr>
      </w:pPr>
    </w:p>
    <w:p>
      <w:pPr>
        <w:ind w:left="460" w:right="100" w:firstLine="443"/>
        <w:spacing w:after="0" w:line="277" w:lineRule="auto"/>
        <w:tabs>
          <w:tab w:leader="none" w:pos="134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date as of which any temporary global Security representing Outstanding Securities of the series shall be dated if other than the date of original issuance of the first Security of the series to be issued;</w:t>
      </w:r>
    </w:p>
    <w:p>
      <w:pPr>
        <w:spacing w:after="0" w:line="62" w:lineRule="exact"/>
        <w:rPr>
          <w:rFonts w:ascii="Arial" w:cs="Arial" w:eastAsia="Arial" w:hAnsi="Arial"/>
          <w:sz w:val="18"/>
          <w:szCs w:val="18"/>
          <w:color w:val="auto"/>
        </w:rPr>
      </w:pPr>
    </w:p>
    <w:p>
      <w:pPr>
        <w:ind w:left="460" w:firstLine="443"/>
        <w:spacing w:after="0" w:line="257" w:lineRule="auto"/>
        <w:tabs>
          <w:tab w:leader="none" w:pos="139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will be paid if other than in the manner provided in Section 3.07;</w:t>
      </w:r>
    </w:p>
    <w:p>
      <w:pPr>
        <w:spacing w:after="0" w:line="80" w:lineRule="exact"/>
        <w:rPr>
          <w:rFonts w:ascii="Arial" w:cs="Arial" w:eastAsia="Arial" w:hAnsi="Arial"/>
          <w:sz w:val="18"/>
          <w:szCs w:val="18"/>
          <w:color w:val="auto"/>
        </w:rPr>
      </w:pPr>
    </w:p>
    <w:p>
      <w:pPr>
        <w:ind w:left="460" w:right="40" w:firstLine="443"/>
        <w:spacing w:after="0" w:line="277" w:lineRule="auto"/>
        <w:tabs>
          <w:tab w:leader="none" w:pos="129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applicability, if any, of Sections 14.02 and/or 14.03 to the Securities of the series and any provisions in modification of, in addition to or in lieu of any of the provisions of Article Fourteen;</w:t>
      </w:r>
    </w:p>
    <w:p>
      <w:pPr>
        <w:spacing w:after="0" w:line="62" w:lineRule="exact"/>
        <w:rPr>
          <w:rFonts w:ascii="Arial" w:cs="Arial" w:eastAsia="Arial" w:hAnsi="Arial"/>
          <w:sz w:val="18"/>
          <w:szCs w:val="18"/>
          <w:color w:val="auto"/>
        </w:rPr>
      </w:pPr>
    </w:p>
    <w:p>
      <w:pPr>
        <w:ind w:left="460" w:right="20" w:firstLine="443"/>
        <w:spacing w:after="0" w:line="264" w:lineRule="auto"/>
        <w:tabs>
          <w:tab w:leader="none" w:pos="124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whether, under what circumstances and the Currency in which, the Company will pay Additional Amounts as contemplated by</w:t>
      </w:r>
    </w:p>
    <w:p>
      <w:pPr>
        <w:spacing w:after="0" w:line="23"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82" w:lineRule="exact"/>
        <w:rPr>
          <w:sz w:val="20"/>
          <w:szCs w:val="20"/>
          <w:color w:val="auto"/>
        </w:rPr>
      </w:pPr>
    </w:p>
    <w:p>
      <w:pPr>
        <w:ind w:left="1340" w:hanging="437"/>
        <w:spacing w:after="0"/>
        <w:tabs>
          <w:tab w:leader="none" w:pos="1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designation of the initial Exchange Rate Agent, if any;</w:t>
      </w:r>
    </w:p>
    <w:p>
      <w:pPr>
        <w:spacing w:after="0" w:line="117" w:lineRule="exact"/>
        <w:rPr>
          <w:rFonts w:ascii="Arial" w:cs="Arial" w:eastAsia="Arial" w:hAnsi="Arial"/>
          <w:sz w:val="18"/>
          <w:szCs w:val="18"/>
          <w:color w:val="auto"/>
        </w:rPr>
      </w:pPr>
    </w:p>
    <w:p>
      <w:pPr>
        <w:ind w:left="460" w:right="820" w:firstLine="443"/>
        <w:spacing w:after="0" w:line="277" w:lineRule="auto"/>
        <w:tabs>
          <w:tab w:leader="none" w:pos="139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Securities of the series are to be issued upon the exercise of warrants, the time, manner and place for such Securities to be authenticated and delivered;</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38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of any Person (including the Company), the terms and conditions upon which such Securities will be so convertible or exchangeable;</w:t>
      </w:r>
    </w:p>
    <w:p>
      <w:pPr>
        <w:spacing w:after="0" w:line="62" w:lineRule="exact"/>
        <w:rPr>
          <w:rFonts w:ascii="Arial" w:cs="Arial" w:eastAsia="Arial" w:hAnsi="Arial"/>
          <w:sz w:val="18"/>
          <w:szCs w:val="18"/>
          <w:color w:val="auto"/>
        </w:rPr>
      </w:pPr>
    </w:p>
    <w:p>
      <w:pPr>
        <w:ind w:left="1340" w:hanging="437"/>
        <w:spacing w:after="0"/>
        <w:tabs>
          <w:tab w:leader="none" w:pos="1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Securities of the series are to be listed on a securities exchange, the name of such exchange may be indicated; and</w:t>
      </w:r>
    </w:p>
    <w:p>
      <w:pPr>
        <w:spacing w:after="0" w:line="117" w:lineRule="exact"/>
        <w:rPr>
          <w:rFonts w:ascii="Arial" w:cs="Arial" w:eastAsia="Arial" w:hAnsi="Arial"/>
          <w:sz w:val="18"/>
          <w:szCs w:val="18"/>
          <w:color w:val="auto"/>
        </w:rPr>
      </w:pPr>
    </w:p>
    <w:p>
      <w:pPr>
        <w:ind w:left="460" w:right="220" w:firstLine="443"/>
        <w:spacing w:after="0" w:line="308" w:lineRule="auto"/>
        <w:tabs>
          <w:tab w:leader="none" w:pos="138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any other terms of the series (which terms shall not be inconsistent with the provisions of this Indenture or the requirements of the Trust Indenture Act, except as permitted by Section 9.01(v)), including, but not limited to, secured Securities and guarantees of Securities.</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(subject to Section 3.03) and set forth in the Officers’ Certificate referred to above or in any such indenture supplemental hereto.</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All Securities of any one series need not be issued at the same time and, unless otherwise provided, a series may be reopened, without the consent of the Holders, for issuances of additional Securities of such series.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54" w:name="page255"/>
    <w:bookmarkEnd w:id="2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Execution, Authentication, Delivery and Dating</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Securities shall be executed on behalf of the Company by a Chief Executive Officer, the Chief Financial Officer, Chief Operating Officer, Chief Compliance Officer, Secretary or one of its Vice Presidents. The signature of any of these officers on the Securities may be manual or by facsimile, .pdf attachment or other electronically transmitted signature (with an original manual signature to be sent to the Trustee via overnight mail immediately thereafter) of the present or any future such authorized officer and may be imprinted or otherwise reproduced on the Securities.</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Securities bearing the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67" w:lineRule="exact"/>
        <w:rPr>
          <w:sz w:val="20"/>
          <w:szCs w:val="20"/>
          <w:color w:val="auto"/>
        </w:rPr>
      </w:pPr>
    </w:p>
    <w:p>
      <w:pPr>
        <w:ind w:left="700" w:hanging="236"/>
        <w:spacing w:after="0"/>
        <w:tabs>
          <w:tab w:leader="none" w:pos="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Opinion of Counsel stating,</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that the form or forms of such Securities have been established in conformity with the provisions of this Indenture;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that the terms of such Securities have been established in conformity with the provisions of this Indenture; and</w:t>
      </w:r>
    </w:p>
    <w:p>
      <w:pPr>
        <w:spacing w:after="0" w:line="117" w:lineRule="exact"/>
        <w:rPr>
          <w:rFonts w:ascii="Arial" w:cs="Arial" w:eastAsia="Arial" w:hAnsi="Arial"/>
          <w:sz w:val="18"/>
          <w:szCs w:val="18"/>
          <w:color w:val="auto"/>
        </w:rPr>
      </w:pPr>
    </w:p>
    <w:p>
      <w:pPr>
        <w:ind w:left="460" w:right="100" w:firstLine="443"/>
        <w:spacing w:after="0" w:line="273" w:lineRule="auto"/>
        <w:tabs>
          <w:tab w:leader="none" w:pos="1213" w:val="left"/>
        </w:tabs>
        <w:numPr>
          <w:ilvl w:val="1"/>
          <w:numId w:val="189"/>
        </w:numPr>
        <w:rPr>
          <w:rFonts w:ascii="Arial" w:cs="Arial" w:eastAsia="Arial" w:hAnsi="Arial"/>
          <w:sz w:val="17"/>
          <w:szCs w:val="17"/>
          <w:color w:val="auto"/>
        </w:rPr>
      </w:pPr>
      <w:r>
        <w:rPr>
          <w:rFonts w:ascii="Arial" w:cs="Arial" w:eastAsia="Arial" w:hAnsi="Arial"/>
          <w:sz w:val="17"/>
          <w:szCs w:val="17"/>
          <w:color w:val="auto"/>
        </w:rPr>
        <w:t>that such Securities,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w:t>
      </w:r>
    </w:p>
    <w:p>
      <w:pPr>
        <w:spacing w:after="0" w:line="178" w:lineRule="exact"/>
        <w:rPr>
          <w:rFonts w:ascii="Arial" w:cs="Arial" w:eastAsia="Arial" w:hAnsi="Arial"/>
          <w:sz w:val="17"/>
          <w:szCs w:val="17"/>
          <w:color w:val="auto"/>
        </w:rPr>
      </w:pPr>
    </w:p>
    <w:p>
      <w:pPr>
        <w:ind w:right="340" w:firstLine="464"/>
        <w:spacing w:after="0" w:line="277" w:lineRule="auto"/>
        <w:tabs>
          <w:tab w:leader="none" w:pos="71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Officers’ Certificate stating, to the best of the knowledge of the signers of such certificate, that no Event of Default with respect to any of the Securities shall have occurred and be continuing.</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Notwithstanding the provisions of Section 3.01 and of this Section 3.03, if all the Securities of any series are not to be issued at one time, it shall not be necessary to deliver an Officers’ Certificate otherwise required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5" w:name="page256"/>
    <w:bookmarkEnd w:id="255"/>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Section 3.01 or the Company Order, Opinion of Counsel or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that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Registered Security shall be dated the date of its authentication.</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until authenticated substantially in the form set out in Section 2.02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to act as Depositary with respect to the global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in the case of temporary Securities in global form (which shall be exchanged as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and like tenor of definitive Securities of the same series of authorized denominations. Until so exchanged, the temporary Securities of any series shall in all respects be entitled to the same benefits under this Indenture as definitive Securities of such series.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Registration of Transfer and Exchange</w:t>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shall cause to be kept at the Corporate Trust Office of the Trustee or in any office or agency of the Company in a Place of Payment a register for each series of Securities (the registers maintained in such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56" w:name="page257"/>
    <w:bookmarkEnd w:id="256"/>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or in any such office or agency of the Company in a Place of Payment being herein sometimes referred to collectively as the “</w:t>
      </w:r>
      <w:r>
        <w:rPr>
          <w:rFonts w:ascii="Arial" w:cs="Arial" w:eastAsia="Arial" w:hAnsi="Arial"/>
          <w:sz w:val="16"/>
          <w:szCs w:val="16"/>
          <w:u w:val="single" w:color="auto"/>
          <w:color w:val="auto"/>
        </w:rPr>
        <w:t>Security Register</w:t>
      </w:r>
      <w:r>
        <w:rPr>
          <w:rFonts w:ascii="Arial" w:cs="Arial" w:eastAsia="Arial" w:hAnsi="Arial"/>
          <w:sz w:val="16"/>
          <w:szCs w:val="16"/>
          <w:color w:val="auto"/>
        </w:rPr>
        <w:t>”)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w:t>
      </w:r>
    </w:p>
    <w:p>
      <w:pPr>
        <w:spacing w:after="0" w:line="16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Upon surrender for registration of transfer of any Registered Security of any series to the Security Registrar or any co-Security Registrar, and satisfaction of the requirements for such transfer set forth in this Section 3.05, the Company shall execute, and the Trustee shall, upon receipt of a Company Order,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that the Holder making the exchange is entitled to receive.</w:t>
      </w:r>
    </w:p>
    <w:p>
      <w:pPr>
        <w:spacing w:after="0" w:line="154"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Whenever any Securities are so surrendered for exchange, the Company shall execute, and the Trustee, upon receipt of a Company Order, shall authenticate and deliver, the Securities that the Holder making the exchange is entitled to receive.</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Notwithstanding the foregoing, except as otherwise specified as contemplated by Section 3.01,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or interest, as the case may be, will not be payable on such Interest Payment Date or proposed date for payment, as the case may be, in respect of such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7" w:name="page258"/>
    <w:bookmarkEnd w:id="257"/>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70"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the day the relevant notice of redemption is sent, or (ii) to register the transfer of or exchange any Registered Security so selected for redemption in whole or in part, except, in the case of any Registered Security to be redeemed in part, the portion thereof not to be redeemed, or (iii) to issue, register the transfer of or exchange any Security that has been surrendered for repayment at the option of the Holder, except the portion, if any, of such Security not to be so repaid.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mutilated Security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there shall be delivered to the Company and to the Trustee (i) evidence to their satisfaction of the destruction, loss or theft of any Security, and</w:t>
      </w:r>
    </w:p>
    <w:p>
      <w:pPr>
        <w:spacing w:after="0" w:line="35" w:lineRule="exact"/>
        <w:rPr>
          <w:sz w:val="20"/>
          <w:szCs w:val="20"/>
          <w:color w:val="auto"/>
        </w:rPr>
      </w:pPr>
    </w:p>
    <w:p>
      <w:pPr>
        <w:ind w:right="40" w:firstLine="8"/>
        <w:spacing w:after="0" w:line="273" w:lineRule="auto"/>
        <w:tabs>
          <w:tab w:leader="none" w:pos="26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subject to the following paragraph, execute and upon its request the Trustee shall authenticate and deliver, in lieu of any such destroyed, lost or stolen Security, a new Security of the same series and principal amount, containing identical terms and provisions and bearing a number not contemporaneously outstanding.</w:t>
      </w:r>
    </w:p>
    <w:p>
      <w:pPr>
        <w:spacing w:after="0" w:line="17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Notwithstanding the provisions of the previous two paragraphs, 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shall constitute an original additional contractual obligation of the Company, whether or not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58" w:name="page259"/>
    <w:bookmarkEnd w:id="258"/>
    <w:p>
      <w:pPr>
        <w:ind w:right="9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destroyed, lost or stolen Security shall be at any time enforceable by anyone, and shall be entitled to all the benefits of this Indenture equally and proportionately with any and all other Securities of that series duly issued hereunder.</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Payment of Interest; Interest Rights Preserved; Optional Interest Reset</w:t>
      </w:r>
      <w:r>
        <w:rPr>
          <w:rFonts w:ascii="Arial" w:cs="Arial" w:eastAsia="Arial" w:hAnsi="Arial"/>
          <w:sz w:val="18"/>
          <w:szCs w:val="18"/>
          <w:color w:val="auto"/>
        </w:rPr>
        <w:t>.</w:t>
      </w:r>
    </w:p>
    <w:p>
      <w:pPr>
        <w:spacing w:after="0" w:line="225" w:lineRule="exact"/>
        <w:rPr>
          <w:sz w:val="20"/>
          <w:szCs w:val="20"/>
          <w:color w:val="auto"/>
        </w:rPr>
      </w:pPr>
    </w:p>
    <w:p>
      <w:pPr>
        <w:ind w:right="120" w:firstLine="464"/>
        <w:spacing w:after="0" w:line="255" w:lineRule="auto"/>
        <w:tabs>
          <w:tab w:leader="none" w:pos="70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w:t>
      </w:r>
    </w:p>
    <w:p>
      <w:pPr>
        <w:spacing w:after="0" w:line="18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w:t>
      </w:r>
      <w:r>
        <w:rPr>
          <w:rFonts w:ascii="Arial" w:cs="Arial" w:eastAsia="Arial" w:hAnsi="Arial"/>
          <w:sz w:val="17"/>
          <w:szCs w:val="17"/>
          <w:u w:val="single" w:color="auto"/>
          <w:color w:val="auto"/>
        </w:rPr>
        <w:t>Defaulted Interest</w:t>
      </w:r>
      <w:r>
        <w:rPr>
          <w:rFonts w:ascii="Arial" w:cs="Arial" w:eastAsia="Arial" w:hAnsi="Arial"/>
          <w:sz w:val="17"/>
          <w:szCs w:val="17"/>
          <w:color w:val="auto"/>
        </w:rPr>
        <w:t>”) shall forthwith cease to be payable to the registered Holder thereof on the relevant Regular Record Date by virtue of having been such Holder, and such Defaulted Interest may be paid by the Company, at its election in each case, as provided in clause (i) or (ii) below:</w:t>
      </w:r>
    </w:p>
    <w:p>
      <w:pPr>
        <w:spacing w:after="0" w:line="63" w:lineRule="exact"/>
        <w:rPr>
          <w:sz w:val="20"/>
          <w:szCs w:val="20"/>
          <w:color w:val="auto"/>
        </w:rPr>
      </w:pPr>
    </w:p>
    <w:p>
      <w:pPr>
        <w:ind w:left="460" w:firstLine="443"/>
        <w:spacing w:after="0" w:line="285" w:lineRule="auto"/>
        <w:tabs>
          <w:tab w:leader="none" w:pos="111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(ii).</w:t>
      </w:r>
    </w:p>
    <w:p>
      <w:pPr>
        <w:spacing w:after="0" w:line="67" w:lineRule="exact"/>
        <w:rPr>
          <w:rFonts w:ascii="Arial" w:cs="Arial" w:eastAsia="Arial" w:hAnsi="Arial"/>
          <w:sz w:val="16"/>
          <w:szCs w:val="16"/>
          <w:color w:val="auto"/>
        </w:rPr>
      </w:pPr>
    </w:p>
    <w:p>
      <w:pPr>
        <w:ind w:left="460" w:right="40" w:firstLine="443"/>
        <w:spacing w:after="0" w:line="264" w:lineRule="auto"/>
        <w:tabs>
          <w:tab w:leader="none" w:pos="116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59" w:name="page260"/>
    <w:bookmarkEnd w:id="259"/>
    <w:p>
      <w:pPr>
        <w:ind w:left="460" w:right="5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given by the Company to the Trustee of the proposed payment pursuant to this clause (and certification by the Company that the proposed manner of payment complies with the requirements of this clause (ii)), such manner of payment shall be deemed practicable by the Trustee.</w:t>
      </w:r>
    </w:p>
    <w:p>
      <w:pPr>
        <w:spacing w:after="0" w:line="124" w:lineRule="exact"/>
        <w:rPr>
          <w:sz w:val="20"/>
          <w:szCs w:val="20"/>
          <w:color w:val="auto"/>
        </w:rPr>
      </w:pPr>
    </w:p>
    <w:p>
      <w:pPr>
        <w:ind w:right="40" w:firstLine="464"/>
        <w:spacing w:after="0" w:line="269" w:lineRule="auto"/>
        <w:tabs>
          <w:tab w:leader="none" w:pos="711"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Arial" w:cs="Arial" w:eastAsia="Arial" w:hAnsi="Arial"/>
          <w:sz w:val="17"/>
          <w:szCs w:val="17"/>
          <w:u w:val="single" w:color="auto"/>
          <w:color w:val="auto"/>
        </w:rPr>
        <w:t>Optional Reset Date</w:t>
      </w:r>
      <w:r>
        <w:rPr>
          <w:rFonts w:ascii="Arial" w:cs="Arial" w:eastAsia="Arial" w:hAnsi="Arial"/>
          <w:sz w:val="17"/>
          <w:szCs w:val="17"/>
          <w:color w:val="auto"/>
        </w:rPr>
        <w:t>”).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w:t>
      </w:r>
      <w:r>
        <w:rPr>
          <w:rFonts w:ascii="Arial" w:cs="Arial" w:eastAsia="Arial" w:hAnsi="Arial"/>
          <w:sz w:val="17"/>
          <w:szCs w:val="17"/>
          <w:u w:val="single" w:color="auto"/>
          <w:color w:val="auto"/>
        </w:rPr>
        <w:t>Reset Notice</w:t>
      </w:r>
      <w:r>
        <w:rPr>
          <w:rFonts w:ascii="Arial" w:cs="Arial" w:eastAsia="Arial" w:hAnsi="Arial"/>
          <w:sz w:val="17"/>
          <w:szCs w:val="17"/>
          <w:color w:val="auto"/>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Arial" w:cs="Arial" w:eastAsia="Arial" w:hAnsi="Arial"/>
          <w:sz w:val="17"/>
          <w:szCs w:val="17"/>
          <w:u w:val="single" w:color="auto"/>
          <w:color w:val="auto"/>
        </w:rPr>
        <w:t>Subsequent Interest Period</w:t>
      </w:r>
      <w:r>
        <w:rPr>
          <w:rFonts w:ascii="Arial" w:cs="Arial" w:eastAsia="Arial" w:hAnsi="Arial"/>
          <w:sz w:val="17"/>
          <w:szCs w:val="17"/>
          <w:color w:val="auto"/>
        </w:rPr>
        <w:t>”), including the date or dates on which or the period or periods during which and the price or prices at which such redemption may occur during the Subsequent Interest Period</w:t>
      </w:r>
    </w:p>
    <w:p>
      <w:pPr>
        <w:spacing w:after="0" w:line="1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Notwithstanding the foregoing, not later than 20 days prior to the Optional Reset Date (or if 20 days does not fall on a Business Day, the next succeeding Business Day),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spacing w:after="0" w:line="19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93"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that were carried by such other Security.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Optional Extension of Maturity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Arial" w:cs="Arial" w:eastAsia="Arial" w:hAnsi="Arial"/>
          <w:sz w:val="18"/>
          <w:szCs w:val="18"/>
          <w:u w:val="single" w:color="auto"/>
          <w:color w:val="auto"/>
        </w:rPr>
        <w:t>Extension Period</w:t>
      </w:r>
      <w:r>
        <w:rPr>
          <w:rFonts w:ascii="Arial" w:cs="Arial" w:eastAsia="Arial" w:hAnsi="Arial"/>
          <w:sz w:val="18"/>
          <w:szCs w:val="18"/>
          <w:color w:val="auto"/>
        </w:rPr>
        <w:t>”) up to but not beyond the date (the “</w:t>
      </w:r>
      <w:r>
        <w:rPr>
          <w:rFonts w:ascii="Arial" w:cs="Arial" w:eastAsia="Arial" w:hAnsi="Arial"/>
          <w:sz w:val="18"/>
          <w:szCs w:val="18"/>
          <w:u w:val="single" w:color="auto"/>
          <w:color w:val="auto"/>
        </w:rPr>
        <w:t>Final Maturity</w:t>
      </w:r>
      <w:r>
        <w:rPr>
          <w:rFonts w:ascii="Arial" w:cs="Arial" w:eastAsia="Arial" w:hAnsi="Arial"/>
          <w:sz w:val="18"/>
          <w:szCs w:val="18"/>
          <w:color w:val="auto"/>
        </w:rPr>
        <w:t>”) set forth on the face of such Security. The Company may exercise such option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0" w:name="page261"/>
    <w:bookmarkEnd w:id="260"/>
    <w:p>
      <w:pPr>
        <w:ind w:right="2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any Security by notifying the Trustee of such exercise at least 45 but not more than 60 days prior to the Stated Maturity of such Security in effect prior to the exercise of such option (the “</w:t>
      </w:r>
      <w:r>
        <w:rPr>
          <w:rFonts w:ascii="Arial" w:cs="Arial" w:eastAsia="Arial" w:hAnsi="Arial"/>
          <w:sz w:val="17"/>
          <w:szCs w:val="17"/>
          <w:u w:val="single" w:color="auto"/>
          <w:color w:val="auto"/>
        </w:rPr>
        <w:t>Original Stated Maturity</w:t>
      </w:r>
      <w:r>
        <w:rPr>
          <w:rFonts w:ascii="Arial" w:cs="Arial" w:eastAsia="Arial" w:hAnsi="Arial"/>
          <w:sz w:val="17"/>
          <w:szCs w:val="17"/>
          <w:color w:val="auto"/>
        </w:rPr>
        <w:t>”). If the Company exercises such option, the Trustee shall transmit, in the manner provided for in Section 1.06, to the Holder of such Security not later than 40 days prior to the Original Stated Maturity a notice (the “</w:t>
      </w:r>
      <w:r>
        <w:rPr>
          <w:rFonts w:ascii="Arial" w:cs="Arial" w:eastAsia="Arial" w:hAnsi="Arial"/>
          <w:sz w:val="17"/>
          <w:szCs w:val="17"/>
          <w:u w:val="single" w:color="auto"/>
          <w:color w:val="auto"/>
        </w:rPr>
        <w:t>Extension Notice</w:t>
      </w:r>
      <w:r>
        <w:rPr>
          <w:rFonts w:ascii="Arial" w:cs="Arial" w:eastAsia="Arial" w:hAnsi="Arial"/>
          <w:sz w:val="17"/>
          <w:szCs w:val="17"/>
          <w:color w:val="auto"/>
        </w:rPr>
        <w:t>”),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Notwithstanding the foregoing, not later than 20 days before the Original Stated Maturity (or if 20 days does not fall on a Business Day, the next succeeding Business Day)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w:t>
      </w:r>
    </w:p>
    <w:p>
      <w:pPr>
        <w:spacing w:after="0" w:line="1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8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61" w:name="page262"/>
    <w:bookmarkEnd w:id="2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3.10.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Securities surrendered for payment, redemption, repayment at the option of the Holder, registration of transfer or exchange or for credit against any sinking fund payment shall, if surrendered to any Person other than the Trustee, be delivered to the Trustee, and any such Securities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held by the Trustee shall be destroyed by the Trustee in accordance with its customary procedures, unless by a Company Order the Company directs the Trustee to deliver a certificate of such destruction to the Company or to return them to the Company.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Except as otherwise specified as contemplated by Section 3.01 with respect to Securities of any series, interest, if any, on the Securities of each series shall be computed on the basis of a 360-day year consisting of twelve 30-day months.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Currency and Manner of Payments in Respect of Securities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302" w:lineRule="auto"/>
        <w:tabs>
          <w:tab w:leader="none" w:pos="70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payment of the principal of (and premium, if any) and interest, if any, on any Registered Security of such series will be made in the Currency in which such Registered Security is payable. The provisions of this Section 3.12 may be modified or superseded with respect to any Securities pursuant to Section 3.01.</w:t>
      </w:r>
    </w:p>
    <w:p>
      <w:pPr>
        <w:spacing w:after="0" w:line="154" w:lineRule="exact"/>
        <w:rPr>
          <w:rFonts w:ascii="Arial" w:cs="Arial" w:eastAsia="Arial" w:hAnsi="Arial"/>
          <w:sz w:val="16"/>
          <w:szCs w:val="16"/>
          <w:color w:val="auto"/>
        </w:rPr>
      </w:pPr>
    </w:p>
    <w:p>
      <w:pPr>
        <w:ind w:right="20" w:firstLine="464"/>
        <w:spacing w:after="0" w:line="286" w:lineRule="auto"/>
        <w:tabs>
          <w:tab w:leader="none" w:pos="71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2" w:name="page263"/>
    <w:bookmarkEnd w:id="26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Unless otherwise specified pursuant to Section 3.01, if the election referred to in paragraph (b) above has been provided for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3.01, then, unless otherwise specified pursuant to Section 3.01, not later than the fourth Business Day after the Election Date for each payment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Registered Securities of any series, the Exchange Rate Agent will deliver to the Company a written notice specifying the Currency in which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of such series are payable, the respective aggregate amounts of principal of (and premium, if any) and interest, if any, on the Registered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paid on such payment date, specifying the amounts in such Currency so payable in respect of the Registered Securities as to which the Holders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Securities denominated in any Currency shall have elected to be paid in another Currency as provided in paragraph (b) above. If the election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in paragraph (b) above has been provided for pursuant to Section 3.01 and if at least one Holder has made such election, then, unless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pursuant to Section 3.01, on the second Business Day preceding such payment date the Company will deliver to the Trustee for such series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Registered Securities an Exchange Rate Officer’s Certificate in respect of the Dollar or Foreign Currency or Currencies payments to be made 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date. Unless otherwise specified pursuant to Section 3.01, the Dollar or Foreign Currency or Currencies amount receivable by Holders of Registered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who have elected payment in a Currency as provided in paragraph (b) above shall be determined by the Company on the basis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Exchange Rate in effect on the second Business Day (the “</w:t>
      </w:r>
      <w:r>
        <w:rPr>
          <w:rFonts w:ascii="Arial" w:cs="Arial" w:eastAsia="Arial" w:hAnsi="Arial"/>
          <w:sz w:val="16"/>
          <w:szCs w:val="16"/>
          <w:u w:val="single" w:color="auto"/>
          <w:color w:val="auto"/>
        </w:rPr>
        <w:t>Valuation Date</w:t>
      </w:r>
      <w:r>
        <w:rPr>
          <w:rFonts w:ascii="Arial" w:cs="Arial" w:eastAsia="Arial" w:hAnsi="Arial"/>
          <w:sz w:val="16"/>
          <w:szCs w:val="16"/>
          <w:color w:val="auto"/>
        </w:rPr>
        <w:t>”) immediately preceding each payment date, and such determination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conclusive and binding for all purposes, absent manifest error.</w:t>
      </w:r>
    </w:p>
    <w:p>
      <w:pPr>
        <w:spacing w:after="0" w:line="211" w:lineRule="exact"/>
        <w:rPr>
          <w:sz w:val="20"/>
          <w:szCs w:val="20"/>
          <w:color w:val="auto"/>
        </w:rPr>
      </w:pPr>
    </w:p>
    <w:p>
      <w:pPr>
        <w:ind w:firstLine="464"/>
        <w:spacing w:after="0" w:line="254" w:lineRule="auto"/>
        <w:tabs>
          <w:tab w:leader="none" w:pos="71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w:t>
      </w:r>
      <w:r>
        <w:rPr>
          <w:rFonts w:ascii="Arial" w:cs="Arial" w:eastAsia="Arial" w:hAnsi="Arial"/>
          <w:sz w:val="18"/>
          <w:szCs w:val="18"/>
          <w:u w:val="single" w:color="auto"/>
          <w:color w:val="auto"/>
        </w:rPr>
        <w:t>Conversion Date</w:t>
      </w:r>
      <w:r>
        <w:rPr>
          <w:rFonts w:ascii="Arial" w:cs="Arial" w:eastAsia="Arial" w:hAnsi="Arial"/>
          <w:sz w:val="18"/>
          <w:szCs w:val="18"/>
          <w:color w:val="auto"/>
        </w:rPr>
        <w:t>”),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92" w:lineRule="exact"/>
        <w:rPr>
          <w:rFonts w:ascii="Arial" w:cs="Arial" w:eastAsia="Arial" w:hAnsi="Arial"/>
          <w:sz w:val="18"/>
          <w:szCs w:val="18"/>
          <w:color w:val="auto"/>
        </w:rPr>
      </w:pPr>
    </w:p>
    <w:p>
      <w:pPr>
        <w:ind w:right="60" w:firstLine="464"/>
        <w:spacing w:after="0" w:line="286" w:lineRule="auto"/>
        <w:tabs>
          <w:tab w:leader="none" w:pos="70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of this Section 3.12.</w:t>
      </w:r>
    </w:p>
    <w:p>
      <w:pPr>
        <w:spacing w:after="0" w:line="210" w:lineRule="exact"/>
        <w:rPr>
          <w:rFonts w:ascii="Arial" w:cs="Arial" w:eastAsia="Arial" w:hAnsi="Arial"/>
          <w:sz w:val="18"/>
          <w:szCs w:val="18"/>
          <w:color w:val="auto"/>
        </w:rPr>
      </w:pPr>
    </w:p>
    <w:p>
      <w:pPr>
        <w:ind w:right="560" w:firstLine="464"/>
        <w:spacing w:after="0" w:line="308" w:lineRule="auto"/>
        <w:tabs>
          <w:tab w:leader="none" w:pos="681"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Dollar Equivalent of the Foreign Currency</w:t>
      </w:r>
      <w:r>
        <w:rPr>
          <w:rFonts w:ascii="Arial" w:cs="Arial" w:eastAsia="Arial" w:hAnsi="Arial"/>
          <w:sz w:val="17"/>
          <w:szCs w:val="17"/>
          <w:color w:val="auto"/>
        </w:rPr>
        <w:t>” shall be determined by the Exchange Rate Agent and shall be obtained for each subsequent payment date by converting the specified Foreign Currency into Dollars at the Market Exchange Rate on the Conversion Date.</w:t>
      </w:r>
    </w:p>
    <w:p>
      <w:pPr>
        <w:spacing w:after="0" w:line="146" w:lineRule="exact"/>
        <w:rPr>
          <w:rFonts w:ascii="Arial" w:cs="Arial" w:eastAsia="Arial" w:hAnsi="Arial"/>
          <w:sz w:val="17"/>
          <w:szCs w:val="17"/>
          <w:color w:val="auto"/>
        </w:rPr>
      </w:pPr>
    </w:p>
    <w:p>
      <w:pPr>
        <w:ind w:firstLine="464"/>
        <w:spacing w:after="0" w:line="264" w:lineRule="auto"/>
        <w:tabs>
          <w:tab w:leader="none" w:pos="71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Dollar Equivalent of the Currency Unit</w:t>
      </w:r>
      <w:r>
        <w:rPr>
          <w:rFonts w:ascii="Arial" w:cs="Arial" w:eastAsia="Arial" w:hAnsi="Arial"/>
          <w:sz w:val="18"/>
          <w:szCs w:val="18"/>
          <w:color w:val="auto"/>
        </w:rPr>
        <w: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For purposes of this Section 3.12, the following terms shall have the following meanings: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Component Currency</w:t>
      </w:r>
      <w:r>
        <w:rPr>
          <w:rFonts w:ascii="Arial" w:cs="Arial" w:eastAsia="Arial" w:hAnsi="Arial"/>
          <w:sz w:val="18"/>
          <w:szCs w:val="18"/>
          <w:color w:val="auto"/>
        </w:rPr>
        <w:t>” shall mean any currency which, on the Conversion Date, was a component currency of the relevant currency unit, including, but not limited to, the ECU.</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63" w:name="page264"/>
    <w:bookmarkEnd w:id="263"/>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w:t>
      </w:r>
      <w:r>
        <w:rPr>
          <w:rFonts w:ascii="Arial" w:cs="Arial" w:eastAsia="Arial" w:hAnsi="Arial"/>
          <w:sz w:val="16"/>
          <w:szCs w:val="16"/>
          <w:u w:val="single" w:color="auto"/>
          <w:color w:val="auto"/>
        </w:rPr>
        <w:t>Specified Amount</w:t>
      </w:r>
      <w:r>
        <w:rPr>
          <w:rFonts w:ascii="Arial" w:cs="Arial" w:eastAsia="Arial" w:hAnsi="Arial"/>
          <w:sz w:val="16"/>
          <w:szCs w:val="16"/>
          <w:color w:val="auto"/>
        </w:rPr>
        <w:t>” of a Component Currency shall mean the number of units of such Component Currency or fractions thereof which were represented in the relevant currency unit, including, but not limited to, the ECU,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ECU, a Conversion Event (other than any event referred to above in this definition of “</w:t>
      </w:r>
      <w:r>
        <w:rPr>
          <w:rFonts w:ascii="Arial" w:cs="Arial" w:eastAsia="Arial" w:hAnsi="Arial"/>
          <w:sz w:val="16"/>
          <w:szCs w:val="16"/>
          <w:u w:val="single" w:color="auto"/>
          <w:color w:val="auto"/>
        </w:rPr>
        <w:t>Specified Amount</w:t>
      </w:r>
      <w:r>
        <w:rPr>
          <w:rFonts w:ascii="Arial" w:cs="Arial" w:eastAsia="Arial" w:hAnsi="Arial"/>
          <w:sz w:val="16"/>
          <w:szCs w:val="16"/>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7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Election Date</w:t>
      </w:r>
      <w:r>
        <w:rPr>
          <w:rFonts w:ascii="Arial" w:cs="Arial" w:eastAsia="Arial" w:hAnsi="Arial"/>
          <w:sz w:val="18"/>
          <w:szCs w:val="18"/>
          <w:color w:val="auto"/>
        </w:rPr>
        <w:t>” shall mean the Regular Record Date for the applicable series of Registered Securities or at least 16 days prior to Maturity, as the case may be, or such other prior date for any series of Registered Securities as specified pursuant to clause (xiii) of Section 3.01 by which the written election referred to in Section 3.12(b) may be made.</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event that the Company determines in good faith that a Conversion Event has occurred with respect to a Foreign Currency, the Company will immediately give written notice thereof and of the applicable Conversion Date to the Trustee of the appropriate series of Securities and to the Exchange Rate Agent (and such Trustee will promptly thereafter give notice in the manner provided in Section 1.06 to the affected Holders) specifying the Conversion Date. In the event the Company so determines that a Conversion Event has occurred with respect to the ECU or any other currency unit in which Securities are denominated or payable, the Company will immediately give written notice thereof to the Trustee of the appropriate series of Securities and to the Exchange Rate Agent (and such Trustee will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of the appropriate series of Securities and to the Exchange Rate Agent.</w:t>
      </w:r>
    </w:p>
    <w:p>
      <w:pPr>
        <w:spacing w:after="0" w:line="18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64" w:name="page265"/>
    <w:bookmarkEnd w:id="2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3.13. </w:t>
      </w:r>
      <w:r>
        <w:rPr>
          <w:rFonts w:ascii="Arial" w:cs="Arial" w:eastAsia="Arial" w:hAnsi="Arial"/>
          <w:sz w:val="18"/>
          <w:szCs w:val="18"/>
          <w:u w:val="single" w:color="auto"/>
          <w:color w:val="auto"/>
        </w:rPr>
        <w:t>Appointment and Resignation of Successor Exchange Rate Agent</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and so long as the Securities of any series (i) are denominated in a Foreign Currency or</w:t>
      </w:r>
    </w:p>
    <w:p>
      <w:pPr>
        <w:spacing w:after="0" w:line="46" w:lineRule="exact"/>
        <w:rPr>
          <w:rFonts w:ascii="Arial" w:cs="Arial" w:eastAsia="Arial" w:hAnsi="Arial"/>
          <w:sz w:val="16"/>
          <w:szCs w:val="16"/>
          <w:color w:val="auto"/>
        </w:rPr>
      </w:pPr>
    </w:p>
    <w:p>
      <w:pPr>
        <w:ind w:right="40" w:firstLine="8"/>
        <w:spacing w:after="0" w:line="253" w:lineRule="auto"/>
        <w:tabs>
          <w:tab w:leader="none" w:pos="26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may be payable in a Foreign Currency,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191" w:lineRule="exact"/>
        <w:rPr>
          <w:rFonts w:ascii="Arial" w:cs="Arial" w:eastAsia="Arial" w:hAnsi="Arial"/>
          <w:sz w:val="18"/>
          <w:szCs w:val="18"/>
          <w:color w:val="auto"/>
        </w:rPr>
      </w:pPr>
    </w:p>
    <w:p>
      <w:pPr>
        <w:jc w:val="both"/>
        <w:ind w:firstLine="464"/>
        <w:spacing w:after="0" w:line="286" w:lineRule="auto"/>
        <w:tabs>
          <w:tab w:leader="none" w:pos="711" w:val="left"/>
        </w:tabs>
        <w:numPr>
          <w:ilvl w:val="1"/>
          <w:numId w:val="198"/>
        </w:numPr>
        <w:rPr>
          <w:rFonts w:ascii="Arial" w:cs="Arial" w:eastAsia="Arial" w:hAnsi="Arial"/>
          <w:sz w:val="17"/>
          <w:szCs w:val="17"/>
          <w:color w:val="auto"/>
        </w:rPr>
      </w:pPr>
      <w:r>
        <w:rPr>
          <w:rFonts w:ascii="Arial" w:cs="Arial" w:eastAsia="Arial" w:hAnsi="Arial"/>
          <w:sz w:val="17"/>
          <w:szCs w:val="17"/>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65" w:lineRule="exact"/>
        <w:rPr>
          <w:rFonts w:ascii="Arial" w:cs="Arial" w:eastAsia="Arial" w:hAnsi="Arial"/>
          <w:sz w:val="17"/>
          <w:szCs w:val="17"/>
          <w:color w:val="auto"/>
        </w:rPr>
      </w:pPr>
    </w:p>
    <w:p>
      <w:pPr>
        <w:ind w:right="180" w:firstLine="464"/>
        <w:spacing w:after="0" w:line="293" w:lineRule="auto"/>
        <w:tabs>
          <w:tab w:leader="none" w:pos="70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indicate the respective “CUSIP” numbers of the Securities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advise the Trustee as promptly as practicable in writing of any change in the CUSIP numbers.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 the expense of the Company, shall execute proper instruments acknowledging satisfaction and discharge of this Indenture as to such series when</w:t>
      </w:r>
    </w:p>
    <w:p>
      <w:pPr>
        <w:spacing w:after="0" w:line="188" w:lineRule="exact"/>
        <w:rPr>
          <w:sz w:val="20"/>
          <w:szCs w:val="20"/>
          <w:color w:val="auto"/>
        </w:rPr>
      </w:pPr>
    </w:p>
    <w:p>
      <w:pPr>
        <w:ind w:left="700" w:hanging="236"/>
        <w:spacing w:after="0"/>
        <w:tabs>
          <w:tab w:leader="none" w:pos="7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13"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(i) Securities that have been destroyed, lost or stolen and which have been replaced or paid as provided in Section 3.06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65" w:name="page266"/>
    <w:bookmarkEnd w:id="265"/>
    <w:p>
      <w:pPr>
        <w:jc w:val="both"/>
        <w:ind w:left="460" w:right="100" w:firstLine="4"/>
        <w:spacing w:after="0" w:line="264" w:lineRule="auto"/>
        <w:tabs>
          <w:tab w:leader="none" w:pos="725"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Securities of such series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920" w:right="160" w:firstLine="421"/>
        <w:spacing w:after="0" w:line="255" w:lineRule="auto"/>
        <w:tabs>
          <w:tab w:leader="none" w:pos="1595" w:val="left"/>
        </w:tabs>
        <w:numPr>
          <w:ilvl w:val="2"/>
          <w:numId w:val="200"/>
        </w:numPr>
        <w:rPr>
          <w:rFonts w:ascii="Arial" w:cs="Arial" w:eastAsia="Arial" w:hAnsi="Arial"/>
          <w:sz w:val="18"/>
          <w:szCs w:val="18"/>
          <w:color w:val="auto"/>
        </w:rPr>
      </w:pPr>
      <w:r>
        <w:rPr>
          <w:rFonts w:ascii="Arial" w:cs="Arial" w:eastAsia="Arial" w:hAnsi="Arial"/>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89" w:lineRule="exact"/>
        <w:rPr>
          <w:sz w:val="20"/>
          <w:szCs w:val="20"/>
          <w:color w:val="auto"/>
        </w:rPr>
      </w:pPr>
    </w:p>
    <w:p>
      <w:pPr>
        <w:ind w:left="720" w:hanging="256"/>
        <w:spacing w:after="0"/>
        <w:tabs>
          <w:tab w:leader="none" w:pos="7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has irrevocably paid or caused to be irrevocably paid all other sums payable hereunder by the Company; and</w:t>
      </w:r>
    </w:p>
    <w:p>
      <w:pPr>
        <w:spacing w:after="0" w:line="225" w:lineRule="exact"/>
        <w:rPr>
          <w:rFonts w:ascii="Arial" w:cs="Arial" w:eastAsia="Arial" w:hAnsi="Arial"/>
          <w:sz w:val="18"/>
          <w:szCs w:val="18"/>
          <w:color w:val="auto"/>
        </w:rPr>
      </w:pPr>
    </w:p>
    <w:p>
      <w:pPr>
        <w:ind w:right="500" w:firstLine="464"/>
        <w:spacing w:after="0" w:line="277" w:lineRule="auto"/>
        <w:tabs>
          <w:tab w:leader="none" w:pos="70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 (ii) of clause (a) of this Section, the obligations of the Trustee under Section 4.02 and the last paragraph of Section 10.03 shall survive any termination of this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Application of Trust Funds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66" w:name="page267"/>
    <w:bookmarkEnd w:id="26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particular series or is specifically deleted or modified in or pursuant to the supplemental indenture or a Board Resolution establishing such series of Securities or is in the form of Security for such series:</w:t>
      </w:r>
    </w:p>
    <w:p>
      <w:pPr>
        <w:spacing w:after="0" w:line="62" w:lineRule="exact"/>
        <w:rPr>
          <w:sz w:val="20"/>
          <w:szCs w:val="20"/>
          <w:color w:val="auto"/>
        </w:rPr>
      </w:pPr>
    </w:p>
    <w:p>
      <w:pPr>
        <w:ind w:left="460" w:right="120" w:firstLine="443"/>
        <w:spacing w:after="0" w:line="277" w:lineRule="auto"/>
        <w:tabs>
          <w:tab w:leader="none" w:pos="111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such interest becomes due and payable, and continuance of such default for a period of 30 days; or</w:t>
      </w:r>
    </w:p>
    <w:p>
      <w:pPr>
        <w:spacing w:after="0" w:line="62" w:lineRule="exact"/>
        <w:rPr>
          <w:rFonts w:ascii="Arial" w:cs="Arial" w:eastAsia="Arial" w:hAnsi="Arial"/>
          <w:sz w:val="18"/>
          <w:szCs w:val="18"/>
          <w:color w:val="auto"/>
        </w:rPr>
      </w:pPr>
    </w:p>
    <w:p>
      <w:pPr>
        <w:ind w:left="460" w:right="280" w:firstLine="443"/>
        <w:spacing w:after="0" w:line="277" w:lineRule="auto"/>
        <w:tabs>
          <w:tab w:leader="none" w:pos="116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any Security of that series when it becomes due and payable at its Maturity, and continuance of such default for a period of 5 days; or</w:t>
      </w:r>
    </w:p>
    <w:p>
      <w:pPr>
        <w:spacing w:after="0" w:line="62" w:lineRule="exact"/>
        <w:rPr>
          <w:rFonts w:ascii="Arial" w:cs="Arial" w:eastAsia="Arial" w:hAnsi="Arial"/>
          <w:sz w:val="18"/>
          <w:szCs w:val="18"/>
          <w:color w:val="auto"/>
        </w:rPr>
      </w:pPr>
    </w:p>
    <w:p>
      <w:pPr>
        <w:ind w:left="460" w:right="400" w:firstLine="443"/>
        <w:spacing w:after="0" w:line="277" w:lineRule="auto"/>
        <w:tabs>
          <w:tab w:leader="none" w:pos="121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Security of that series, and continuance of such default for a period of 5 days; or</w:t>
      </w:r>
    </w:p>
    <w:p>
      <w:pPr>
        <w:spacing w:after="0" w:line="62" w:lineRule="exact"/>
        <w:rPr>
          <w:rFonts w:ascii="Arial" w:cs="Arial" w:eastAsia="Arial" w:hAnsi="Arial"/>
          <w:sz w:val="18"/>
          <w:szCs w:val="18"/>
          <w:color w:val="auto"/>
        </w:rPr>
      </w:pPr>
    </w:p>
    <w:p>
      <w:pPr>
        <w:ind w:left="460" w:right="20" w:firstLine="443"/>
        <w:spacing w:after="0" w:line="273" w:lineRule="auto"/>
        <w:tabs>
          <w:tab w:leader="none" w:pos="1203" w:val="left"/>
        </w:tabs>
        <w:numPr>
          <w:ilvl w:val="0"/>
          <w:numId w:val="202"/>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agreement of the Company in this Indenture with respect to any Security of that series (other than a covenant or agreement a default in whose performance or whose breach is elsewhere in this Section specifically dealt with or that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Arial" w:cs="Arial" w:eastAsia="Arial" w:hAnsi="Arial"/>
          <w:sz w:val="17"/>
          <w:szCs w:val="17"/>
          <w:u w:val="single" w:color="auto"/>
          <w:color w:val="auto"/>
        </w:rPr>
        <w:t>Notice of Default</w:t>
      </w:r>
      <w:r>
        <w:rPr>
          <w:rFonts w:ascii="Arial" w:cs="Arial" w:eastAsia="Arial" w:hAnsi="Arial"/>
          <w:sz w:val="17"/>
          <w:szCs w:val="17"/>
          <w:color w:val="auto"/>
        </w:rPr>
        <w:t>” hereunder;</w:t>
      </w:r>
    </w:p>
    <w:p>
      <w:pPr>
        <w:spacing w:after="0" w:line="70" w:lineRule="exact"/>
        <w:rPr>
          <w:rFonts w:ascii="Arial" w:cs="Arial" w:eastAsia="Arial" w:hAnsi="Arial"/>
          <w:sz w:val="17"/>
          <w:szCs w:val="17"/>
          <w:color w:val="auto"/>
        </w:rPr>
      </w:pPr>
    </w:p>
    <w:p>
      <w:pPr>
        <w:ind w:left="1160" w:hanging="257"/>
        <w:spacing w:after="0"/>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commences a voluntary case or proceeding under any Bankruptcy Law,</w:t>
      </w:r>
    </w:p>
    <w:p>
      <w:pPr>
        <w:spacing w:after="0" w:line="117" w:lineRule="exact"/>
        <w:rPr>
          <w:rFonts w:ascii="Arial" w:cs="Arial" w:eastAsia="Arial" w:hAnsi="Arial"/>
          <w:sz w:val="18"/>
          <w:szCs w:val="18"/>
          <w:color w:val="auto"/>
        </w:rPr>
      </w:pPr>
    </w:p>
    <w:p>
      <w:pPr>
        <w:ind w:left="920" w:right="220" w:firstLine="421"/>
        <w:spacing w:after="0" w:line="277" w:lineRule="auto"/>
        <w:tabs>
          <w:tab w:leader="none" w:pos="159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consents to the commencement of any bankruptcy or insolvency case or proceeding against it, or files a petition or answer or consent seeking reorganization or relief against it,</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consents to the entry of a decree or order for relief against it in an involuntary case or proceeding,</w:t>
      </w:r>
    </w:p>
    <w:p>
      <w:pPr>
        <w:spacing w:after="0" w:line="117" w:lineRule="exact"/>
        <w:rPr>
          <w:rFonts w:ascii="Arial" w:cs="Arial" w:eastAsia="Arial" w:hAnsi="Arial"/>
          <w:sz w:val="18"/>
          <w:szCs w:val="18"/>
          <w:color w:val="auto"/>
        </w:rPr>
      </w:pPr>
    </w:p>
    <w:p>
      <w:pPr>
        <w:ind w:left="920" w:right="640" w:firstLine="421"/>
        <w:spacing w:after="0" w:line="277" w:lineRule="auto"/>
        <w:tabs>
          <w:tab w:leader="none" w:pos="159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consents to the filing of such petition or to the appointment of or taking possession by a Custodian of the Company or for all or substantially all of its property, or</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makes an assignment for the benefit of creditors, or admits in writing of its inability to pay its debts generally as they become due</w:t>
      </w:r>
    </w:p>
    <w:p>
      <w:pPr>
        <w:spacing w:after="0" w:line="1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or takes any corporate action in furtherance of any such action;</w:t>
      </w:r>
    </w:p>
    <w:p>
      <w:pPr>
        <w:spacing w:after="0" w:line="117" w:lineRule="exact"/>
        <w:rPr>
          <w:sz w:val="20"/>
          <w:szCs w:val="20"/>
          <w:color w:val="auto"/>
        </w:rPr>
      </w:pPr>
    </w:p>
    <w:p>
      <w:pPr>
        <w:ind w:left="1200" w:hanging="297"/>
        <w:spacing w:after="0"/>
        <w:tabs>
          <w:tab w:leader="none" w:pos="1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 or proceeding, or</w:t>
      </w:r>
    </w:p>
    <w:p>
      <w:pPr>
        <w:spacing w:after="0" w:line="117" w:lineRule="exact"/>
        <w:rPr>
          <w:rFonts w:ascii="Arial" w:cs="Arial" w:eastAsia="Arial" w:hAnsi="Arial"/>
          <w:sz w:val="18"/>
          <w:szCs w:val="18"/>
          <w:color w:val="auto"/>
        </w:rPr>
      </w:pPr>
    </w:p>
    <w:p>
      <w:pPr>
        <w:ind w:left="920" w:right="140" w:firstLine="421"/>
        <w:spacing w:after="0" w:line="277" w:lineRule="auto"/>
        <w:tabs>
          <w:tab w:leader="none" w:pos="1595"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adjudges the Company bankrupt or insolvent, or approves as properly filed a petition seeking reorganization, arrangement, adjustment or composition of or in respect of the Company, or</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920" w:firstLine="421"/>
        <w:spacing w:after="0" w:line="277" w:lineRule="auto"/>
        <w:tabs>
          <w:tab w:leader="none" w:pos="1595" w:val="left"/>
        </w:tabs>
        <w:numPr>
          <w:ilvl w:val="1"/>
          <w:numId w:val="203"/>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 and the continuance of any such decree or order for relief or any such other decree or order remains unstayed and in effect for a period of 90 consecutive days;</w:t>
      </w:r>
    </w:p>
    <w:p>
      <w:pPr>
        <w:spacing w:after="0" w:line="62" w:lineRule="exact"/>
        <w:rPr>
          <w:rFonts w:ascii="Arial" w:cs="Arial" w:eastAsia="Arial" w:hAnsi="Arial"/>
          <w:sz w:val="18"/>
          <w:szCs w:val="18"/>
          <w:color w:val="auto"/>
        </w:rPr>
      </w:pPr>
    </w:p>
    <w:p>
      <w:pPr>
        <w:ind w:left="460" w:right="40" w:firstLine="443"/>
        <w:spacing w:after="0" w:line="259" w:lineRule="auto"/>
        <w:tabs>
          <w:tab w:leader="none" w:pos="125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pursuant to Sections 18(a)(1)(C)(ii) and 61 of the Investment Company Act of 1940, or any successor provisions, as amended, on the last business day of each of twenty-four consecutive calendar months any class of Securities shall have an asset coverage (as such term is used in the Investment Company Act of 1940) of less than 100 per centum, giving effect to any amendments to such provisions of the Investment Company Act of 1940 or to any exemptive relief granted to the Company by the Commission; or</w:t>
      </w:r>
    </w:p>
    <w:p>
      <w:pPr>
        <w:spacing w:after="0" w:line="78" w:lineRule="exact"/>
        <w:rPr>
          <w:rFonts w:ascii="Arial" w:cs="Arial" w:eastAsia="Arial" w:hAnsi="Arial"/>
          <w:sz w:val="18"/>
          <w:szCs w:val="18"/>
          <w:color w:val="auto"/>
        </w:rPr>
      </w:pPr>
    </w:p>
    <w:p>
      <w:pPr>
        <w:ind w:left="1300" w:hanging="397"/>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267" w:name="page268"/>
    <w:bookmarkEnd w:id="26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11, U.S. Code or any applicable federal or state bankruptcy, insolvency, reorganization or other similar law.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Custodian</w:t>
      </w:r>
      <w:r>
        <w:rPr>
          <w:rFonts w:ascii="Arial" w:cs="Arial" w:eastAsia="Arial" w:hAnsi="Arial"/>
          <w:sz w:val="17"/>
          <w:szCs w:val="17"/>
          <w:color w:val="auto"/>
        </w:rPr>
        <w:t>” means any custodian, receiver, trustee, assignee, liquidator, sequestrator or other similar official under any Bankruptcy Law.</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then and in every such case the Trustee (if a Responsible Officer has actual knowledge of such Event of Default)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9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39" w:lineRule="exact"/>
        <w:rPr>
          <w:sz w:val="20"/>
          <w:szCs w:val="20"/>
          <w:color w:val="auto"/>
        </w:rPr>
      </w:pPr>
    </w:p>
    <w:p>
      <w:pPr>
        <w:ind w:left="460" w:right="100" w:firstLine="443"/>
        <w:spacing w:after="0" w:line="291" w:lineRule="auto"/>
        <w:tabs>
          <w:tab w:leader="none" w:pos="111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w:t>
      </w:r>
    </w:p>
    <w:p>
      <w:pPr>
        <w:ind w:left="460"/>
        <w:spacing w:after="0"/>
        <w:rPr>
          <w:rFonts w:ascii="Arial" w:cs="Arial" w:eastAsia="Arial" w:hAnsi="Arial"/>
          <w:sz w:val="16"/>
          <w:szCs w:val="16"/>
          <w:color w:val="auto"/>
        </w:rPr>
      </w:pPr>
      <w:r>
        <w:rPr>
          <w:rFonts w:ascii="Arial" w:cs="Arial" w:eastAsia="Arial" w:hAnsi="Arial"/>
          <w:sz w:val="18"/>
          <w:szCs w:val="18"/>
          <w:color w:val="auto"/>
        </w:rPr>
        <w:t>3.12(d) and 3.12(e)):</w:t>
      </w:r>
    </w:p>
    <w:p>
      <w:pPr>
        <w:spacing w:after="0" w:line="102" w:lineRule="exact"/>
        <w:rPr>
          <w:rFonts w:ascii="Arial" w:cs="Arial" w:eastAsia="Arial" w:hAnsi="Arial"/>
          <w:sz w:val="16"/>
          <w:szCs w:val="16"/>
          <w:color w:val="auto"/>
        </w:rPr>
      </w:pPr>
    </w:p>
    <w:p>
      <w:pPr>
        <w:ind w:left="1600" w:hanging="259"/>
        <w:spacing w:after="0"/>
        <w:tabs>
          <w:tab w:leader="none" w:pos="16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overdue installments of interest, if any, on all Outstanding Securities of that series,</w:t>
      </w:r>
    </w:p>
    <w:p>
      <w:pPr>
        <w:spacing w:after="0" w:line="117" w:lineRule="exact"/>
        <w:rPr>
          <w:rFonts w:ascii="Arial" w:cs="Arial" w:eastAsia="Arial" w:hAnsi="Arial"/>
          <w:sz w:val="18"/>
          <w:szCs w:val="18"/>
          <w:color w:val="auto"/>
        </w:rPr>
      </w:pPr>
    </w:p>
    <w:p>
      <w:pPr>
        <w:ind w:left="920" w:right="60" w:firstLine="421"/>
        <w:spacing w:after="0" w:line="277" w:lineRule="auto"/>
        <w:tabs>
          <w:tab w:leader="none" w:pos="159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principal of (and premium, if any) all Outstanding Securities of that series that have become due otherwise than by such declaration of acceleration and interest thereon at the rate or rates borne by or provided for in such Securities,</w:t>
      </w:r>
    </w:p>
    <w:p>
      <w:pPr>
        <w:spacing w:after="0" w:line="62" w:lineRule="exact"/>
        <w:rPr>
          <w:rFonts w:ascii="Arial" w:cs="Arial" w:eastAsia="Arial" w:hAnsi="Arial"/>
          <w:sz w:val="18"/>
          <w:szCs w:val="18"/>
          <w:color w:val="auto"/>
        </w:rPr>
      </w:pPr>
    </w:p>
    <w:p>
      <w:pPr>
        <w:ind w:left="920" w:right="580" w:firstLine="421"/>
        <w:spacing w:after="0" w:line="277" w:lineRule="auto"/>
        <w:tabs>
          <w:tab w:leader="none" w:pos="159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installments of interest at the rate or rates borne by or provided for in such Securities, and</w:t>
      </w:r>
    </w:p>
    <w:p>
      <w:pPr>
        <w:spacing w:after="0" w:line="62" w:lineRule="exact"/>
        <w:rPr>
          <w:rFonts w:ascii="Arial" w:cs="Arial" w:eastAsia="Arial" w:hAnsi="Arial"/>
          <w:sz w:val="18"/>
          <w:szCs w:val="18"/>
          <w:color w:val="auto"/>
        </w:rPr>
      </w:pPr>
    </w:p>
    <w:p>
      <w:pPr>
        <w:ind w:left="920" w:right="340" w:firstLine="421"/>
        <w:spacing w:after="0" w:line="277" w:lineRule="auto"/>
        <w:tabs>
          <w:tab w:leader="none" w:pos="159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left="460" w:right="60" w:firstLine="443"/>
        <w:spacing w:after="0" w:line="342" w:lineRule="auto"/>
        <w:tabs>
          <w:tab w:leader="none" w:pos="116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all Events of Default with respect to Securities of that series, other than the nonpayment of the principal of (or premium, if any) or interest on Securities of that series that have become due solely by such declaration of acceleration, have been cured or waived as provided in Section 5.13.</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60" w:right="240" w:firstLine="443"/>
        <w:spacing w:after="0" w:line="277" w:lineRule="auto"/>
        <w:tabs>
          <w:tab w:leader="none" w:pos="111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of any series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any Security of any series at its Maturity,</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then the Company will, upon demand of the Trustee, pay to the Trustee, for the benefit of the Holders of Securities of such series, the whole amount then due and payable on such Securities for principal (and premium, if any) and interest, if any, with interest upon any overdue principal (and premium, if any) and, to the extent that payment of such interest shall be legally enforceable, upon any overdue installments of interest, if any, at the rate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268" w:name="page269"/>
    <w:bookmarkEnd w:id="268"/>
    <w:p>
      <w:pPr>
        <w:ind w:right="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80" w:lineRule="exact"/>
        <w:rPr>
          <w:sz w:val="20"/>
          <w:szCs w:val="20"/>
          <w:color w:val="auto"/>
        </w:rPr>
      </w:pPr>
    </w:p>
    <w:p>
      <w:pPr>
        <w:ind w:left="460" w:right="60" w:firstLine="443"/>
        <w:spacing w:after="0" w:line="276" w:lineRule="auto"/>
        <w:tabs>
          <w:tab w:leader="none" w:pos="1113"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(and take such other actions, including serving on a committee of creditors)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64" w:lineRule="exact"/>
        <w:rPr>
          <w:rFonts w:ascii="Arial" w:cs="Arial" w:eastAsia="Arial" w:hAnsi="Arial"/>
          <w:sz w:val="17"/>
          <w:szCs w:val="17"/>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Holder of Securities of such series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Subject to Article Eight and Section 9.02 and unless otherwise provided as contemplated by Section 3.01, 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269" w:name="page270"/>
    <w:bookmarkEnd w:id="2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and the notation thereon of the payment if only partially paid and upon surrender thereof if fully paid: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and any predecessor Trustee under Section 6.06;</w:t>
      </w:r>
    </w:p>
    <w:p>
      <w:pPr>
        <w:spacing w:after="0" w:line="225"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SECOND: To the payment of the amounts then due and unpaid upon any Senior Securities for principal (and premium, if any) and interest, if any, in respect of which or for the benefit of which such money has been collected, ratably, without preference or priority of any kind, according to the aggregate amounts due and payable on such Senior Securities for principal (and premium, if any) and interest, if any, respectively; and</w:t>
      </w:r>
    </w:p>
    <w:p>
      <w:pPr>
        <w:spacing w:after="0" w:line="166"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THIRD: To the payment of the amounts then due and unpaid upon any Senior Subordinated Securities for principal (and premium, if any) and interest, if any, in respect of which or for the benefit of which such money has been collected, ratably, without preference or priority of any kind, according to the aggregate amounts due and payable on such Senior Subordinated Securities for principal (and premium, if any) and interest, if any, respectively; and</w:t>
      </w:r>
    </w:p>
    <w:p>
      <w:pPr>
        <w:spacing w:after="0" w:line="147"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FOURTH: To the payment of the amounts then due and unpaid upon any other Securities for principal (and premium, if any) and interest, if any, in respect of which or for the benefit of which such money has been collected, ratably, without preference or priority of any kind, according to the aggregate amounts due and payable on such Securities for principal (and premium, if any) and interest, if any, respectively; 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FIFTH: To the payment of the remainder, if any, to the Company or any other Person or Persons entitled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20" w:hanging="217"/>
        <w:spacing w:after="0"/>
        <w:tabs>
          <w:tab w:leader="none" w:pos="11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left="460" w:right="560" w:firstLine="443"/>
        <w:spacing w:after="0" w:line="277" w:lineRule="auto"/>
        <w:tabs>
          <w:tab w:leader="none" w:pos="116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21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security or indemnity has failed to institute any such proceeding;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70" w:name="page271"/>
    <w:bookmarkEnd w:id="270"/>
    <w:p>
      <w:pPr>
        <w:ind w:left="460" w:right="240" w:firstLine="443"/>
        <w:spacing w:after="0" w:line="277" w:lineRule="auto"/>
        <w:tabs>
          <w:tab w:leader="none" w:pos="1153"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Unconditional Right of Holders to Receive Principal, Premium and Interest</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Notwithstanding any other provision in this Indenture, the Holder of any Security shall have the right, which is absolute and unconditional, to receive payment of the principal of (and premium, if any) and (subject to Sections 3.05 and 3.07) interest, if any, on such Security on the Stated Maturity or Maturities expressed in such Security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as the case may be.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Subject to Section 6.02(v),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5620" w:right="4460" w:hanging="4717"/>
        <w:spacing w:after="0" w:line="449" w:lineRule="auto"/>
        <w:tabs>
          <w:tab w:leader="none" w:pos="111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35</w:t>
      </w:r>
    </w:p>
    <w:p>
      <w:pPr>
        <w:sectPr>
          <w:pgSz w:w="11900" w:h="16838" w:orient="portrait"/>
          <w:cols w:equalWidth="0" w:num="1">
            <w:col w:w="11380"/>
          </w:cols>
          <w:pgMar w:left="240" w:top="274" w:right="279" w:bottom="1440" w:gutter="0" w:footer="0" w:header="0"/>
        </w:sectPr>
      </w:pPr>
    </w:p>
    <w:bookmarkStart w:id="271" w:name="page272"/>
    <w:bookmarkEnd w:id="271"/>
    <w:p>
      <w:pPr>
        <w:ind w:left="1160" w:hanging="257"/>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take any other action deemed proper by the Trustee that is not inconsistent with such direction, and</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21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Trustee need not take any action that might involve it in personal liability or be unjustly prejudicial to the Holders of Securities of such series not consenting.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Subject to Section 5.02, the Holders of not less than a majority in principal amount of the Outstanding Securities of any series may on behalf of the Holders of all the Securities of such series waive any past default hereunder with respect to Securities of such series and its consequences, except a default</w:t>
      </w:r>
    </w:p>
    <w:p>
      <w:pPr>
        <w:spacing w:after="0" w:line="16" w:lineRule="exact"/>
        <w:rPr>
          <w:sz w:val="20"/>
          <w:szCs w:val="20"/>
          <w:color w:val="auto"/>
        </w:rPr>
      </w:pPr>
    </w:p>
    <w:p>
      <w:pPr>
        <w:ind w:left="1120" w:hanging="217"/>
        <w:spacing w:after="0"/>
        <w:tabs>
          <w:tab w:leader="none" w:pos="11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payment of the principal of (or premium, if any) or interest, if any, on any Security of such series, or</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16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 affected.</w:t>
      </w:r>
    </w:p>
    <w:p>
      <w:pPr>
        <w:spacing w:after="0" w:line="170" w:lineRule="exact"/>
        <w:rPr>
          <w:sz w:val="20"/>
          <w:szCs w:val="20"/>
          <w:color w:val="auto"/>
        </w:rPr>
      </w:pPr>
    </w:p>
    <w:p>
      <w:pPr>
        <w:jc w:val="both"/>
        <w:ind w:right="400" w:firstLine="456"/>
        <w:spacing w:after="0" w:line="34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Waiver of Stay or Extension Laws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91" w:lineRule="auto"/>
        <w:tabs>
          <w:tab w:leader="none" w:pos="70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Within 90 days after the occurrence of any Default hereunder with respect to the Securities of any series, the Trustee shall transmit in the manner and to the extent provided in TIA Section 313(c), notice of such Default hereunder known to a Responsible Officer of the Trustee, unless such Default shall have been cured or waived;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Trustee in good faith determines that the withholding of such notice is in the interest of the Holders of the Securities of such series;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any Default or breach of the character specified in Section 5.01(iv) with respect to the Securities of such series, no such notice to Holders shall be given until at least 90 days after the occurrence thereof.</w:t>
      </w:r>
    </w:p>
    <w:p>
      <w:pPr>
        <w:spacing w:after="0" w:line="167" w:lineRule="exact"/>
        <w:rPr>
          <w:rFonts w:ascii="Arial" w:cs="Arial" w:eastAsia="Arial" w:hAnsi="Arial"/>
          <w:sz w:val="16"/>
          <w:szCs w:val="16"/>
          <w:color w:val="auto"/>
        </w:rPr>
      </w:pPr>
    </w:p>
    <w:p>
      <w:pPr>
        <w:ind w:firstLine="464"/>
        <w:spacing w:after="0" w:line="277" w:lineRule="auto"/>
        <w:tabs>
          <w:tab w:leader="none" w:pos="71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Prior to the time when the occurrence of an Event of Default becomes known to a Responsible Officer of the Trustee and after the curing or waiving of all such Events of Default with respect to a series of Securities that may have occurred:</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1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any series be determined solely by the express provisions of this Indenture, and the Trustee shall not be liable with respect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272" w:name="page273"/>
    <w:bookmarkEnd w:id="272"/>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Securities except for the performance of such duties and obligations as are specifically set forth in this Indenture, and no implied covenants or obligations shall be read into this Indenture against the Trustee; and</w:t>
      </w:r>
    </w:p>
    <w:p>
      <w:pPr>
        <w:spacing w:after="0" w:line="62" w:lineRule="exact"/>
        <w:rPr>
          <w:sz w:val="20"/>
          <w:szCs w:val="20"/>
          <w:color w:val="auto"/>
        </w:rPr>
      </w:pPr>
    </w:p>
    <w:p>
      <w:pPr>
        <w:ind w:firstLine="443"/>
        <w:spacing w:after="0" w:line="276" w:lineRule="auto"/>
        <w:tabs>
          <w:tab w:leader="none" w:pos="70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any mathematical calculations or other facts stated therein); and</w:t>
      </w:r>
    </w:p>
    <w:p>
      <w:pPr>
        <w:spacing w:after="0" w:line="64" w:lineRule="exact"/>
        <w:rPr>
          <w:rFonts w:ascii="Arial" w:cs="Arial" w:eastAsia="Arial" w:hAnsi="Arial"/>
          <w:sz w:val="17"/>
          <w:szCs w:val="17"/>
          <w:color w:val="auto"/>
        </w:rPr>
      </w:pPr>
    </w:p>
    <w:p>
      <w:pPr>
        <w:ind w:right="60" w:firstLine="443"/>
        <w:spacing w:after="0" w:line="277" w:lineRule="auto"/>
        <w:tabs>
          <w:tab w:leader="none" w:pos="75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unless it shall be proved that the Trustee was negligent in ascertaining the pertinent facts.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TIA Section 315(a) through 315(d):</w:t>
      </w:r>
    </w:p>
    <w:p>
      <w:pPr>
        <w:spacing w:after="0" w:line="117" w:lineRule="exact"/>
        <w:rPr>
          <w:sz w:val="20"/>
          <w:szCs w:val="20"/>
          <w:color w:val="auto"/>
        </w:rPr>
      </w:pPr>
    </w:p>
    <w:p>
      <w:pPr>
        <w:ind w:firstLine="443"/>
        <w:spacing w:after="0" w:line="264" w:lineRule="auto"/>
        <w:tabs>
          <w:tab w:leader="none" w:pos="65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coupon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jc w:val="both"/>
        <w:ind w:right="120" w:firstLine="443"/>
        <w:spacing w:after="0" w:line="286" w:lineRule="auto"/>
        <w:tabs>
          <w:tab w:leader="none" w:pos="70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request or direction of the Company mentioned herein shall be sufficiently evidenced by a Company Request or Company Order (other than delivery of any Security to the Trustee for authentication and delivery pursuant to Section 3.03 which shall be sufficiently evidenced as provided therein) and any resolution of the Board of Directors may be sufficiently evidenced by a Board Resolution.</w:t>
      </w:r>
    </w:p>
    <w:p>
      <w:pPr>
        <w:spacing w:after="0" w:line="57" w:lineRule="exact"/>
        <w:rPr>
          <w:rFonts w:ascii="Arial" w:cs="Arial" w:eastAsia="Arial" w:hAnsi="Arial"/>
          <w:sz w:val="17"/>
          <w:szCs w:val="17"/>
          <w:color w:val="auto"/>
        </w:rPr>
      </w:pPr>
    </w:p>
    <w:p>
      <w:pPr>
        <w:jc w:val="both"/>
        <w:ind w:right="280" w:firstLine="443"/>
        <w:spacing w:after="0" w:line="264" w:lineRule="auto"/>
        <w:tabs>
          <w:tab w:leader="none" w:pos="75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require and rely upon a Board Resolution, an Opinion of Counsel and/or an Officers’ Certificate.</w:t>
      </w:r>
    </w:p>
    <w:p>
      <w:pPr>
        <w:spacing w:after="0" w:line="73" w:lineRule="exact"/>
        <w:rPr>
          <w:rFonts w:ascii="Arial" w:cs="Arial" w:eastAsia="Arial" w:hAnsi="Arial"/>
          <w:sz w:val="18"/>
          <w:szCs w:val="18"/>
          <w:color w:val="auto"/>
        </w:rPr>
      </w:pPr>
    </w:p>
    <w:p>
      <w:pPr>
        <w:ind w:right="20" w:firstLine="443"/>
        <w:spacing w:after="0" w:line="277" w:lineRule="auto"/>
        <w:tabs>
          <w:tab w:leader="none" w:pos="74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62" w:lineRule="exact"/>
        <w:rPr>
          <w:rFonts w:ascii="Arial" w:cs="Arial" w:eastAsia="Arial" w:hAnsi="Arial"/>
          <w:sz w:val="18"/>
          <w:szCs w:val="18"/>
          <w:color w:val="auto"/>
        </w:rPr>
      </w:pPr>
    </w:p>
    <w:p>
      <w:pPr>
        <w:ind w:right="20" w:firstLine="443"/>
        <w:spacing w:after="0" w:line="259" w:lineRule="auto"/>
        <w:tabs>
          <w:tab w:leader="none" w:pos="69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of any series pursuant to this Indenture, unless such Holders shall have offered to the Trustee security or indemnity satisfactory to the Trustee against the costs, expenses and liabilities (including the reasonable fees and expenses of its agents and counsel) which might be incurred by it in compliance with such request or direction.</w:t>
      </w:r>
    </w:p>
    <w:p>
      <w:pPr>
        <w:spacing w:after="0" w:line="78" w:lineRule="exact"/>
        <w:rPr>
          <w:rFonts w:ascii="Arial" w:cs="Arial" w:eastAsia="Arial" w:hAnsi="Arial"/>
          <w:sz w:val="18"/>
          <w:szCs w:val="18"/>
          <w:color w:val="auto"/>
        </w:rPr>
      </w:pPr>
    </w:p>
    <w:p>
      <w:pPr>
        <w:ind w:right="40" w:firstLine="443"/>
        <w:spacing w:after="0" w:line="276" w:lineRule="auto"/>
        <w:tabs>
          <w:tab w:leader="none" w:pos="74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w:t>
      </w:r>
    </w:p>
    <w:p>
      <w:pPr>
        <w:spacing w:after="0" w:line="64" w:lineRule="exact"/>
        <w:rPr>
          <w:rFonts w:ascii="Arial" w:cs="Arial" w:eastAsia="Arial" w:hAnsi="Arial"/>
          <w:sz w:val="17"/>
          <w:szCs w:val="17"/>
          <w:color w:val="auto"/>
        </w:rPr>
      </w:pPr>
    </w:p>
    <w:p>
      <w:pPr>
        <w:jc w:val="both"/>
        <w:ind w:right="200" w:firstLine="443"/>
        <w:spacing w:after="0" w:line="264" w:lineRule="auto"/>
        <w:tabs>
          <w:tab w:leader="none" w:pos="79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ind w:right="260" w:firstLine="443"/>
        <w:spacing w:after="0" w:line="277" w:lineRule="auto"/>
        <w:tabs>
          <w:tab w:leader="none" w:pos="84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700" w:top="274" w:right="279" w:bottom="1440" w:gutter="0" w:footer="0" w:header="0"/>
        </w:sectPr>
      </w:pPr>
    </w:p>
    <w:bookmarkStart w:id="273" w:name="page274"/>
    <w:bookmarkEnd w:id="273"/>
    <w:p>
      <w:pPr>
        <w:ind w:left="460"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in fact such a default is received by the Trustee at the Corporate Trust Office of the Trustee, and such notice references the Securities and this Indenture.</w:t>
      </w:r>
    </w:p>
    <w:p>
      <w:pPr>
        <w:spacing w:after="0" w:line="62" w:lineRule="exact"/>
        <w:rPr>
          <w:sz w:val="20"/>
          <w:szCs w:val="20"/>
          <w:color w:val="auto"/>
        </w:rPr>
      </w:pPr>
    </w:p>
    <w:p>
      <w:pPr>
        <w:ind w:left="460" w:right="60" w:firstLine="443"/>
        <w:spacing w:after="0" w:line="277" w:lineRule="auto"/>
        <w:tabs>
          <w:tab w:leader="none" w:pos="120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20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460" w:right="100" w:firstLine="443"/>
        <w:spacing w:after="0" w:line="312" w:lineRule="auto"/>
        <w:tabs>
          <w:tab w:leader="none" w:pos="125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38" w:lineRule="exact"/>
        <w:rPr>
          <w:rFonts w:ascii="Arial" w:cs="Arial" w:eastAsia="Arial" w:hAnsi="Arial"/>
          <w:sz w:val="16"/>
          <w:szCs w:val="16"/>
          <w:color w:val="auto"/>
        </w:rPr>
      </w:pPr>
    </w:p>
    <w:p>
      <w:pPr>
        <w:jc w:val="both"/>
        <w:ind w:left="460" w:right="340" w:firstLine="443"/>
        <w:spacing w:after="0" w:line="264" w:lineRule="auto"/>
        <w:tabs>
          <w:tab w:leader="none" w:pos="130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w:t>
      </w:r>
    </w:p>
    <w:p>
      <w:pPr>
        <w:spacing w:after="0" w:line="73" w:lineRule="exact"/>
        <w:rPr>
          <w:rFonts w:ascii="Arial" w:cs="Arial" w:eastAsia="Arial" w:hAnsi="Arial"/>
          <w:sz w:val="18"/>
          <w:szCs w:val="18"/>
          <w:color w:val="auto"/>
        </w:rPr>
      </w:pPr>
    </w:p>
    <w:p>
      <w:pPr>
        <w:ind w:left="460" w:firstLine="443"/>
        <w:spacing w:after="0" w:line="259" w:lineRule="auto"/>
        <w:tabs>
          <w:tab w:leader="none" w:pos="129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Trustee shall not be responsible or liable for any failure or delay in the performance of its obligations under this Indenture arising out of or caused, directly or indirectly, by circumstances beyond its control, including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78" w:lineRule="exact"/>
        <w:rPr>
          <w:rFonts w:ascii="Arial" w:cs="Arial" w:eastAsia="Arial" w:hAnsi="Arial"/>
          <w:sz w:val="18"/>
          <w:szCs w:val="18"/>
          <w:color w:val="auto"/>
        </w:rPr>
      </w:pPr>
    </w:p>
    <w:p>
      <w:pPr>
        <w:ind w:left="460" w:right="240" w:firstLine="443"/>
        <w:spacing w:after="0" w:line="264" w:lineRule="auto"/>
        <w:tabs>
          <w:tab w:leader="none" w:pos="12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or duties 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225"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The Trustee, any Paying Agent, Security Registrar, Authenticating Agent or any other agent of the Company, in its individual or any other capacity, may become the owner or pledgee of Securities and, subject to TIA Sections 310(b) and 311, may otherwise deal with the Company with the same rights it would have if it were not Trustee, Paying Agent, Security Registrar, Authenticating Agent or such other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274" w:name="page275"/>
    <w:bookmarkEnd w:id="2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6.05. </w:t>
      </w:r>
      <w:r>
        <w:rPr>
          <w:rFonts w:ascii="Arial" w:cs="Arial" w:eastAsia="Arial" w:hAnsi="Arial"/>
          <w:sz w:val="18"/>
          <w:szCs w:val="18"/>
          <w:u w:val="single" w:color="auto"/>
          <w:color w:val="auto"/>
        </w:rPr>
        <w:t>Money Held in Trust</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Compensation and Reimbursement and Indemnification of Trustee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117" w:lineRule="exact"/>
        <w:rPr>
          <w:sz w:val="20"/>
          <w:szCs w:val="20"/>
          <w:color w:val="auto"/>
        </w:rPr>
      </w:pPr>
    </w:p>
    <w:p>
      <w:pPr>
        <w:ind w:left="460" w:right="40" w:firstLine="443"/>
        <w:spacing w:after="0" w:line="264" w:lineRule="auto"/>
        <w:tabs>
          <w:tab w:leader="none" w:pos="111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pay to the Trustee or any predecessor Trustee from time to time such reasonable compensation for all services rendered by it hereunder as has been agreed upon from time to time in writing (which compensation shall not be limited by any provision of law in regard to the compensation of a trustee of an express trust).</w:t>
      </w:r>
    </w:p>
    <w:p>
      <w:pPr>
        <w:spacing w:after="0" w:line="73" w:lineRule="exact"/>
        <w:rPr>
          <w:rFonts w:ascii="Arial" w:cs="Arial" w:eastAsia="Arial" w:hAnsi="Arial"/>
          <w:sz w:val="18"/>
          <w:szCs w:val="18"/>
          <w:color w:val="auto"/>
        </w:rPr>
      </w:pPr>
    </w:p>
    <w:p>
      <w:pPr>
        <w:ind w:left="460" w:right="100" w:firstLine="443"/>
        <w:spacing w:after="0" w:line="259" w:lineRule="auto"/>
        <w:tabs>
          <w:tab w:leader="none" w:pos="116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willful misconduct.</w:t>
      </w:r>
    </w:p>
    <w:p>
      <w:pPr>
        <w:spacing w:after="0" w:line="78" w:lineRule="exact"/>
        <w:rPr>
          <w:rFonts w:ascii="Arial" w:cs="Arial" w:eastAsia="Arial" w:hAnsi="Arial"/>
          <w:sz w:val="18"/>
          <w:szCs w:val="18"/>
          <w:color w:val="auto"/>
        </w:rPr>
      </w:pPr>
    </w:p>
    <w:p>
      <w:pPr>
        <w:ind w:left="460" w:right="40" w:firstLine="443"/>
        <w:spacing w:after="0" w:line="259" w:lineRule="auto"/>
        <w:tabs>
          <w:tab w:leader="none" w:pos="121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indemnify each of the Trustee or any predecessor Trustee for, and to hold it harmless against, any loss, liability or expense incurred without negligence or willful misconduct on its own part, arising out of or in connection with the acceptance or administration of the trust or trusts hereunder, including the costs and expenses (including the reasonable fees and expenses of its agents and counsel) of defending itself against any claim or liability in connection with the exercise or performance of any of its powers or duties hereunder.</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w:t>
      </w:r>
    </w:p>
    <w:p>
      <w:pPr>
        <w:spacing w:after="0" w:line="18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provisions of this Section 6.06 shall survive the resignation or removal of the Trustee and the satisfaction, termination or discharge of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shall at all times be a Trustee hereunder that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275" w:name="page276"/>
    <w:bookmarkEnd w:id="2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225" w:lineRule="exact"/>
        <w:rPr>
          <w:sz w:val="20"/>
          <w:szCs w:val="20"/>
          <w:color w:val="auto"/>
        </w:rPr>
      </w:pPr>
    </w:p>
    <w:p>
      <w:pPr>
        <w:ind w:right="620" w:firstLine="464"/>
        <w:spacing w:after="0" w:line="277" w:lineRule="auto"/>
        <w:tabs>
          <w:tab w:leader="none" w:pos="70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Trustee may resign at any time with respect to the Securities of one or more series by giving written notice thereof to the Company.</w:t>
      </w:r>
    </w:p>
    <w:p>
      <w:pPr>
        <w:spacing w:after="0" w:line="236" w:lineRule="exact"/>
        <w:rPr>
          <w:rFonts w:ascii="Arial" w:cs="Arial" w:eastAsia="Arial" w:hAnsi="Arial"/>
          <w:sz w:val="17"/>
          <w:szCs w:val="17"/>
          <w:color w:val="auto"/>
        </w:rPr>
      </w:pPr>
    </w:p>
    <w:p>
      <w:pPr>
        <w:ind w:right="160" w:firstLine="464"/>
        <w:spacing w:after="0" w:line="277" w:lineRule="auto"/>
        <w:tabs>
          <w:tab w:leader="none" w:pos="69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11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ind w:left="460" w:right="500" w:firstLine="443"/>
        <w:spacing w:after="0" w:line="277" w:lineRule="auto"/>
        <w:tabs>
          <w:tab w:leader="none" w:pos="116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62" w:lineRule="exact"/>
        <w:rPr>
          <w:rFonts w:ascii="Arial" w:cs="Arial" w:eastAsia="Arial" w:hAnsi="Arial"/>
          <w:sz w:val="18"/>
          <w:szCs w:val="18"/>
          <w:color w:val="auto"/>
        </w:rPr>
      </w:pPr>
    </w:p>
    <w:p>
      <w:pPr>
        <w:jc w:val="both"/>
        <w:ind w:left="460" w:right="120" w:firstLine="443"/>
        <w:spacing w:after="0" w:line="264" w:lineRule="auto"/>
        <w:tabs>
          <w:tab w:leader="none" w:pos="121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7" w:lineRule="exact"/>
        <w:rPr>
          <w:sz w:val="20"/>
          <w:szCs w:val="20"/>
          <w:color w:val="auto"/>
        </w:rPr>
      </w:pPr>
    </w:p>
    <w:p>
      <w:pPr>
        <w:ind w:right="20" w:firstLine="464"/>
        <w:spacing w:after="0" w:line="264" w:lineRule="auto"/>
        <w:tabs>
          <w:tab w:leader="none" w:pos="70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w:t>
      </w:r>
    </w:p>
    <w:p>
      <w:pPr>
        <w:spacing w:after="0" w:line="181" w:lineRule="exact"/>
        <w:rPr>
          <w:rFonts w:ascii="Arial" w:cs="Arial" w:eastAsia="Arial" w:hAnsi="Arial"/>
          <w:sz w:val="18"/>
          <w:szCs w:val="18"/>
          <w:color w:val="auto"/>
        </w:rPr>
      </w:pPr>
    </w:p>
    <w:p>
      <w:pPr>
        <w:ind w:firstLine="464"/>
        <w:spacing w:after="0" w:line="270" w:lineRule="auto"/>
        <w:tabs>
          <w:tab w:leader="none" w:pos="68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74" w:right="279" w:bottom="1440" w:gutter="0" w:footer="0" w:header="0"/>
        </w:sectPr>
      </w:pPr>
    </w:p>
    <w:bookmarkStart w:id="276" w:name="page277"/>
    <w:bookmarkEnd w:id="276"/>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of such series for at least six months may, on behalf of himself and all others similarly situated, petition any court of competent jurisdiction for the appointment of a successor Trustee with respect to Securities of such series.</w:t>
      </w:r>
    </w:p>
    <w:p>
      <w:pPr>
        <w:spacing w:after="0" w:line="170" w:lineRule="exact"/>
        <w:rPr>
          <w:sz w:val="20"/>
          <w:szCs w:val="20"/>
          <w:color w:val="auto"/>
        </w:rPr>
      </w:pPr>
    </w:p>
    <w:p>
      <w:pPr>
        <w:ind w:right="60" w:firstLine="464"/>
        <w:spacing w:after="0" w:line="312" w:lineRule="auto"/>
        <w:tabs>
          <w:tab w:leader="none" w:pos="711"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55" w:lineRule="auto"/>
        <w:tabs>
          <w:tab w:leader="none" w:pos="70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9" w:lineRule="exact"/>
        <w:rPr>
          <w:rFonts w:ascii="Arial" w:cs="Arial" w:eastAsia="Arial" w:hAnsi="Arial"/>
          <w:sz w:val="18"/>
          <w:szCs w:val="18"/>
          <w:color w:val="auto"/>
        </w:rPr>
      </w:pPr>
    </w:p>
    <w:p>
      <w:pPr>
        <w:ind w:firstLine="464"/>
        <w:spacing w:after="0" w:line="285" w:lineRule="auto"/>
        <w:tabs>
          <w:tab w:leader="none" w:pos="71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that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w:t>
      </w:r>
      <w:r>
        <w:rPr>
          <w:rFonts w:ascii="Arial" w:cs="Arial" w:eastAsia="Arial" w:hAnsi="Arial"/>
          <w:sz w:val="16"/>
          <w:szCs w:val="16"/>
          <w:u w:val="single" w:color="auto"/>
          <w:color w:val="auto"/>
        </w:rPr>
        <w:t>Indenture</w:t>
      </w:r>
      <w:r>
        <w:rPr>
          <w:rFonts w:ascii="Arial" w:cs="Arial" w:eastAsia="Arial" w:hAnsi="Arial"/>
          <w:sz w:val="16"/>
          <w:szCs w:val="16"/>
          <w:color w:val="auto"/>
        </w:rPr>
        <w:t>” and “</w:t>
      </w:r>
      <w:r>
        <w:rPr>
          <w:rFonts w:ascii="Arial" w:cs="Arial" w:eastAsia="Arial" w:hAnsi="Arial"/>
          <w:sz w:val="16"/>
          <w:szCs w:val="16"/>
          <w:u w:val="single" w:color="auto"/>
          <w:color w:val="auto"/>
        </w:rPr>
        <w:t>Securities</w:t>
      </w:r>
      <w:r>
        <w:rPr>
          <w:rFonts w:ascii="Arial" w:cs="Arial" w:eastAsia="Arial" w:hAnsi="Arial"/>
          <w:sz w:val="16"/>
          <w:szCs w:val="16"/>
          <w:color w:val="auto"/>
        </w:rPr>
        <w:t>” shall have the meanings specified in the provisos to the respective definition of those terms in Section 1.01 which contemplate such situation.</w:t>
      </w:r>
    </w:p>
    <w:p>
      <w:pPr>
        <w:spacing w:after="0" w:line="175" w:lineRule="exact"/>
        <w:rPr>
          <w:rFonts w:ascii="Arial" w:cs="Arial" w:eastAsia="Arial" w:hAnsi="Arial"/>
          <w:sz w:val="16"/>
          <w:szCs w:val="16"/>
          <w:color w:val="auto"/>
        </w:rPr>
      </w:pPr>
    </w:p>
    <w:p>
      <w:pPr>
        <w:jc w:val="both"/>
        <w:ind w:right="260" w:firstLine="464"/>
        <w:spacing w:after="0" w:line="342" w:lineRule="auto"/>
        <w:tabs>
          <w:tab w:leader="none" w:pos="70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reasonably necessary to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right="80" w:firstLine="464"/>
        <w:spacing w:after="0" w:line="277" w:lineRule="auto"/>
        <w:tabs>
          <w:tab w:leader="none" w:pos="71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277" w:name="page278"/>
    <w:bookmarkEnd w:id="2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6.11.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Appointment of Authenticating Agent</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any time when any of the Securities remain Outstanding, the Trustee may appoint an Authenticating Agent or Agents (which may be an Affiliate or Affiliates of the Company) with respect to one or more series of Securities that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$1,500,000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6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278" w:name="page279"/>
    <w:bookmarkEnd w:id="27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9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Company agrees to pay to each Authenticating Agent from time to time reasonable compensation including reimbursement of its reasonable expenses for its services under this Section.</w:t>
      </w:r>
    </w:p>
    <w:p>
      <w:pPr>
        <w:spacing w:after="0" w:line="170"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Wells Fargo Bank, National Association, as Authenticating</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and conditions of such appointment are reasonably acceptable to the Trustee.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SEVEN</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Disclosure of Names and Addresses of Holders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86" w:lineRule="auto"/>
        <w:tabs>
          <w:tab w:leader="none" w:pos="70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74" w:right="279" w:bottom="1440" w:gutter="0" w:footer="0" w:header="0"/>
        </w:sectPr>
      </w:pPr>
    </w:p>
    <w:bookmarkStart w:id="279" w:name="page280"/>
    <w:bookmarkEnd w:id="279"/>
    <w:p>
      <w:pPr>
        <w:ind w:right="840" w:firstLine="464"/>
        <w:spacing w:after="0" w:line="277" w:lineRule="auto"/>
        <w:tabs>
          <w:tab w:leader="none" w:pos="7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of Holders to communicate with other Holders with respect to their rights under this Indenture or under the Securities, and the corresponding rights and duties of the Trustee, shall be as provided by the Trust Indenture Act.</w:t>
      </w:r>
    </w:p>
    <w:p>
      <w:pPr>
        <w:spacing w:after="0" w:line="170" w:lineRule="exact"/>
        <w:rPr>
          <w:rFonts w:ascii="Arial" w:cs="Arial" w:eastAsia="Arial" w:hAnsi="Arial"/>
          <w:sz w:val="18"/>
          <w:szCs w:val="18"/>
          <w:color w:val="auto"/>
        </w:rPr>
      </w:pPr>
    </w:p>
    <w:p>
      <w:pPr>
        <w:jc w:val="both"/>
        <w:ind w:right="160" w:firstLine="464"/>
        <w:spacing w:after="0" w:line="264" w:lineRule="auto"/>
        <w:tabs>
          <w:tab w:leader="none" w:pos="70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Within 60 days after May 15 of each year commencing with the first May 15 after the first issuance of Securities pursuant to this Indenture, the Trustee shall transmit by mail to all Holders of Securities as provided in TIA Section 313(c) a brief report dated as of such May 15 which meets the requirements of TIA Section 313(a).</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Securities are listed, with the Commission and with the Company. The Company will promptly notify the Trustee of the listing of the Securities on any stock exchange. In the event that, on any such reporting date, no events have occurred under the applicable sections of the TIA within the 12 months preceding such reporting date, the Trustee shall be under no duty or obligation to provide such reports.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Reports by Company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 Company will file with the Trustee and the Commission, and transmit to Holders, such information, documents and other reports, and such summaries thereof, as may be required pursuant to the Trust Indenture Act;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information, documents or reports filed electronically with the Commission pursuant to Section 13 or 15(d) of the Exchange Act shall be deemed filed with and delivered to the Trustee and the Holders at the same time as filed with the Commission.</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Calculation of Original Issue Discount</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EIGHT</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Company May Consolidate, Etc., Only on Certain Terms</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Unless otherwise provided in the terms of such Securities, the Company shall not consolidate with or merge with or into any other corporation or convey or transfer all or substantially all of its properties and assets to any Person, unless:</w:t>
      </w:r>
    </w:p>
    <w:p>
      <w:pPr>
        <w:spacing w:after="0" w:line="62" w:lineRule="exact"/>
        <w:rPr>
          <w:sz w:val="20"/>
          <w:szCs w:val="20"/>
          <w:color w:val="auto"/>
        </w:rPr>
      </w:pPr>
    </w:p>
    <w:p>
      <w:pPr>
        <w:ind w:left="460" w:right="200" w:firstLine="443"/>
        <w:spacing w:after="0" w:line="264" w:lineRule="auto"/>
        <w:tabs>
          <w:tab w:leader="none" w:pos="111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either the Company shall be the continuing corporation, or the corporation (if other than the Company) formed by such consolidation or into which the Company is merged or the Person which acquires by conveyance or transfer all or substantially all of the properties and assets of the Company shall expressly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280" w:name="page281"/>
    <w:bookmarkEnd w:id="280"/>
    <w:p>
      <w:pPr>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assume, by an indenture supplemental hereto, executed and delivered to the Trustee, in form reasonably satisfactory to the Trustee, the due and punctual payment of the principal of (and premium, if any) and interest, if any, on all the Securities and the performance of every covenant of this Indenture on the part of the Company to be performed or observed;</w:t>
      </w:r>
    </w:p>
    <w:p>
      <w:pPr>
        <w:spacing w:after="0" w:line="73" w:lineRule="exact"/>
        <w:rPr>
          <w:sz w:val="20"/>
          <w:szCs w:val="20"/>
          <w:color w:val="auto"/>
        </w:rPr>
      </w:pPr>
    </w:p>
    <w:p>
      <w:pPr>
        <w:ind w:left="1160" w:hanging="257"/>
        <w:spacing w:after="0"/>
        <w:tabs>
          <w:tab w:leader="none" w:pos="11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 and</w:t>
      </w:r>
    </w:p>
    <w:p>
      <w:pPr>
        <w:spacing w:after="0" w:line="117" w:lineRule="exact"/>
        <w:rPr>
          <w:rFonts w:ascii="Arial" w:cs="Arial" w:eastAsia="Arial" w:hAnsi="Arial"/>
          <w:sz w:val="18"/>
          <w:szCs w:val="18"/>
          <w:color w:val="auto"/>
        </w:rPr>
      </w:pPr>
    </w:p>
    <w:p>
      <w:pPr>
        <w:ind w:left="460" w:right="360" w:firstLine="443"/>
        <w:spacing w:after="0" w:line="279" w:lineRule="auto"/>
        <w:tabs>
          <w:tab w:leader="none" w:pos="1213"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Company and the successor Person have delivered to the Trustee an Officers’ Certificate and an Opinion of Counsel each stating that such consolidation, merger, conveyance or transfer and such supplemental indenture comply with this Article, that all conditions precedent herein provided for relating to such transaction have been complied with and that such supplemental indenture constitutes the legal, valid and binding obligation of the successor Person, enforceable against it in accordance with its terms.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Person Substituted</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may be dissolved and liquidated.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NINE</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Without the consent of any Holders of Securities, the Company, when authorized by or pursuant to a Board Resolution, and the Trustee, at any time and from time to time, may enter into one or more indentures supplemental hereto, in form reasonably satisfactory to the Trustee, for any of the following purposes:</w:t>
      </w:r>
    </w:p>
    <w:p>
      <w:pPr>
        <w:spacing w:after="0" w:line="73" w:lineRule="exact"/>
        <w:rPr>
          <w:sz w:val="20"/>
          <w:szCs w:val="20"/>
          <w:color w:val="auto"/>
        </w:rPr>
      </w:pPr>
    </w:p>
    <w:p>
      <w:pPr>
        <w:ind w:left="460" w:right="380" w:firstLine="443"/>
        <w:spacing w:after="0" w:line="277" w:lineRule="auto"/>
        <w:tabs>
          <w:tab w:leader="none" w:pos="111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contained; or</w:t>
      </w:r>
    </w:p>
    <w:p>
      <w:pPr>
        <w:spacing w:after="0" w:line="62" w:lineRule="exact"/>
        <w:rPr>
          <w:rFonts w:ascii="Arial" w:cs="Arial" w:eastAsia="Arial" w:hAnsi="Arial"/>
          <w:sz w:val="18"/>
          <w:szCs w:val="18"/>
          <w:color w:val="auto"/>
        </w:rPr>
      </w:pPr>
    </w:p>
    <w:p>
      <w:pPr>
        <w:jc w:val="both"/>
        <w:ind w:left="460" w:right="80" w:firstLine="443"/>
        <w:spacing w:after="0" w:line="264" w:lineRule="auto"/>
        <w:tabs>
          <w:tab w:leader="none" w:pos="116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73" w:lineRule="exact"/>
        <w:rPr>
          <w:rFonts w:ascii="Arial" w:cs="Arial" w:eastAsia="Arial" w:hAnsi="Arial"/>
          <w:sz w:val="18"/>
          <w:szCs w:val="18"/>
          <w:color w:val="auto"/>
        </w:rPr>
      </w:pPr>
    </w:p>
    <w:p>
      <w:pPr>
        <w:ind w:left="460" w:right="40" w:firstLine="443"/>
        <w:spacing w:after="0" w:line="293" w:lineRule="auto"/>
        <w:tabs>
          <w:tab w:leader="none" w:pos="121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56" w:lineRule="exact"/>
        <w:rPr>
          <w:rFonts w:ascii="Arial" w:cs="Arial" w:eastAsia="Arial" w:hAnsi="Arial"/>
          <w:sz w:val="16"/>
          <w:szCs w:val="16"/>
          <w:color w:val="auto"/>
        </w:rPr>
      </w:pPr>
    </w:p>
    <w:p>
      <w:pPr>
        <w:ind w:left="1200" w:hanging="297"/>
        <w:spacing w:after="0"/>
        <w:tabs>
          <w:tab w:leader="none" w:pos="12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281" w:name="page282"/>
    <w:bookmarkEnd w:id="281"/>
    <w:p>
      <w:pPr>
        <w:ind w:left="460" w:right="40" w:firstLine="443"/>
        <w:spacing w:after="0" w:line="264" w:lineRule="auto"/>
        <w:tabs>
          <w:tab w:leader="none" w:pos="1153"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change or eliminate any of the provisions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that is entitled to the benefit of such provision; or</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secure the Securities pursuant to the requirements of Section 8.01, or otherwise; or</w:t>
      </w:r>
    </w:p>
    <w:p>
      <w:pPr>
        <w:spacing w:after="0" w:line="117" w:lineRule="exact"/>
        <w:rPr>
          <w:rFonts w:ascii="Arial" w:cs="Arial" w:eastAsia="Arial" w:hAnsi="Arial"/>
          <w:sz w:val="18"/>
          <w:szCs w:val="18"/>
          <w:color w:val="auto"/>
        </w:rPr>
      </w:pPr>
    </w:p>
    <w:p>
      <w:pPr>
        <w:ind w:left="460" w:firstLine="443"/>
        <w:spacing w:after="0" w:line="257" w:lineRule="auto"/>
        <w:tabs>
          <w:tab w:leader="none" w:pos="125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 including the provisions and procedures relating to Securities convertible into or exchangeable for any securities of any Person (including the Company),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 or</w:t>
      </w:r>
    </w:p>
    <w:p>
      <w:pPr>
        <w:spacing w:after="0" w:line="80" w:lineRule="exact"/>
        <w:rPr>
          <w:rFonts w:ascii="Arial" w:cs="Arial" w:eastAsia="Arial" w:hAnsi="Arial"/>
          <w:sz w:val="18"/>
          <w:szCs w:val="18"/>
          <w:color w:val="auto"/>
        </w:rPr>
      </w:pPr>
    </w:p>
    <w:p>
      <w:pPr>
        <w:ind w:left="460" w:right="220" w:firstLine="443"/>
        <w:spacing w:after="0" w:line="264" w:lineRule="auto"/>
        <w:tabs>
          <w:tab w:leader="none" w:pos="130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73" w:lineRule="exact"/>
        <w:rPr>
          <w:rFonts w:ascii="Arial" w:cs="Arial" w:eastAsia="Arial" w:hAnsi="Arial"/>
          <w:sz w:val="18"/>
          <w:szCs w:val="18"/>
          <w:color w:val="auto"/>
        </w:rPr>
      </w:pPr>
    </w:p>
    <w:p>
      <w:pPr>
        <w:jc w:val="both"/>
        <w:ind w:left="460" w:firstLine="443"/>
        <w:spacing w:after="0" w:line="259" w:lineRule="auto"/>
        <w:tabs>
          <w:tab w:leader="none" w:pos="120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that may be inconsistent with any other provision herein, or to make any other provisions with respect to matters or questions arising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shall not adversely affect the interests of the Holders of Securities of any series in any material respect, in each case as determined in good faith by the Company, as evidenced in an Officers’ Certificate; or</w:t>
      </w:r>
    </w:p>
    <w:p>
      <w:pPr>
        <w:spacing w:after="0" w:line="78" w:lineRule="exact"/>
        <w:rPr>
          <w:rFonts w:ascii="Arial" w:cs="Arial" w:eastAsia="Arial" w:hAnsi="Arial"/>
          <w:sz w:val="18"/>
          <w:szCs w:val="18"/>
          <w:color w:val="auto"/>
        </w:rPr>
      </w:pPr>
    </w:p>
    <w:p>
      <w:pPr>
        <w:ind w:left="460" w:right="140" w:firstLine="443"/>
        <w:spacing w:after="0" w:line="259" w:lineRule="auto"/>
        <w:tabs>
          <w:tab w:leader="none" w:pos="115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 as determined in good faith by the Company, as evidenced in an Officers’ Certificate; or</w:t>
      </w:r>
    </w:p>
    <w:p>
      <w:pPr>
        <w:spacing w:after="0" w:line="78" w:lineRule="exact"/>
        <w:rPr>
          <w:rFonts w:ascii="Arial" w:cs="Arial" w:eastAsia="Arial" w:hAnsi="Arial"/>
          <w:sz w:val="18"/>
          <w:szCs w:val="18"/>
          <w:color w:val="auto"/>
        </w:rPr>
      </w:pPr>
    </w:p>
    <w:p>
      <w:pPr>
        <w:ind w:left="460" w:right="620" w:firstLine="443"/>
        <w:spacing w:after="0" w:line="277" w:lineRule="auto"/>
        <w:tabs>
          <w:tab w:leader="none" w:pos="120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add guarantors or co-obligors with respect to any series of Securities or to release guarantors from their guarantees of Securities in accordance with the terms of the applicable series of Securities; or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25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make any change in any series of Securities that does not adversely affect in any material respect the rights of the Holders of such Securities as determined in good faith by the Company, as evidenced in an Officers’ Certificate.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that affects such series of Securities or of modifying in any manner the rights of the Holders of such series of Securities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85" w:lineRule="exact"/>
        <w:rPr>
          <w:sz w:val="20"/>
          <w:szCs w:val="20"/>
          <w:color w:val="auto"/>
        </w:rPr>
      </w:pPr>
    </w:p>
    <w:p>
      <w:pPr>
        <w:ind w:left="460" w:firstLine="443"/>
        <w:spacing w:after="0" w:line="272" w:lineRule="auto"/>
        <w:tabs>
          <w:tab w:leader="none" w:pos="111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8.01(i) and permitted by Section 9.01(i)), or reduce the portion of the principal of an Original Issue Discount Security or Indexed Security that would be due and payable upon a declaration of acceleration of the Maturity thereof pursuant to Section 5.02, or upon the redemption thereof or the amount thereof provable in bankruptcy pursuant to Section 5.04, or adversely affect any right of repayment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282" w:name="page283"/>
    <w:bookmarkEnd w:id="282"/>
    <w:p>
      <w:pPr>
        <w:ind w:left="460"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 modify the subordination provisions set forth in Article Sixteen in a manner that is adverse to the Holder of any Security, or</w:t>
      </w:r>
    </w:p>
    <w:p>
      <w:pPr>
        <w:spacing w:after="0" w:line="64" w:lineRule="exact"/>
        <w:rPr>
          <w:sz w:val="20"/>
          <w:szCs w:val="20"/>
          <w:color w:val="auto"/>
        </w:rPr>
      </w:pPr>
    </w:p>
    <w:p>
      <w:pPr>
        <w:jc w:val="both"/>
        <w:ind w:left="460" w:right="180" w:firstLine="443"/>
        <w:spacing w:after="0" w:line="259" w:lineRule="auto"/>
        <w:tabs>
          <w:tab w:leader="none" w:pos="116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78" w:lineRule="exact"/>
        <w:rPr>
          <w:rFonts w:ascii="Arial" w:cs="Arial" w:eastAsia="Arial" w:hAnsi="Arial"/>
          <w:sz w:val="18"/>
          <w:szCs w:val="18"/>
          <w:color w:val="auto"/>
        </w:rPr>
      </w:pPr>
    </w:p>
    <w:p>
      <w:pPr>
        <w:ind w:left="460" w:right="120" w:firstLine="443"/>
        <w:spacing w:after="0" w:line="257" w:lineRule="auto"/>
        <w:tabs>
          <w:tab w:leader="none" w:pos="121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10.06,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of a Security with respect to changes in the references to “the Trustee” and concomitant changes in this Section, or the deletion of this proviso, in accordance with the requirements of Sections 6.10(b) and 9.01(viii).</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that is eleven months after such record date, any such consent previously given shall automatically and without further action by any Holder be cancelled and of no further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 thereby of the trusts created by this Indenture, the Trustee shall be entitled to receive, and shall be fully protected in relying upon, in addition to the documents required by Section 1.02 of this Indenture, an Officers’ Certificate and an Opinion of Counsel stating that the execution of such supplemental indenture is authorized or permitted by this Indenture, constitutes the legal, valid and binding obligation of the Company, enforceable against it in accordance with its terms and that all conditions precedent to such supplemental indenture have been complied with, subject to customary assumptions and exceptions. The Trustee may, but shall not be obligated to, enter into any such supplemental indenture that affects the Trustee’s own rights, duties or immunities under this Indenture or otherwise.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283" w:name="page284"/>
    <w:bookmarkEnd w:id="28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Every supplemental indenture executed pursuant to this Article shall conform to the requirements of the Trust Indenture Act as then in effect.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TEN</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if any, and Interest</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(and premium, if any) and interest, if any, on the Securities of that series in accordance with the terms of such series of Securities and this Indenture.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Borough of Manhattan, the City of New York, and initially appoints the Trustee at its Corporate Trust Office as Paying Agent, and as its agent to receive all such presentations, surrenders, notices and demands.</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 The Company will notify the Trustee of the name and address of any Exchange Rate Agent retained by 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284" w:name="page285"/>
    <w:bookmarkEnd w:id="2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Company shall at any time act as its own Paying Agent with respect to any series of any Securities,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will promptly notify the Trustee of its action or failure so to act.</w:t>
      </w:r>
    </w:p>
    <w:p>
      <w:pPr>
        <w:spacing w:after="0" w:line="193"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Whenever the Company shall have one or more Paying Agents for any series of Securities, it will,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will promptly notify the Trustee of its action or failure so to act.</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Additional Amounts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If the Securities of a series provide for the payment of Additional Amounts, the Company will pay to the Holder of any Security of such series such Additional Amounts as may be specified as contemplated by Section 3.01. Whenever in this Indenture there is mentioned, in any context, the payment of the principal of (or premium, if any) or interest, if any, on any Security of any series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Except as otherwise specified as contemplated by Section 3.01, if the Securities of a series provide for the payment of Additional Amounts, at least 10 days prior to the first Interest Payment Date with respect to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285" w:name="page286"/>
    <w:bookmarkEnd w:id="28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of Securities (or if the Securities of that series will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until it shall have received a certificate advising otherwise and (ii) to make all payments of principal and interest with respect to the Securities of a series without withholding or deductions until otherwise advised.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or in reliance on the Company’s not furnishing such an Officers’ Certificate.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Statement as to Compliance</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will deliver to the Trustee, within 120 days after the end of each fiscal year ending after the date hereof so long as any Security is Outstanding hereunder, an Officers’ Certificate stating to the knowledge of the signers thereof whether the Company is in default in the performance of any of the terms, provisions or conditions of this Indenture. For purposes of this Section 10.05, such default shall be determined without regard to any period of grace or requirement of notice under this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may omit in any particular instance to comply with any covenant or condition of the Company set forth herein or added to Article Ten pursuant to Section 3.01(xiv) or Section 3.01(xv)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ELEVEN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3.01 for Securities of any series) in accordance with this Article.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286" w:name="page287"/>
    <w:bookmarkEnd w:id="2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Election to Redeem; Notice to Trustee</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(i) if the Securities are listed on any national securities exchange, in compliance with the requirements of the principal national securities exchange on which the Securities are listed, (ii)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to the extent practicable or (iii) to the extent that selection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is not practicable by lot or such other similar method the Trustee deems to be fair and appropriate from the Outstanding Securities of such series issued on such date with the same terms not previously called for redemption, not less than 30 nor more than 60 days prior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partial redemption shall reduce the portion of the principal amount of a Security not redeemed to less than the minimum authorized denomination for Securities of such series.</w:t>
      </w:r>
    </w:p>
    <w:p>
      <w:pPr>
        <w:spacing w:after="0" w:line="18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54"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287" w:name="page288"/>
    <w:bookmarkEnd w:id="28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notices of redemption shall state:</w:t>
      </w:r>
    </w:p>
    <w:p>
      <w:pPr>
        <w:spacing w:after="0" w:line="117" w:lineRule="exact"/>
        <w:rPr>
          <w:sz w:val="20"/>
          <w:szCs w:val="20"/>
          <w:color w:val="auto"/>
        </w:rPr>
      </w:pPr>
    </w:p>
    <w:p>
      <w:pPr>
        <w:ind w:left="1120" w:hanging="217"/>
        <w:spacing w:after="0"/>
        <w:tabs>
          <w:tab w:leader="none" w:pos="11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Redemption Price and accrued interest, if any, to the Redemption Date payable as provided in Section 11.06,</w:t>
      </w:r>
    </w:p>
    <w:p>
      <w:pPr>
        <w:spacing w:after="0" w:line="117" w:lineRule="exact"/>
        <w:rPr>
          <w:rFonts w:ascii="Arial" w:cs="Arial" w:eastAsia="Arial" w:hAnsi="Arial"/>
          <w:sz w:val="18"/>
          <w:szCs w:val="18"/>
          <w:color w:val="auto"/>
        </w:rPr>
      </w:pPr>
    </w:p>
    <w:p>
      <w:pPr>
        <w:ind w:left="460" w:right="20" w:firstLine="443"/>
        <w:spacing w:after="0" w:line="277" w:lineRule="auto"/>
        <w:tabs>
          <w:tab w:leader="none" w:pos="121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jc w:val="both"/>
        <w:ind w:left="460" w:right="120" w:firstLine="443"/>
        <w:spacing w:after="0" w:line="264" w:lineRule="auto"/>
        <w:tabs>
          <w:tab w:leader="none" w:pos="120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that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73"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73" w:lineRule="exact"/>
        <w:rPr>
          <w:rFonts w:ascii="Arial" w:cs="Arial" w:eastAsia="Arial" w:hAnsi="Arial"/>
          <w:sz w:val="18"/>
          <w:szCs w:val="18"/>
          <w:color w:val="auto"/>
        </w:rPr>
      </w:pPr>
    </w:p>
    <w:p>
      <w:pPr>
        <w:ind w:left="460" w:right="700" w:firstLine="443"/>
        <w:spacing w:after="0" w:line="277" w:lineRule="auto"/>
        <w:tabs>
          <w:tab w:leader="none" w:pos="120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Place or Places of Payment where such Securities maturing after the Redemption Date, are to be surrendered for payment of the Redemption Price and accrued interest, if any,</w:t>
      </w:r>
    </w:p>
    <w:p>
      <w:pPr>
        <w:spacing w:after="0" w:line="62" w:lineRule="exact"/>
        <w:rPr>
          <w:rFonts w:ascii="Arial" w:cs="Arial" w:eastAsia="Arial" w:hAnsi="Arial"/>
          <w:sz w:val="18"/>
          <w:szCs w:val="18"/>
          <w:color w:val="auto"/>
        </w:rPr>
      </w:pPr>
    </w:p>
    <w:p>
      <w:pPr>
        <w:ind w:left="1260" w:hanging="357"/>
        <w:spacing w:after="0"/>
        <w:tabs>
          <w:tab w:leader="none" w:pos="1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CUSIP number of such Security, if any.</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 notice of redemption published as contemplated by Section 1.06 need not identify particular Registered Securities to be redeemed. Notice of redemption of Securities to be redeemed shall be given by the Company or, at the Company’s request, by the Trustee in the name and at the expense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or prior to 10:00 am, New York City time, on the Business Day prior to any Redemption Date, the Company shall deposit with the Trustee or with a Paying Agent (or, if the Company is acting as its own Paying Agent, in accordance with the terms of this Indenture,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Securities Payable on Redemption Date</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otherwise specified as contemplated by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288" w:name="page289"/>
    <w:bookmarkEnd w:id="28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Any Registered Security that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TWELVE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 series except as otherwise specified as contemplated by Section 3.01 for Securities of such series.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may, in satisfaction of all or any part of any mandatory sinking fund payment with respect to the Securities of a series, (i) deliver Outstanding Securities of such series (other than any previously called for redemption) and (ii)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74" w:right="299" w:bottom="1440" w:gutter="0" w:footer="0" w:header="0"/>
        </w:sectPr>
      </w:pPr>
    </w:p>
    <w:bookmarkStart w:id="289" w:name="page290"/>
    <w:bookmarkEnd w:id="2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THIRTEEN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REPAYMENT AT THE OPTION OF 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Repayment of Securities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Business Day preceding the Repayment Date it will deposit with the Trustee or with a Paying Agent (or, if the Company is acting as its own Paying Agent, segregate and hold in trust as provided in</w:t>
      </w:r>
    </w:p>
    <w:p>
      <w:pPr>
        <w:spacing w:after="0" w:line="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Section 10.03)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290" w:name="page291"/>
    <w:bookmarkEnd w:id="29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 If the Security is in global form, the exercise of such option and payment thereof shall also be made in compliance with the applicable procedures of the Depositary.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When Securities Presented for Repayment Become Due and Payable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the Repayment Price of such Security so to be repaid shall be paid by the Company, together with accrued interest, if any, to the Repayment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Securities Repaid in Part</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Upon surrender of any Registered Security that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that is not to be repaid. If a temporary global Security or permanent global Security is so surrendered, such new Security so issued shall be a new temporary global Security or a new permanent global Security, respectively.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FOURTEEN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Applicability of Article; Company’s Option to Effect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pursuant to Section 3.01 provision is made for either or both of (a) defeasance of the Securities of or within a series under Section 14.02 or</w:t>
      </w:r>
    </w:p>
    <w:p>
      <w:pPr>
        <w:spacing w:after="0" w:line="35" w:lineRule="exact"/>
        <w:rPr>
          <w:sz w:val="20"/>
          <w:szCs w:val="20"/>
          <w:color w:val="auto"/>
        </w:rPr>
      </w:pPr>
    </w:p>
    <w:p>
      <w:pPr>
        <w:ind w:firstLine="8"/>
        <w:spacing w:after="0" w:line="253" w:lineRule="auto"/>
        <w:tabs>
          <w:tab w:leader="none" w:pos="25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the Company may at its option by Board Resolution, at any time, with respect to such Securities, elect to have either Section 14.02 (if applicable) or Section 14.03 (if applicable) be applied to such Outstanding Securities upon compliance with the conditions set forth below in this Article.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4" w:right="279" w:bottom="1440" w:gutter="0" w:footer="0" w:header="0"/>
        </w:sectPr>
      </w:pPr>
    </w:p>
    <w:bookmarkStart w:id="291" w:name="page292"/>
    <w:bookmarkEnd w:id="2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14.02. </w:t>
      </w:r>
      <w:r>
        <w:rPr>
          <w:rFonts w:ascii="Arial" w:cs="Arial" w:eastAsia="Arial" w:hAnsi="Arial"/>
          <w:sz w:val="18"/>
          <w:szCs w:val="18"/>
          <w:u w:val="single" w:color="auto"/>
          <w:color w:val="auto"/>
        </w:rPr>
        <w:t>Defeasance and Discharge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the Company shall be deemed to have been discharged from its obligations with respect to such Outstanding Securities on and after the date the conditions set forth in Section 14.04 are satisfied (hereinafter, “defeasance”). For this purpose, such defeasance means that the Company shall be deemed to have paid and discharged the entire indebtedness represented by such Outstanding Securities, which shall thereafter be deemed to be “Outstanding” only for the purposes of Section 14.05 and the other Sections of this Indenture referred to in clauses (A) and (B) of this Section,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such Outstanding Securities to receive, solely from the trust fund described in Section 14.04 and as more fully set forth in such Section, payments in respect of the principal of (and premium, if any) and interest, if any, on such Securities when such payments are due, (B) the Company’s obligations with respect to such Securities under Sections 3.05, 3.06, 10.02 and 10.03 and with respect to the payment of Additional Amounts, if any, on such Securities as contemplated by</w:t>
      </w:r>
    </w:p>
    <w:p>
      <w:pPr>
        <w:spacing w:after="0" w:line="6"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Section 10.04,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Following a defeasance, payment of such Securities may not be accelerated because of an Event of Default.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the Company shall be released from its obligations, if specified pursuant to Section 3.01, under any covenant with respect to such Outstanding Securities on and after the date the conditions set forth in Section 14.04 are satisfied (hereinafter, “covenant defeasance”), and such Securities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5.01(iv) or 5.01(vii) or otherwise, as the case may be, but, except as specified above, the remainder of this Indenture and such Securities shall be unaffected thereby. Following a covenant defeasance, payment of such Securities may not be accelerated because of an Event of Default solely by reference to such Sections specified above in this Section 14.03.</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u w:val="single" w:color="auto"/>
          <w:color w:val="auto"/>
        </w:rPr>
        <w:t>Conditions to Defeasance or Covenant Defeasance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shall be the conditions to application of either Section 14.02 or Section 14.03 to any Outstanding Securities of or within a series:</w:t>
      </w:r>
    </w:p>
    <w:p>
      <w:pPr>
        <w:spacing w:after="0" w:line="129" w:lineRule="exact"/>
        <w:rPr>
          <w:sz w:val="20"/>
          <w:szCs w:val="20"/>
          <w:color w:val="auto"/>
        </w:rPr>
      </w:pPr>
    </w:p>
    <w:p>
      <w:pPr>
        <w:ind w:left="460" w:right="220" w:firstLine="443"/>
        <w:spacing w:after="0" w:line="288" w:lineRule="auto"/>
        <w:tabs>
          <w:tab w:leader="none" w:pos="1113"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w:t>
      </w:r>
    </w:p>
    <w:p>
      <w:pPr>
        <w:ind w:left="460" w:right="20" w:firstLine="4"/>
        <w:spacing w:after="0" w:line="254" w:lineRule="auto"/>
        <w:tabs>
          <w:tab w:leader="none" w:pos="7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without reinvestment thereof, not later than one day before the due date of any payment of principal of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292" w:name="page293"/>
    <w:bookmarkEnd w:id="292"/>
    <w:p>
      <w:pPr>
        <w:ind w:left="46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premium, if any) and interest, if any, on such Securities, money in an amount, or (C)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(1) the principal of (and premium, if any) and interest, if any, on such Outstanding Securities on the Stated Maturity of such principal or installment of principal or interest and</w:t>
      </w:r>
    </w:p>
    <w:p>
      <w:pPr>
        <w:spacing w:after="0" w:line="2" w:lineRule="exact"/>
        <w:rPr>
          <w:sz w:val="20"/>
          <w:szCs w:val="20"/>
          <w:color w:val="auto"/>
        </w:rPr>
      </w:pPr>
    </w:p>
    <w:p>
      <w:pPr>
        <w:ind w:left="460" w:right="20" w:firstLine="4"/>
        <w:spacing w:after="0" w:line="261" w:lineRule="auto"/>
        <w:tabs>
          <w:tab w:leader="none" w:pos="71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mandatory sinking fund payments or analogous payments applicable to such Outstanding Securities on the day on which such payments are due and payable in accordance with the terms of this Indenture and of such Securities.</w:t>
      </w:r>
    </w:p>
    <w:p>
      <w:pPr>
        <w:spacing w:after="0" w:line="75" w:lineRule="exact"/>
        <w:rPr>
          <w:rFonts w:ascii="Arial" w:cs="Arial" w:eastAsia="Arial" w:hAnsi="Arial"/>
          <w:sz w:val="18"/>
          <w:szCs w:val="18"/>
          <w:color w:val="auto"/>
        </w:rPr>
      </w:pPr>
    </w:p>
    <w:p>
      <w:pPr>
        <w:ind w:left="460" w:right="220" w:firstLine="443"/>
        <w:spacing w:after="0" w:line="277" w:lineRule="auto"/>
        <w:tabs>
          <w:tab w:leader="none" w:pos="116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21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No Default or Event of Default with respect to such Securities shall have occurred and be continuing on the date of such deposit or, insofar as Sections 5.01(v) and 5.01(vi) are concerned, at any time during the period ending on the 91st day after the date of such deposit (it being understood that this condition shall not be deemed satisfied until the expiration of such period).</w:t>
      </w:r>
    </w:p>
    <w:p>
      <w:pPr>
        <w:spacing w:after="0" w:line="73" w:lineRule="exact"/>
        <w:rPr>
          <w:rFonts w:ascii="Arial" w:cs="Arial" w:eastAsia="Arial" w:hAnsi="Arial"/>
          <w:sz w:val="18"/>
          <w:szCs w:val="18"/>
          <w:color w:val="auto"/>
        </w:rPr>
      </w:pPr>
    </w:p>
    <w:p>
      <w:pPr>
        <w:ind w:left="460" w:right="60" w:firstLine="443"/>
        <w:spacing w:after="0" w:line="255" w:lineRule="auto"/>
        <w:tabs>
          <w:tab w:leader="none" w:pos="120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5" w:lineRule="exact"/>
        <w:rPr>
          <w:rFonts w:ascii="Arial" w:cs="Arial" w:eastAsia="Arial" w:hAnsi="Arial"/>
          <w:sz w:val="18"/>
          <w:szCs w:val="18"/>
          <w:color w:val="auto"/>
        </w:rPr>
      </w:pPr>
    </w:p>
    <w:p>
      <w:pPr>
        <w:ind w:left="460" w:right="40" w:firstLine="443"/>
        <w:spacing w:after="0" w:line="259" w:lineRule="auto"/>
        <w:tabs>
          <w:tab w:leader="none" w:pos="1153"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 the case of an election under Section 14.03, the Company shall have delivered to the Trustee an Opinion of Counsel to the effect that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left="460" w:right="140" w:firstLine="443"/>
        <w:spacing w:after="0" w:line="342" w:lineRule="auto"/>
        <w:tabs>
          <w:tab w:leader="none" w:pos="1203"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each stating that all conditions precedent to either the defeasance under Section 14.02 or the covenant defeasance under Section 14.03 (as the case may be) have been complied with.</w:t>
      </w:r>
    </w:p>
    <w:p>
      <w:pPr>
        <w:spacing w:after="0" w:line="15" w:lineRule="exact"/>
        <w:rPr>
          <w:rFonts w:ascii="Arial" w:cs="Arial" w:eastAsia="Arial" w:hAnsi="Arial"/>
          <w:sz w:val="16"/>
          <w:szCs w:val="16"/>
          <w:color w:val="auto"/>
        </w:rPr>
      </w:pPr>
    </w:p>
    <w:p>
      <w:pPr>
        <w:jc w:val="both"/>
        <w:ind w:left="460" w:right="440" w:firstLine="443"/>
        <w:spacing w:after="0" w:line="342" w:lineRule="auto"/>
        <w:tabs>
          <w:tab w:leader="none" w:pos="1253" w:val="left"/>
        </w:tabs>
        <w:numPr>
          <w:ilvl w:val="1"/>
          <w:numId w:val="233"/>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u w:val="single" w:color="auto"/>
          <w:color w:val="auto"/>
        </w:rPr>
        <w:t>Deposited Money and Government Obligations to Be Held in Trust; Other Miscellaneous Provisions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w:t>
      </w:r>
      <w:r>
        <w:rPr>
          <w:rFonts w:ascii="Arial" w:cs="Arial" w:eastAsia="Arial" w:hAnsi="Arial"/>
          <w:sz w:val="16"/>
          <w:szCs w:val="16"/>
          <w:u w:val="single" w:color="auto"/>
          <w:color w:val="auto"/>
        </w:rPr>
        <w:t>Trustee</w:t>
      </w:r>
      <w:r>
        <w:rPr>
          <w:rFonts w:ascii="Arial" w:cs="Arial" w:eastAsia="Arial" w:hAnsi="Arial"/>
          <w:sz w:val="16"/>
          <w:szCs w:val="16"/>
          <w:color w:val="auto"/>
        </w:rPr>
        <w:t>”) pursuant to Section 14.04 in respect of any Outstanding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16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Unless otherwise specified with respect to any Security pursuant to Section 3.01, if, after a deposit referred to in Section 14.04(a) has been made, (a) the Holder of a Security in respect of which such deposit was made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293" w:name="page294"/>
    <w:bookmarkEnd w:id="29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entitled to, and does, elect pursuant to Section 3.12(b) or the terms of such Security to receive payment in a Currency other than that in which the deposit pursuant to Section 14.04(a) has been made in respect of such Security, or (b) a Conversion Event occurs as contemplated in Section 3.12(d) or 3.12(e) or by the terms of any Security in respect of which the deposit pursuant to Section 14.04(a) has been made, the indebtedness represented by such Security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after the Company has made a deposit with the Trustee pursuant to Section 14.04, the Trustee is unable to apply any money in accordance with Section 14.05 by reason of any legal proceeding or by reason of any order or judgment of any court or governmental authority enjoining, restraining or otherwise prohibiting such application, then the Company’s obligations under this Indenture and the applicable Securities shall be revived and reinstated as though no deposit had occurred pursuant to Section 14.04 until such time as the Trustee is permitted to apply all such money in accordance with this Article Fourteen; provided, however, that if the Company has made any payment of the principal of or interest on any series of Securities because of the reinstatement of its obligations, the Company shall be subrogated to the rights of the Holders of such Securities to receive any such payment from the money held by the Trustee.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Money deposited with the Trustee in trust pursuant to this Section 14.05 shall not be subject to the subordination provisions of Article Sixteen.</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FIFTEEN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MEETINGS OF HOLDERS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u w:val="single" w:color="auto"/>
          <w:color w:val="auto"/>
        </w:rPr>
        <w:t>Purposes for Which Meetings May Be Called</w:t>
      </w: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Call, Notice and Place of Meetings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7" w:lineRule="auto"/>
        <w:tabs>
          <w:tab w:leader="none" w:pos="7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15.01, to be held at such time and at such place in the Borough of Manhattan, the City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sectPr>
      </w:pPr>
    </w:p>
    <w:bookmarkStart w:id="294" w:name="page295"/>
    <w:bookmarkEnd w:id="294"/>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York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81" w:lineRule="exact"/>
        <w:rPr>
          <w:sz w:val="20"/>
          <w:szCs w:val="20"/>
          <w:color w:val="auto"/>
        </w:rPr>
      </w:pPr>
    </w:p>
    <w:p>
      <w:pPr>
        <w:ind w:right="80" w:firstLine="464"/>
        <w:spacing w:after="0" w:line="255"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Section.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Persons Entitled to Vote at Meetings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To be entitled to vote at any meeting of Holders of Securities of any series, a Person shall be (i) a Holder of one or more Outstanding Securities of such series, or (ii)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u w:val="single" w:color="auto"/>
          <w:color w:val="auto"/>
        </w:rPr>
        <w:t>Quorum; Action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The Persons entitled to vote a majority in principal amount of the Outstanding Securities of a series shall constitute a quorum for a meeting of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action is to be taken at such meeting with respect to a consent, waiver, request, demand, notice, authorization, direction or other action that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8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295" w:name="page296"/>
    <w:bookmarkEnd w:id="295"/>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resolution passed or decision taken at any meeting of Holders of Securities of any series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79" w:lineRule="exact"/>
        <w:rPr>
          <w:sz w:val="20"/>
          <w:szCs w:val="20"/>
          <w:color w:val="auto"/>
        </w:rPr>
      </w:pPr>
    </w:p>
    <w:p>
      <w:pPr>
        <w:ind w:left="1120" w:hanging="217"/>
        <w:spacing w:after="0"/>
        <w:tabs>
          <w:tab w:leader="none" w:pos="11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17" w:lineRule="exact"/>
        <w:rPr>
          <w:rFonts w:ascii="Arial" w:cs="Arial" w:eastAsia="Arial" w:hAnsi="Arial"/>
          <w:sz w:val="18"/>
          <w:szCs w:val="18"/>
          <w:color w:val="auto"/>
        </w:rPr>
      </w:pPr>
    </w:p>
    <w:p>
      <w:pPr>
        <w:ind w:left="460" w:right="540" w:firstLine="443"/>
        <w:spacing w:after="0" w:line="264" w:lineRule="auto"/>
        <w:tabs>
          <w:tab w:leader="none" w:pos="116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u w:val="single" w:color="auto"/>
          <w:color w:val="auto"/>
        </w:rPr>
        <w:t>Determination of Voting Rights; Conduct and Adjournment of Meetings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5" w:lineRule="auto"/>
        <w:tabs>
          <w:tab w:leader="none" w:pos="70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Such regulations may provide that written instruments appointing proxies, regular on their face, may be presumed valid and genuine without the proof specified in Section 1.04 or other proof.</w:t>
      </w:r>
    </w:p>
    <w:p>
      <w:pPr>
        <w:spacing w:after="0" w:line="189" w:lineRule="exact"/>
        <w:rPr>
          <w:rFonts w:ascii="Arial" w:cs="Arial" w:eastAsia="Arial" w:hAnsi="Arial"/>
          <w:sz w:val="18"/>
          <w:szCs w:val="18"/>
          <w:color w:val="auto"/>
        </w:rPr>
      </w:pPr>
    </w:p>
    <w:p>
      <w:pPr>
        <w:jc w:val="both"/>
        <w:ind w:right="340" w:firstLine="464"/>
        <w:spacing w:after="0" w:line="302" w:lineRule="auto"/>
        <w:tabs>
          <w:tab w:leader="none" w:pos="71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4" w:lineRule="exact"/>
        <w:rPr>
          <w:rFonts w:ascii="Arial" w:cs="Arial" w:eastAsia="Arial" w:hAnsi="Arial"/>
          <w:sz w:val="16"/>
          <w:szCs w:val="16"/>
          <w:color w:val="auto"/>
        </w:rPr>
      </w:pPr>
    </w:p>
    <w:p>
      <w:pPr>
        <w:ind w:right="20" w:firstLine="464"/>
        <w:spacing w:after="0" w:line="259" w:lineRule="auto"/>
        <w:tabs>
          <w:tab w:leader="none" w:pos="70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At any meeting of Holders, each Holder of a Security of such series or proxy shall be entitled to one vote for each $1,000 principal amount of the Outstanding Securities of such series held or represented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86"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15.06. </w:t>
      </w:r>
      <w:r>
        <w:rPr>
          <w:rFonts w:ascii="Arial" w:cs="Arial" w:eastAsia="Arial" w:hAnsi="Arial"/>
          <w:sz w:val="18"/>
          <w:szCs w:val="18"/>
          <w:u w:val="single" w:color="auto"/>
          <w:color w:val="auto"/>
        </w:rPr>
        <w:t>Counting Votes and Recording Action of Meetings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296" w:name="page297"/>
    <w:bookmarkEnd w:id="296"/>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SIXTEEN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u w:val="single" w:color="auto"/>
          <w:color w:val="auto"/>
        </w:rPr>
        <w:t>Agreement to Subordinate</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for itself, its successors and assigns, covenants and agrees, and each Holder of Senior Subordinated Securities by his acceptance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for itself, its successors and assigns, covenants and agrees, and each Holder of Junior Subordinated Securities by his acceptance thereof, likewise covenants and agrees, that the payment 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u w:val="single" w:color="auto"/>
          <w:color w:val="auto"/>
        </w:rPr>
        <w:t>Distribution on Dissolution, Liquidation and Reorganization; Subrogation of Subordinated Securities</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80" w:lineRule="exact"/>
        <w:rPr>
          <w:sz w:val="20"/>
          <w:szCs w:val="20"/>
          <w:color w:val="auto"/>
        </w:rPr>
      </w:pPr>
    </w:p>
    <w:p>
      <w:pPr>
        <w:ind w:left="460" w:firstLine="443"/>
        <w:spacing w:after="0" w:line="264" w:lineRule="auto"/>
        <w:tabs>
          <w:tab w:leader="none" w:pos="111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holders of all Senior Indebtedness shall be entitled to receive payment in full of the principal thereof (and premium, if any) and interest due thereon before the Holders of the Subordinated Securities are entitled to receive any payment upon the principal (or premium, if any) or interest, if any, on indebtedness evidenced by the Subordinated Securities; and</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6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w:t>
      </w:r>
    </w:p>
    <w:p>
      <w:pPr>
        <w:spacing w:after="0" w:line="73" w:lineRule="exact"/>
        <w:rPr>
          <w:rFonts w:ascii="Arial" w:cs="Arial" w:eastAsia="Arial" w:hAnsi="Arial"/>
          <w:sz w:val="18"/>
          <w:szCs w:val="18"/>
          <w:color w:val="auto"/>
        </w:rPr>
      </w:pPr>
    </w:p>
    <w:p>
      <w:pPr>
        <w:ind w:left="460" w:right="160" w:firstLine="443"/>
        <w:spacing w:after="0" w:line="264" w:lineRule="auto"/>
        <w:tabs>
          <w:tab w:leader="none" w:pos="121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297" w:name="page298"/>
    <w:bookmarkEnd w:id="297"/>
    <w:p>
      <w:pPr>
        <w:ind w:left="460"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50" w:lineRule="exact"/>
        <w:rPr>
          <w:sz w:val="20"/>
          <w:szCs w:val="20"/>
          <w:color w:val="auto"/>
        </w:rPr>
      </w:pPr>
    </w:p>
    <w:p>
      <w:pPr>
        <w:ind w:left="460" w:right="20" w:firstLine="443"/>
        <w:spacing w:after="0" w:line="293" w:lineRule="auto"/>
        <w:tabs>
          <w:tab w:leader="none" w:pos="120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65"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 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 that the provisions of this Article Sixteen are and are intended solely for the purpose of defining the relative rights of the Holders of the Subordinated Securities, on the one hand, and the holders of the Senior Indebtedness, on the other hand. Nothing contained in this Article Sixteen or elsewhere in this Indenture or in the Subordinated Securities is intended to or shall impair, as between the Company, its creditors other than the holders of Senior Indebtedness, and the Holders of the Subordinated 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19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298" w:name="page299"/>
    <w:bookmarkEnd w:id="298"/>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does not owe any fiduciary duties to the holders of Senior Indebtedness, including any holder of Securities other than Securities issued under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u w:val="single" w:color="auto"/>
          <w:color w:val="auto"/>
        </w:rPr>
        <w:t>No Payment on Subordinated Securities in Event of Default on Senior Indebtedness</w:t>
      </w:r>
      <w:r>
        <w:rPr>
          <w:rFonts w:ascii="Arial" w:cs="Arial" w:eastAsia="Arial" w:hAnsi="Arial"/>
          <w:sz w:val="18"/>
          <w:szCs w:val="18"/>
          <w:color w:val="auto"/>
        </w:rPr>
        <w:t>.</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u w:val="single" w:color="auto"/>
          <w:color w:val="auto"/>
        </w:rPr>
        <w:t>Payments on Subordinated Securities Permitted</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 deposited with it 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16.05. </w:t>
      </w:r>
      <w:r>
        <w:rPr>
          <w:rFonts w:ascii="Arial" w:cs="Arial" w:eastAsia="Arial" w:hAnsi="Arial"/>
          <w:sz w:val="18"/>
          <w:szCs w:val="18"/>
          <w:u w:val="single" w:color="auto"/>
          <w:color w:val="auto"/>
        </w:rPr>
        <w:t>Authorization of Holders to Trustee to Effect Subordination</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16.06. </w:t>
      </w:r>
      <w:r>
        <w:rPr>
          <w:rFonts w:ascii="Arial" w:cs="Arial" w:eastAsia="Arial" w:hAnsi="Arial"/>
          <w:sz w:val="18"/>
          <w:szCs w:val="18"/>
          <w:u w:val="single" w:color="auto"/>
          <w:color w:val="auto"/>
        </w:rPr>
        <w:t>Notices to Trustee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reasonably satisfactory to the Trustee of such holding of Senior Indebtedness or of the authority of such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299" w:name="page300"/>
    <w:bookmarkEnd w:id="2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16.07. </w:t>
      </w:r>
      <w:r>
        <w:rPr>
          <w:rFonts w:ascii="Arial" w:cs="Arial" w:eastAsia="Arial" w:hAnsi="Arial"/>
          <w:sz w:val="18"/>
          <w:szCs w:val="18"/>
          <w:u w:val="single" w:color="auto"/>
          <w:color w:val="auto"/>
        </w:rPr>
        <w:t>Trustee as Holder of Senior Indebtedness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Sixteen in respect of any Senior Indebtedness at any time held by it to the same extent as any other holder of Senior Indebtedness and nothing in this Indenture shall be construed to deprive the Trustee of any of its rights as such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Sixteen shall apply to claims of, or payments to, the Trustee under or pursuant to Section 6.06.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u w:val="single" w:color="auto"/>
          <w:color w:val="auto"/>
        </w:rPr>
        <w:t>Modifications of Terms of Senior Indebtedness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u w:val="single" w:color="auto"/>
          <w:color w:val="auto"/>
        </w:rPr>
        <w:t>Reliance on Judicial Order or Certificate of Liquidating Agent</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This Indenture may be executed in any number of counterparts, each of which so executed shall be deemed to be an original, but all such counterparts shall together constitute but one and the same Indenture. The exchange of copies of this Indenture and of signature pages by facsimile, .pdf transmission or electronic mail shall constitute effective execution and delivery of this Indenture for all purposes. Signatures of the parties hereto transmitted by facsimile,</w:t>
      </w:r>
    </w:p>
    <w:p>
      <w:pPr>
        <w:spacing w:after="0"/>
        <w:rPr>
          <w:sz w:val="20"/>
          <w:szCs w:val="20"/>
          <w:color w:val="auto"/>
        </w:rPr>
      </w:pPr>
      <w:r>
        <w:rPr>
          <w:rFonts w:ascii="Arial" w:cs="Arial" w:eastAsia="Arial" w:hAnsi="Arial"/>
          <w:sz w:val="18"/>
          <w:szCs w:val="18"/>
          <w:color w:val="auto"/>
        </w:rPr>
        <w:t>.pdf transmission or electronic mail shall be deemed to be their original signatures for all purposes.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300" w:name="page301"/>
    <w:bookmarkEnd w:id="30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WELLS FARGO BANK, NATIONAL ASSOCIATION, as</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-130810</wp:posOffset>
            </wp:positionV>
            <wp:extent cx="25558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660"/>
          </w:cols>
          <w:pgMar w:left="700" w:top="274" w:right="5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9" w:lineRule="exact"/>
        <w:rPr>
          <w:sz w:val="20"/>
          <w:szCs w:val="20"/>
          <w:color w:val="auto"/>
        </w:rPr>
      </w:pPr>
    </w:p>
    <w:p>
      <w:pPr>
        <w:ind w:left="460" w:right="560" w:hanging="452"/>
        <w:spacing w:after="0" w:line="256" w:lineRule="auto"/>
        <w:tabs>
          <w:tab w:leader="none" w:pos="460" w:val="left"/>
        </w:tabs>
        <w:numPr>
          <w:ilvl w:val="0"/>
          <w:numId w:val="240"/>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Wells Fargo Bank, National Association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3"/>
          </w:tcPr>
          <w:p>
            <w:pPr>
              <w:jc w:val="center"/>
              <w:ind w:left="3318"/>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400" w:type="dxa"/>
            <w:vAlign w:val="bottom"/>
          </w:tcPr>
          <w:p>
            <w:pPr>
              <w:spacing w:after="0"/>
              <w:rPr>
                <w:sz w:val="20"/>
                <w:szCs w:val="20"/>
                <w:color w:val="auto"/>
              </w:rPr>
            </w:pPr>
          </w:p>
        </w:tc>
      </w:tr>
      <w:tr>
        <w:trPr>
          <w:trHeight w:val="345"/>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57"/>
        </w:trPr>
        <w:tc>
          <w:tcPr>
            <w:tcW w:w="80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0"/>
              </w:rPr>
              <w:t>A National Banking Association</w:t>
            </w:r>
          </w:p>
        </w:tc>
        <w:tc>
          <w:tcPr>
            <w:tcW w:w="3400" w:type="dxa"/>
            <w:vAlign w:val="bottom"/>
          </w:tcPr>
          <w:p>
            <w:pPr>
              <w:jc w:val="center"/>
              <w:ind w:right="2001"/>
              <w:spacing w:after="0"/>
              <w:rPr>
                <w:sz w:val="20"/>
                <w:szCs w:val="20"/>
                <w:color w:val="auto"/>
              </w:rPr>
            </w:pPr>
            <w:r>
              <w:rPr>
                <w:rFonts w:ascii="Arial" w:cs="Arial" w:eastAsia="Arial" w:hAnsi="Arial"/>
                <w:sz w:val="18"/>
                <w:szCs w:val="18"/>
                <w:b w:val="1"/>
                <w:bCs w:val="1"/>
                <w:color w:val="auto"/>
                <w:w w:val="91"/>
              </w:rPr>
              <w:t>94-1347393</w:t>
            </w:r>
          </w:p>
        </w:tc>
      </w:tr>
      <w:tr>
        <w:trPr>
          <w:trHeight w:val="149"/>
        </w:trPr>
        <w:tc>
          <w:tcPr>
            <w:tcW w:w="8020" w:type="dxa"/>
            <w:vAlign w:val="bottom"/>
            <w:gridSpan w:val="3"/>
          </w:tcPr>
          <w:p>
            <w:pPr>
              <w:jc w:val="center"/>
              <w:ind w:right="2300"/>
              <w:spacing w:after="0" w:line="149" w:lineRule="exact"/>
              <w:rPr>
                <w:sz w:val="20"/>
                <w:szCs w:val="20"/>
                <w:color w:val="auto"/>
              </w:rPr>
            </w:pPr>
            <w:r>
              <w:rPr>
                <w:rFonts w:ascii="Arial" w:cs="Arial" w:eastAsia="Arial" w:hAnsi="Arial"/>
                <w:sz w:val="14"/>
                <w:szCs w:val="14"/>
                <w:b w:val="1"/>
                <w:bCs w:val="1"/>
                <w:color w:val="auto"/>
                <w:w w:val="93"/>
              </w:rPr>
              <w:t>(Jurisdiction of incorporation or</w:t>
            </w:r>
          </w:p>
        </w:tc>
        <w:tc>
          <w:tcPr>
            <w:tcW w:w="3400" w:type="dxa"/>
            <w:vAlign w:val="bottom"/>
          </w:tcPr>
          <w:p>
            <w:pPr>
              <w:jc w:val="center"/>
              <w:ind w:right="20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02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4"/>
              </w:rPr>
              <w:t>organization if not a U.S. national bank)</w:t>
            </w:r>
          </w:p>
        </w:tc>
        <w:tc>
          <w:tcPr>
            <w:tcW w:w="3400" w:type="dxa"/>
            <w:vAlign w:val="bottom"/>
          </w:tcPr>
          <w:p>
            <w:pPr>
              <w:jc w:val="center"/>
              <w:ind w:right="200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80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0"/>
              </w:rPr>
              <w:t>101 North Phillips Avenue</w:t>
            </w:r>
          </w:p>
        </w:tc>
        <w:tc>
          <w:tcPr>
            <w:tcW w:w="3400" w:type="dxa"/>
            <w:vAlign w:val="bottom"/>
          </w:tcPr>
          <w:p>
            <w:pPr>
              <w:jc w:val="center"/>
              <w:ind w:right="2001"/>
              <w:spacing w:after="0"/>
              <w:rPr>
                <w:sz w:val="20"/>
                <w:szCs w:val="20"/>
                <w:color w:val="auto"/>
              </w:rPr>
            </w:pPr>
            <w:r>
              <w:rPr>
                <w:rFonts w:ascii="Arial" w:cs="Arial" w:eastAsia="Arial" w:hAnsi="Arial"/>
                <w:sz w:val="18"/>
                <w:szCs w:val="18"/>
                <w:b w:val="1"/>
                <w:bCs w:val="1"/>
                <w:color w:val="auto"/>
                <w:w w:val="87"/>
              </w:rPr>
              <w:t>57104</w:t>
            </w:r>
          </w:p>
        </w:tc>
      </w:tr>
      <w:tr>
        <w:trPr>
          <w:trHeight w:val="216"/>
        </w:trPr>
        <w:tc>
          <w:tcPr>
            <w:tcW w:w="802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0"/>
              </w:rPr>
              <w:t>Sioux Falls, South Dakota</w:t>
            </w:r>
          </w:p>
        </w:tc>
        <w:tc>
          <w:tcPr>
            <w:tcW w:w="3400" w:type="dxa"/>
            <w:vAlign w:val="bottom"/>
          </w:tcPr>
          <w:p>
            <w:pPr>
              <w:jc w:val="center"/>
              <w:ind w:right="2001"/>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802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00" w:type="dxa"/>
            <w:vAlign w:val="bottom"/>
          </w:tcPr>
          <w:p>
            <w:pPr>
              <w:spacing w:after="0"/>
              <w:rPr>
                <w:sz w:val="16"/>
                <w:szCs w:val="16"/>
                <w:color w:val="auto"/>
              </w:rPr>
            </w:pPr>
          </w:p>
        </w:tc>
      </w:tr>
      <w:tr>
        <w:trPr>
          <w:trHeight w:val="412"/>
        </w:trPr>
        <w:tc>
          <w:tcPr>
            <w:tcW w:w="8020" w:type="dxa"/>
            <w:vAlign w:val="bottom"/>
            <w:gridSpan w:val="3"/>
          </w:tcPr>
          <w:p>
            <w:pPr>
              <w:jc w:val="center"/>
              <w:ind w:left="3318"/>
              <w:spacing w:after="0"/>
              <w:rPr>
                <w:sz w:val="20"/>
                <w:szCs w:val="20"/>
                <w:color w:val="auto"/>
              </w:rPr>
            </w:pPr>
            <w:r>
              <w:rPr>
                <w:rFonts w:ascii="Arial" w:cs="Arial" w:eastAsia="Arial" w:hAnsi="Arial"/>
                <w:sz w:val="18"/>
                <w:szCs w:val="18"/>
                <w:b w:val="1"/>
                <w:bCs w:val="1"/>
                <w:color w:val="auto"/>
                <w:w w:val="91"/>
              </w:rPr>
              <w:t>Wells Fargo &amp; Company Law Department, Trust Section</w:t>
            </w:r>
          </w:p>
        </w:tc>
        <w:tc>
          <w:tcPr>
            <w:tcW w:w="340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5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6"/>
              </w:rPr>
              <w:t>MAC N9305-175</w:t>
            </w:r>
          </w:p>
        </w:tc>
        <w:tc>
          <w:tcPr>
            <w:tcW w:w="3400" w:type="dxa"/>
            <w:vAlign w:val="bottom"/>
          </w:tcPr>
          <w:p>
            <w:pPr>
              <w:spacing w:after="0"/>
              <w:rPr>
                <w:sz w:val="18"/>
                <w:szCs w:val="18"/>
                <w:color w:val="auto"/>
              </w:rPr>
            </w:pPr>
          </w:p>
        </w:tc>
      </w:tr>
      <w:tr>
        <w:trPr>
          <w:trHeight w:val="216"/>
        </w:trPr>
        <w:tc>
          <w:tcPr>
            <w:tcW w:w="8020" w:type="dxa"/>
            <w:vAlign w:val="bottom"/>
            <w:gridSpan w:val="3"/>
          </w:tcPr>
          <w:p>
            <w:pPr>
              <w:jc w:val="center"/>
              <w:ind w:left="3318"/>
              <w:spacing w:after="0"/>
              <w:rPr>
                <w:sz w:val="20"/>
                <w:szCs w:val="20"/>
                <w:color w:val="auto"/>
              </w:rPr>
            </w:pPr>
            <w:r>
              <w:rPr>
                <w:rFonts w:ascii="Arial" w:cs="Arial" w:eastAsia="Arial" w:hAnsi="Arial"/>
                <w:sz w:val="18"/>
                <w:szCs w:val="18"/>
                <w:b w:val="1"/>
                <w:bCs w:val="1"/>
                <w:color w:val="auto"/>
                <w:w w:val="91"/>
              </w:rPr>
              <w:t>Sixth Street and Marquette Avenue, 17</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34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5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Minneapolis, Minnesota 55479</w:t>
            </w:r>
          </w:p>
        </w:tc>
        <w:tc>
          <w:tcPr>
            <w:tcW w:w="3400" w:type="dxa"/>
            <w:vAlign w:val="bottom"/>
          </w:tcPr>
          <w:p>
            <w:pPr>
              <w:spacing w:after="0"/>
              <w:rPr>
                <w:sz w:val="18"/>
                <w:szCs w:val="18"/>
                <w:color w:val="auto"/>
              </w:rPr>
            </w:pPr>
          </w:p>
        </w:tc>
      </w:tr>
      <w:tr>
        <w:trPr>
          <w:trHeight w:val="212"/>
        </w:trPr>
        <w:tc>
          <w:tcPr>
            <w:tcW w:w="6900" w:type="dxa"/>
            <w:vAlign w:val="bottom"/>
            <w:gridSpan w:val="2"/>
          </w:tcPr>
          <w:p>
            <w:pPr>
              <w:jc w:val="center"/>
              <w:ind w:left="4458"/>
              <w:spacing w:after="0"/>
              <w:rPr>
                <w:sz w:val="20"/>
                <w:szCs w:val="20"/>
                <w:color w:val="auto"/>
              </w:rPr>
            </w:pPr>
            <w:r>
              <w:rPr>
                <w:rFonts w:ascii="Arial" w:cs="Arial" w:eastAsia="Arial" w:hAnsi="Arial"/>
                <w:sz w:val="18"/>
                <w:szCs w:val="18"/>
                <w:b w:val="1"/>
                <w:bCs w:val="1"/>
                <w:color w:val="auto"/>
                <w:w w:val="90"/>
              </w:rPr>
              <w:t>(612) 667-4608</w:t>
            </w:r>
          </w:p>
        </w:tc>
        <w:tc>
          <w:tcPr>
            <w:tcW w:w="112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186"/>
        </w:trPr>
        <w:tc>
          <w:tcPr>
            <w:tcW w:w="8020" w:type="dxa"/>
            <w:vAlign w:val="bottom"/>
            <w:gridSpan w:val="3"/>
          </w:tcPr>
          <w:p>
            <w:pPr>
              <w:jc w:val="center"/>
              <w:ind w:left="331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400" w:type="dxa"/>
            <w:vAlign w:val="bottom"/>
          </w:tcPr>
          <w:p>
            <w:pPr>
              <w:spacing w:after="0"/>
              <w:rPr>
                <w:sz w:val="16"/>
                <w:szCs w:val="16"/>
                <w:color w:val="auto"/>
              </w:rPr>
            </w:pP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5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1"/>
              </w:rPr>
              <w:t>TPG Specialty Lending, Inc.</w:t>
            </w:r>
          </w:p>
        </w:tc>
        <w:tc>
          <w:tcPr>
            <w:tcW w:w="3400" w:type="dxa"/>
            <w:vAlign w:val="bottom"/>
          </w:tcPr>
          <w:p>
            <w:pPr>
              <w:spacing w:after="0"/>
              <w:rPr>
                <w:sz w:val="24"/>
                <w:szCs w:val="24"/>
                <w:color w:val="auto"/>
              </w:rPr>
            </w:pPr>
          </w:p>
        </w:tc>
      </w:tr>
      <w:tr>
        <w:trPr>
          <w:trHeight w:val="186"/>
        </w:trPr>
        <w:tc>
          <w:tcPr>
            <w:tcW w:w="8020" w:type="dxa"/>
            <w:vAlign w:val="bottom"/>
            <w:gridSpan w:val="3"/>
          </w:tcPr>
          <w:p>
            <w:pPr>
              <w:jc w:val="center"/>
              <w:ind w:left="3318"/>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40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70"/>
        </w:trPr>
        <w:tc>
          <w:tcPr>
            <w:tcW w:w="8020" w:type="dxa"/>
            <w:vAlign w:val="bottom"/>
            <w:gridSpan w:val="3"/>
          </w:tcPr>
          <w:p>
            <w:pPr>
              <w:jc w:val="center"/>
              <w:ind w:right="230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center"/>
              <w:ind w:right="2001"/>
              <w:spacing w:after="0"/>
              <w:rPr>
                <w:sz w:val="20"/>
                <w:szCs w:val="20"/>
                <w:color w:val="auto"/>
              </w:rPr>
            </w:pPr>
            <w:r>
              <w:rPr>
                <w:rFonts w:ascii="Arial" w:cs="Arial" w:eastAsia="Arial" w:hAnsi="Arial"/>
                <w:sz w:val="18"/>
                <w:szCs w:val="18"/>
                <w:b w:val="1"/>
                <w:bCs w:val="1"/>
                <w:color w:val="auto"/>
                <w:w w:val="91"/>
              </w:rPr>
              <w:t>27-3380000</w:t>
            </w:r>
          </w:p>
        </w:tc>
      </w:tr>
      <w:tr>
        <w:trPr>
          <w:trHeight w:val="149"/>
        </w:trPr>
        <w:tc>
          <w:tcPr>
            <w:tcW w:w="8020" w:type="dxa"/>
            <w:vAlign w:val="bottom"/>
            <w:gridSpan w:val="3"/>
          </w:tcPr>
          <w:p>
            <w:pPr>
              <w:jc w:val="center"/>
              <w:ind w:right="23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00" w:type="dxa"/>
            <w:vAlign w:val="bottom"/>
          </w:tcPr>
          <w:p>
            <w:pPr>
              <w:jc w:val="center"/>
              <w:ind w:right="20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02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4"/>
              </w:rPr>
              <w:t>incorporation or organization)</w:t>
            </w:r>
          </w:p>
        </w:tc>
        <w:tc>
          <w:tcPr>
            <w:tcW w:w="3400" w:type="dxa"/>
            <w:vAlign w:val="bottom"/>
          </w:tcPr>
          <w:p>
            <w:pPr>
              <w:jc w:val="center"/>
              <w:ind w:right="200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80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89"/>
              </w:rPr>
              <w:t>301 Commerce Street, Suite 3300</w:t>
            </w:r>
          </w:p>
        </w:tc>
        <w:tc>
          <w:tcPr>
            <w:tcW w:w="3400" w:type="dxa"/>
            <w:vAlign w:val="bottom"/>
          </w:tcPr>
          <w:p>
            <w:pPr>
              <w:jc w:val="center"/>
              <w:ind w:right="2001"/>
              <w:spacing w:after="0"/>
              <w:rPr>
                <w:sz w:val="20"/>
                <w:szCs w:val="20"/>
                <w:color w:val="auto"/>
              </w:rPr>
            </w:pPr>
            <w:r>
              <w:rPr>
                <w:rFonts w:ascii="Arial" w:cs="Arial" w:eastAsia="Arial" w:hAnsi="Arial"/>
                <w:sz w:val="18"/>
                <w:szCs w:val="18"/>
                <w:b w:val="1"/>
                <w:bCs w:val="1"/>
                <w:color w:val="auto"/>
                <w:w w:val="87"/>
              </w:rPr>
              <w:t>76102</w:t>
            </w:r>
          </w:p>
        </w:tc>
      </w:tr>
      <w:tr>
        <w:trPr>
          <w:trHeight w:val="216"/>
        </w:trPr>
        <w:tc>
          <w:tcPr>
            <w:tcW w:w="8020" w:type="dxa"/>
            <w:vAlign w:val="bottom"/>
            <w:gridSpan w:val="3"/>
          </w:tcPr>
          <w:p>
            <w:pPr>
              <w:jc w:val="center"/>
              <w:ind w:right="2280"/>
              <w:spacing w:after="0"/>
              <w:rPr>
                <w:sz w:val="20"/>
                <w:szCs w:val="20"/>
                <w:color w:val="auto"/>
              </w:rPr>
            </w:pPr>
            <w:r>
              <w:rPr>
                <w:rFonts w:ascii="Arial" w:cs="Arial" w:eastAsia="Arial" w:hAnsi="Arial"/>
                <w:sz w:val="18"/>
                <w:szCs w:val="18"/>
                <w:b w:val="1"/>
                <w:bCs w:val="1"/>
                <w:color w:val="auto"/>
                <w:w w:val="97"/>
              </w:rPr>
              <w:t>Fort Worth, TX</w:t>
            </w:r>
          </w:p>
        </w:tc>
        <w:tc>
          <w:tcPr>
            <w:tcW w:w="3400" w:type="dxa"/>
            <w:vAlign w:val="bottom"/>
          </w:tcPr>
          <w:p>
            <w:pPr>
              <w:jc w:val="center"/>
              <w:ind w:right="2001"/>
              <w:spacing w:after="0"/>
              <w:rPr>
                <w:sz w:val="20"/>
                <w:szCs w:val="20"/>
                <w:color w:val="auto"/>
              </w:rPr>
            </w:pPr>
            <w:r>
              <w:rPr>
                <w:rFonts w:ascii="Arial" w:cs="Arial" w:eastAsia="Arial" w:hAnsi="Arial"/>
                <w:sz w:val="14"/>
                <w:szCs w:val="14"/>
                <w:b w:val="1"/>
                <w:bCs w:val="1"/>
                <w:color w:val="auto"/>
                <w:w w:val="98"/>
              </w:rPr>
              <w:t>(Zip Code)</w:t>
            </w:r>
          </w:p>
        </w:tc>
      </w:tr>
      <w:tr>
        <w:trPr>
          <w:trHeight w:val="186"/>
        </w:trPr>
        <w:tc>
          <w:tcPr>
            <w:tcW w:w="802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00" w:type="dxa"/>
            <w:vAlign w:val="bottom"/>
          </w:tcPr>
          <w:p>
            <w:pPr>
              <w:spacing w:after="0"/>
              <w:rPr>
                <w:sz w:val="16"/>
                <w:szCs w:val="16"/>
                <w:color w:val="auto"/>
              </w:rPr>
            </w:pP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5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8"/>
              </w:rPr>
              <w:t>Debt Securities</w:t>
            </w:r>
          </w:p>
        </w:tc>
        <w:tc>
          <w:tcPr>
            <w:tcW w:w="340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5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(Title of the indenture securities)</w:t>
            </w:r>
          </w:p>
        </w:tc>
        <w:tc>
          <w:tcPr>
            <w:tcW w:w="340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02" w:name="page303"/>
    <w:bookmarkEnd w:id="3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17"/>
                <w:szCs w:val="17"/>
                <w:color w:val="auto"/>
              </w:rPr>
            </w:pPr>
          </w:p>
        </w:tc>
        <w:tc>
          <w:tcPr>
            <w:tcW w:w="10380" w:type="dxa"/>
            <w:vAlign w:val="bottom"/>
            <w:gridSpan w:val="5"/>
          </w:tcPr>
          <w:p>
            <w:pPr>
              <w:spacing w:after="0"/>
              <w:rPr>
                <w:sz w:val="20"/>
                <w:szCs w:val="20"/>
                <w:color w:val="auto"/>
              </w:rPr>
            </w:pPr>
            <w:r>
              <w:rPr>
                <w:rFonts w:ascii="Arial" w:cs="Arial" w:eastAsia="Arial" w:hAnsi="Arial"/>
                <w:sz w:val="18"/>
                <w:szCs w:val="18"/>
                <w:color w:val="auto"/>
              </w:rPr>
              <w:t>General Information. Furnish the following information as to the trustee:</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35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10060" w:type="dxa"/>
            <w:vAlign w:val="bottom"/>
            <w:gridSpan w:val="4"/>
          </w:tcPr>
          <w:p>
            <w:pPr>
              <w:ind w:left="240"/>
              <w:spacing w:after="0"/>
              <w:rPr>
                <w:sz w:val="20"/>
                <w:szCs w:val="20"/>
                <w:color w:val="auto"/>
              </w:rPr>
            </w:pPr>
            <w:r>
              <w:rPr>
                <w:rFonts w:ascii="Arial" w:cs="Arial" w:eastAsia="Arial" w:hAnsi="Arial"/>
                <w:sz w:val="18"/>
                <w:szCs w:val="18"/>
                <w:color w:val="auto"/>
              </w:rPr>
              <w:t>Name and address of each examining or supervising authority to which it is subject.</w:t>
            </w:r>
          </w:p>
        </w:tc>
      </w:tr>
      <w:tr>
        <w:trPr>
          <w:trHeight w:val="41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00"/>
              <w:spacing w:after="0"/>
              <w:rPr>
                <w:sz w:val="20"/>
                <w:szCs w:val="20"/>
                <w:color w:val="auto"/>
              </w:rPr>
            </w:pPr>
            <w:r>
              <w:rPr>
                <w:rFonts w:ascii="Arial" w:cs="Arial" w:eastAsia="Arial" w:hAnsi="Arial"/>
                <w:sz w:val="18"/>
                <w:szCs w:val="18"/>
                <w:color w:val="auto"/>
              </w:rPr>
              <w:t>Comptroller of the Currency</w:t>
            </w: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60" w:type="dxa"/>
            <w:vAlign w:val="bottom"/>
            <w:gridSpan w:val="4"/>
          </w:tcPr>
          <w:p>
            <w:pPr>
              <w:ind w:left="100"/>
              <w:spacing w:after="0"/>
              <w:rPr>
                <w:sz w:val="20"/>
                <w:szCs w:val="20"/>
                <w:color w:val="auto"/>
              </w:rPr>
            </w:pPr>
            <w:r>
              <w:rPr>
                <w:rFonts w:ascii="Arial" w:cs="Arial" w:eastAsia="Arial" w:hAnsi="Arial"/>
                <w:sz w:val="18"/>
                <w:szCs w:val="18"/>
                <w:color w:val="auto"/>
              </w:rPr>
              <w:t>Treasury Department</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00"/>
              <w:spacing w:after="0"/>
              <w:rPr>
                <w:sz w:val="20"/>
                <w:szCs w:val="20"/>
                <w:color w:val="auto"/>
              </w:rPr>
            </w:pPr>
            <w:r>
              <w:rPr>
                <w:rFonts w:ascii="Arial" w:cs="Arial" w:eastAsia="Arial" w:hAnsi="Arial"/>
                <w:sz w:val="18"/>
                <w:szCs w:val="18"/>
                <w:color w:val="auto"/>
              </w:rPr>
              <w:t>Washington, D.C.</w:t>
            </w:r>
          </w:p>
        </w:tc>
      </w:tr>
      <w:tr>
        <w:trPr>
          <w:trHeight w:val="41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00"/>
              <w:spacing w:after="0"/>
              <w:rPr>
                <w:sz w:val="20"/>
                <w:szCs w:val="20"/>
                <w:color w:val="auto"/>
              </w:rPr>
            </w:pPr>
            <w:r>
              <w:rPr>
                <w:rFonts w:ascii="Arial" w:cs="Arial" w:eastAsia="Arial" w:hAnsi="Arial"/>
                <w:sz w:val="18"/>
                <w:szCs w:val="18"/>
                <w:color w:val="auto"/>
              </w:rPr>
              <w:t>Federal Deposit Insurance Corporation</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00"/>
              <w:spacing w:after="0"/>
              <w:rPr>
                <w:sz w:val="20"/>
                <w:szCs w:val="20"/>
                <w:color w:val="auto"/>
              </w:rPr>
            </w:pPr>
            <w:r>
              <w:rPr>
                <w:rFonts w:ascii="Arial" w:cs="Arial" w:eastAsia="Arial" w:hAnsi="Arial"/>
                <w:sz w:val="18"/>
                <w:szCs w:val="18"/>
                <w:color w:val="auto"/>
              </w:rPr>
              <w:t>Washington, D.C.</w:t>
            </w:r>
          </w:p>
        </w:tc>
      </w:tr>
      <w:tr>
        <w:trPr>
          <w:trHeight w:val="41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00"/>
              <w:spacing w:after="0"/>
              <w:rPr>
                <w:sz w:val="20"/>
                <w:szCs w:val="20"/>
                <w:color w:val="auto"/>
              </w:rPr>
            </w:pPr>
            <w:r>
              <w:rPr>
                <w:rFonts w:ascii="Arial" w:cs="Arial" w:eastAsia="Arial" w:hAnsi="Arial"/>
                <w:sz w:val="18"/>
                <w:szCs w:val="18"/>
                <w:color w:val="auto"/>
              </w:rPr>
              <w:t>Federal Reserve Bank of San Francisco</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00"/>
              <w:spacing w:after="0"/>
              <w:rPr>
                <w:sz w:val="20"/>
                <w:szCs w:val="20"/>
                <w:color w:val="auto"/>
              </w:rPr>
            </w:pPr>
            <w:r>
              <w:rPr>
                <w:rFonts w:ascii="Arial" w:cs="Arial" w:eastAsia="Arial" w:hAnsi="Arial"/>
                <w:sz w:val="18"/>
                <w:szCs w:val="18"/>
                <w:color w:val="auto"/>
              </w:rPr>
              <w:t>San Francisco, California 94120</w:t>
            </w:r>
          </w:p>
        </w:tc>
      </w:tr>
      <w:tr>
        <w:trPr>
          <w:trHeight w:val="45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(b)</w:t>
            </w:r>
          </w:p>
        </w:tc>
        <w:tc>
          <w:tcPr>
            <w:tcW w:w="10060" w:type="dxa"/>
            <w:vAlign w:val="bottom"/>
            <w:gridSpan w:val="4"/>
          </w:tcPr>
          <w:p>
            <w:pPr>
              <w:ind w:left="240"/>
              <w:spacing w:after="0"/>
              <w:rPr>
                <w:sz w:val="20"/>
                <w:szCs w:val="20"/>
                <w:color w:val="auto"/>
              </w:rPr>
            </w:pPr>
            <w:r>
              <w:rPr>
                <w:rFonts w:ascii="Arial" w:cs="Arial" w:eastAsia="Arial" w:hAnsi="Arial"/>
                <w:sz w:val="18"/>
                <w:szCs w:val="18"/>
                <w:color w:val="auto"/>
              </w:rPr>
              <w:t>Whether it is authorized to exercise corporate trust powers.</w:t>
            </w:r>
          </w:p>
        </w:tc>
      </w:tr>
      <w:tr>
        <w:trPr>
          <w:trHeight w:val="43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0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419"/>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10380" w:type="dxa"/>
            <w:vAlign w:val="bottom"/>
            <w:gridSpan w:val="5"/>
          </w:tcPr>
          <w:p>
            <w:pPr>
              <w:spacing w:after="0"/>
              <w:rPr>
                <w:sz w:val="20"/>
                <w:szCs w:val="20"/>
                <w:color w:val="auto"/>
              </w:rPr>
            </w:pPr>
            <w:r>
              <w:rPr>
                <w:rFonts w:ascii="Arial" w:cs="Arial" w:eastAsia="Arial" w:hAnsi="Arial"/>
                <w:sz w:val="18"/>
                <w:szCs w:val="18"/>
                <w:color w:val="auto"/>
              </w:rPr>
              <w:t>Affiliations with Obligor. If the obligor is an affiliate of the trustee, describe each such affiliation.</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53"/>
        </w:trPr>
        <w:tc>
          <w:tcPr>
            <w:tcW w:w="820" w:type="dxa"/>
            <w:vAlign w:val="bottom"/>
          </w:tcPr>
          <w:p>
            <w:pPr>
              <w:spacing w:after="0"/>
              <w:rPr>
                <w:sz w:val="24"/>
                <w:szCs w:val="24"/>
                <w:color w:val="auto"/>
              </w:rPr>
            </w:pPr>
          </w:p>
        </w:tc>
        <w:tc>
          <w:tcPr>
            <w:tcW w:w="10480" w:type="dxa"/>
            <w:vAlign w:val="bottom"/>
            <w:gridSpan w:val="6"/>
          </w:tcPr>
          <w:p>
            <w:pPr>
              <w:ind w:left="80"/>
              <w:spacing w:after="0"/>
              <w:rPr>
                <w:sz w:val="20"/>
                <w:szCs w:val="20"/>
                <w:color w:val="auto"/>
              </w:rPr>
            </w:pPr>
            <w:r>
              <w:rPr>
                <w:rFonts w:ascii="Arial" w:cs="Arial" w:eastAsia="Arial" w:hAnsi="Arial"/>
                <w:sz w:val="18"/>
                <w:szCs w:val="18"/>
                <w:color w:val="auto"/>
              </w:rPr>
              <w:t>None with respect to the trustee.</w:t>
            </w:r>
          </w:p>
        </w:tc>
      </w:tr>
      <w:tr>
        <w:trPr>
          <w:trHeight w:val="432"/>
        </w:trPr>
        <w:tc>
          <w:tcPr>
            <w:tcW w:w="11300" w:type="dxa"/>
            <w:vAlign w:val="bottom"/>
            <w:gridSpan w:val="7"/>
          </w:tcPr>
          <w:p>
            <w:pPr>
              <w:spacing w:after="0"/>
              <w:rPr>
                <w:sz w:val="20"/>
                <w:szCs w:val="20"/>
                <w:color w:val="auto"/>
              </w:rPr>
            </w:pPr>
            <w:r>
              <w:rPr>
                <w:rFonts w:ascii="Arial" w:cs="Arial" w:eastAsia="Arial" w:hAnsi="Arial"/>
                <w:sz w:val="18"/>
                <w:szCs w:val="18"/>
                <w:color w:val="auto"/>
              </w:rPr>
              <w:t>No responses are included for Items 3-14 of this Form T-1 because the obligor is not in default as provided under Item 13.</w:t>
            </w:r>
          </w:p>
        </w:tc>
      </w:tr>
      <w:tr>
        <w:trPr>
          <w:trHeight w:val="419"/>
        </w:trPr>
        <w:tc>
          <w:tcPr>
            <w:tcW w:w="820" w:type="dxa"/>
            <w:vAlign w:val="bottom"/>
          </w:tcPr>
          <w:p>
            <w:pPr>
              <w:spacing w:after="0"/>
              <w:rPr>
                <w:sz w:val="20"/>
                <w:szCs w:val="20"/>
                <w:color w:val="auto"/>
              </w:rPr>
            </w:pPr>
            <w:r>
              <w:rPr>
                <w:rFonts w:ascii="Arial" w:cs="Arial" w:eastAsia="Arial" w:hAnsi="Arial"/>
                <w:sz w:val="18"/>
                <w:szCs w:val="18"/>
                <w:color w:val="auto"/>
              </w:rPr>
              <w:t>Item 15.</w:t>
            </w:r>
          </w:p>
        </w:tc>
        <w:tc>
          <w:tcPr>
            <w:tcW w:w="100" w:type="dxa"/>
            <w:vAlign w:val="bottom"/>
          </w:tcPr>
          <w:p>
            <w:pPr>
              <w:spacing w:after="0"/>
              <w:rPr>
                <w:sz w:val="24"/>
                <w:szCs w:val="24"/>
                <w:color w:val="auto"/>
              </w:rPr>
            </w:pPr>
          </w:p>
        </w:tc>
        <w:tc>
          <w:tcPr>
            <w:tcW w:w="10380" w:type="dxa"/>
            <w:vAlign w:val="bottom"/>
            <w:gridSpan w:val="5"/>
          </w:tcPr>
          <w:p>
            <w:pPr>
              <w:spacing w:after="0"/>
              <w:rPr>
                <w:sz w:val="20"/>
                <w:szCs w:val="20"/>
                <w:color w:val="auto"/>
              </w:rPr>
            </w:pPr>
            <w:r>
              <w:rPr>
                <w:rFonts w:ascii="Arial" w:cs="Arial" w:eastAsia="Arial" w:hAnsi="Arial"/>
                <w:sz w:val="18"/>
                <w:szCs w:val="18"/>
                <w:color w:val="auto"/>
              </w:rPr>
              <w:t>Foreign Trustee. Not applicable.</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9180" w:type="dxa"/>
            <w:vAlign w:val="bottom"/>
            <w:tcBorders>
              <w:left w:val="single" w:sz="8" w:color="auto"/>
            </w:tcBorders>
            <w:gridSpan w:val="3"/>
          </w:tcPr>
          <w:p>
            <w:pPr>
              <w:spacing w:after="0" w:line="20" w:lineRule="exact"/>
              <w:rPr>
                <w:sz w:val="1"/>
                <w:szCs w:val="1"/>
                <w:color w:val="auto"/>
              </w:rPr>
            </w:pP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Item 16.</w:t>
            </w:r>
          </w:p>
        </w:tc>
        <w:tc>
          <w:tcPr>
            <w:tcW w:w="100" w:type="dxa"/>
            <w:vAlign w:val="bottom"/>
          </w:tcPr>
          <w:p>
            <w:pPr>
              <w:spacing w:after="0"/>
              <w:rPr>
                <w:sz w:val="24"/>
                <w:szCs w:val="24"/>
                <w:color w:val="auto"/>
              </w:rPr>
            </w:pPr>
          </w:p>
        </w:tc>
        <w:tc>
          <w:tcPr>
            <w:tcW w:w="10380" w:type="dxa"/>
            <w:vAlign w:val="bottom"/>
            <w:gridSpan w:val="5"/>
          </w:tcPr>
          <w:p>
            <w:pPr>
              <w:spacing w:after="0"/>
              <w:rPr>
                <w:sz w:val="20"/>
                <w:szCs w:val="20"/>
                <w:color w:val="auto"/>
              </w:rPr>
            </w:pPr>
            <w:r>
              <w:rPr>
                <w:rFonts w:ascii="Arial" w:cs="Arial" w:eastAsia="Arial" w:hAnsi="Arial"/>
                <w:sz w:val="18"/>
                <w:szCs w:val="18"/>
                <w:color w:val="auto"/>
              </w:rPr>
              <w:t>List of Exhibits. List below all exhibits filed as a part of this Statement of Eligibility.</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180" w:type="dxa"/>
            <w:vAlign w:val="bottom"/>
            <w:gridSpan w:val="3"/>
          </w:tcPr>
          <w:p>
            <w:pPr>
              <w:spacing w:after="0" w:line="20" w:lineRule="exact"/>
              <w:rPr>
                <w:sz w:val="1"/>
                <w:szCs w:val="1"/>
                <w:color w:val="auto"/>
              </w:rPr>
            </w:pPr>
          </w:p>
        </w:tc>
      </w:tr>
      <w:tr>
        <w:trPr>
          <w:trHeight w:val="480"/>
        </w:trPr>
        <w:tc>
          <w:tcPr>
            <w:tcW w:w="820" w:type="dxa"/>
            <w:vAlign w:val="bottom"/>
          </w:tcPr>
          <w:p>
            <w:pPr>
              <w:spacing w:after="0"/>
              <w:rPr>
                <w:sz w:val="20"/>
                <w:szCs w:val="20"/>
                <w:color w:val="auto"/>
              </w:rPr>
            </w:pPr>
            <w:r>
              <w:rPr>
                <w:rFonts w:ascii="Arial" w:cs="Arial" w:eastAsia="Arial" w:hAnsi="Arial"/>
                <w:sz w:val="18"/>
                <w:szCs w:val="18"/>
                <w:color w:val="auto"/>
              </w:rPr>
              <w:t>Exhibit 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A copy of the Articles of Association of the trustee now in effect.*</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Exhibit 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1"/>
              </w:rPr>
              <w:t>A copy of the Comptroller of the Currency Certificate of Corporate Existence for Wells Fargo Bank, National Association, dated June 27,</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60" w:type="dxa"/>
            <w:vAlign w:val="bottom"/>
          </w:tcPr>
          <w:p>
            <w:pPr>
              <w:spacing w:after="0"/>
              <w:rPr>
                <w:sz w:val="20"/>
                <w:szCs w:val="20"/>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Exhibit 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9"/>
              </w:rPr>
              <w:t>A copy of the Comptroller of the Currency Certification of Fiduciary Powers for Wells Fargo Bank, National Association, dated</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December 21, 2011.**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Exhibit 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Copy of By-laws of the trustee as now in effect.***</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Exhibit 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Not applicable.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Exhibit 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Exhibit 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w w:val="96"/>
              </w:rPr>
              <w:t>A copy of the latest report of condition of the trustee published pursuant to law or the requirements of its supervising or examining</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authority.</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Exhibit 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Not applicable.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Exhibit 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60" w:type="dxa"/>
            <w:vAlign w:val="bottom"/>
            <w:gridSpan w:val="4"/>
          </w:tcPr>
          <w:p>
            <w:pPr>
              <w:ind w:left="140"/>
              <w:spacing w:after="0"/>
              <w:rPr>
                <w:sz w:val="20"/>
                <w:szCs w:val="20"/>
                <w:color w:val="auto"/>
              </w:rPr>
            </w:pPr>
            <w:r>
              <w:rPr>
                <w:rFonts w:ascii="Arial" w:cs="Arial" w:eastAsia="Arial" w:hAnsi="Arial"/>
                <w:sz w:val="18"/>
                <w:szCs w:val="18"/>
                <w:color w:val="auto"/>
              </w:rPr>
              <w:t>Not applicable.</w:t>
            </w:r>
          </w:p>
        </w:tc>
      </w:tr>
    </w:tbl>
    <w:p>
      <w:pPr>
        <w:sectPr>
          <w:pgSz w:w="11900" w:h="16838" w:orient="portrait"/>
          <w:cols w:equalWidth="0" w:num="1">
            <w:col w:w="11300"/>
          </w:cols>
          <w:pgMar w:left="240" w:top="256" w:right="359" w:bottom="1440" w:gutter="0" w:footer="0" w:header="0"/>
        </w:sectPr>
      </w:pPr>
    </w:p>
    <w:bookmarkStart w:id="303" w:name="page304"/>
    <w:bookmarkEnd w:id="303"/>
    <w:p>
      <w:pPr>
        <w:ind w:left="452" w:right="100" w:hanging="452"/>
        <w:spacing w:after="0" w:line="277" w:lineRule="auto"/>
        <w:tabs>
          <w:tab w:leader="none" w:pos="4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Incorporated by reference to the exhibit of the same number to the trustee’s Form T-1 filed as exhibit 25 to the Form S-4 dated December 30, 2005 of file number 333-130784.</w:t>
      </w:r>
    </w:p>
    <w:p>
      <w:pPr>
        <w:spacing w:after="0" w:line="76" w:lineRule="exact"/>
        <w:rPr>
          <w:sz w:val="20"/>
          <w:szCs w:val="20"/>
          <w:color w:val="auto"/>
        </w:rPr>
      </w:pPr>
    </w:p>
    <w:p>
      <w:pPr>
        <w:ind w:left="452" w:hanging="452"/>
        <w:spacing w:after="0" w:line="258" w:lineRule="auto"/>
        <w:tabs>
          <w:tab w:leader="none" w:pos="45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S-3 dated January 23, 2013 of file number 333-186155.</w:t>
      </w:r>
    </w:p>
    <w:p>
      <w:pPr>
        <w:spacing w:after="0" w:line="1" w:lineRule="exact"/>
        <w:rPr>
          <w:rFonts w:ascii="Arial" w:cs="Arial" w:eastAsia="Arial" w:hAnsi="Arial"/>
          <w:sz w:val="18"/>
          <w:szCs w:val="18"/>
          <w:color w:val="auto"/>
        </w:rPr>
      </w:pPr>
    </w:p>
    <w:p>
      <w:pPr>
        <w:ind w:left="452" w:right="220" w:hanging="452"/>
        <w:spacing w:after="0" w:line="261" w:lineRule="auto"/>
        <w:tabs>
          <w:tab w:leader="none" w:pos="4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file number 333-125274.</w:t>
      </w:r>
    </w:p>
    <w:p>
      <w:pPr>
        <w:sectPr>
          <w:pgSz w:w="11900" w:h="16838" w:orient="portrait"/>
          <w:cols w:equalWidth="0" w:num="1">
            <w:col w:w="11292"/>
          </w:cols>
          <w:pgMar w:left="248" w:top="274" w:right="359" w:bottom="1440" w:gutter="0" w:footer="0" w:header="0"/>
        </w:sectPr>
      </w:pPr>
    </w:p>
    <w:bookmarkStart w:id="304" w:name="page305"/>
    <w:bookmarkEnd w:id="304"/>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New York and State of New York on the 13th day of April, 2015.</w:t>
      </w:r>
    </w:p>
    <w:p>
      <w:pPr>
        <w:spacing w:after="0" w:line="3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Yana Kislenko</w:t>
      </w:r>
    </w:p>
    <w:p>
      <w:pPr>
        <w:spacing w:after="0" w:line="1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Yana Kislenko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180"/>
          </w:cols>
          <w:pgMar w:left="240" w:top="273" w:right="479" w:bottom="1440" w:gutter="0" w:footer="0" w:header="0"/>
        </w:sectPr>
      </w:pPr>
    </w:p>
    <w:bookmarkStart w:id="305" w:name="page306"/>
    <w:bookmarkEnd w:id="305"/>
    <w:p>
      <w:pPr>
        <w:jc w:val="center"/>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April 13,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8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Yana Kislenko</w:t>
      </w:r>
    </w:p>
    <w:p>
      <w:pPr>
        <w:spacing w:after="0" w:line="1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Yana Kislenko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920"/>
          </w:cols>
          <w:pgMar w:left="240" w:top="273" w:right="73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December 31, 2014, filed in accordance with 12 U.S.C. §161 for National Banks.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308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Interest-bearing balances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Held-to-maturity securities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 in domestic offices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Securities purchased under agreements to resell</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Loans and leases held for sale</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821,207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10,844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 and allowance</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Trading Assets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61,641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8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1,532,784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40" w:type="dxa"/>
            <w:vAlign w:val="bottom"/>
            <w:gridSpan w:val="2"/>
            <w:vMerge w:val="continue"/>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 domestic offices</w:t>
            </w:r>
          </w:p>
        </w:tc>
        <w:tc>
          <w:tcPr>
            <w:tcW w:w="3080" w:type="dxa"/>
            <w:vAlign w:val="bottom"/>
            <w:gridSpan w:val="2"/>
          </w:tcPr>
          <w:p>
            <w:pPr>
              <w:ind w:left="29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1,062,122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Noninterest-bearing</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322,290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Interest-bearing</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739,832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foreign offices, Edge and Agreement subsidiaries, and IBFs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Noninterest-bearing</w:t>
            </w:r>
          </w:p>
        </w:tc>
        <w:tc>
          <w:tcPr>
            <w:tcW w:w="2960" w:type="dxa"/>
            <w:vAlign w:val="bottom"/>
          </w:tcPr>
          <w:p>
            <w:pPr>
              <w:jc w:val="right"/>
              <w:ind w:right="350"/>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2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150,106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purchased in domestic offices</w:t>
            </w: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7" w:name="page308"/>
    <w:bookmarkEnd w:id="3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rPr>
              <w:t>Other borrowed money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80" w:type="dxa"/>
            <w:vAlign w:val="bottom"/>
          </w:tcPr>
          <w:p>
            <w:pPr>
              <w:ind w:left="16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1,387,373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400" w:type="dxa"/>
            <w:vAlign w:val="bottom"/>
            <w:gridSpan w:val="2"/>
          </w:tcPr>
          <w:p>
            <w:pPr>
              <w:spacing w:after="0"/>
              <w:rPr>
                <w:sz w:val="20"/>
                <w:szCs w:val="20"/>
                <w:color w:val="auto"/>
              </w:rPr>
            </w:pPr>
            <w:r>
              <w:rPr>
                <w:rFonts w:ascii="Arial" w:cs="Arial" w:eastAsia="Arial" w:hAnsi="Arial"/>
                <w:sz w:val="18"/>
                <w:szCs w:val="18"/>
                <w:color w:val="auto"/>
              </w:rPr>
              <w:t>EQUITY CAPITAL</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bank equity capital</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145,411</w:t>
            </w:r>
          </w:p>
        </w:tc>
        <w:tc>
          <w:tcPr>
            <w:tcW w:w="0" w:type="dxa"/>
            <w:vAlign w:val="bottom"/>
          </w:tcPr>
          <w:p>
            <w:pPr>
              <w:spacing w:after="0"/>
              <w:rPr>
                <w:sz w:val="1"/>
                <w:szCs w:val="1"/>
                <w:color w:val="auto"/>
              </w:rPr>
            </w:pPr>
          </w:p>
        </w:tc>
      </w:tr>
      <w:tr>
        <w:trPr>
          <w:trHeight w:val="223"/>
        </w:trPr>
        <w:tc>
          <w:tcPr>
            <w:tcW w:w="10400" w:type="dxa"/>
            <w:vAlign w:val="bottom"/>
            <w:gridSpan w:val="2"/>
          </w:tcPr>
          <w:p>
            <w:pPr>
              <w:spacing w:after="0"/>
              <w:rPr>
                <w:sz w:val="20"/>
                <w:szCs w:val="20"/>
                <w:color w:val="auto"/>
              </w:rPr>
            </w:pPr>
            <w:r>
              <w:rPr>
                <w:rFonts w:ascii="Arial" w:cs="Arial" w:eastAsia="Arial" w:hAnsi="Arial"/>
                <w:sz w:val="18"/>
                <w:szCs w:val="18"/>
                <w:color w:val="auto"/>
              </w:rPr>
              <w:t>Total liabilities, and equity capital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1,532,784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John R. Shrewsberry, Sr.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279"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John R. Shrewsberry</w:t>
      </w:r>
    </w:p>
    <w:p>
      <w:pPr>
        <w:spacing w:after="0" w:line="23"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Sr. EVP &amp; CFO</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John Stumpf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Quigley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Enrique Hernandez, Jr.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center"/>
        <w:ind w:right="4700"/>
        <w:spacing w:after="0"/>
        <w:rPr>
          <w:sz w:val="20"/>
          <w:szCs w:val="20"/>
          <w:color w:val="auto"/>
        </w:rPr>
      </w:pPr>
      <w:r>
        <w:rPr>
          <w:rFonts w:ascii="Arial" w:cs="Arial" w:eastAsia="Arial" w:hAnsi="Arial"/>
          <w:sz w:val="16"/>
          <w:szCs w:val="16"/>
          <w:color w:val="auto"/>
        </w:rPr>
        <w:t>Directors</w:t>
      </w:r>
    </w:p>
    <w:p>
      <w:pPr>
        <w:sectPr>
          <w:pgSz w:w="11900" w:h="16838" w:orient="portrait"/>
          <w:cols w:equalWidth="0" w:num="2">
            <w:col w:w="5340" w:space="720"/>
            <w:col w:w="5360"/>
          </w:cols>
          <w:pgMar w:left="240" w:top="257" w:right="239" w:bottom="1440" w:gutter="0" w:footer="0" w:header="0"/>
          <w:type w:val="continuous"/>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(h)(1)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 Shares of Common Stock (Par Value $0.01 Per Share)</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 Shares of Preferred Stock (Par Value $— Per Share)</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 Warrants to Purchase Common Stock or Preferred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 of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TPG Specialty Lending, Inc., a Delaware corporation (the “Company”), proposes to issue and sell to the several Underwriters listed in Schedule 1</w:t>
      </w:r>
    </w:p>
    <w:p>
      <w:pPr>
        <w:spacing w:after="0" w:line="3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hereto (the “Underwriters”), for whom you are acting as representative[s] (the “Representative[s]”), [an aggregate of [ ] shares of common stock, par value $0.01 per share, of the Company (the “Common Stock),] [an aggregate of [ ] shares of preferred stock, par value $— per share, of the Company (the “Preferred Stock”), [an aggregate of [ ] warrants (the “Warrants”) to purchase Common Stock or Preferred Stock, or both, ] (each of the aforesaid, the “Underwritten Securities”) and, at the option of the Underwriters, up to an additional [ ] of [ ], solely to cover overallotments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“Option Securities”). The Underwritten Securities and the Option Securities are herein referred to as the “Securities.” “Warrant Securities” shall mean the Common Stock or Preferred Stock issuable upon exercise of Warrants. [The Preferred Stock may be offered in the form of depositary shares (the “Depositary Shares”) represented by depositary receipts (the “Depositary Receipts”).] [The Warrants will be issued under one or more warrant agreements (the warrant agreement relating to any issue of Warrants to be sold pursuant to this Agreement is referred to herein as the “Warrant Agreement”) between the Company and the Warrant Agent identified in such Warrant Agreement (the “Warrant Agent”).] The Common Stock, Preferred Stock and Warrants may be offered either together or separately. Each issue of Preferred Stock may vary, as applicable, as to the specific number of shares, title, issuance price, any redemption or sinking fund requirements, any conversion provisions and any other variable terms as set forth in the applicable certificate of designation (each, a “Certificate of Designation”) relating to such Preferred Stock. Each issue of Warrants may vary, as applicable, as to the title, specific number of shares of Common Stock or Preferred Stock receivable upon exercise, issuance price, exercise dates, exercise conditions and any other variable terms as set forth in the applicable Warrant Agreement relating to such Warrants.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hereby confirms its agreement with the several Underwriters concerning the purchase and sale of the Securities, as follows:</w:t>
      </w:r>
    </w:p>
    <w:p>
      <w:pPr>
        <w:spacing w:after="0" w:line="237" w:lineRule="exact"/>
        <w:rPr>
          <w:sz w:val="20"/>
          <w:szCs w:val="20"/>
          <w:color w:val="auto"/>
        </w:rPr>
      </w:pPr>
    </w:p>
    <w:p>
      <w:pPr>
        <w:ind w:firstLine="464"/>
        <w:spacing w:after="0" w:line="291" w:lineRule="auto"/>
        <w:tabs>
          <w:tab w:leader="none" w:pos="636"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w:t>
      </w:r>
    </w:p>
    <w:p>
      <w:pPr>
        <w:spacing w:after="0"/>
        <w:rPr>
          <w:rFonts w:ascii="Arial" w:cs="Arial" w:eastAsia="Arial" w:hAnsi="Arial"/>
          <w:sz w:val="16"/>
          <w:szCs w:val="16"/>
          <w:color w:val="auto"/>
        </w:rPr>
      </w:pPr>
      <w:r>
        <w:rPr>
          <w:rFonts w:ascii="Arial" w:cs="Arial" w:eastAsia="Arial" w:hAnsi="Arial"/>
          <w:sz w:val="16"/>
          <w:szCs w:val="16"/>
          <w:color w:val="auto"/>
        </w:rPr>
        <w:t>Form N-2 (File No. 333-196969), relating to the Securities and certain of the Company’s other securities, which registration statement was declared effective</w:t>
      </w:r>
    </w:p>
    <w:p>
      <w:pPr>
        <w:spacing w:after="0" w:line="202"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on by the Commission. The Company has also filed with the Commission a preliminary prospectus supplement, dated , as such prospectus may be amended, which contains a base prospectus, dated (the “Base Prospectus” and, collectively, the “Preliminary Prospectus”).</w:t>
      </w:r>
    </w:p>
    <w:p>
      <w:pPr>
        <w:ind w:right="360"/>
        <w:spacing w:after="0" w:line="261" w:lineRule="auto"/>
        <w:rPr>
          <w:sz w:val="20"/>
          <w:szCs w:val="20"/>
          <w:color w:val="auto"/>
        </w:rPr>
      </w:pPr>
      <w:r>
        <w:rPr>
          <w:rFonts w:ascii="Arial" w:cs="Arial" w:eastAsia="Arial" w:hAnsi="Arial"/>
          <w:sz w:val="18"/>
          <w:szCs w:val="18"/>
          <w:color w:val="auto"/>
        </w:rPr>
        <w:t>Promptly after execution and delivery of this Agreement, the Company will prepare and file a prospectus in accordance with the provisions of Rule 430C (“Rule 430C”) of the rules and regulations of the Commission</w:t>
      </w:r>
    </w:p>
    <w:p>
      <w:pPr>
        <w:sectPr>
          <w:pgSz w:w="11900" w:h="16838" w:orient="portrait"/>
          <w:cols w:equalWidth="0" w:num="1">
            <w:col w:w="11420"/>
          </w:cols>
          <w:pgMar w:left="240" w:top="121" w:right="239" w:bottom="1440" w:gutter="0" w:footer="0" w:header="0"/>
        </w:sectPr>
      </w:pPr>
    </w:p>
    <w:bookmarkStart w:id="309" w:name="page310"/>
    <w:bookmarkEnd w:id="30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Securities,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7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of 1940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also entered into an Administration Agreement, dated as of March 15, 2011 (the “Administration Agreement”) with the Adviser.</w:t>
      </w:r>
    </w:p>
    <w:p>
      <w:pPr>
        <w:spacing w:after="0" w:line="23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Preliminary Prospectus, which together with the pricing information set forth on Annex A, comprises the “Pricing Disclosure Package.</w:t>
      </w:r>
    </w:p>
    <w:p>
      <w:pPr>
        <w:spacing w:after="0" w:line="170" w:lineRule="exact"/>
        <w:rPr>
          <w:sz w:val="20"/>
          <w:szCs w:val="20"/>
          <w:color w:val="auto"/>
        </w:rPr>
      </w:pPr>
    </w:p>
    <w:p>
      <w:pPr>
        <w:ind w:left="460"/>
        <w:spacing w:after="0"/>
        <w:tabs>
          <w:tab w:leader="none" w:pos="2960" w:val="left"/>
          <w:tab w:leader="none" w:pos="6200" w:val="left"/>
        </w:tabs>
        <w:rPr>
          <w:sz w:val="20"/>
          <w:szCs w:val="20"/>
          <w:color w:val="auto"/>
        </w:rPr>
      </w:pPr>
      <w:r>
        <w:rPr>
          <w:rFonts w:ascii="Arial" w:cs="Arial" w:eastAsia="Arial" w:hAnsi="Arial"/>
          <w:sz w:val="18"/>
          <w:szCs w:val="18"/>
          <w:color w:val="auto"/>
        </w:rPr>
        <w:t>“Applicable Time” means [</w:t>
      </w:r>
      <w:r>
        <w:rPr>
          <w:sz w:val="20"/>
          <w:szCs w:val="20"/>
          <w:color w:val="auto"/>
        </w:rPr>
        <w:tab/>
      </w:r>
      <w:r>
        <w:rPr>
          <w:rFonts w:ascii="Arial" w:cs="Arial" w:eastAsia="Arial" w:hAnsi="Arial"/>
          <w:sz w:val="18"/>
          <w:szCs w:val="18"/>
          <w:color w:val="auto"/>
        </w:rPr>
        <w:t>][A./ P.M.], New York City time, on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left="640" w:hanging="176"/>
        <w:spacing w:after="0"/>
        <w:tabs>
          <w:tab w:leader="none" w:pos="64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Underwriters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88" w:lineRule="auto"/>
        <w:tabs>
          <w:tab w:leader="none" w:pos="70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Company agrees to issue and sell the Underwritten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Underwritten Securities set forth opposite such Underwriter’s name in Schedule 1 hereto at a price</w:t>
      </w:r>
    </w:p>
    <w:p>
      <w:pPr>
        <w:spacing w:after="0"/>
        <w:tabs>
          <w:tab w:leader="none" w:pos="3220" w:val="left"/>
        </w:tabs>
        <w:rPr>
          <w:sz w:val="20"/>
          <w:szCs w:val="20"/>
          <w:color w:val="auto"/>
        </w:rPr>
      </w:pPr>
      <w:r>
        <w:rPr>
          <w:rFonts w:ascii="Arial" w:cs="Arial" w:eastAsia="Arial" w:hAnsi="Arial"/>
          <w:sz w:val="18"/>
          <w:szCs w:val="18"/>
          <w:color w:val="auto"/>
        </w:rPr>
        <w:t>per share (the “Purchase Price”) of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the Company agrees to issue and sell the Option Securities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Securities at the Purchase Price less an amount per share equal to any dividends or distributions declared by the Company and payable on the Underwritten Securities but not payable on the Option Securities.</w:t>
      </w:r>
    </w:p>
    <w:p>
      <w:pPr>
        <w:spacing w:after="0" w:line="171" w:lineRule="exact"/>
        <w:rPr>
          <w:sz w:val="20"/>
          <w:szCs w:val="20"/>
          <w:color w:val="auto"/>
        </w:rPr>
      </w:pPr>
    </w:p>
    <w:p>
      <w:pPr>
        <w:jc w:val="both"/>
        <w:ind w:right="480" w:firstLine="456"/>
        <w:spacing w:after="0" w:line="312" w:lineRule="auto"/>
        <w:rPr>
          <w:sz w:val="20"/>
          <w:szCs w:val="20"/>
          <w:color w:val="auto"/>
        </w:rPr>
      </w:pPr>
      <w:r>
        <w:rPr>
          <w:rFonts w:ascii="Arial" w:cs="Arial" w:eastAsia="Arial" w:hAnsi="Arial"/>
          <w:sz w:val="16"/>
          <w:szCs w:val="16"/>
          <w:color w:val="auto"/>
        </w:rPr>
        <w:t>If any Option Securities are to be purchased, the number of Option Securities to be purchased by each Underwriter shall be the number of Option Securities which bears the same ratio to the aggregate number of Option Securities being purchased as the number of Underwritten Securities set forth opposite the name of such Underwriter in Schedule 1 hereto (or such number increased as set forth in Section 11 hereof) bears to the</w:t>
      </w:r>
    </w:p>
    <w:p>
      <w:pPr>
        <w:sectPr>
          <w:pgSz w:w="11900" w:h="16838" w:orient="portrait"/>
          <w:cols w:equalWidth="0" w:num="1">
            <w:col w:w="11400"/>
          </w:cols>
          <w:pgMar w:left="240" w:top="273" w:right="259" w:bottom="1440" w:gutter="0" w:footer="0" w:header="0"/>
        </w:sectPr>
      </w:pPr>
    </w:p>
    <w:bookmarkStart w:id="310" w:name="page311"/>
    <w:bookmarkEnd w:id="310"/>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aggregate number of Underwritten Securities being purchased from the Company by the several Underwriters, subject, however, to such adjustments to eliminate any fractional Securities as the Representative[s] in their sole discretion shall make.</w:t>
      </w:r>
    </w:p>
    <w:p>
      <w:pPr>
        <w:spacing w:after="0" w:line="170"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 Underwriters may exercise the option to purchase Option Securities at any time in whole, or from time to time in part, on or before the thirtieth day following the date of the Prospectus, by written notice from the Representative[s] to the Company. Such notice shall set forth the aggregate number of Option Securities as to which the option is being exercised and the date and time when the Option Securities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78" w:lineRule="exact"/>
        <w:rPr>
          <w:sz w:val="20"/>
          <w:szCs w:val="20"/>
          <w:color w:val="auto"/>
        </w:rPr>
      </w:pPr>
    </w:p>
    <w:p>
      <w:pPr>
        <w:ind w:right="60" w:firstLine="464"/>
        <w:spacing w:after="0" w:line="286" w:lineRule="auto"/>
        <w:tabs>
          <w:tab w:leader="none" w:pos="71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Prospectus. The Company acknowledges and agrees that the Underwriters may offer and sell Securities to or through any affiliate of an Underwriter.</w:t>
      </w:r>
    </w:p>
    <w:p>
      <w:pPr>
        <w:spacing w:after="0" w:line="165" w:lineRule="exact"/>
        <w:rPr>
          <w:rFonts w:ascii="Arial" w:cs="Arial" w:eastAsia="Arial" w:hAnsi="Arial"/>
          <w:sz w:val="17"/>
          <w:szCs w:val="17"/>
          <w:color w:val="auto"/>
        </w:rPr>
      </w:pPr>
    </w:p>
    <w:p>
      <w:pPr>
        <w:ind w:left="700" w:hanging="236"/>
        <w:spacing w:after="0"/>
        <w:tabs>
          <w:tab w:leader="none" w:pos="70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Payment for the Securities shall be made by wire transfer in immediately available funds to the account specified by the Company to the</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Representative[s] in the case of the Underwritten Securities, at the offices of [ ], at 10:00 A.M., New York City time, on [ ], or at such other time or place on the same or such other date, not later than the fifth business day thereafter, as the Representative[s] and the Company may agree upon in writing or, in the case of the Option Securities, on the date and at the time and place specified by the Representative[s] in the written notice of the Underwriters’ election to purchase such Option Securities. The time and date of such payment for the Underwritten Securities is referred to herein as the “Closing Date”, and the time and date for such payment for the Option Securities, if other than the Closing Date, is herein referred to as the “Additional Closing Date.”</w:t>
      </w:r>
    </w:p>
    <w:p>
      <w:pPr>
        <w:spacing w:after="0" w:line="16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Payment for the Securities to be purchased on the Closing Date or the Additional Closing Date, as the case may be, shall be made against delivery to the Representative[s] for the respective accounts of the several Underwriters of the Securities to be purchased on such date with any transfer taxes payable in connection with the sale of such Securities duly paid by the Company. Delivery of the Securities shall be made through the facilities of The Depository Trust Company (“DTC”) unless the Representative[s] shall otherwise instruct.</w:t>
      </w:r>
    </w:p>
    <w:p>
      <w:pPr>
        <w:spacing w:after="0" w:line="187" w:lineRule="exact"/>
        <w:rPr>
          <w:sz w:val="20"/>
          <w:szCs w:val="20"/>
          <w:color w:val="auto"/>
        </w:rPr>
      </w:pPr>
    </w:p>
    <w:p>
      <w:pPr>
        <w:ind w:right="100" w:firstLine="464"/>
        <w:spacing w:after="0" w:line="271" w:lineRule="auto"/>
        <w:tabs>
          <w:tab w:leader="none" w:pos="711"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640" w:hanging="176"/>
        <w:spacing w:after="0"/>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117" w:lineRule="exact"/>
        <w:rPr>
          <w:rFonts w:ascii="Arial" w:cs="Arial" w:eastAsia="Arial" w:hAnsi="Arial"/>
          <w:sz w:val="18"/>
          <w:szCs w:val="18"/>
          <w:color w:val="auto"/>
        </w:rPr>
      </w:pPr>
    </w:p>
    <w:p>
      <w:pPr>
        <w:ind w:left="460" w:right="40" w:firstLine="443"/>
        <w:spacing w:after="0" w:line="257" w:lineRule="auto"/>
        <w:tabs>
          <w:tab w:leader="none" w:pos="1143" w:val="left"/>
        </w:tabs>
        <w:numPr>
          <w:ilvl w:val="1"/>
          <w:numId w:val="250"/>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any Preliminary Prospectus has been issued by the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each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w:t>
      </w:r>
    </w:p>
    <w:p>
      <w:pPr>
        <w:sectPr>
          <w:pgSz w:w="11900" w:h="16838" w:orient="portrait"/>
          <w:cols w:equalWidth="0" w:num="1">
            <w:col w:w="11400"/>
          </w:cols>
          <w:pgMar w:left="240" w:top="273" w:right="259" w:bottom="1440" w:gutter="0" w:footer="0" w:header="0"/>
        </w:sectPr>
      </w:pPr>
    </w:p>
    <w:bookmarkStart w:id="311" w:name="page312"/>
    <w:bookmarkEnd w:id="31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79" w:lineRule="exact"/>
        <w:rPr>
          <w:sz w:val="20"/>
          <w:szCs w:val="20"/>
          <w:color w:val="auto"/>
        </w:rPr>
      </w:pPr>
    </w:p>
    <w:p>
      <w:pPr>
        <w:ind w:right="40" w:firstLine="443"/>
        <w:spacing w:after="0" w:line="272" w:lineRule="auto"/>
        <w:tabs>
          <w:tab w:leader="none" w:pos="693" w:val="left"/>
        </w:tabs>
        <w:numPr>
          <w:ilvl w:val="1"/>
          <w:numId w:val="251"/>
        </w:numPr>
        <w:rPr>
          <w:rFonts w:ascii="Arial" w:cs="Arial" w:eastAsia="Arial" w:hAnsi="Arial"/>
          <w:sz w:val="17"/>
          <w:szCs w:val="17"/>
          <w:color w:val="auto"/>
        </w:rPr>
      </w:pPr>
      <w:r>
        <w:rPr>
          <w:rFonts w:ascii="Arial" w:cs="Arial" w:eastAsia="Arial" w:hAnsi="Arial"/>
          <w:sz w:val="17"/>
          <w:szCs w:val="17"/>
          <w:i w:val="1"/>
          <w:iCs w:val="1"/>
          <w:color w:val="auto"/>
        </w:rPr>
        <w:t>Pricing Disclosure Package</w:t>
      </w:r>
      <w:r>
        <w:rPr>
          <w:rFonts w:ascii="Arial" w:cs="Arial" w:eastAsia="Arial" w:hAnsi="Arial"/>
          <w:sz w:val="17"/>
          <w:szCs w:val="17"/>
          <w:color w:val="auto"/>
        </w:rPr>
        <w:t>. The Pricing Disclosure Package as of the Applicable Time did not, and the Pricing Disclosure Package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spacing w:after="0" w:line="69" w:lineRule="exact"/>
        <w:rPr>
          <w:rFonts w:ascii="Arial" w:cs="Arial" w:eastAsia="Arial" w:hAnsi="Arial"/>
          <w:sz w:val="17"/>
          <w:szCs w:val="17"/>
          <w:color w:val="auto"/>
        </w:rPr>
      </w:pPr>
    </w:p>
    <w:p>
      <w:pPr>
        <w:ind w:firstLine="443"/>
        <w:spacing w:after="0" w:line="286" w:lineRule="auto"/>
        <w:tabs>
          <w:tab w:leader="none" w:pos="683" w:val="left"/>
        </w:tabs>
        <w:numPr>
          <w:ilvl w:val="1"/>
          <w:numId w:val="251"/>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Company is eligible to use Form N-2. The Registration Statement has been declared effective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and the Investment Company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63" w:lineRule="exact"/>
        <w:rPr>
          <w:rFonts w:ascii="Arial" w:cs="Arial" w:eastAsia="Arial" w:hAnsi="Arial"/>
          <w:sz w:val="16"/>
          <w:szCs w:val="16"/>
          <w:color w:val="auto"/>
        </w:rPr>
      </w:pPr>
    </w:p>
    <w:p>
      <w:pPr>
        <w:ind w:firstLine="443"/>
        <w:spacing w:after="0" w:line="270" w:lineRule="auto"/>
        <w:tabs>
          <w:tab w:leader="none" w:pos="693" w:val="left"/>
        </w:tabs>
        <w:numPr>
          <w:ilvl w:val="1"/>
          <w:numId w:val="251"/>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73" w:lineRule="exact"/>
        <w:rPr>
          <w:rFonts w:ascii="Arial" w:cs="Arial" w:eastAsia="Arial" w:hAnsi="Arial"/>
          <w:sz w:val="17"/>
          <w:szCs w:val="17"/>
          <w:color w:val="auto"/>
        </w:rPr>
      </w:pPr>
    </w:p>
    <w:p>
      <w:pPr>
        <w:jc w:val="both"/>
        <w:ind w:right="40" w:firstLine="443"/>
        <w:spacing w:after="0" w:line="291" w:lineRule="auto"/>
        <w:tabs>
          <w:tab w:leader="none" w:pos="683" w:val="left"/>
        </w:tabs>
        <w:numPr>
          <w:ilvl w:val="1"/>
          <w:numId w:val="251"/>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720" w:firstLine="4"/>
        <w:spacing w:after="0" w:line="261" w:lineRule="auto"/>
        <w:tabs>
          <w:tab w:leader="none" w:pos="21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there has not been any material change in the capital stock of the Company, short-term debt or long-term debt of the Company or any of its subsidiaries, or any dividend or distribution of any kind declared, set aside</w:t>
      </w:r>
    </w:p>
    <w:p>
      <w:pPr>
        <w:sectPr>
          <w:pgSz w:w="11900" w:h="16838" w:orient="portrait"/>
          <w:cols w:equalWidth="0" w:num="1">
            <w:col w:w="10940"/>
          </w:cols>
          <w:pgMar w:left="700" w:top="274" w:right="259" w:bottom="1440" w:gutter="0" w:footer="0" w:header="0"/>
        </w:sectPr>
      </w:pPr>
    </w:p>
    <w:bookmarkStart w:id="312" w:name="page313"/>
    <w:bookmarkEnd w:id="31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58" w:lineRule="exact"/>
        <w:rPr>
          <w:sz w:val="20"/>
          <w:szCs w:val="20"/>
          <w:color w:val="auto"/>
        </w:rPr>
      </w:pPr>
    </w:p>
    <w:p>
      <w:pPr>
        <w:ind w:right="100" w:firstLine="443"/>
        <w:spacing w:after="0" w:line="270" w:lineRule="auto"/>
        <w:tabs>
          <w:tab w:leader="none" w:pos="663"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Investment Management Agreement and the Administration Agreement [and the Warrant Agreement] [and the Deposit Agreement] (a “Material Adverse Effect”). The subsidiaries listed in Schedule 2 to this Agreement are the only subsidiaries of the Company.</w:t>
      </w:r>
    </w:p>
    <w:p>
      <w:pPr>
        <w:spacing w:after="0" w:line="73" w:lineRule="exact"/>
        <w:rPr>
          <w:rFonts w:ascii="Arial" w:cs="Arial" w:eastAsia="Arial" w:hAnsi="Arial"/>
          <w:sz w:val="17"/>
          <w:szCs w:val="17"/>
          <w:color w:val="auto"/>
        </w:rPr>
      </w:pPr>
    </w:p>
    <w:p>
      <w:pPr>
        <w:ind w:firstLine="443"/>
        <w:spacing w:after="0" w:line="286" w:lineRule="auto"/>
        <w:tabs>
          <w:tab w:leader="none" w:pos="693" w:val="left"/>
        </w:tabs>
        <w:numPr>
          <w:ilvl w:val="0"/>
          <w:numId w:val="253"/>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 ], the Company had the authorized capitalization as set forth in the Registration Statement, the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in “Capitalization” under the heading “Actual,” and, after giving effect to the offering pursuant to this Agreement and the use of proceeds thereof, would have had the authorized capitalization as set forth in column entitled “As Adjusted”;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63" w:lineRule="exact"/>
        <w:rPr>
          <w:rFonts w:ascii="Arial" w:cs="Arial" w:eastAsia="Arial" w:hAnsi="Arial"/>
          <w:sz w:val="16"/>
          <w:szCs w:val="16"/>
          <w:color w:val="auto"/>
        </w:rPr>
      </w:pPr>
    </w:p>
    <w:p>
      <w:pPr>
        <w:ind w:left="700" w:hanging="257"/>
        <w:spacing w:after="0"/>
        <w:tabs>
          <w:tab w:leader="none" w:pos="700"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pacing w:after="0" w:line="117" w:lineRule="exact"/>
        <w:rPr>
          <w:rFonts w:ascii="Arial" w:cs="Arial" w:eastAsia="Arial" w:hAnsi="Arial"/>
          <w:sz w:val="18"/>
          <w:szCs w:val="18"/>
          <w:color w:val="auto"/>
        </w:rPr>
      </w:pPr>
    </w:p>
    <w:p>
      <w:pPr>
        <w:ind w:right="280" w:firstLine="443"/>
        <w:spacing w:after="0" w:line="257" w:lineRule="auto"/>
        <w:tabs>
          <w:tab w:leader="none" w:pos="653"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corporate power and authority to execute and deliver this Agreement and at the applicable time had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power and authority to execute and deliver the Investment Management Agreement and the Administration Agreement [and the Warrant Agreement][and the Deposit Agreement] and to perform its obligations hereunder and thereunder; and all action required to be taken for the due and proper authorization, execution and delivery by it of this Agreement and each of the Investment Management Agreement and the Administration Agreement [and the Warrant Agreement] [and</w:t>
      </w:r>
    </w:p>
    <w:p>
      <w:pPr>
        <w:sectPr>
          <w:pgSz w:w="11900" w:h="16838" w:orient="portrait"/>
          <w:cols w:equalWidth="0" w:num="1">
            <w:col w:w="10960"/>
          </w:cols>
          <w:pgMar w:left="700" w:top="273" w:right="239" w:bottom="1440" w:gutter="0" w:footer="0" w:header="0"/>
        </w:sectPr>
      </w:pPr>
    </w:p>
    <w:bookmarkStart w:id="313" w:name="page314"/>
    <w:bookmarkEnd w:id="3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 Agreement] and the consummation by it of the transactions contemplated hereby and thereby has been duly and validly taken.</w:t>
      </w:r>
    </w:p>
    <w:p>
      <w:pPr>
        <w:spacing w:after="0" w:line="129" w:lineRule="exact"/>
        <w:rPr>
          <w:sz w:val="20"/>
          <w:szCs w:val="20"/>
          <w:color w:val="auto"/>
        </w:rPr>
      </w:pPr>
    </w:p>
    <w:p>
      <w:pPr>
        <w:ind w:left="660" w:hanging="217"/>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180" w:firstLine="443"/>
        <w:spacing w:after="0" w:line="257" w:lineRule="auto"/>
        <w:tabs>
          <w:tab w:leader="none" w:pos="693"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the Administration Agreement [and Warrant Agreement][and Deposit Agreement]. </w:t>
      </w:r>
      <w:r>
        <w:rPr>
          <w:rFonts w:ascii="Arial" w:cs="Arial" w:eastAsia="Arial" w:hAnsi="Arial"/>
          <w:sz w:val="18"/>
          <w:szCs w:val="18"/>
          <w:color w:val="auto"/>
        </w:rPr>
        <w:t>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and the Administration Agreement [and the Warrant Agreement] [and the Deposit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80" w:lineRule="exact"/>
        <w:rPr>
          <w:rFonts w:ascii="Arial" w:cs="Arial" w:eastAsia="Arial" w:hAnsi="Arial"/>
          <w:sz w:val="18"/>
          <w:szCs w:val="18"/>
          <w:color w:val="auto"/>
        </w:rPr>
      </w:pPr>
    </w:p>
    <w:p>
      <w:pPr>
        <w:ind w:firstLine="443"/>
        <w:spacing w:after="0" w:line="286" w:lineRule="auto"/>
        <w:tabs>
          <w:tab w:leader="none" w:pos="653" w:val="left"/>
        </w:tabs>
        <w:numPr>
          <w:ilvl w:val="0"/>
          <w:numId w:val="254"/>
        </w:numPr>
        <w:rPr>
          <w:rFonts w:ascii="Arial" w:cs="Arial" w:eastAsia="Arial" w:hAnsi="Arial"/>
          <w:sz w:val="16"/>
          <w:szCs w:val="16"/>
          <w:color w:val="auto"/>
        </w:rPr>
      </w:pPr>
      <w:r>
        <w:rPr>
          <w:rFonts w:ascii="Arial" w:cs="Arial" w:eastAsia="Arial" w:hAnsi="Arial"/>
          <w:sz w:val="16"/>
          <w:szCs w:val="16"/>
          <w:i w:val="1"/>
          <w:iCs w:val="1"/>
          <w:color w:val="auto"/>
        </w:rPr>
        <w:t xml:space="preserve">The Securities. </w:t>
      </w:r>
      <w:r>
        <w:rPr>
          <w:rFonts w:ascii="Arial" w:cs="Arial" w:eastAsia="Arial" w:hAnsi="Arial"/>
          <w:sz w:val="16"/>
          <w:szCs w:val="16"/>
          <w:color w:val="auto"/>
        </w:rPr>
        <w:t>The Securities to be issued and sold by the Company hereunder have been duly authorized and, when issued and delivered and</w:t>
      </w:r>
      <w:r>
        <w:rPr>
          <w:rFonts w:ascii="Arial" w:cs="Arial" w:eastAsia="Arial" w:hAnsi="Arial"/>
          <w:sz w:val="16"/>
          <w:szCs w:val="16"/>
          <w:i w:val="1"/>
          <w:iCs w:val="1"/>
          <w:color w:val="auto"/>
        </w:rPr>
        <w:t xml:space="preserve"> </w:t>
      </w:r>
      <w:r>
        <w:rPr>
          <w:rFonts w:ascii="Arial" w:cs="Arial" w:eastAsia="Arial" w:hAnsi="Arial"/>
          <w:sz w:val="16"/>
          <w:szCs w:val="16"/>
          <w:color w:val="auto"/>
        </w:rPr>
        <w:t>paid for as provided herein will be duly and validly issued, will be fully paid and nonassessable and will conform in all material respects to the descriptions thereof in the Registration Statement, the Pricing Disclosure Package and the Prospectus; and the issuance of the Securities is not subject to any preemptive or similar rights. [The shares of Common Stock issuable upon conversion of any issue of the Preferred Stock have been duly authorized and reserved for issuance upon such exercise, and when issued upon such exercise, will be duly and validly issued, will be fully paid and nonassessable and not subject to any preemptive or similar rights and will conform in all material respects to the descriptions thereof in the Registration Statement, the Pricing Disclosure Package and the Prospectus.] [The Warrant Securities issuable upon exercise of the Warrants have been duly authorized and reserved for issuance upon such exercise, and when issued upon such exercise pursuant to the provisions of the Warrant Agreement, will be duly and validly issued, will be fully paid and nonassessable and not subject to any preemptive or similar rights and will conform in all material respects to the descriptions thereof in the Registration Statement, the Pricing Disclosure Package and the Prospectus.][Upon execution and delivery thereof pursuant to the terms of the Deposit Agreement, the persons in whose names the Depositary Receipts are registered will be entitled to the rights specified therein and in the Deposit Agreement, except as enforceability may be limited by applicable bankruptcy, insolvency or similar laws affecting creditors’ rights generally or by equitable principles relating to enforceability.]</w:t>
      </w:r>
    </w:p>
    <w:p>
      <w:pPr>
        <w:spacing w:after="0" w:line="66" w:lineRule="exact"/>
        <w:rPr>
          <w:rFonts w:ascii="Arial" w:cs="Arial" w:eastAsia="Arial" w:hAnsi="Arial"/>
          <w:sz w:val="16"/>
          <w:szCs w:val="16"/>
          <w:color w:val="auto"/>
        </w:rPr>
      </w:pPr>
    </w:p>
    <w:p>
      <w:pPr>
        <w:ind w:right="180" w:firstLine="443"/>
        <w:spacing w:after="0" w:line="264" w:lineRule="auto"/>
        <w:tabs>
          <w:tab w:leader="none" w:pos="743"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73" w:lineRule="exact"/>
        <w:rPr>
          <w:rFonts w:ascii="Arial" w:cs="Arial" w:eastAsia="Arial" w:hAnsi="Arial"/>
          <w:sz w:val="18"/>
          <w:szCs w:val="18"/>
          <w:color w:val="auto"/>
        </w:rPr>
      </w:pPr>
    </w:p>
    <w:p>
      <w:pPr>
        <w:ind w:right="60" w:firstLine="443"/>
        <w:spacing w:after="0" w:line="271" w:lineRule="auto"/>
        <w:tabs>
          <w:tab w:leader="none" w:pos="693" w:val="left"/>
        </w:tabs>
        <w:numPr>
          <w:ilvl w:val="0"/>
          <w:numId w:val="254"/>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0" w:lineRule="exact"/>
        <w:rPr>
          <w:rFonts w:ascii="Arial" w:cs="Arial" w:eastAsia="Arial" w:hAnsi="Arial"/>
          <w:sz w:val="17"/>
          <w:szCs w:val="17"/>
          <w:color w:val="auto"/>
        </w:rPr>
      </w:pPr>
    </w:p>
    <w:p>
      <w:pPr>
        <w:ind w:right="60" w:firstLine="443"/>
        <w:spacing w:after="0" w:line="297" w:lineRule="auto"/>
        <w:tabs>
          <w:tab w:leader="none" w:pos="693" w:val="left"/>
        </w:tabs>
        <w:numPr>
          <w:ilvl w:val="0"/>
          <w:numId w:val="254"/>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the issuance and sale of the Securities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the transactions contemplated by this Agreement and the performance by the Company of the Investment Management Agreement and the Administration Agreement [and the Warrant Agreement][and the Deposit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w:t>
      </w:r>
    </w:p>
    <w:p>
      <w:pPr>
        <w:sectPr>
          <w:pgSz w:w="11900" w:h="16838" w:orient="portrait"/>
          <w:cols w:equalWidth="0" w:num="1">
            <w:col w:w="10940"/>
          </w:cols>
          <w:pgMar w:left="700" w:top="274" w:right="259" w:bottom="1440" w:gutter="0" w:footer="0" w:header="0"/>
        </w:sectPr>
      </w:pPr>
    </w:p>
    <w:bookmarkStart w:id="314" w:name="page315"/>
    <w:bookmarkEnd w:id="31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57" w:lineRule="exact"/>
        <w:rPr>
          <w:sz w:val="20"/>
          <w:szCs w:val="20"/>
          <w:color w:val="auto"/>
        </w:rPr>
      </w:pPr>
    </w:p>
    <w:p>
      <w:pPr>
        <w:ind w:firstLine="443"/>
        <w:spacing w:after="0" w:line="289" w:lineRule="auto"/>
        <w:tabs>
          <w:tab w:leader="none" w:pos="693"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 xml:space="preserve">No Consents Required. </w:t>
      </w:r>
      <w:r>
        <w:rPr>
          <w:rFonts w:ascii="Arial" w:cs="Arial" w:eastAsia="Arial" w:hAnsi="Arial"/>
          <w:sz w:val="16"/>
          <w:szCs w:val="16"/>
          <w:color w:val="auto"/>
        </w:rPr>
        <w:t>No consent, approval, authorization, order, license, registration or qualification of or with any court or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authority is required for the execution, delivery and performance by the Company of this Agreement, the issuance and sale of the Securities and the consummation of the transactions contemplated by this Agreement or the performance by the Company of the Investment Management Agreement and the Administration Agreement [and the Warrant Agreement][and the Deposit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[applicable stock exchange]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58" w:lineRule="exact"/>
        <w:rPr>
          <w:rFonts w:ascii="Arial" w:cs="Arial" w:eastAsia="Arial" w:hAnsi="Arial"/>
          <w:sz w:val="16"/>
          <w:szCs w:val="16"/>
          <w:color w:val="auto"/>
        </w:rPr>
      </w:pPr>
    </w:p>
    <w:p>
      <w:pPr>
        <w:ind w:firstLine="443"/>
        <w:spacing w:after="0" w:line="269" w:lineRule="auto"/>
        <w:tabs>
          <w:tab w:leader="none" w:pos="693" w:val="left"/>
        </w:tabs>
        <w:numPr>
          <w:ilvl w:val="0"/>
          <w:numId w:val="255"/>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74" w:lineRule="exact"/>
        <w:rPr>
          <w:rFonts w:ascii="Arial" w:cs="Arial" w:eastAsia="Arial" w:hAnsi="Arial"/>
          <w:sz w:val="17"/>
          <w:szCs w:val="17"/>
          <w:color w:val="auto"/>
        </w:rPr>
      </w:pPr>
    </w:p>
    <w:p>
      <w:pPr>
        <w:ind w:right="80" w:firstLine="443"/>
        <w:spacing w:after="0" w:line="259" w:lineRule="auto"/>
        <w:tabs>
          <w:tab w:leader="none" w:pos="663"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100" w:firstLine="443"/>
        <w:spacing w:after="0" w:line="272" w:lineRule="auto"/>
        <w:tabs>
          <w:tab w:leader="none" w:pos="673" w:val="left"/>
        </w:tabs>
        <w:numPr>
          <w:ilvl w:val="0"/>
          <w:numId w:val="255"/>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Securities, as of the Closing Date and as of any Additional Closing Date,</w:t>
      </w:r>
    </w:p>
    <w:p>
      <w:pPr>
        <w:sectPr>
          <w:pgSz w:w="11900" w:h="16838" w:orient="portrait"/>
          <w:cols w:equalWidth="0" w:num="1">
            <w:col w:w="10940"/>
          </w:cols>
          <w:pgMar w:left="700" w:top="273" w:right="259" w:bottom="1440" w:gutter="0" w:footer="0" w:header="0"/>
        </w:sectPr>
      </w:pPr>
    </w:p>
    <w:bookmarkStart w:id="315" w:name="page316"/>
    <w:bookmarkEnd w:id="315"/>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operations of the Company are in compliance in all material respects with the provisions of the Investment Company Act applicable to business development companies.</w:t>
      </w:r>
    </w:p>
    <w:p>
      <w:pPr>
        <w:spacing w:after="0" w:line="62" w:lineRule="exact"/>
        <w:rPr>
          <w:sz w:val="20"/>
          <w:szCs w:val="20"/>
          <w:color w:val="auto"/>
        </w:rPr>
      </w:pPr>
    </w:p>
    <w:p>
      <w:pPr>
        <w:ind w:right="120" w:firstLine="443"/>
        <w:spacing w:after="0" w:line="286" w:lineRule="auto"/>
        <w:tabs>
          <w:tab w:leader="none" w:pos="653" w:val="left"/>
        </w:tabs>
        <w:numPr>
          <w:ilvl w:val="1"/>
          <w:numId w:val="256"/>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57" w:lineRule="exact"/>
        <w:rPr>
          <w:rFonts w:ascii="Arial" w:cs="Arial" w:eastAsia="Arial" w:hAnsi="Arial"/>
          <w:sz w:val="17"/>
          <w:szCs w:val="17"/>
          <w:color w:val="auto"/>
        </w:rPr>
      </w:pPr>
    </w:p>
    <w:p>
      <w:pPr>
        <w:ind w:right="20" w:firstLine="443"/>
        <w:spacing w:after="0" w:line="293" w:lineRule="auto"/>
        <w:tabs>
          <w:tab w:leader="none" w:pos="693" w:val="left"/>
        </w:tabs>
        <w:numPr>
          <w:ilvl w:val="1"/>
          <w:numId w:val="256"/>
        </w:numPr>
        <w:rPr>
          <w:rFonts w:ascii="Arial" w:cs="Arial" w:eastAsia="Arial" w:hAnsi="Arial"/>
          <w:sz w:val="16"/>
          <w:szCs w:val="16"/>
          <w:color w:val="auto"/>
        </w:rPr>
      </w:pPr>
      <w:r>
        <w:rPr>
          <w:rFonts w:ascii="Arial" w:cs="Arial" w:eastAsia="Arial" w:hAnsi="Arial"/>
          <w:sz w:val="16"/>
          <w:szCs w:val="16"/>
          <w:i w:val="1"/>
          <w:iCs w:val="1"/>
          <w:color w:val="auto"/>
        </w:rPr>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3(v))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56" w:lineRule="exact"/>
        <w:rPr>
          <w:rFonts w:ascii="Arial" w:cs="Arial" w:eastAsia="Arial" w:hAnsi="Arial"/>
          <w:sz w:val="16"/>
          <w:szCs w:val="16"/>
          <w:color w:val="auto"/>
        </w:rPr>
      </w:pPr>
    </w:p>
    <w:p>
      <w:pPr>
        <w:ind w:left="700" w:hanging="257"/>
        <w:spacing w:after="0"/>
        <w:tabs>
          <w:tab w:leader="none" w:pos="700" w:val="left"/>
        </w:tabs>
        <w:numPr>
          <w:ilvl w:val="1"/>
          <w:numId w:val="256"/>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Except as would not reasonably be expected, individually or in the aggregate, to have a Material Adverse Effect,</w:t>
      </w:r>
    </w:p>
    <w:p>
      <w:pPr>
        <w:spacing w:after="0" w:line="46" w:lineRule="exact"/>
        <w:rPr>
          <w:rFonts w:ascii="Arial" w:cs="Arial" w:eastAsia="Arial" w:hAnsi="Arial"/>
          <w:sz w:val="16"/>
          <w:szCs w:val="16"/>
          <w:color w:val="auto"/>
        </w:rPr>
      </w:pPr>
    </w:p>
    <w:p>
      <w:pPr>
        <w:ind w:right="20" w:firstLine="4"/>
        <w:spacing w:after="0" w:line="252" w:lineRule="auto"/>
        <w:tabs>
          <w:tab w:leader="none" w:pos="21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84" w:lineRule="exact"/>
        <w:rPr>
          <w:rFonts w:ascii="Arial" w:cs="Arial" w:eastAsia="Arial" w:hAnsi="Arial"/>
          <w:sz w:val="18"/>
          <w:szCs w:val="18"/>
          <w:color w:val="auto"/>
        </w:rPr>
      </w:pPr>
    </w:p>
    <w:p>
      <w:pPr>
        <w:ind w:right="20" w:firstLine="443"/>
        <w:spacing w:after="0" w:line="259" w:lineRule="auto"/>
        <w:tabs>
          <w:tab w:leader="none" w:pos="733" w:val="left"/>
        </w:tabs>
        <w:numPr>
          <w:ilvl w:val="1"/>
          <w:numId w:val="257"/>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firstLine="443"/>
        <w:spacing w:after="0" w:line="297" w:lineRule="auto"/>
        <w:tabs>
          <w:tab w:leader="none" w:pos="693" w:val="left"/>
        </w:tabs>
        <w:numPr>
          <w:ilvl w:val="1"/>
          <w:numId w:val="257"/>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is not and its subsidiaries are not, and, after giving effect to the offering and sale of the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50" w:lineRule="exact"/>
        <w:rPr>
          <w:rFonts w:ascii="Arial" w:cs="Arial" w:eastAsia="Arial" w:hAnsi="Arial"/>
          <w:sz w:val="16"/>
          <w:szCs w:val="16"/>
          <w:color w:val="auto"/>
        </w:rPr>
      </w:pPr>
    </w:p>
    <w:p>
      <w:pPr>
        <w:ind w:right="60" w:firstLine="443"/>
        <w:spacing w:after="0" w:line="293" w:lineRule="auto"/>
        <w:tabs>
          <w:tab w:leader="none" w:pos="693" w:val="left"/>
        </w:tabs>
        <w:numPr>
          <w:ilvl w:val="1"/>
          <w:numId w:val="257"/>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56" w:lineRule="exact"/>
        <w:rPr>
          <w:rFonts w:ascii="Arial" w:cs="Arial" w:eastAsia="Arial" w:hAnsi="Arial"/>
          <w:sz w:val="16"/>
          <w:szCs w:val="16"/>
          <w:color w:val="auto"/>
        </w:rPr>
      </w:pPr>
    </w:p>
    <w:p>
      <w:pPr>
        <w:jc w:val="both"/>
        <w:ind w:right="40" w:firstLine="443"/>
        <w:spacing w:after="0" w:line="286" w:lineRule="auto"/>
        <w:tabs>
          <w:tab w:leader="none" w:pos="683" w:val="left"/>
        </w:tabs>
        <w:numPr>
          <w:ilvl w:val="1"/>
          <w:numId w:val="257"/>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w:t>
      </w:r>
    </w:p>
    <w:p>
      <w:pPr>
        <w:sectPr>
          <w:pgSz w:w="11900" w:h="16838" w:orient="portrait"/>
          <w:cols w:equalWidth="0" w:num="1">
            <w:col w:w="10960"/>
          </w:cols>
          <w:pgMar w:left="700" w:top="273" w:right="239" w:bottom="1440" w:gutter="0" w:footer="0" w:header="0"/>
        </w:sectPr>
      </w:pPr>
    </w:p>
    <w:bookmarkStart w:id="316" w:name="page317"/>
    <w:bookmarkEnd w:id="316"/>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70" w:lineRule="exact"/>
        <w:rPr>
          <w:sz w:val="20"/>
          <w:szCs w:val="20"/>
          <w:color w:val="auto"/>
        </w:rPr>
      </w:pPr>
    </w:p>
    <w:p>
      <w:pPr>
        <w:ind w:right="80" w:firstLine="443"/>
        <w:spacing w:after="0" w:line="293" w:lineRule="auto"/>
        <w:tabs>
          <w:tab w:leader="none" w:pos="763" w:val="left"/>
        </w:tabs>
        <w:numPr>
          <w:ilvl w:val="1"/>
          <w:numId w:val="258"/>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maintains an effective system of “disclosure controls and procedures” (as defined in Rule 13a-15(e)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56" w:lineRule="exact"/>
        <w:rPr>
          <w:rFonts w:ascii="Arial" w:cs="Arial" w:eastAsia="Arial" w:hAnsi="Arial"/>
          <w:sz w:val="16"/>
          <w:szCs w:val="16"/>
          <w:color w:val="auto"/>
        </w:rPr>
      </w:pPr>
    </w:p>
    <w:p>
      <w:pPr>
        <w:ind w:firstLine="443"/>
        <w:spacing w:after="0" w:line="284" w:lineRule="auto"/>
        <w:tabs>
          <w:tab w:leader="none" w:pos="783" w:val="left"/>
        </w:tabs>
        <w:numPr>
          <w:ilvl w:val="1"/>
          <w:numId w:val="258"/>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w:t>
      </w:r>
    </w:p>
    <w:p>
      <w:pPr>
        <w:spacing w:after="0" w:line="2" w:lineRule="exact"/>
        <w:rPr>
          <w:rFonts w:ascii="Arial" w:cs="Arial" w:eastAsia="Arial" w:hAnsi="Arial"/>
          <w:sz w:val="16"/>
          <w:szCs w:val="16"/>
          <w:color w:val="auto"/>
        </w:rPr>
      </w:pPr>
    </w:p>
    <w:p>
      <w:pPr>
        <w:ind w:firstLine="4"/>
        <w:spacing w:after="0" w:line="267" w:lineRule="auto"/>
        <w:tabs>
          <w:tab w:leader="none" w:pos="31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8" w:lineRule="exact"/>
        <w:rPr>
          <w:rFonts w:ascii="Arial" w:cs="Arial" w:eastAsia="Arial" w:hAnsi="Arial"/>
          <w:sz w:val="17"/>
          <w:szCs w:val="17"/>
          <w:color w:val="auto"/>
        </w:rPr>
      </w:pPr>
    </w:p>
    <w:p>
      <w:pPr>
        <w:ind w:right="60" w:firstLine="443"/>
        <w:spacing w:after="0" w:line="288" w:lineRule="auto"/>
        <w:tabs>
          <w:tab w:leader="none" w:pos="763" w:val="left"/>
        </w:tabs>
        <w:numPr>
          <w:ilvl w:val="1"/>
          <w:numId w:val="259"/>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ind w:firstLine="4"/>
        <w:spacing w:after="0" w:line="254" w:lineRule="auto"/>
        <w:tabs>
          <w:tab w:leader="none" w:pos="21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ectPr>
          <w:pgSz w:w="11900" w:h="16838" w:orient="portrait"/>
          <w:cols w:equalWidth="0" w:num="1">
            <w:col w:w="10920"/>
          </w:cols>
          <w:pgMar w:left="700" w:top="274" w:right="279" w:bottom="1440" w:gutter="0" w:footer="0" w:header="0"/>
        </w:sectPr>
      </w:pPr>
    </w:p>
    <w:bookmarkStart w:id="317" w:name="page318"/>
    <w:bookmarkEnd w:id="317"/>
    <w:p>
      <w:pPr>
        <w:ind w:left="-4" w:firstLine="443"/>
        <w:spacing w:after="0" w:line="284" w:lineRule="auto"/>
        <w:tabs>
          <w:tab w:leader="none" w:pos="779" w:val="left"/>
        </w:tabs>
        <w:numPr>
          <w:ilvl w:val="1"/>
          <w:numId w:val="26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Unlawful Payments. </w:t>
      </w:r>
      <w:r>
        <w:rPr>
          <w:rFonts w:ascii="Arial" w:cs="Arial" w:eastAsia="Arial" w:hAnsi="Arial"/>
          <w:sz w:val="16"/>
          <w:szCs w:val="16"/>
          <w:color w:val="auto"/>
        </w:rPr>
        <w:t>Neither the Company nor any of its subsidiaries nor any director, officer, or employee of the Company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left="-4" w:right="200" w:firstLine="4"/>
        <w:spacing w:after="0" w:line="252" w:lineRule="auto"/>
        <w:tabs>
          <w:tab w:leader="none" w:pos="3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84" w:lineRule="exact"/>
        <w:rPr>
          <w:rFonts w:ascii="Arial" w:cs="Arial" w:eastAsia="Arial" w:hAnsi="Arial"/>
          <w:sz w:val="18"/>
          <w:szCs w:val="18"/>
          <w:color w:val="auto"/>
        </w:rPr>
      </w:pPr>
    </w:p>
    <w:p>
      <w:pPr>
        <w:ind w:left="-4" w:right="80" w:firstLine="443"/>
        <w:spacing w:after="0" w:line="291" w:lineRule="auto"/>
        <w:tabs>
          <w:tab w:leader="none" w:pos="758" w:val="left"/>
        </w:tabs>
        <w:numPr>
          <w:ilvl w:val="1"/>
          <w:numId w:val="262"/>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Company and its subsidiaries are and have been conducted at all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59" w:lineRule="exact"/>
        <w:rPr>
          <w:rFonts w:ascii="Arial" w:cs="Arial" w:eastAsia="Arial" w:hAnsi="Arial"/>
          <w:sz w:val="16"/>
          <w:szCs w:val="16"/>
          <w:color w:val="auto"/>
        </w:rPr>
      </w:pPr>
    </w:p>
    <w:p>
      <w:pPr>
        <w:ind w:left="-4" w:firstLine="443"/>
        <w:spacing w:after="0" w:line="286" w:lineRule="auto"/>
        <w:tabs>
          <w:tab w:leader="none" w:pos="715" w:val="left"/>
        </w:tabs>
        <w:numPr>
          <w:ilvl w:val="1"/>
          <w:numId w:val="262"/>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Company nor any of its subsidiaries, directors, officers or employees, nor,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any of its subsidiaries located, organized or resident in a country or territory that is the subject or the target of Sanctions, including, without limitation, Cuba, Iran, North Korea, Sudan and Syria,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63" w:lineRule="exact"/>
        <w:rPr>
          <w:rFonts w:ascii="Arial" w:cs="Arial" w:eastAsia="Arial" w:hAnsi="Arial"/>
          <w:sz w:val="16"/>
          <w:szCs w:val="16"/>
          <w:color w:val="auto"/>
        </w:rPr>
      </w:pPr>
    </w:p>
    <w:p>
      <w:pPr>
        <w:ind w:left="-4" w:right="160" w:firstLine="443"/>
        <w:spacing w:after="0" w:line="286" w:lineRule="auto"/>
        <w:tabs>
          <w:tab w:leader="none" w:pos="779" w:val="left"/>
        </w:tabs>
        <w:numPr>
          <w:ilvl w:val="1"/>
          <w:numId w:val="262"/>
        </w:numPr>
        <w:rPr>
          <w:rFonts w:ascii="Arial" w:cs="Arial" w:eastAsia="Arial" w:hAnsi="Arial"/>
          <w:sz w:val="17"/>
          <w:szCs w:val="17"/>
          <w:color w:val="auto"/>
        </w:rPr>
      </w:pPr>
      <w:r>
        <w:rPr>
          <w:rFonts w:ascii="Arial" w:cs="Arial" w:eastAsia="Arial" w:hAnsi="Arial"/>
          <w:sz w:val="17"/>
          <w:szCs w:val="17"/>
          <w:i w:val="1"/>
          <w:iCs w:val="1"/>
          <w:color w:val="auto"/>
        </w:rPr>
        <w:t>No Restrictions on Subsidiaries</w:t>
      </w:r>
      <w:r>
        <w:rPr>
          <w:rFonts w:ascii="Arial" w:cs="Arial" w:eastAsia="Arial" w:hAnsi="Arial"/>
          <w:sz w:val="17"/>
          <w:szCs w:val="17"/>
          <w:color w:val="auto"/>
        </w:rPr>
        <w:t>. No subsidiary of the Company is currently prohibited, directly or indirectly, under any agreement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w:t>
      </w:r>
    </w:p>
    <w:p>
      <w:pPr>
        <w:sectPr>
          <w:pgSz w:w="11900" w:h="16838" w:orient="portrait"/>
          <w:cols w:equalWidth="0" w:num="1">
            <w:col w:w="10936"/>
          </w:cols>
          <w:pgMar w:left="704" w:top="273" w:right="259" w:bottom="1440" w:gutter="0" w:footer="0" w:header="0"/>
        </w:sectPr>
      </w:pPr>
    </w:p>
    <w:bookmarkStart w:id="318" w:name="page319"/>
    <w:bookmarkEnd w:id="318"/>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such subsidiary’s properties or assets to the Company or any other subsidiary of the Company, except as disclosed in the Registration Statement, the Pricing Disclosure Package and the Prospectus.</w:t>
      </w:r>
    </w:p>
    <w:p>
      <w:pPr>
        <w:spacing w:after="0" w:line="62" w:lineRule="exact"/>
        <w:rPr>
          <w:sz w:val="20"/>
          <w:szCs w:val="20"/>
          <w:color w:val="auto"/>
        </w:rPr>
      </w:pPr>
    </w:p>
    <w:p>
      <w:pPr>
        <w:ind w:right="280" w:firstLine="443"/>
        <w:spacing w:after="0" w:line="264" w:lineRule="auto"/>
        <w:tabs>
          <w:tab w:leader="none" w:pos="783"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73" w:lineRule="exact"/>
        <w:rPr>
          <w:rFonts w:ascii="Arial" w:cs="Arial" w:eastAsia="Arial" w:hAnsi="Arial"/>
          <w:sz w:val="18"/>
          <w:szCs w:val="18"/>
          <w:color w:val="auto"/>
        </w:rPr>
      </w:pPr>
    </w:p>
    <w:p>
      <w:pPr>
        <w:ind w:right="180" w:firstLine="443"/>
        <w:spacing w:after="0" w:line="308" w:lineRule="auto"/>
        <w:tabs>
          <w:tab w:leader="none" w:pos="703" w:val="left"/>
        </w:tabs>
        <w:numPr>
          <w:ilvl w:val="1"/>
          <w:numId w:val="263"/>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Securities.</w:t>
      </w:r>
    </w:p>
    <w:p>
      <w:pPr>
        <w:spacing w:after="0" w:line="38" w:lineRule="exact"/>
        <w:rPr>
          <w:rFonts w:ascii="Arial" w:cs="Arial" w:eastAsia="Arial" w:hAnsi="Arial"/>
          <w:sz w:val="17"/>
          <w:szCs w:val="17"/>
          <w:color w:val="auto"/>
        </w:rPr>
      </w:pPr>
    </w:p>
    <w:p>
      <w:pPr>
        <w:ind w:right="320" w:firstLine="443"/>
        <w:spacing w:after="0" w:line="264" w:lineRule="auto"/>
        <w:tabs>
          <w:tab w:leader="none" w:pos="703"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has not taken, directly or indirectly, without giving effect to any activities by the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Securities, other than permitted activity pursuant to Regulation M and Rule 10b-18 under the Exchange Act.</w:t>
      </w:r>
    </w:p>
    <w:p>
      <w:pPr>
        <w:spacing w:after="0" w:line="73" w:lineRule="exact"/>
        <w:rPr>
          <w:rFonts w:ascii="Arial" w:cs="Arial" w:eastAsia="Arial" w:hAnsi="Arial"/>
          <w:sz w:val="18"/>
          <w:szCs w:val="18"/>
          <w:color w:val="auto"/>
        </w:rPr>
      </w:pPr>
    </w:p>
    <w:p>
      <w:pPr>
        <w:jc w:val="both"/>
        <w:ind w:right="240" w:firstLine="443"/>
        <w:spacing w:after="0" w:line="264" w:lineRule="auto"/>
        <w:tabs>
          <w:tab w:leader="none" w:pos="783"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contained in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20" w:firstLine="443"/>
        <w:spacing w:after="0" w:line="264" w:lineRule="auto"/>
        <w:tabs>
          <w:tab w:leader="none" w:pos="703"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in the Registration Statement, the Pricing Disclosure Package and the Prospectus is not based on or derived from sources that are reasonably reliable and accurate in all material respects.</w:t>
      </w:r>
    </w:p>
    <w:p>
      <w:pPr>
        <w:spacing w:after="0" w:line="73" w:lineRule="exact"/>
        <w:rPr>
          <w:rFonts w:ascii="Arial" w:cs="Arial" w:eastAsia="Arial" w:hAnsi="Arial"/>
          <w:sz w:val="18"/>
          <w:szCs w:val="18"/>
          <w:color w:val="auto"/>
        </w:rPr>
      </w:pPr>
    </w:p>
    <w:p>
      <w:pPr>
        <w:ind w:firstLine="443"/>
        <w:spacing w:after="0" w:line="259" w:lineRule="auto"/>
        <w:tabs>
          <w:tab w:leader="none" w:pos="883"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right="80" w:firstLine="443"/>
        <w:spacing w:after="0" w:line="286" w:lineRule="auto"/>
        <w:tabs>
          <w:tab w:leader="none" w:pos="783" w:val="left"/>
        </w:tabs>
        <w:numPr>
          <w:ilvl w:val="1"/>
          <w:numId w:val="263"/>
        </w:numPr>
        <w:rPr>
          <w:rFonts w:ascii="Arial" w:cs="Arial" w:eastAsia="Arial" w:hAnsi="Arial"/>
          <w:sz w:val="17"/>
          <w:szCs w:val="17"/>
          <w:color w:val="auto"/>
        </w:rPr>
      </w:pPr>
      <w:r>
        <w:rPr>
          <w:rFonts w:ascii="Arial" w:cs="Arial" w:eastAsia="Arial" w:hAnsi="Arial"/>
          <w:sz w:val="17"/>
          <w:szCs w:val="17"/>
          <w:i w:val="1"/>
          <w:iCs w:val="1"/>
          <w:color w:val="auto"/>
        </w:rPr>
        <w:t>Rule 38a-1 Compliance</w:t>
      </w:r>
      <w:r>
        <w:rPr>
          <w:rFonts w:ascii="Arial" w:cs="Arial" w:eastAsia="Arial" w:hAnsi="Arial"/>
          <w:sz w:val="17"/>
          <w:szCs w:val="17"/>
          <w:color w:val="auto"/>
        </w:rPr>
        <w:t>. The Company has adopted and implemented written policies and procedures reasonably designed to prevent</w:t>
      </w:r>
      <w:r>
        <w:rPr>
          <w:rFonts w:ascii="Arial" w:cs="Arial" w:eastAsia="Arial" w:hAnsi="Arial"/>
          <w:sz w:val="17"/>
          <w:szCs w:val="17"/>
          <w:i w:val="1"/>
          <w:iCs w:val="1"/>
          <w:color w:val="auto"/>
        </w:rPr>
        <w:t xml:space="preserve"> </w:t>
      </w:r>
      <w:r>
        <w:rPr>
          <w:rFonts w:ascii="Arial" w:cs="Arial" w:eastAsia="Arial" w:hAnsi="Arial"/>
          <w:sz w:val="17"/>
          <w:szCs w:val="17"/>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57" w:lineRule="exact"/>
        <w:rPr>
          <w:rFonts w:ascii="Arial" w:cs="Arial" w:eastAsia="Arial" w:hAnsi="Arial"/>
          <w:sz w:val="17"/>
          <w:szCs w:val="17"/>
          <w:color w:val="auto"/>
        </w:rPr>
      </w:pPr>
    </w:p>
    <w:p>
      <w:pPr>
        <w:jc w:val="both"/>
        <w:ind w:right="80" w:firstLine="443"/>
        <w:spacing w:after="0" w:line="259" w:lineRule="auto"/>
        <w:tabs>
          <w:tab w:leader="none" w:pos="783" w:val="left"/>
        </w:tabs>
        <w:numPr>
          <w:ilvl w:val="1"/>
          <w:numId w:val="263"/>
        </w:numPr>
        <w:rPr>
          <w:rFonts w:ascii="Arial" w:cs="Arial" w:eastAsia="Arial" w:hAnsi="Arial"/>
          <w:sz w:val="18"/>
          <w:szCs w:val="18"/>
          <w:color w:val="auto"/>
        </w:rPr>
      </w:pPr>
      <w:r>
        <w:rPr>
          <w:rFonts w:ascii="Arial" w:cs="Arial" w:eastAsia="Arial" w:hAnsi="Arial"/>
          <w:sz w:val="18"/>
          <w:szCs w:val="18"/>
          <w:i w:val="1"/>
          <w:iCs w:val="1"/>
          <w:color w:val="auto"/>
        </w:rPr>
        <w:t>Regulated Investment Company</w:t>
      </w:r>
      <w:r>
        <w:rPr>
          <w:rFonts w:ascii="Arial" w:cs="Arial" w:eastAsia="Arial" w:hAnsi="Arial"/>
          <w:sz w:val="18"/>
          <w:szCs w:val="18"/>
          <w:color w:val="auto"/>
        </w:rPr>
        <w:t>. The Company has elected to be treated, and has operated, and intends to continue to operate, its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jc w:val="both"/>
        <w:ind w:right="60" w:firstLine="443"/>
        <w:spacing w:after="0" w:line="291" w:lineRule="auto"/>
        <w:tabs>
          <w:tab w:leader="none" w:pos="683" w:val="left"/>
        </w:tabs>
        <w:numPr>
          <w:ilvl w:val="1"/>
          <w:numId w:val="264"/>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140"/>
        <w:spacing w:after="0" w:line="292" w:lineRule="auto"/>
        <w:rPr>
          <w:rFonts w:ascii="Arial" w:cs="Arial" w:eastAsia="Arial" w:hAnsi="Arial"/>
          <w:sz w:val="16"/>
          <w:szCs w:val="16"/>
          <w:color w:val="auto"/>
        </w:rPr>
      </w:pPr>
      <w:r>
        <w:rPr>
          <w:rFonts w:ascii="Arial" w:cs="Arial" w:eastAsia="Arial" w:hAnsi="Arial"/>
          <w:sz w:val="16"/>
          <w:szCs w:val="16"/>
          <w:color w:val="auto"/>
        </w:rPr>
        <w:t>(i)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ectPr>
          <w:pgSz w:w="11900" w:h="16838" w:orient="portrait"/>
          <w:cols w:equalWidth="0" w:num="1">
            <w:col w:w="10960"/>
          </w:cols>
          <w:pgMar w:left="700" w:top="274" w:right="239" w:bottom="1440" w:gutter="0" w:footer="0" w:header="0"/>
        </w:sectPr>
      </w:pPr>
    </w:p>
    <w:bookmarkStart w:id="319" w:name="page320"/>
    <w:bookmarkEnd w:id="319"/>
    <w:p>
      <w:pPr>
        <w:ind w:right="80" w:firstLine="443"/>
        <w:spacing w:after="0" w:line="271" w:lineRule="auto"/>
        <w:tabs>
          <w:tab w:leader="none" w:pos="693" w:val="left"/>
        </w:tabs>
        <w:numPr>
          <w:ilvl w:val="0"/>
          <w:numId w:val="26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Organization and Good Standing. </w:t>
      </w:r>
      <w:r>
        <w:rPr>
          <w:rFonts w:ascii="Arial" w:cs="Arial" w:eastAsia="Arial" w:hAnsi="Arial"/>
          <w:sz w:val="17"/>
          <w:szCs w:val="17"/>
          <w:color w:val="auto"/>
        </w:rPr>
        <w:t>The Adviser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70" w:lineRule="exact"/>
        <w:rPr>
          <w:rFonts w:ascii="Arial" w:cs="Arial" w:eastAsia="Arial" w:hAnsi="Arial"/>
          <w:sz w:val="17"/>
          <w:szCs w:val="17"/>
          <w:color w:val="auto"/>
        </w:rPr>
      </w:pPr>
    </w:p>
    <w:p>
      <w:pPr>
        <w:ind w:right="40" w:firstLine="443"/>
        <w:spacing w:after="0" w:line="276" w:lineRule="auto"/>
        <w:tabs>
          <w:tab w:leader="none" w:pos="683" w:val="left"/>
        </w:tabs>
        <w:numPr>
          <w:ilvl w:val="0"/>
          <w:numId w:val="265"/>
        </w:numPr>
        <w:rPr>
          <w:rFonts w:ascii="Arial" w:cs="Arial" w:eastAsia="Arial" w:hAnsi="Arial"/>
          <w:sz w:val="17"/>
          <w:szCs w:val="17"/>
          <w:color w:val="auto"/>
        </w:rPr>
      </w:pPr>
      <w:r>
        <w:rPr>
          <w:rFonts w:ascii="Arial" w:cs="Arial" w:eastAsia="Arial" w:hAnsi="Arial"/>
          <w:sz w:val="17"/>
          <w:szCs w:val="17"/>
          <w:i w:val="1"/>
          <w:iCs w:val="1"/>
          <w:color w:val="auto"/>
        </w:rPr>
        <w:t>Registration as an Investment Adviser</w:t>
      </w:r>
      <w:r>
        <w:rPr>
          <w:rFonts w:ascii="Arial" w:cs="Arial" w:eastAsia="Arial" w:hAnsi="Arial"/>
          <w:sz w:val="17"/>
          <w:szCs w:val="17"/>
          <w:color w:val="auto"/>
        </w:rPr>
        <w:t>. The Adviser is duly registered with the Commission as an investment adviser under the Advisers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right="240" w:firstLine="443"/>
        <w:spacing w:after="0" w:line="279" w:lineRule="auto"/>
        <w:tabs>
          <w:tab w:leader="none" w:pos="683" w:val="left"/>
        </w:tabs>
        <w:numPr>
          <w:ilvl w:val="0"/>
          <w:numId w:val="265"/>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the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63" w:lineRule="exact"/>
        <w:rPr>
          <w:rFonts w:ascii="Arial" w:cs="Arial" w:eastAsia="Arial" w:hAnsi="Arial"/>
          <w:sz w:val="17"/>
          <w:szCs w:val="17"/>
          <w:color w:val="auto"/>
        </w:rPr>
      </w:pPr>
    </w:p>
    <w:p>
      <w:pPr>
        <w:ind w:right="40" w:firstLine="443"/>
        <w:spacing w:after="0" w:line="271" w:lineRule="auto"/>
        <w:tabs>
          <w:tab w:leader="none" w:pos="663" w:val="left"/>
        </w:tabs>
        <w:numPr>
          <w:ilvl w:val="0"/>
          <w:numId w:val="265"/>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Adviser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70" w:lineRule="exact"/>
        <w:rPr>
          <w:rFonts w:ascii="Arial" w:cs="Arial" w:eastAsia="Arial" w:hAnsi="Arial"/>
          <w:sz w:val="17"/>
          <w:szCs w:val="17"/>
          <w:color w:val="auto"/>
        </w:rPr>
      </w:pPr>
    </w:p>
    <w:p>
      <w:pPr>
        <w:ind w:left="700" w:hanging="257"/>
        <w:spacing w:after="0"/>
        <w:tabs>
          <w:tab w:leader="none" w:pos="700" w:val="left"/>
        </w:tabs>
        <w:numPr>
          <w:ilvl w:val="0"/>
          <w:numId w:val="265"/>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w:t>
      </w:r>
    </w:p>
    <w:p>
      <w:pPr>
        <w:spacing w:after="0" w:line="34"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ectPr>
          <w:pgSz w:w="11900" w:h="16838" w:orient="portrait"/>
          <w:cols w:equalWidth="0" w:num="1">
            <w:col w:w="10920"/>
          </w:cols>
          <w:pgMar w:left="700" w:top="274" w:right="279" w:bottom="1440" w:gutter="0" w:footer="0" w:header="0"/>
        </w:sectPr>
      </w:pPr>
    </w:p>
    <w:bookmarkStart w:id="320" w:name="page321"/>
    <w:bookmarkEnd w:id="320"/>
    <w:p>
      <w:pPr>
        <w:ind w:left="-4" w:right="160" w:firstLine="443"/>
        <w:spacing w:after="0" w:line="255" w:lineRule="auto"/>
        <w:tabs>
          <w:tab w:leader="none" w:pos="688" w:val="left"/>
        </w:tabs>
        <w:numPr>
          <w:ilvl w:val="1"/>
          <w:numId w:val="2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left="-4" w:right="80" w:firstLine="443"/>
        <w:spacing w:after="0" w:line="270" w:lineRule="auto"/>
        <w:tabs>
          <w:tab w:leader="none" w:pos="649" w:val="left"/>
        </w:tabs>
        <w:numPr>
          <w:ilvl w:val="1"/>
          <w:numId w:val="266"/>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69" w:lineRule="exact"/>
        <w:rPr>
          <w:rFonts w:ascii="Arial" w:cs="Arial" w:eastAsia="Arial" w:hAnsi="Arial"/>
          <w:sz w:val="17"/>
          <w:szCs w:val="17"/>
          <w:color w:val="auto"/>
        </w:rPr>
      </w:pPr>
    </w:p>
    <w:p>
      <w:pPr>
        <w:ind w:left="-4" w:firstLine="443"/>
        <w:spacing w:after="0" w:line="289" w:lineRule="auto"/>
        <w:tabs>
          <w:tab w:leader="none" w:pos="649" w:val="left"/>
        </w:tabs>
        <w:numPr>
          <w:ilvl w:val="1"/>
          <w:numId w:val="266"/>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The Adviser and its subsidiaries possess all licenses, certificates, permits and other authorizations issued by,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58" w:lineRule="exact"/>
        <w:rPr>
          <w:rFonts w:ascii="Arial" w:cs="Arial" w:eastAsia="Arial" w:hAnsi="Arial"/>
          <w:sz w:val="16"/>
          <w:szCs w:val="16"/>
          <w:color w:val="auto"/>
        </w:rPr>
      </w:pPr>
    </w:p>
    <w:p>
      <w:pPr>
        <w:ind w:left="-4" w:right="180" w:firstLine="443"/>
        <w:spacing w:after="0" w:line="312" w:lineRule="auto"/>
        <w:tabs>
          <w:tab w:leader="none" w:pos="688" w:val="left"/>
        </w:tabs>
        <w:numPr>
          <w:ilvl w:val="1"/>
          <w:numId w:val="266"/>
        </w:numPr>
        <w:rPr>
          <w:rFonts w:ascii="Arial" w:cs="Arial" w:eastAsia="Arial" w:hAnsi="Arial"/>
          <w:sz w:val="16"/>
          <w:szCs w:val="16"/>
          <w:color w:val="auto"/>
        </w:rPr>
      </w:pPr>
      <w:r>
        <w:rPr>
          <w:rFonts w:ascii="Arial" w:cs="Arial" w:eastAsia="Arial" w:hAnsi="Arial"/>
          <w:sz w:val="16"/>
          <w:szCs w:val="16"/>
          <w:i w:val="1"/>
          <w:iCs w:val="1"/>
          <w:color w:val="auto"/>
        </w:rPr>
        <w:t>Description of the Adviser</w:t>
      </w:r>
      <w:r>
        <w:rPr>
          <w:rFonts w:ascii="Arial" w:cs="Arial" w:eastAsia="Arial" w:hAnsi="Arial"/>
          <w:sz w:val="16"/>
          <w:szCs w:val="16"/>
          <w:color w:val="auto"/>
        </w:rPr>
        <w:t>. The description of the Adviser and its respective principals and business in the Registration Statement,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38" w:lineRule="exact"/>
        <w:rPr>
          <w:rFonts w:ascii="Arial" w:cs="Arial" w:eastAsia="Arial" w:hAnsi="Arial"/>
          <w:sz w:val="16"/>
          <w:szCs w:val="16"/>
          <w:color w:val="auto"/>
        </w:rPr>
      </w:pPr>
    </w:p>
    <w:p>
      <w:pPr>
        <w:ind w:left="-4" w:right="440" w:firstLine="443"/>
        <w:spacing w:after="0" w:line="264" w:lineRule="auto"/>
        <w:tabs>
          <w:tab w:leader="none" w:pos="649" w:val="left"/>
        </w:tabs>
        <w:numPr>
          <w:ilvl w:val="1"/>
          <w:numId w:val="266"/>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73" w:lineRule="exact"/>
        <w:rPr>
          <w:rFonts w:ascii="Arial" w:cs="Arial" w:eastAsia="Arial" w:hAnsi="Arial"/>
          <w:sz w:val="18"/>
          <w:szCs w:val="18"/>
          <w:color w:val="auto"/>
        </w:rPr>
      </w:pPr>
    </w:p>
    <w:p>
      <w:pPr>
        <w:ind w:left="736" w:hanging="297"/>
        <w:spacing w:after="0"/>
        <w:tabs>
          <w:tab w:leader="none" w:pos="736" w:val="left"/>
        </w:tabs>
        <w:numPr>
          <w:ilvl w:val="1"/>
          <w:numId w:val="266"/>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 The Adviser maintains a system of internal accounting controls sufficient to provide reasonable assurance that</w:t>
      </w:r>
    </w:p>
    <w:p>
      <w:pPr>
        <w:spacing w:after="0" w:line="23" w:lineRule="exact"/>
        <w:rPr>
          <w:rFonts w:ascii="Arial" w:cs="Arial" w:eastAsia="Arial" w:hAnsi="Arial"/>
          <w:sz w:val="18"/>
          <w:szCs w:val="18"/>
          <w:color w:val="auto"/>
        </w:rPr>
      </w:pPr>
    </w:p>
    <w:p>
      <w:pPr>
        <w:ind w:left="-4" w:right="20" w:firstLine="4"/>
        <w:spacing w:after="0" w:line="281" w:lineRule="auto"/>
        <w:tabs>
          <w:tab w:leader="none" w:pos="21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w:t>
      </w:r>
    </w:p>
    <w:p>
      <w:pPr>
        <w:spacing w:after="0" w:line="2" w:lineRule="exact"/>
        <w:rPr>
          <w:rFonts w:ascii="Arial" w:cs="Arial" w:eastAsia="Arial" w:hAnsi="Arial"/>
          <w:sz w:val="16"/>
          <w:szCs w:val="16"/>
          <w:color w:val="auto"/>
        </w:rPr>
      </w:pPr>
    </w:p>
    <w:p>
      <w:pPr>
        <w:ind w:left="316" w:hanging="316"/>
        <w:spacing w:after="0"/>
        <w:tabs>
          <w:tab w:leader="none" w:pos="316"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access to assets of the Company and its subsidiaries is permitted only in accordance with its management’s general or specific authorization; and</w:t>
      </w:r>
    </w:p>
    <w:p>
      <w:pPr>
        <w:spacing w:after="0" w:line="32" w:lineRule="exact"/>
        <w:rPr>
          <w:rFonts w:ascii="Arial" w:cs="Arial" w:eastAsia="Arial" w:hAnsi="Arial"/>
          <w:sz w:val="16"/>
          <w:szCs w:val="16"/>
          <w:color w:val="auto"/>
        </w:rPr>
      </w:pPr>
    </w:p>
    <w:p>
      <w:pPr>
        <w:ind w:left="-4" w:right="260" w:firstLine="4"/>
        <w:spacing w:after="0" w:line="261" w:lineRule="auto"/>
        <w:tabs>
          <w:tab w:leader="none" w:pos="30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existing assets at reasonable intervals and appropriate action is taken with respect to any differences.</w:t>
      </w:r>
    </w:p>
    <w:p>
      <w:pPr>
        <w:sectPr>
          <w:pgSz w:w="11900" w:h="16838" w:orient="portrait"/>
          <w:cols w:equalWidth="0" w:num="1">
            <w:col w:w="10936"/>
          </w:cols>
          <w:pgMar w:left="704" w:top="274" w:right="259" w:bottom="1440" w:gutter="0" w:footer="0" w:header="0"/>
        </w:sectPr>
      </w:pPr>
    </w:p>
    <w:bookmarkStart w:id="321" w:name="page322"/>
    <w:bookmarkEnd w:id="321"/>
    <w:p>
      <w:pPr>
        <w:ind w:left="-4" w:right="20" w:firstLine="443"/>
        <w:spacing w:after="0" w:line="284" w:lineRule="auto"/>
        <w:tabs>
          <w:tab w:leader="none" w:pos="688" w:val="left"/>
        </w:tabs>
        <w:numPr>
          <w:ilvl w:val="1"/>
          <w:numId w:val="26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Unlawful Payments. </w:t>
      </w:r>
      <w:r>
        <w:rPr>
          <w:rFonts w:ascii="Arial" w:cs="Arial" w:eastAsia="Arial" w:hAnsi="Arial"/>
          <w:sz w:val="16"/>
          <w:szCs w:val="16"/>
          <w:color w:val="auto"/>
        </w:rPr>
        <w:t>Neither the Adviser nor any of its subsidiaries nor any director, officer, or employee of the Adviser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left="-4" w:right="80" w:firstLine="4"/>
        <w:spacing w:after="0" w:line="254" w:lineRule="auto"/>
        <w:tabs>
          <w:tab w:leader="none" w:pos="3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81" w:lineRule="exact"/>
        <w:rPr>
          <w:rFonts w:ascii="Arial" w:cs="Arial" w:eastAsia="Arial" w:hAnsi="Arial"/>
          <w:sz w:val="18"/>
          <w:szCs w:val="18"/>
          <w:color w:val="auto"/>
        </w:rPr>
      </w:pPr>
    </w:p>
    <w:p>
      <w:pPr>
        <w:ind w:left="-4" w:right="80" w:firstLine="443"/>
        <w:spacing w:after="0" w:line="276" w:lineRule="auto"/>
        <w:tabs>
          <w:tab w:leader="none" w:pos="688" w:val="left"/>
        </w:tabs>
        <w:numPr>
          <w:ilvl w:val="1"/>
          <w:numId w:val="270"/>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64" w:lineRule="exact"/>
        <w:rPr>
          <w:rFonts w:ascii="Arial" w:cs="Arial" w:eastAsia="Arial" w:hAnsi="Arial"/>
          <w:sz w:val="17"/>
          <w:szCs w:val="17"/>
          <w:color w:val="auto"/>
        </w:rPr>
      </w:pPr>
    </w:p>
    <w:p>
      <w:pPr>
        <w:ind w:left="-4" w:right="60" w:firstLine="443"/>
        <w:spacing w:after="0" w:line="276" w:lineRule="auto"/>
        <w:tabs>
          <w:tab w:leader="none" w:pos="688" w:val="left"/>
        </w:tabs>
        <w:numPr>
          <w:ilvl w:val="1"/>
          <w:numId w:val="270"/>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64" w:lineRule="exact"/>
        <w:rPr>
          <w:rFonts w:ascii="Arial" w:cs="Arial" w:eastAsia="Arial" w:hAnsi="Arial"/>
          <w:sz w:val="17"/>
          <w:szCs w:val="17"/>
          <w:color w:val="auto"/>
        </w:rPr>
      </w:pPr>
    </w:p>
    <w:p>
      <w:pPr>
        <w:ind w:left="-4" w:right="460" w:firstLine="443"/>
        <w:spacing w:after="0" w:line="308" w:lineRule="auto"/>
        <w:tabs>
          <w:tab w:leader="none" w:pos="688" w:val="left"/>
        </w:tabs>
        <w:numPr>
          <w:ilvl w:val="1"/>
          <w:numId w:val="270"/>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Adviser has not taken, directly or indirectly, without giving effect to any activities by the Underwriters,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would reasonably be expected to cause or result in any stabilization or manipulation of the price of the Securities.</w:t>
      </w:r>
    </w:p>
    <w:p>
      <w:pPr>
        <w:spacing w:after="0" w:line="38" w:lineRule="exact"/>
        <w:rPr>
          <w:rFonts w:ascii="Arial" w:cs="Arial" w:eastAsia="Arial" w:hAnsi="Arial"/>
          <w:sz w:val="17"/>
          <w:szCs w:val="17"/>
          <w:color w:val="auto"/>
        </w:rPr>
      </w:pPr>
    </w:p>
    <w:p>
      <w:pPr>
        <w:jc w:val="both"/>
        <w:ind w:left="-4" w:firstLine="443"/>
        <w:spacing w:after="0" w:line="279" w:lineRule="auto"/>
        <w:tabs>
          <w:tab w:leader="none" w:pos="658" w:val="left"/>
        </w:tabs>
        <w:numPr>
          <w:ilvl w:val="1"/>
          <w:numId w:val="270"/>
        </w:numPr>
        <w:rPr>
          <w:rFonts w:ascii="Arial" w:cs="Arial" w:eastAsia="Arial" w:hAnsi="Arial"/>
          <w:sz w:val="17"/>
          <w:szCs w:val="17"/>
          <w:color w:val="auto"/>
        </w:rPr>
      </w:pPr>
      <w:r>
        <w:rPr>
          <w:rFonts w:ascii="Arial" w:cs="Arial" w:eastAsia="Arial" w:hAnsi="Arial"/>
          <w:sz w:val="17"/>
          <w:szCs w:val="17"/>
          <w:i w:val="1"/>
          <w:iCs w:val="1"/>
          <w:color w:val="auto"/>
        </w:rPr>
        <w:t xml:space="preserve">Key Employees. </w:t>
      </w:r>
      <w:r>
        <w:rPr>
          <w:rFonts w:ascii="Arial" w:cs="Arial" w:eastAsia="Arial" w:hAnsi="Arial"/>
          <w:sz w:val="17"/>
          <w:szCs w:val="17"/>
          <w:color w:val="auto"/>
        </w:rPr>
        <w:t>The Adviser is not aware that (i) any of its executives, key employees or significant group of employees plans to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63" w:lineRule="exact"/>
        <w:rPr>
          <w:rFonts w:ascii="Arial" w:cs="Arial" w:eastAsia="Arial" w:hAnsi="Arial"/>
          <w:sz w:val="17"/>
          <w:szCs w:val="17"/>
          <w:color w:val="auto"/>
        </w:rPr>
      </w:pPr>
    </w:p>
    <w:p>
      <w:pPr>
        <w:ind w:left="-4" w:right="100" w:firstLine="443"/>
        <w:spacing w:after="0" w:line="259" w:lineRule="auto"/>
        <w:tabs>
          <w:tab w:leader="none" w:pos="669" w:val="left"/>
        </w:tabs>
        <w:numPr>
          <w:ilvl w:val="1"/>
          <w:numId w:val="270"/>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7" w:lineRule="exact"/>
        <w:rPr>
          <w:sz w:val="20"/>
          <w:szCs w:val="20"/>
          <w:color w:val="auto"/>
        </w:rPr>
      </w:pPr>
    </w:p>
    <w:p>
      <w:pPr>
        <w:ind w:left="176" w:hanging="176"/>
        <w:spacing w:after="0"/>
        <w:tabs>
          <w:tab w:leader="none" w:pos="176"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jc w:val="both"/>
        <w:ind w:left="-4" w:right="160" w:firstLine="443"/>
        <w:spacing w:after="0" w:line="297" w:lineRule="auto"/>
        <w:tabs>
          <w:tab w:leader="none" w:pos="678" w:val="left"/>
        </w:tabs>
        <w:numPr>
          <w:ilvl w:val="1"/>
          <w:numId w:val="271"/>
        </w:numPr>
        <w:rPr>
          <w:rFonts w:ascii="Arial" w:cs="Arial" w:eastAsia="Arial" w:hAnsi="Arial"/>
          <w:sz w:val="16"/>
          <w:szCs w:val="16"/>
          <w:color w:val="auto"/>
        </w:rPr>
      </w:pPr>
      <w:r>
        <w:rPr>
          <w:rFonts w:ascii="Arial" w:cs="Arial" w:eastAsia="Arial" w:hAnsi="Arial"/>
          <w:sz w:val="16"/>
          <w:szCs w:val="16"/>
          <w:i w:val="1"/>
          <w:iCs w:val="1"/>
          <w:color w:val="auto"/>
        </w:rPr>
        <w:t xml:space="preserve">Required Filings. </w:t>
      </w:r>
      <w:r>
        <w:rPr>
          <w:rFonts w:ascii="Arial" w:cs="Arial" w:eastAsia="Arial" w:hAnsi="Arial"/>
          <w:sz w:val="16"/>
          <w:szCs w:val="16"/>
          <w:color w:val="auto"/>
        </w:rPr>
        <w:t>The Company will file the final Prospectus with the Commission within the time periods specified by Rule 497 and Rule</w:t>
      </w:r>
      <w:r>
        <w:rPr>
          <w:rFonts w:ascii="Arial" w:cs="Arial" w:eastAsia="Arial" w:hAnsi="Arial"/>
          <w:sz w:val="16"/>
          <w:szCs w:val="16"/>
          <w:i w:val="1"/>
          <w:iCs w:val="1"/>
          <w:color w:val="auto"/>
        </w:rPr>
        <w:t xml:space="preserve"> </w:t>
      </w:r>
      <w:r>
        <w:rPr>
          <w:rFonts w:ascii="Arial" w:cs="Arial" w:eastAsia="Arial" w:hAnsi="Arial"/>
          <w:sz w:val="16"/>
          <w:szCs w:val="16"/>
          <w:color w:val="auto"/>
        </w:rPr>
        <w:t>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w:t>
      </w:r>
    </w:p>
    <w:p>
      <w:pPr>
        <w:sectPr>
          <w:pgSz w:w="11900" w:h="16838" w:orient="portrait"/>
          <w:cols w:equalWidth="0" w:num="1">
            <w:col w:w="10956"/>
          </w:cols>
          <w:pgMar w:left="704" w:top="274" w:right="239" w:bottom="1440" w:gutter="0" w:footer="0" w:header="0"/>
        </w:sectPr>
      </w:pPr>
    </w:p>
    <w:bookmarkStart w:id="322" w:name="page323"/>
    <w:bookmarkEnd w:id="322"/>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62" w:lineRule="exact"/>
        <w:rPr>
          <w:sz w:val="20"/>
          <w:szCs w:val="20"/>
          <w:color w:val="auto"/>
        </w:rPr>
      </w:pPr>
    </w:p>
    <w:p>
      <w:pPr>
        <w:ind w:right="80" w:firstLine="443"/>
        <w:spacing w:after="0" w:line="291" w:lineRule="auto"/>
        <w:tabs>
          <w:tab w:leader="none" w:pos="693" w:val="left"/>
        </w:tabs>
        <w:numPr>
          <w:ilvl w:val="1"/>
          <w:numId w:val="272"/>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electronic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w:t>
      </w:r>
    </w:p>
    <w:p>
      <w:pPr>
        <w:ind w:right="120" w:firstLine="4"/>
        <w:spacing w:after="0" w:line="253" w:lineRule="auto"/>
        <w:tabs>
          <w:tab w:leader="none" w:pos="29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83" w:lineRule="exact"/>
        <w:rPr>
          <w:rFonts w:ascii="Arial" w:cs="Arial" w:eastAsia="Arial" w:hAnsi="Arial"/>
          <w:sz w:val="18"/>
          <w:szCs w:val="18"/>
          <w:color w:val="auto"/>
        </w:rPr>
      </w:pPr>
    </w:p>
    <w:p>
      <w:pPr>
        <w:ind w:firstLine="443"/>
        <w:spacing w:after="0" w:line="259" w:lineRule="auto"/>
        <w:tabs>
          <w:tab w:leader="none" w:pos="683" w:val="left"/>
        </w:tabs>
        <w:numPr>
          <w:ilvl w:val="1"/>
          <w:numId w:val="273"/>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pacing w:after="0" w:line="78" w:lineRule="exact"/>
        <w:rPr>
          <w:rFonts w:ascii="Arial" w:cs="Arial" w:eastAsia="Arial" w:hAnsi="Arial"/>
          <w:sz w:val="18"/>
          <w:szCs w:val="18"/>
          <w:color w:val="auto"/>
        </w:rPr>
      </w:pPr>
    </w:p>
    <w:p>
      <w:pPr>
        <w:ind w:right="40" w:firstLine="443"/>
        <w:spacing w:after="0" w:line="286" w:lineRule="auto"/>
        <w:tabs>
          <w:tab w:leader="none" w:pos="693" w:val="left"/>
        </w:tabs>
        <w:numPr>
          <w:ilvl w:val="1"/>
          <w:numId w:val="273"/>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use commercially reasonable efforts to obtain as soon as possible the withdrawal thereof.</w:t>
      </w:r>
    </w:p>
    <w:p>
      <w:pPr>
        <w:spacing w:after="0" w:line="60" w:lineRule="exact"/>
        <w:rPr>
          <w:rFonts w:ascii="Arial" w:cs="Arial" w:eastAsia="Arial" w:hAnsi="Arial"/>
          <w:sz w:val="16"/>
          <w:szCs w:val="16"/>
          <w:color w:val="auto"/>
        </w:rPr>
      </w:pPr>
    </w:p>
    <w:p>
      <w:pPr>
        <w:ind w:right="20" w:firstLine="443"/>
        <w:spacing w:after="0" w:line="288" w:lineRule="auto"/>
        <w:tabs>
          <w:tab w:leader="none" w:pos="683" w:val="left"/>
        </w:tabs>
        <w:numPr>
          <w:ilvl w:val="1"/>
          <w:numId w:val="273"/>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w:t>
      </w:r>
    </w:p>
    <w:p>
      <w:pPr>
        <w:sectPr>
          <w:pgSz w:w="11900" w:h="16838" w:orient="portrait"/>
          <w:cols w:equalWidth="0" w:num="1">
            <w:col w:w="10920"/>
          </w:cols>
          <w:pgMar w:left="700" w:top="273" w:right="279" w:bottom="1440" w:gutter="0" w:footer="0" w:header="0"/>
        </w:sectPr>
      </w:pPr>
    </w:p>
    <w:bookmarkStart w:id="323" w:name="page324"/>
    <w:bookmarkEnd w:id="323"/>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70" w:lineRule="exact"/>
        <w:rPr>
          <w:sz w:val="20"/>
          <w:szCs w:val="20"/>
          <w:color w:val="auto"/>
        </w:rPr>
      </w:pPr>
    </w:p>
    <w:p>
      <w:pPr>
        <w:ind w:firstLine="443"/>
        <w:spacing w:after="0" w:line="255" w:lineRule="auto"/>
        <w:tabs>
          <w:tab w:leader="none" w:pos="663"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use commercially reasonable efforts, in cooperation with the Representative[s], to qualify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for offer and sale under the 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5" w:lineRule="exact"/>
        <w:rPr>
          <w:rFonts w:ascii="Arial" w:cs="Arial" w:eastAsia="Arial" w:hAnsi="Arial"/>
          <w:sz w:val="18"/>
          <w:szCs w:val="18"/>
          <w:color w:val="auto"/>
        </w:rPr>
      </w:pPr>
    </w:p>
    <w:p>
      <w:pPr>
        <w:ind w:right="80" w:firstLine="443"/>
        <w:spacing w:after="0" w:line="257" w:lineRule="auto"/>
        <w:tabs>
          <w:tab w:leader="none" w:pos="693"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 statement that satisfies the provisions of Section 11(a) of the Securities Act and Rule 158 of the Commission promulgated thereunder covering a period of at least twelve months beginning after the effective date of the Registration Statement as defined in Rule 158;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80" w:lineRule="exact"/>
        <w:rPr>
          <w:rFonts w:ascii="Arial" w:cs="Arial" w:eastAsia="Arial" w:hAnsi="Arial"/>
          <w:sz w:val="18"/>
          <w:szCs w:val="18"/>
          <w:color w:val="auto"/>
        </w:rPr>
      </w:pPr>
    </w:p>
    <w:p>
      <w:pPr>
        <w:ind w:firstLine="443"/>
        <w:spacing w:after="0" w:line="284" w:lineRule="auto"/>
        <w:tabs>
          <w:tab w:leader="none" w:pos="693" w:val="left"/>
        </w:tabs>
        <w:numPr>
          <w:ilvl w:val="0"/>
          <w:numId w:val="274"/>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 ] days after the date of the Prospectus, the Company will not (i) offer, pledge, sell, contract to sell, sell</w:t>
      </w:r>
      <w:r>
        <w:rPr>
          <w:rFonts w:ascii="Arial" w:cs="Arial" w:eastAsia="Arial" w:hAnsi="Arial"/>
          <w:sz w:val="16"/>
          <w:szCs w:val="16"/>
          <w:i w:val="1"/>
          <w:iCs w:val="1"/>
          <w:color w:val="auto"/>
        </w:rPr>
        <w:t xml:space="preserve"> </w:t>
      </w:r>
      <w:r>
        <w:rPr>
          <w:rFonts w:ascii="Arial" w:cs="Arial" w:eastAsia="Arial" w:hAnsi="Arial"/>
          <w:sz w:val="16"/>
          <w:szCs w:val="16"/>
          <w:color w:val="auto"/>
        </w:rPr>
        <w:t>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Stock][Securities] or any securities convertible into or exercisable or exchangeable for [Common Stock][the Securities], or publicly disclose the intention to make any such offer, sale, pledge, disposition or filing, or (ii) enter into any swap or other agreement that transfers, in whole or in part, any of the economic consequences of ownership of the [Common Stock][Securities] or any such other securities, whether any such transaction described in clause (i) or (ii) above is to be settled by delivery of [Common Stock][Securities] or such other securities, in cash or otherwise, without the prior written</w:t>
      </w:r>
    </w:p>
    <w:p>
      <w:pPr>
        <w:spacing w:after="0" w:line="3" w:lineRule="exact"/>
        <w:rPr>
          <w:sz w:val="20"/>
          <w:szCs w:val="20"/>
          <w:color w:val="auto"/>
        </w:rPr>
      </w:pPr>
    </w:p>
    <w:p>
      <w:pPr>
        <w:ind w:right="580"/>
        <w:spacing w:after="0" w:line="985" w:lineRule="auto"/>
        <w:rPr>
          <w:sz w:val="20"/>
          <w:szCs w:val="20"/>
          <w:color w:val="auto"/>
        </w:rPr>
      </w:pPr>
      <w:r>
        <w:rPr>
          <w:rFonts w:ascii="Arial" w:cs="Arial" w:eastAsia="Arial" w:hAnsi="Arial"/>
          <w:sz w:val="16"/>
          <w:szCs w:val="16"/>
          <w:color w:val="auto"/>
        </w:rPr>
        <w:t>consent of the Representative[s] on behalf of the Underwriters, other than the (A) Securities to be sold hereunder [or the issuance of the Warrant Securities upon exercise of the Warrants], and (B) Stock issued or delivered in connection with the Company’s dividend reinvestment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Notwithstanding the foregoing, if (1) during the last 17 days of the [ ]-day restricted period, the Company issues an earnings release or material news or a material event relating to the Company occurs; or (2) prior to the expiration of the [ ]-day restricted period, the Company announces that it will release earnings results during the 16-day period beginning on the last day of the [ ]-day period, the restrictions imposed by this</w:t>
      </w:r>
    </w:p>
    <w:p>
      <w:pPr>
        <w:ind w:right="220"/>
        <w:spacing w:after="0" w:line="261" w:lineRule="auto"/>
        <w:rPr>
          <w:sz w:val="20"/>
          <w:szCs w:val="20"/>
          <w:color w:val="auto"/>
        </w:rPr>
      </w:pPr>
      <w:r>
        <w:rPr>
          <w:rFonts w:ascii="Arial" w:cs="Arial" w:eastAsia="Arial" w:hAnsi="Arial"/>
          <w:sz w:val="18"/>
          <w:szCs w:val="18"/>
          <w:color w:val="auto"/>
        </w:rPr>
        <w:t>Agreement shall continue to apply until the expiration of the 18-day period beginning on the issuance of the earnings release or the occurrence of the material news or material event.</w:t>
      </w:r>
    </w:p>
    <w:p>
      <w:pPr>
        <w:spacing w:after="0" w:line="76" w:lineRule="exact"/>
        <w:rPr>
          <w:sz w:val="20"/>
          <w:szCs w:val="20"/>
          <w:color w:val="auto"/>
        </w:rPr>
      </w:pPr>
    </w:p>
    <w:p>
      <w:pPr>
        <w:ind w:right="780" w:firstLine="443"/>
        <w:spacing w:after="0" w:line="308" w:lineRule="auto"/>
        <w:tabs>
          <w:tab w:leader="none" w:pos="653" w:val="left"/>
        </w:tabs>
        <w:numPr>
          <w:ilvl w:val="0"/>
          <w:numId w:val="275"/>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Securities in all material respects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Pricing Disclosure Package and the Prospectus under the heading “Use of Proceeds”.</w:t>
      </w:r>
    </w:p>
    <w:p>
      <w:pPr>
        <w:spacing w:after="0" w:line="38" w:lineRule="exact"/>
        <w:rPr>
          <w:rFonts w:ascii="Arial" w:cs="Arial" w:eastAsia="Arial" w:hAnsi="Arial"/>
          <w:sz w:val="17"/>
          <w:szCs w:val="17"/>
          <w:color w:val="auto"/>
        </w:rPr>
      </w:pPr>
    </w:p>
    <w:p>
      <w:pPr>
        <w:ind w:right="20" w:firstLine="443"/>
        <w:spacing w:after="0" w:line="264" w:lineRule="auto"/>
        <w:tabs>
          <w:tab w:leader="none" w:pos="653"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described in 3(jj) herein, the Company will not take, directly or indirectly, without giving effect to any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any action designed to or that would reasonably be expected to cause or result in any stabilization or manipulation of the price of the Stock or the Securities.</w:t>
      </w:r>
    </w:p>
    <w:p>
      <w:pPr>
        <w:spacing w:after="0" w:line="73" w:lineRule="exact"/>
        <w:rPr>
          <w:sz w:val="20"/>
          <w:szCs w:val="20"/>
          <w:color w:val="auto"/>
        </w:rPr>
      </w:pPr>
    </w:p>
    <w:p>
      <w:pPr>
        <w:ind w:left="440"/>
        <w:spacing w:after="0"/>
        <w:tabs>
          <w:tab w:leader="none" w:pos="10820" w:val="left"/>
        </w:tabs>
        <w:rPr>
          <w:sz w:val="20"/>
          <w:szCs w:val="20"/>
          <w:color w:val="auto"/>
        </w:rPr>
      </w:pPr>
      <w:r>
        <w:rPr>
          <w:rFonts w:ascii="Arial" w:cs="Arial" w:eastAsia="Arial" w:hAnsi="Arial"/>
          <w:sz w:val="17"/>
          <w:szCs w:val="17"/>
          <w:color w:val="auto"/>
        </w:rPr>
        <w:t xml:space="preserve">(k) </w:t>
      </w:r>
      <w:r>
        <w:rPr>
          <w:rFonts w:ascii="Arial" w:cs="Arial" w:eastAsia="Arial" w:hAnsi="Arial"/>
          <w:sz w:val="17"/>
          <w:szCs w:val="17"/>
          <w:i w:val="1"/>
          <w:iCs w:val="1"/>
          <w:color w:val="auto"/>
        </w:rPr>
        <w:t>Exchange Listing.</w:t>
      </w:r>
      <w:r>
        <w:rPr>
          <w:rFonts w:ascii="Arial" w:cs="Arial" w:eastAsia="Arial" w:hAnsi="Arial"/>
          <w:sz w:val="17"/>
          <w:szCs w:val="17"/>
          <w:color w:val="auto"/>
        </w:rPr>
        <w:t xml:space="preserve"> The Company will use commercially reasonable efforts to effect and maintain the quotation of [the Securities] on [</w:t>
      </w:r>
      <w:r>
        <w:rPr>
          <w:sz w:val="20"/>
          <w:szCs w:val="20"/>
          <w:color w:val="auto"/>
        </w:rPr>
        <w:tab/>
      </w:r>
      <w:r>
        <w:rPr>
          <w:rFonts w:ascii="Arial" w:cs="Arial" w:eastAsia="Arial" w:hAnsi="Arial"/>
          <w:sz w:val="18"/>
          <w:szCs w:val="18"/>
          <w:color w:val="auto"/>
        </w:rPr>
        <w:t>].</w:t>
      </w:r>
    </w:p>
    <w:p>
      <w:pPr>
        <w:sectPr>
          <w:pgSz w:w="11900" w:h="16838" w:orient="portrait"/>
          <w:cols w:equalWidth="0" w:num="1">
            <w:col w:w="10960"/>
          </w:cols>
          <w:pgMar w:left="700" w:top="273" w:right="239" w:bottom="1440" w:gutter="0" w:footer="0" w:header="0"/>
        </w:sectPr>
      </w:pPr>
    </w:p>
    <w:bookmarkStart w:id="324" w:name="page325"/>
    <w:bookmarkEnd w:id="324"/>
    <w:p>
      <w:pPr>
        <w:ind w:left="-4" w:right="200" w:firstLine="443"/>
        <w:spacing w:after="0" w:line="257" w:lineRule="auto"/>
        <w:tabs>
          <w:tab w:leader="none" w:pos="649"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Reports. </w:t>
      </w:r>
      <w:r>
        <w:rPr>
          <w:rFonts w:ascii="Arial" w:cs="Arial" w:eastAsia="Arial" w:hAnsi="Arial"/>
          <w:sz w:val="18"/>
          <w:szCs w:val="18"/>
          <w:color w:val="auto"/>
        </w:rPr>
        <w:t>For a period of one year from the date of this Agreement, so long as the Securities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80" w:lineRule="exact"/>
        <w:rPr>
          <w:rFonts w:ascii="Arial" w:cs="Arial" w:eastAsia="Arial" w:hAnsi="Arial"/>
          <w:sz w:val="18"/>
          <w:szCs w:val="18"/>
          <w:color w:val="auto"/>
        </w:rPr>
      </w:pPr>
    </w:p>
    <w:p>
      <w:pPr>
        <w:ind w:left="-4" w:right="80" w:firstLine="443"/>
        <w:spacing w:after="0" w:line="302" w:lineRule="auto"/>
        <w:tabs>
          <w:tab w:leader="none" w:pos="738" w:val="left"/>
        </w:tabs>
        <w:numPr>
          <w:ilvl w:val="1"/>
          <w:numId w:val="276"/>
        </w:numPr>
        <w:rPr>
          <w:rFonts w:ascii="Arial" w:cs="Arial" w:eastAsia="Arial" w:hAnsi="Arial"/>
          <w:sz w:val="16"/>
          <w:szCs w:val="16"/>
          <w:color w:val="auto"/>
        </w:rPr>
      </w:pPr>
      <w:r>
        <w:rPr>
          <w:rFonts w:ascii="Arial" w:cs="Arial" w:eastAsia="Arial" w:hAnsi="Arial"/>
          <w:sz w:val="16"/>
          <w:szCs w:val="16"/>
          <w:i w:val="1"/>
          <w:iCs w:val="1"/>
          <w:color w:val="auto"/>
        </w:rPr>
        <w:t>Business Development Company</w:t>
      </w:r>
      <w:r>
        <w:rPr>
          <w:rFonts w:ascii="Arial" w:cs="Arial" w:eastAsia="Arial" w:hAnsi="Arial"/>
          <w:sz w:val="16"/>
          <w:szCs w:val="16"/>
          <w:color w:val="auto"/>
        </w:rPr>
        <w:t>. The Company, during a period of twelve months from the date of the Prospectus, will use commercially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reasonable efforts to maintain its status as a business development company under the Investment Company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46" w:lineRule="exact"/>
        <w:rPr>
          <w:rFonts w:ascii="Arial" w:cs="Arial" w:eastAsia="Arial" w:hAnsi="Arial"/>
          <w:sz w:val="16"/>
          <w:szCs w:val="16"/>
          <w:color w:val="auto"/>
        </w:rPr>
      </w:pPr>
    </w:p>
    <w:p>
      <w:pPr>
        <w:ind w:left="-4" w:right="120" w:firstLine="443"/>
        <w:spacing w:after="0" w:line="264" w:lineRule="auto"/>
        <w:tabs>
          <w:tab w:leader="none" w:pos="688"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left="-4" w:right="180" w:firstLine="443"/>
        <w:spacing w:after="0" w:line="257" w:lineRule="auto"/>
        <w:tabs>
          <w:tab w:leader="none" w:pos="688"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80" w:lineRule="exact"/>
        <w:rPr>
          <w:rFonts w:ascii="Arial" w:cs="Arial" w:eastAsia="Arial" w:hAnsi="Arial"/>
          <w:sz w:val="18"/>
          <w:szCs w:val="18"/>
          <w:color w:val="auto"/>
        </w:rPr>
      </w:pPr>
    </w:p>
    <w:p>
      <w:pPr>
        <w:ind w:left="-4" w:right="180" w:firstLine="443"/>
        <w:spacing w:after="0" w:line="255" w:lineRule="auto"/>
        <w:tabs>
          <w:tab w:leader="none" w:pos="688"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w:t>
      </w:r>
      <w:r>
        <w:rPr>
          <w:rFonts w:ascii="Arial" w:cs="Arial" w:eastAsia="Arial" w:hAnsi="Arial"/>
          <w:sz w:val="18"/>
          <w:szCs w:val="18"/>
          <w:color w:val="auto"/>
        </w:rPr>
        <w:t>. The Company represents and agrees that, without the prior consent of the Representative[s] (i) it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any offering material other than the Registration Statement, the Pricing Disclosure Package or the Prospectus, and (ii) it has not made and will not make any offer relating to the Securities that would constitute a “free writing prospectus” as defined in Rule 405 under the Act and which the parties agree, for the purposes of this Agreement, includes (x) any “advertisement” as defined in Rule 482 under the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9" w:lineRule="exact"/>
        <w:rPr>
          <w:rFonts w:ascii="Arial" w:cs="Arial" w:eastAsia="Arial" w:hAnsi="Arial"/>
          <w:sz w:val="18"/>
          <w:szCs w:val="18"/>
          <w:color w:val="auto"/>
        </w:rPr>
      </w:pPr>
    </w:p>
    <w:p>
      <w:pPr>
        <w:ind w:left="176" w:hanging="176"/>
        <w:spacing w:after="0"/>
        <w:tabs>
          <w:tab w:leader="none" w:pos="176"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left="-4" w:right="20" w:firstLine="443"/>
        <w:spacing w:after="0" w:line="259" w:lineRule="auto"/>
        <w:tabs>
          <w:tab w:leader="none" w:pos="67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the Prospectus or any other offering materials prepared by or with the prior written consent of the Company.</w:t>
      </w:r>
    </w:p>
    <w:p>
      <w:pPr>
        <w:spacing w:after="0" w:line="78" w:lineRule="exact"/>
        <w:rPr>
          <w:rFonts w:ascii="Arial" w:cs="Arial" w:eastAsia="Arial" w:hAnsi="Arial"/>
          <w:sz w:val="18"/>
          <w:szCs w:val="18"/>
          <w:color w:val="auto"/>
        </w:rPr>
      </w:pPr>
    </w:p>
    <w:p>
      <w:pPr>
        <w:ind w:left="-4" w:right="840" w:firstLine="443"/>
        <w:spacing w:after="0" w:line="342" w:lineRule="auto"/>
        <w:tabs>
          <w:tab w:leader="none" w:pos="689" w:val="left"/>
        </w:tabs>
        <w:numPr>
          <w:ilvl w:val="1"/>
          <w:numId w:val="277"/>
        </w:numPr>
        <w:rPr>
          <w:rFonts w:ascii="Arial" w:cs="Arial" w:eastAsia="Arial" w:hAnsi="Arial"/>
          <w:sz w:val="16"/>
          <w:szCs w:val="16"/>
          <w:color w:val="auto"/>
        </w:rPr>
      </w:pPr>
      <w:r>
        <w:rPr>
          <w:rFonts w:ascii="Arial" w:cs="Arial" w:eastAsia="Arial" w:hAnsi="Arial"/>
          <w:sz w:val="16"/>
          <w:szCs w:val="16"/>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23" w:lineRule="exact"/>
        <w:rPr>
          <w:rFonts w:ascii="Arial" w:cs="Arial" w:eastAsia="Arial" w:hAnsi="Arial"/>
          <w:sz w:val="16"/>
          <w:szCs w:val="16"/>
          <w:color w:val="auto"/>
        </w:rPr>
      </w:pPr>
    </w:p>
    <w:p>
      <w:pPr>
        <w:ind w:left="-464" w:firstLine="464"/>
        <w:spacing w:after="0" w:line="264" w:lineRule="auto"/>
        <w:tabs>
          <w:tab w:leader="none" w:pos="172"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Securities on the Closing Date or the Option Securities on the Closing Date or the Additional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left="-4" w:right="540" w:firstLine="443"/>
        <w:spacing w:after="0" w:line="312" w:lineRule="auto"/>
        <w:tabs>
          <w:tab w:leader="none" w:pos="678" w:val="left"/>
        </w:tabs>
        <w:numPr>
          <w:ilvl w:val="1"/>
          <w:numId w:val="27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or pursuant to Section 8A under the Securities Act shall be pending before or threatened by the Commission; the Prospectus shall have been timely filed with the Commission under the Securities Act and in accordance with Section 5(a) hereof; and</w:t>
      </w:r>
    </w:p>
    <w:p>
      <w:pPr>
        <w:sectPr>
          <w:pgSz w:w="11900" w:h="16838" w:orient="portrait"/>
          <w:cols w:equalWidth="0" w:num="1">
            <w:col w:w="10956"/>
          </w:cols>
          <w:pgMar w:left="704" w:top="274" w:right="239" w:bottom="1440" w:gutter="0" w:footer="0" w:header="0"/>
        </w:sectPr>
      </w:pPr>
    </w:p>
    <w:bookmarkStart w:id="325" w:name="page326"/>
    <w:bookmarkEnd w:id="3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requests by the Commission for additional information shall have been complied with to the reasonable satisfaction of the Representative[s].</w:t>
      </w:r>
    </w:p>
    <w:p>
      <w:pPr>
        <w:spacing w:after="0" w:line="129" w:lineRule="exact"/>
        <w:rPr>
          <w:sz w:val="20"/>
          <w:szCs w:val="20"/>
          <w:color w:val="auto"/>
        </w:rPr>
      </w:pPr>
    </w:p>
    <w:p>
      <w:pPr>
        <w:ind w:firstLine="443"/>
        <w:spacing w:after="0" w:line="259" w:lineRule="auto"/>
        <w:tabs>
          <w:tab w:leader="none" w:pos="693"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firstLine="443"/>
        <w:spacing w:after="0" w:line="276" w:lineRule="auto"/>
        <w:tabs>
          <w:tab w:leader="none" w:pos="683" w:val="left"/>
        </w:tabs>
        <w:numPr>
          <w:ilvl w:val="0"/>
          <w:numId w:val="278"/>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3(e) and Section 4(a) hereof shall have occurred or shall</w:t>
      </w:r>
      <w:r>
        <w:rPr>
          <w:rFonts w:ascii="Arial" w:cs="Arial" w:eastAsia="Arial" w:hAnsi="Arial"/>
          <w:sz w:val="17"/>
          <w:szCs w:val="17"/>
          <w:i w:val="1"/>
          <w:iCs w:val="1"/>
          <w:color w:val="auto"/>
        </w:rPr>
        <w:t xml:space="preserve"> </w:t>
      </w:r>
      <w:r>
        <w:rPr>
          <w:rFonts w:ascii="Arial" w:cs="Arial" w:eastAsia="Arial" w:hAnsi="Arial"/>
          <w:sz w:val="17"/>
          <w:szCs w:val="17"/>
          <w:color w:val="auto"/>
        </w:rPr>
        <w:t>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7"/>
          <w:szCs w:val="17"/>
          <w:color w:val="auto"/>
        </w:rPr>
      </w:pPr>
    </w:p>
    <w:p>
      <w:pPr>
        <w:ind w:right="80" w:firstLine="443"/>
        <w:spacing w:after="0" w:line="289" w:lineRule="auto"/>
        <w:tabs>
          <w:tab w:leader="none" w:pos="693" w:val="left"/>
        </w:tabs>
        <w:numPr>
          <w:ilvl w:val="0"/>
          <w:numId w:val="278"/>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Representative[s] shall have received on and as of the Closing Date or the Additional Closing Date,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case may be, a certificate, which shall be delivered on behalf of the Company and not the signatories in their individual capacity, of the chief financial officer or chief accounting officer (or other authorized officer) of the Company and one additional senior executive officer of the Company who is reasonably satisfactory to the Representative[s] (i) confirming that such officers have carefully reviewed the Registration Statement, the Pricing Disclosure Package and the Prospectus, (ii) confirming that, to the knowledge of such officers, the representations and warranties of the Company in Sections 3(b) and 3(d)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 (a) above and, with respect to the Company and its subsidiaries, to the effect set forth in paragraph (c) above.</w:t>
      </w:r>
    </w:p>
    <w:p>
      <w:pPr>
        <w:spacing w:after="0" w:line="58" w:lineRule="exact"/>
        <w:rPr>
          <w:rFonts w:ascii="Arial" w:cs="Arial" w:eastAsia="Arial" w:hAnsi="Arial"/>
          <w:sz w:val="16"/>
          <w:szCs w:val="16"/>
          <w:color w:val="auto"/>
        </w:rPr>
      </w:pPr>
    </w:p>
    <w:p>
      <w:pPr>
        <w:ind w:right="80" w:firstLine="443"/>
        <w:spacing w:after="0" w:line="255" w:lineRule="auto"/>
        <w:tabs>
          <w:tab w:leader="none" w:pos="683"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Representative[s] shall have received on and as of the Closing Date or the Additional Closing Date,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may be, a certificate, which shall be delivered on behalf of the Adviser and not the signatories in their individual capacity, from the two appropriate senior officers of the Adviser reasonably satisfactory to the 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85" w:lineRule="exact"/>
        <w:rPr>
          <w:rFonts w:ascii="Arial" w:cs="Arial" w:eastAsia="Arial" w:hAnsi="Arial"/>
          <w:sz w:val="18"/>
          <w:szCs w:val="18"/>
          <w:color w:val="auto"/>
        </w:rPr>
      </w:pPr>
    </w:p>
    <w:p>
      <w:pPr>
        <w:ind w:right="40" w:firstLine="443"/>
        <w:spacing w:after="0" w:line="286" w:lineRule="auto"/>
        <w:tabs>
          <w:tab w:leader="none" w:pos="663" w:val="left"/>
        </w:tabs>
        <w:numPr>
          <w:ilvl w:val="0"/>
          <w:numId w:val="278"/>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the Pricing Disclosure Package and the Prospectus; provided, that the letter delivered on the Closing Date or the Additional</w:t>
      </w:r>
    </w:p>
    <w:p>
      <w:pPr>
        <w:spacing w:after="0" w:line="3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Closing Date, as the case may be, shall use a “cut-off” date no more than business days prior to such Closing Date or such Additional Closing Date, as the case may be.</w:t>
      </w:r>
    </w:p>
    <w:p>
      <w:pPr>
        <w:spacing w:after="0" w:line="76" w:lineRule="exact"/>
        <w:rPr>
          <w:sz w:val="20"/>
          <w:szCs w:val="20"/>
          <w:color w:val="auto"/>
        </w:rPr>
      </w:pPr>
    </w:p>
    <w:p>
      <w:pPr>
        <w:jc w:val="both"/>
        <w:ind w:right="60" w:firstLine="443"/>
        <w:spacing w:after="0" w:line="259" w:lineRule="auto"/>
        <w:tabs>
          <w:tab w:leader="none" w:pos="693"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and Adviser. </w:t>
      </w:r>
      <w:r>
        <w:rPr>
          <w:rFonts w:ascii="Arial" w:cs="Arial" w:eastAsia="Arial" w:hAnsi="Arial"/>
          <w:sz w:val="18"/>
          <w:szCs w:val="18"/>
          <w:color w:val="auto"/>
        </w:rPr>
        <w:t>Cleary Gottlieb Steen &amp; Hamilton LLP, counsel for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right="40" w:firstLine="443"/>
        <w:spacing w:after="0" w:line="277" w:lineRule="auto"/>
        <w:tabs>
          <w:tab w:leader="none" w:pos="693"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w:t>
      </w:r>
    </w:p>
    <w:p>
      <w:pPr>
        <w:sectPr>
          <w:pgSz w:w="11900" w:h="16838" w:orient="portrait"/>
          <w:cols w:equalWidth="0" w:num="1">
            <w:col w:w="10960"/>
          </w:cols>
          <w:pgMar w:left="700" w:top="274" w:right="239" w:bottom="1440" w:gutter="0" w:footer="0" w:header="0"/>
        </w:sectPr>
      </w:pPr>
    </w:p>
    <w:bookmarkStart w:id="326" w:name="page327"/>
    <w:bookmarkEnd w:id="326"/>
    <w:p>
      <w:pPr>
        <w:ind w:left="460"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10b-5 statement of ,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38" w:lineRule="exact"/>
        <w:rPr>
          <w:sz w:val="20"/>
          <w:szCs w:val="20"/>
          <w:color w:val="auto"/>
        </w:rPr>
      </w:pPr>
    </w:p>
    <w:p>
      <w:pPr>
        <w:ind w:left="460" w:right="40" w:firstLine="443"/>
        <w:spacing w:after="0" w:line="302" w:lineRule="auto"/>
        <w:tabs>
          <w:tab w:leader="none" w:pos="1113" w:val="left"/>
        </w:tabs>
        <w:numPr>
          <w:ilvl w:val="0"/>
          <w:numId w:val="280"/>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w:t>
      </w:r>
      <w:r>
        <w:rPr>
          <w:rFonts w:ascii="Arial" w:cs="Arial" w:eastAsia="Arial" w:hAnsi="Arial"/>
          <w:sz w:val="16"/>
          <w:szCs w:val="16"/>
          <w:color w:val="auto"/>
        </w:rPr>
        <w:t>No action shall have been taken and no statute, rule, regulation or order shall have been enacted, adopted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any federal, state or foreign governmental or regulatory authority that would, as of the Closing Date or the Additional Closing Date, as the case may be, prevent the issuance or sale of the Securities; and no injunction or order of any federal, state or foreign court shall have been issued that would, as of the Closing Date or the Additional Closing Date, as the case may be, prevent the issuance or sale of the Securities.</w:t>
      </w:r>
    </w:p>
    <w:p>
      <w:pPr>
        <w:spacing w:after="0" w:line="46" w:lineRule="exact"/>
        <w:rPr>
          <w:rFonts w:ascii="Arial" w:cs="Arial" w:eastAsia="Arial" w:hAnsi="Arial"/>
          <w:sz w:val="16"/>
          <w:szCs w:val="16"/>
          <w:color w:val="auto"/>
        </w:rPr>
      </w:pPr>
    </w:p>
    <w:p>
      <w:pPr>
        <w:ind w:left="460" w:right="200" w:firstLine="443"/>
        <w:spacing w:after="0" w:line="279" w:lineRule="auto"/>
        <w:tabs>
          <w:tab w:leader="none" w:pos="1113" w:val="left"/>
        </w:tabs>
        <w:numPr>
          <w:ilvl w:val="0"/>
          <w:numId w:val="280"/>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63" w:lineRule="exact"/>
        <w:rPr>
          <w:rFonts w:ascii="Arial" w:cs="Arial" w:eastAsia="Arial" w:hAnsi="Arial"/>
          <w:sz w:val="17"/>
          <w:szCs w:val="17"/>
          <w:color w:val="auto"/>
        </w:rPr>
      </w:pPr>
    </w:p>
    <w:p>
      <w:pPr>
        <w:ind w:left="460" w:right="600" w:firstLine="443"/>
        <w:spacing w:after="0" w:line="277" w:lineRule="auto"/>
        <w:tabs>
          <w:tab w:leader="none" w:pos="115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Listing.</w:t>
      </w:r>
      <w:r>
        <w:rPr>
          <w:rFonts w:ascii="Arial" w:cs="Arial" w:eastAsia="Arial" w:hAnsi="Arial"/>
          <w:sz w:val="18"/>
          <w:szCs w:val="18"/>
          <w:color w:val="auto"/>
        </w:rPr>
        <w:t xml:space="preserve"> The Securities to be delivered on the Closing Date or Additional Closing Date, as the case may be, shall have been approved for listing on , subject to official notice of issuance.]</w:t>
      </w:r>
    </w:p>
    <w:p>
      <w:pPr>
        <w:spacing w:after="0" w:line="62" w:lineRule="exact"/>
        <w:rPr>
          <w:rFonts w:ascii="Arial" w:cs="Arial" w:eastAsia="Arial" w:hAnsi="Arial"/>
          <w:sz w:val="18"/>
          <w:szCs w:val="18"/>
          <w:color w:val="auto"/>
        </w:rPr>
      </w:pPr>
    </w:p>
    <w:p>
      <w:pPr>
        <w:ind w:left="460" w:right="20" w:firstLine="443"/>
        <w:spacing w:after="0" w:line="259" w:lineRule="auto"/>
        <w:tabs>
          <w:tab w:leader="none" w:pos="1113"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A-1 hereto, between you and the persons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3, and in the form of Exhibit A-2 hereto, between you and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78" w:lineRule="exact"/>
        <w:rPr>
          <w:rFonts w:ascii="Arial" w:cs="Arial" w:eastAsia="Arial" w:hAnsi="Arial"/>
          <w:sz w:val="18"/>
          <w:szCs w:val="18"/>
          <w:color w:val="auto"/>
        </w:rPr>
      </w:pPr>
    </w:p>
    <w:p>
      <w:pPr>
        <w:ind w:left="460" w:firstLine="443"/>
        <w:spacing w:after="0" w:line="255" w:lineRule="auto"/>
        <w:tabs>
          <w:tab w:leader="none" w:pos="1203"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 any</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85"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90" w:lineRule="auto"/>
        <w:tabs>
          <w:tab w:leader="none" w:pos="701" w:val="left"/>
        </w:tabs>
        <w:numPr>
          <w:ilvl w:val="0"/>
          <w:numId w:val="282"/>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affiliates, directors and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w:t>
      </w:r>
    </w:p>
    <w:p>
      <w:pPr>
        <w:sectPr>
          <w:pgSz w:w="11900" w:h="16838" w:orient="portrait"/>
          <w:cols w:equalWidth="0" w:num="1">
            <w:col w:w="11420"/>
          </w:cols>
          <w:pgMar w:left="240" w:top="274" w:right="239" w:bottom="1440" w:gutter="0" w:footer="0" w:header="0"/>
        </w:sectPr>
      </w:pPr>
    </w:p>
    <w:bookmarkStart w:id="327" w:name="page328"/>
    <w:bookmarkEnd w:id="32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93" w:lineRule="exact"/>
        <w:rPr>
          <w:sz w:val="20"/>
          <w:szCs w:val="20"/>
          <w:color w:val="auto"/>
        </w:rPr>
      </w:pPr>
    </w:p>
    <w:p>
      <w:pPr>
        <w:ind w:right="100" w:firstLine="464"/>
        <w:spacing w:after="0" w:line="290" w:lineRule="auto"/>
        <w:tabs>
          <w:tab w:leader="none" w:pos="711" w:val="left"/>
        </w:tabs>
        <w:numPr>
          <w:ilvl w:val="0"/>
          <w:numId w:val="283"/>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 directors, its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w:t>
      </w:r>
    </w:p>
    <w:p>
      <w:pPr>
        <w:spacing w:after="0" w:line="166" w:lineRule="exact"/>
        <w:rPr>
          <w:rFonts w:ascii="Arial" w:cs="Arial" w:eastAsia="Arial" w:hAnsi="Arial"/>
          <w:sz w:val="16"/>
          <w:szCs w:val="16"/>
          <w:color w:val="auto"/>
        </w:rPr>
      </w:pPr>
    </w:p>
    <w:p>
      <w:pPr>
        <w:ind w:firstLine="464"/>
        <w:spacing w:after="0" w:line="283" w:lineRule="auto"/>
        <w:tabs>
          <w:tab w:leader="none" w:pos="701" w:val="left"/>
        </w:tabs>
        <w:numPr>
          <w:ilvl w:val="0"/>
          <w:numId w:val="283"/>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any Underwriter, its affiliates, directors and officers and any control persons of such Underwriter shall be designated in writing by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w:t>
      </w:r>
    </w:p>
    <w:p>
      <w:pPr>
        <w:sectPr>
          <w:pgSz w:w="11900" w:h="16838" w:orient="portrait"/>
          <w:cols w:equalWidth="0" w:num="1">
            <w:col w:w="11400"/>
          </w:cols>
          <w:pgMar w:left="240" w:top="273" w:right="259" w:bottom="1440" w:gutter="0" w:footer="0" w:header="0"/>
        </w:sectPr>
      </w:pPr>
    </w:p>
    <w:bookmarkStart w:id="328" w:name="page329"/>
    <w:bookmarkEnd w:id="32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66" w:lineRule="exact"/>
        <w:rPr>
          <w:sz w:val="20"/>
          <w:szCs w:val="20"/>
          <w:color w:val="auto"/>
        </w:rPr>
      </w:pPr>
    </w:p>
    <w:p>
      <w:pPr>
        <w:ind w:right="80" w:firstLine="464"/>
        <w:spacing w:after="0" w:line="268" w:lineRule="auto"/>
        <w:tabs>
          <w:tab w:leader="none" w:pos="711" w:val="left"/>
        </w:tabs>
        <w:numPr>
          <w:ilvl w:val="1"/>
          <w:numId w:val="284"/>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1940 Act.</w:t>
      </w:r>
    </w:p>
    <w:p>
      <w:pPr>
        <w:spacing w:after="0" w:line="183" w:lineRule="exact"/>
        <w:rPr>
          <w:rFonts w:ascii="Arial" w:cs="Arial" w:eastAsia="Arial" w:hAnsi="Arial"/>
          <w:sz w:val="17"/>
          <w:szCs w:val="17"/>
          <w:color w:val="auto"/>
        </w:rPr>
      </w:pPr>
    </w:p>
    <w:p>
      <w:pPr>
        <w:ind w:left="700" w:hanging="236"/>
        <w:spacing w:after="0"/>
        <w:tabs>
          <w:tab w:leader="none" w:pos="700" w:val="left"/>
        </w:tabs>
        <w:numPr>
          <w:ilvl w:val="1"/>
          <w:numId w:val="284"/>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firstLine="8"/>
        <w:spacing w:after="0" w:line="268" w:lineRule="auto"/>
        <w:tabs>
          <w:tab w:leader="none" w:pos="25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79" w:lineRule="exact"/>
        <w:rPr>
          <w:rFonts w:ascii="Arial" w:cs="Arial" w:eastAsia="Arial" w:hAnsi="Arial"/>
          <w:sz w:val="17"/>
          <w:szCs w:val="17"/>
          <w:color w:val="auto"/>
        </w:rPr>
      </w:pPr>
    </w:p>
    <w:p>
      <w:pPr>
        <w:ind w:right="220" w:firstLine="464"/>
        <w:spacing w:after="0" w:line="277" w:lineRule="auto"/>
        <w:tabs>
          <w:tab w:leader="none" w:pos="681" w:val="left"/>
        </w:tabs>
        <w:numPr>
          <w:ilvl w:val="1"/>
          <w:numId w:val="285"/>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ectPr>
          <w:pgSz w:w="11900" w:h="16838" w:orient="portrait"/>
          <w:cols w:equalWidth="0" w:num="1">
            <w:col w:w="11400"/>
          </w:cols>
          <w:pgMar w:left="240" w:top="273" w:right="259" w:bottom="1440" w:gutter="0" w:footer="0" w:header="0"/>
        </w:sectPr>
      </w:pPr>
    </w:p>
    <w:bookmarkStart w:id="329" w:name="page330"/>
    <w:bookmarkEnd w:id="329"/>
    <w:p>
      <w:pPr>
        <w:ind w:left="176" w:hanging="176"/>
        <w:spacing w:after="0"/>
        <w:tabs>
          <w:tab w:leader="none" w:pos="17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left="-464" w:right="20" w:firstLine="464"/>
        <w:spacing w:after="0" w:line="253" w:lineRule="auto"/>
        <w:tabs>
          <w:tab w:leader="none" w:pos="262"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197" w:lineRule="exact"/>
        <w:rPr>
          <w:rFonts w:ascii="Arial" w:cs="Arial" w:eastAsia="Arial" w:hAnsi="Arial"/>
          <w:sz w:val="18"/>
          <w:szCs w:val="18"/>
          <w:color w:val="auto"/>
        </w:rPr>
      </w:pPr>
    </w:p>
    <w:p>
      <w:pPr>
        <w:ind w:left="256" w:hanging="256"/>
        <w:spacing w:after="0"/>
        <w:tabs>
          <w:tab w:leader="none" w:pos="25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left="-464" w:firstLine="464"/>
        <w:spacing w:after="0" w:line="287" w:lineRule="auto"/>
        <w:tabs>
          <w:tab w:leader="none" w:pos="23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72" w:lineRule="exact"/>
        <w:rPr>
          <w:rFonts w:ascii="Arial" w:cs="Arial" w:eastAsia="Arial" w:hAnsi="Arial"/>
          <w:sz w:val="16"/>
          <w:szCs w:val="16"/>
          <w:color w:val="auto"/>
        </w:rPr>
      </w:pPr>
    </w:p>
    <w:p>
      <w:pPr>
        <w:ind w:left="-464" w:right="180" w:firstLine="464"/>
        <w:spacing w:after="0" w:line="293" w:lineRule="auto"/>
        <w:tabs>
          <w:tab w:leader="none" w:pos="24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does not exceed one-eleventh of the aggregate number of Securities to be purchased on such date, then the Company shall have the right to require each non-defaulting Underwriter to purchase the number of Securities that such Underwriter agreed to purchase hereunder on such date plus such Underwriter’s pro rata share (based on the number of Securities that such Underwriter agreed to purchase on such date) of the Securities of such defaulting Underwriter or Underwriters for which such arrangements have not been made.</w:t>
      </w:r>
    </w:p>
    <w:p>
      <w:pPr>
        <w:spacing w:after="0" w:line="164" w:lineRule="exact"/>
        <w:rPr>
          <w:rFonts w:ascii="Arial" w:cs="Arial" w:eastAsia="Arial" w:hAnsi="Arial"/>
          <w:sz w:val="16"/>
          <w:szCs w:val="16"/>
          <w:color w:val="auto"/>
        </w:rPr>
      </w:pPr>
    </w:p>
    <w:p>
      <w:pPr>
        <w:ind w:left="-464" w:right="180" w:firstLine="464"/>
        <w:spacing w:after="0" w:line="254" w:lineRule="auto"/>
        <w:tabs>
          <w:tab w:leader="none" w:pos="23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exceeds one-eleventh of the aggregate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ectPr>
          <w:pgSz w:w="11900" w:h="16838" w:orient="portrait"/>
          <w:cols w:equalWidth="0" w:num="1">
            <w:col w:w="10936"/>
          </w:cols>
          <w:pgMar w:left="704" w:top="274" w:right="259" w:bottom="1440" w:gutter="0" w:footer="0" w:header="0"/>
        </w:sectPr>
      </w:pPr>
    </w:p>
    <w:bookmarkStart w:id="330" w:name="page331"/>
    <w:bookmarkEnd w:id="330"/>
    <w:p>
      <w:pPr>
        <w:ind w:right="140" w:firstLine="464"/>
        <w:spacing w:after="0" w:line="277" w:lineRule="auto"/>
        <w:tabs>
          <w:tab w:leader="none" w:pos="711"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740" w:hanging="276"/>
        <w:spacing w:after="0"/>
        <w:tabs>
          <w:tab w:leader="none" w:pos="74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right="80" w:firstLine="464"/>
        <w:spacing w:after="0" w:line="283" w:lineRule="auto"/>
        <w:tabs>
          <w:tab w:leader="none" w:pos="701" w:val="left"/>
        </w:tabs>
        <w:numPr>
          <w:ilvl w:val="1"/>
          <w:numId w:val="290"/>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Warrant Securities issuable upon exercise of the Warrants]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[and any Warrant Securities issuable upon exercise of the Warrants]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the cost of preparing stock certificates, if applicable; (vi) the costs and charges of any transfer agent and any registrar;</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all filing fees and the reasonable fees and expenses incurred in connection with any filing with, and clearance of the offering by, FINRA (such fees and</w:t>
      </w:r>
    </w:p>
    <w:p>
      <w:pPr>
        <w:spacing w:after="0" w:line="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expenses pursuant to this clause (vii) and clause (iv), in the aggregate, shall not exceed $[ ]); (viii) all expenses incurred by the Company in connection with any “road show” presentation to potential investors,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Underwriters shall be responsible for 50% of the third-party costs of any chartered private aircraft incurred in connection with such road show; and (ix) all expenses and application fees related to the listing of the Securities [or any Warrant Securities issuable upon exercise of the Warrants] on [applicable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92" w:lineRule="exact"/>
        <w:rPr>
          <w:sz w:val="20"/>
          <w:szCs w:val="20"/>
          <w:color w:val="auto"/>
        </w:rPr>
      </w:pPr>
    </w:p>
    <w:p>
      <w:pPr>
        <w:ind w:left="720" w:hanging="256"/>
        <w:spacing w:after="0"/>
        <w:tabs>
          <w:tab w:leader="none" w:pos="72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10 (other than as a result of a termination pursuant to clauses (i), (iii) or (iv) of Section 10),</w:t>
      </w:r>
    </w:p>
    <w:p>
      <w:pPr>
        <w:spacing w:after="0" w:line="46" w:lineRule="exact"/>
        <w:rPr>
          <w:rFonts w:ascii="Arial" w:cs="Arial" w:eastAsia="Arial" w:hAnsi="Arial"/>
          <w:sz w:val="16"/>
          <w:szCs w:val="16"/>
          <w:color w:val="auto"/>
        </w:rPr>
      </w:pPr>
    </w:p>
    <w:p>
      <w:pPr>
        <w:ind w:right="20" w:firstLine="8"/>
        <w:spacing w:after="0" w:line="253" w:lineRule="auto"/>
        <w:tabs>
          <w:tab w:leader="none" w:pos="26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91" w:lineRule="exact"/>
        <w:rPr>
          <w:sz w:val="20"/>
          <w:szCs w:val="20"/>
          <w:color w:val="auto"/>
        </w:rPr>
      </w:pPr>
    </w:p>
    <w:p>
      <w:pPr>
        <w:ind w:right="140" w:firstLine="464"/>
        <w:spacing w:after="0" w:line="279" w:lineRule="auto"/>
        <w:tabs>
          <w:tab w:leader="none" w:pos="726"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1" w:lineRule="exact"/>
        <w:rPr>
          <w:rFonts w:ascii="Arial" w:cs="Arial" w:eastAsia="Arial" w:hAnsi="Arial"/>
          <w:sz w:val="17"/>
          <w:szCs w:val="17"/>
          <w:color w:val="auto"/>
        </w:rPr>
      </w:pPr>
    </w:p>
    <w:p>
      <w:pPr>
        <w:jc w:val="both"/>
        <w:ind w:right="300" w:firstLine="464"/>
        <w:spacing w:after="0" w:line="279" w:lineRule="auto"/>
        <w:tabs>
          <w:tab w:leader="none" w:pos="726"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ectPr>
          <w:pgSz w:w="11900" w:h="16838" w:orient="portrait"/>
          <w:cols w:equalWidth="0" w:num="1">
            <w:col w:w="11400"/>
          </w:cols>
          <w:pgMar w:left="240" w:top="274" w:right="259" w:bottom="1440" w:gutter="0" w:footer="0" w:header="0"/>
        </w:sectPr>
      </w:pPr>
    </w:p>
    <w:bookmarkStart w:id="331" w:name="page332"/>
    <w:bookmarkEnd w:id="331"/>
    <w:p>
      <w:pPr>
        <w:ind w:right="100" w:firstLine="464"/>
        <w:spacing w:after="0" w:line="286" w:lineRule="auto"/>
        <w:tabs>
          <w:tab w:leader="none" w:pos="726"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740" w:hanging="276"/>
        <w:spacing w:after="0"/>
        <w:tabs>
          <w:tab w:leader="none" w:pos="74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20" w:firstLine="464"/>
        <w:spacing w:after="0" w:line="259" w:lineRule="auto"/>
        <w:tabs>
          <w:tab w:leader="none" w:pos="701"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 form of telecommunication. Notices to the Underwriters shall be given to the Representative[s] at [address of underwriter]. Notices to the Company or the Adviser shall be given to either of them at TPG Specialty Lending, Inc., 345 California Street, Suite 3300, San Francisco, California 94104 (fax: (917) 463-0175), Attention: David Stiepleman.</w:t>
      </w:r>
    </w:p>
    <w:p>
      <w:pPr>
        <w:spacing w:after="0" w:line="186" w:lineRule="exact"/>
        <w:rPr>
          <w:rFonts w:ascii="Arial" w:cs="Arial" w:eastAsia="Arial" w:hAnsi="Arial"/>
          <w:sz w:val="18"/>
          <w:szCs w:val="18"/>
          <w:color w:val="auto"/>
        </w:rPr>
      </w:pPr>
    </w:p>
    <w:p>
      <w:pPr>
        <w:ind w:firstLine="464"/>
        <w:spacing w:after="0" w:line="264" w:lineRule="auto"/>
        <w:tabs>
          <w:tab w:leader="none" w:pos="711"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rFonts w:ascii="Arial" w:cs="Arial" w:eastAsia="Arial" w:hAnsi="Arial"/>
          <w:sz w:val="18"/>
          <w:szCs w:val="18"/>
          <w:color w:val="auto"/>
        </w:rPr>
      </w:pPr>
    </w:p>
    <w:p>
      <w:pPr>
        <w:ind w:right="700" w:firstLine="464"/>
        <w:spacing w:after="0" w:line="308" w:lineRule="auto"/>
        <w:tabs>
          <w:tab w:leader="none" w:pos="701" w:val="left"/>
        </w:tabs>
        <w:numPr>
          <w:ilvl w:val="0"/>
          <w:numId w:val="296"/>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right="1380" w:firstLine="464"/>
        <w:spacing w:after="0" w:line="308" w:lineRule="auto"/>
        <w:tabs>
          <w:tab w:leader="none" w:pos="711" w:val="left"/>
        </w:tabs>
        <w:numPr>
          <w:ilvl w:val="0"/>
          <w:numId w:val="296"/>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right="360" w:firstLine="464"/>
        <w:spacing w:after="0" w:line="277" w:lineRule="auto"/>
        <w:tabs>
          <w:tab w:leader="none" w:pos="701"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660" w:firstLine="464"/>
        <w:spacing w:after="0" w:line="277" w:lineRule="auto"/>
        <w:tabs>
          <w:tab w:leader="none" w:pos="681"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1420"/>
          </w:cols>
          <w:pgMar w:left="240" w:top="274" w:right="239" w:bottom="1440" w:gutter="0" w:footer="0" w:header="0"/>
        </w:sectPr>
      </w:pPr>
    </w:p>
    <w:bookmarkStart w:id="332" w:name="page333"/>
    <w:bookmarkEnd w:id="33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3" w:right="1440"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3" w:right="1440"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48" w:lineRule="exact"/>
        <w:rPr>
          <w:sz w:val="20"/>
          <w:szCs w:val="20"/>
          <w:color w:val="auto"/>
        </w:rPr>
      </w:pPr>
    </w:p>
    <w:p>
      <w:pPr>
        <w:ind w:left="640"/>
        <w:spacing w:after="0"/>
        <w:tabs>
          <w:tab w:leader="none" w:pos="7140" w:val="left"/>
        </w:tabs>
        <w:rPr>
          <w:sz w:val="20"/>
          <w:szCs w:val="20"/>
          <w:color w:val="auto"/>
        </w:rPr>
      </w:pPr>
      <w:r>
        <w:rPr>
          <w:rFonts w:ascii="Arial" w:cs="Arial" w:eastAsia="Arial" w:hAnsi="Arial"/>
          <w:sz w:val="14"/>
          <w:szCs w:val="14"/>
          <w:u w:val="single" w:color="auto"/>
          <w:color w:val="auto"/>
        </w:rPr>
        <w:t>Underwriter</w:t>
      </w:r>
      <w:r>
        <w:rPr>
          <w:sz w:val="20"/>
          <w:szCs w:val="20"/>
          <w:color w:val="auto"/>
        </w:rPr>
        <w:tab/>
      </w:r>
      <w:r>
        <w:rPr>
          <w:rFonts w:ascii="Arial" w:cs="Arial" w:eastAsia="Arial" w:hAnsi="Arial"/>
          <w:sz w:val="14"/>
          <w:szCs w:val="14"/>
          <w:u w:val="single" w:color="auto"/>
          <w:color w:val="auto"/>
        </w:rPr>
        <w:t>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12700</wp:posOffset>
            </wp:positionV>
            <wp:extent cx="4922520"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287020</wp:posOffset>
            </wp:positionV>
            <wp:extent cx="4922520"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561340</wp:posOffset>
            </wp:positionV>
            <wp:extent cx="4922520" cy="146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14605</wp:posOffset>
            </wp:positionV>
            <wp:extent cx="7886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31750</wp:posOffset>
            </wp:positionV>
            <wp:extent cx="7886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Subsidiaries of the Company</w:t>
      </w:r>
    </w:p>
    <w:p>
      <w:pPr>
        <w:spacing w:after="0" w:line="252" w:lineRule="exact"/>
        <w:rPr>
          <w:sz w:val="20"/>
          <w:szCs w:val="20"/>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23" w:lineRule="exact"/>
        <w:rPr>
          <w:rFonts w:ascii="Arial" w:cs="Arial" w:eastAsia="Arial" w:hAnsi="Arial"/>
          <w:sz w:val="18"/>
          <w:szCs w:val="18"/>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TSL MR, LLC</w:t>
      </w:r>
    </w:p>
    <w:p>
      <w:pPr>
        <w:sectPr>
          <w:pgSz w:w="11900" w:h="16838" w:orient="portrait"/>
          <w:cols w:equalWidth="0" w:num="1">
            <w:col w:w="10966"/>
          </w:cols>
          <w:pgMar w:left="694" w:top="274" w:right="2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[List of persons and entities subject to lock-up]</w:t>
      </w:r>
    </w:p>
    <w:p>
      <w:pPr>
        <w:sectPr>
          <w:pgSz w:w="11900" w:h="16838" w:orient="portrait"/>
          <w:cols w:equalWidth="0" w:num="1">
            <w:col w:w="10220"/>
          </w:cols>
          <w:pgMar w:left="1440" w:top="274" w:right="2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w:t>
      </w:r>
    </w:p>
    <w:p>
      <w:pPr>
        <w:spacing w:after="0" w:line="256"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Securities: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Public Offering Price Per Securities:</w:t>
      </w:r>
    </w:p>
    <w:p>
      <w:pPr>
        <w:sectPr>
          <w:pgSz w:w="11900" w:h="16838" w:orient="portrait"/>
          <w:cols w:equalWidth="0" w:num="1">
            <w:col w:w="11420"/>
          </w:cols>
          <w:pgMar w:left="240" w:top="269"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(h)(2)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4280" w:hanging="488"/>
        <w:spacing w:after="0"/>
        <w:tabs>
          <w:tab w:leader="none" w:pos="42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Aggregate Principal Amount Senior Securities</w:t>
      </w:r>
    </w:p>
    <w:p>
      <w:pPr>
        <w:spacing w:after="0" w:line="23" w:lineRule="exact"/>
        <w:rPr>
          <w:sz w:val="20"/>
          <w:szCs w:val="20"/>
          <w:color w:val="auto"/>
        </w:rPr>
      </w:pPr>
    </w:p>
    <w:p>
      <w:pPr>
        <w:ind w:left="5580" w:right="3540" w:hanging="2033"/>
        <w:spacing w:after="0" w:line="250" w:lineRule="auto"/>
        <w:tabs>
          <w:tab w:leader="none" w:pos="403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Aggregate Principal Amount Subordinated Securities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Debt Securities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 of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TPG Specialty Lending, Inc., a Delaware corporation (the “Company”), proposes to issue and sell to the several Underwriters listed in Schedule 1</w:t>
      </w:r>
    </w:p>
    <w:p>
      <w:pPr>
        <w:spacing w:after="0" w:line="35"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color w:val="auto"/>
        </w:rPr>
        <w:t>hereto (the “Underwriters”), for whom you are acting as representative[s] (the “Representative[s]”), $ aggregate principal amount [of senior debt securities (the “Senior Securities”)] [$ aggregate principal amount of subordinated debt securities (the “Subordinated Securities”)] [of Warrants (the</w:t>
      </w:r>
    </w:p>
    <w:p>
      <w:pPr>
        <w:spacing w:after="0"/>
        <w:rPr>
          <w:sz w:val="20"/>
          <w:szCs w:val="20"/>
          <w:color w:val="auto"/>
        </w:rPr>
      </w:pPr>
      <w:r>
        <w:rPr>
          <w:rFonts w:ascii="Arial" w:cs="Arial" w:eastAsia="Arial" w:hAnsi="Arial"/>
          <w:sz w:val="16"/>
          <w:szCs w:val="16"/>
          <w:color w:val="auto"/>
        </w:rPr>
        <w:t>“Warrants”) to purchase Senior Securities or Subordinated Securities, or both, of the Company] (each of the aforesaid, the “Underwritten Securities”) and, at</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option of the Underwriters, up to an additional [ ] of [ ], solely to cover overallotments (the “Option Securities”). The Underwritten Securities and the Option Securities are herein referred to as the “Securities.” “Warrant Securities” shall mean the Senior Securities or Subordinated Securities issuable upon exercise of Warrants.</w:t>
      </w:r>
    </w:p>
    <w:p>
      <w:pPr>
        <w:spacing w:after="0" w:line="190" w:lineRule="exact"/>
        <w:rPr>
          <w:sz w:val="20"/>
          <w:szCs w:val="20"/>
          <w:color w:val="auto"/>
        </w:rPr>
      </w:pPr>
    </w:p>
    <w:p>
      <w:pPr>
        <w:ind w:right="140" w:firstLine="456"/>
        <w:spacing w:after="0" w:line="274" w:lineRule="auto"/>
        <w:rPr>
          <w:sz w:val="20"/>
          <w:szCs w:val="20"/>
          <w:color w:val="auto"/>
        </w:rPr>
      </w:pPr>
      <w:r>
        <w:rPr>
          <w:rFonts w:ascii="Arial" w:cs="Arial" w:eastAsia="Arial" w:hAnsi="Arial"/>
          <w:sz w:val="17"/>
          <w:szCs w:val="17"/>
          <w:color w:val="auto"/>
        </w:rPr>
        <w:t>The [Senior Securities][Subordinated Securities] will be issued under an indenture to be dated as of [ ] (the “Base Indenture”), as supplemented by a supplemental indenture, dated as of [ ], (the “Supplemental Indenture” and, together with the Base Indenture, the “Indenture”) between the</w:t>
      </w:r>
    </w:p>
    <w:p>
      <w:pPr>
        <w:ind w:right="140"/>
        <w:spacing w:after="0" w:line="290" w:lineRule="auto"/>
        <w:rPr>
          <w:sz w:val="20"/>
          <w:szCs w:val="20"/>
          <w:color w:val="auto"/>
        </w:rPr>
      </w:pPr>
      <w:r>
        <w:rPr>
          <w:rFonts w:ascii="Arial" w:cs="Arial" w:eastAsia="Arial" w:hAnsi="Arial"/>
          <w:sz w:val="16"/>
          <w:szCs w:val="16"/>
          <w:color w:val="auto"/>
        </w:rPr>
        <w:t>Company and Wells Fargo Bank, National Association, as trustee (the “Trustee”). [The Warrants will be issued under one or more warrant agreements (the warrant agreement relating to any issue of Warrants to be sold pursuant to this Agreement is referred to herein as the “Warrant Agreement”) between the Company and the Warrant Agent identified in such Warrant Agreement (the “Warrant Agent”).] Each issue of Senior Securities, Subordinated Securities and Warrants may vary, as applicable, as to aggregate principal amount, maturity date, interest rate or formula and timing of payments thereof, redemption provisions, conversion provisions and sinking fund requirements, if any, and any other variable terms which the Indenture or any Warrant Agreement, as the case may be, contemplates may be set forth in the Senior Securities, Subordinated Securities and Warrants as issued from time to time.</w:t>
      </w:r>
    </w:p>
    <w:p>
      <w:pPr>
        <w:spacing w:after="0" w:line="16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Securities will be issued in book-entry form to Cede &amp; Co. as nominee of the Depository Trust Company (“DTC”) pursuant to a blanket letter of representations, dated as of March 24, 2014, between the Company and DTC.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hereby confirms its agreement with the several Underwriters concerning the purchase and sale of the Securities, as follows:</w:t>
      </w:r>
    </w:p>
    <w:p>
      <w:pPr>
        <w:spacing w:after="0" w:line="237" w:lineRule="exact"/>
        <w:rPr>
          <w:sz w:val="20"/>
          <w:szCs w:val="20"/>
          <w:color w:val="auto"/>
        </w:rPr>
      </w:pPr>
    </w:p>
    <w:p>
      <w:pPr>
        <w:ind w:firstLine="464"/>
        <w:spacing w:after="0" w:line="286" w:lineRule="auto"/>
        <w:tabs>
          <w:tab w:leader="none" w:pos="636"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333-196969), relating to the Securities and certain of the Company’s other securities, which registration</w:t>
      </w:r>
    </w:p>
    <w:p>
      <w:pPr>
        <w:sectPr>
          <w:pgSz w:w="11900" w:h="16838" w:orient="portrait"/>
          <w:cols w:equalWidth="0" w:num="1">
            <w:col w:w="11420"/>
          </w:cols>
          <w:pgMar w:left="240" w:top="121" w:right="239" w:bottom="1440" w:gutter="0" w:footer="0" w:header="0"/>
        </w:sectPr>
      </w:pPr>
    </w:p>
    <w:bookmarkStart w:id="339" w:name="page340"/>
    <w:bookmarkEnd w:id="33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was declared effective on by the Commission. The Indenture has been qualified under the Trust Indenture Act of 1939, as amended (the “1939 Act”). The Company has also filed with the Commission a preliminary prospectus supplement, dated , as such prospectus may be amended, which contains a base prospectus, dated (the “Base Prospectus” and, collectively, the “Preliminary Prospectus”). Promptly after execution and delivery</w:t>
      </w:r>
    </w:p>
    <w:p>
      <w:pPr>
        <w:ind w:right="40"/>
        <w:spacing w:after="0" w:line="267" w:lineRule="auto"/>
        <w:rPr>
          <w:sz w:val="20"/>
          <w:szCs w:val="20"/>
          <w:color w:val="auto"/>
        </w:rPr>
      </w:pPr>
      <w:r>
        <w:rPr>
          <w:rFonts w:ascii="Arial" w:cs="Arial" w:eastAsia="Arial" w:hAnsi="Arial"/>
          <w:sz w:val="17"/>
          <w:szCs w:val="17"/>
          <w:color w:val="auto"/>
        </w:rPr>
        <w:t>of this Agreement, the Company will prepare and file a prospectus in accordance with the provisions of Rule 430C (“Rule 430C”) of the rules and regulations of the 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Securities,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of 1940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also entered into an Administration Agreement, dated as of March 15, 2011 (the “Administration Agreement”) with the Adviser.</w:t>
      </w:r>
    </w:p>
    <w:p>
      <w:pPr>
        <w:spacing w:after="0" w:line="23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Preliminary Prospectus, which together with the pricing information set forth on Annex A, comprises the “Pricing Disclosure Package.</w:t>
      </w:r>
    </w:p>
    <w:p>
      <w:pPr>
        <w:spacing w:after="0" w:line="170" w:lineRule="exact"/>
        <w:rPr>
          <w:sz w:val="20"/>
          <w:szCs w:val="20"/>
          <w:color w:val="auto"/>
        </w:rPr>
      </w:pPr>
    </w:p>
    <w:p>
      <w:pPr>
        <w:ind w:left="460"/>
        <w:spacing w:after="0"/>
        <w:tabs>
          <w:tab w:leader="none" w:pos="2960" w:val="left"/>
          <w:tab w:leader="none" w:pos="6200" w:val="left"/>
        </w:tabs>
        <w:rPr>
          <w:sz w:val="20"/>
          <w:szCs w:val="20"/>
          <w:color w:val="auto"/>
        </w:rPr>
      </w:pPr>
      <w:r>
        <w:rPr>
          <w:rFonts w:ascii="Arial" w:cs="Arial" w:eastAsia="Arial" w:hAnsi="Arial"/>
          <w:sz w:val="18"/>
          <w:szCs w:val="18"/>
          <w:color w:val="auto"/>
        </w:rPr>
        <w:t>“Applicable Time” means [</w:t>
      </w:r>
      <w:r>
        <w:rPr>
          <w:sz w:val="20"/>
          <w:szCs w:val="20"/>
          <w:color w:val="auto"/>
        </w:rPr>
        <w:tab/>
      </w:r>
      <w:r>
        <w:rPr>
          <w:rFonts w:ascii="Arial" w:cs="Arial" w:eastAsia="Arial" w:hAnsi="Arial"/>
          <w:sz w:val="18"/>
          <w:szCs w:val="18"/>
          <w:color w:val="auto"/>
        </w:rPr>
        <w:t>][A./ P.M.], New York City time, on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left="640" w:hanging="176"/>
        <w:spacing w:after="0"/>
        <w:tabs>
          <w:tab w:leader="none" w:pos="6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Underwriters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59" w:lineRule="auto"/>
        <w:tabs>
          <w:tab w:leader="none" w:pos="70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 agrees to issue and sell the Underwritten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aggregate principal amount of][the number of] Underwritten Securities set forth opposite such Underwriter’s name in Schedule 1 hereto at the price (the “Purchase Price”) set forth in Schedule 1 hereto.</w:t>
      </w:r>
    </w:p>
    <w:p>
      <w:pPr>
        <w:spacing w:after="0" w:line="187"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In addition, the Company agrees to issue and sell the Option Securities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Securities at the Purchase Price.</w:t>
      </w:r>
    </w:p>
    <w:p>
      <w:pPr>
        <w:sectPr>
          <w:pgSz w:w="11900" w:h="16838" w:orient="portrait"/>
          <w:cols w:equalWidth="0" w:num="1">
            <w:col w:w="11420"/>
          </w:cols>
          <w:pgMar w:left="240" w:top="274" w:right="239" w:bottom="1440" w:gutter="0" w:footer="0" w:header="0"/>
        </w:sectPr>
      </w:pPr>
    </w:p>
    <w:bookmarkStart w:id="340" w:name="page341"/>
    <w:bookmarkEnd w:id="340"/>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Option Securities are to be purchased, the [aggregate principal amount] [number] of Option Securities to be purchased by each Underwriter shall be the [aggregate principal amount] [number] of Option Securities which bears the same ratio to the [aggregate principal amount] [aggregate number]of Option Securities being purchased as the number of Underwritten Securities set forth opposite the name of such Underwriter in Schedule 1 hereto (or such number increased as set forth in Section 11 hereof) bears to the [aggregate principal amount] [aggregate number] of Underwritten Securities being purchased from the Company by the several Underwriters.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Underwriters may exercise the option to purchase Option Securities at any time in whole, or from time to time in part, on or before the thirtieth day following the date of the Prospectus, by written notice from the Representative[s] to the Company. Such notice shall set forth the [aggregate principal amount] [aggregate number] of Option Securities as to which the option is being exercised and the date and time when the Option Securities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65" w:lineRule="exact"/>
        <w:rPr>
          <w:sz w:val="20"/>
          <w:szCs w:val="20"/>
          <w:color w:val="auto"/>
        </w:rPr>
      </w:pPr>
    </w:p>
    <w:p>
      <w:pPr>
        <w:ind w:right="80" w:firstLine="464"/>
        <w:spacing w:after="0" w:line="286" w:lineRule="auto"/>
        <w:tabs>
          <w:tab w:leader="none" w:pos="71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Prospectus. The Company acknowledges and agrees that the Underwriters may offer and sell Securities to or through any affiliate of an Underwriter.</w:t>
      </w:r>
    </w:p>
    <w:p>
      <w:pPr>
        <w:spacing w:after="0" w:line="165" w:lineRule="exact"/>
        <w:rPr>
          <w:rFonts w:ascii="Arial" w:cs="Arial" w:eastAsia="Arial" w:hAnsi="Arial"/>
          <w:sz w:val="17"/>
          <w:szCs w:val="17"/>
          <w:color w:val="auto"/>
        </w:rPr>
      </w:pPr>
    </w:p>
    <w:p>
      <w:pPr>
        <w:ind w:left="700" w:hanging="236"/>
        <w:spacing w:after="0"/>
        <w:tabs>
          <w:tab w:leader="none" w:pos="70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Payment for the Securities shall be made by wire transfer in immediately available funds to the account specified by the Company to the</w:t>
      </w:r>
    </w:p>
    <w:p>
      <w:pPr>
        <w:spacing w:after="0" w:line="3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Representative[s] in the case of the Underwritten Securities, at the offices of [ ], at 10:00 A.M., New York City time, on [ ], or at such other time or place on the same or such other date, not later than the fifth business day thereafter, as the Representative[s] and the Company may agree upon in writing or, in the case of the Option Securities, on the date and at the time and place specified by the Representative[s] in the written notice of the Underwriters’ election to purchase such Option Securities. The time and date of such payment for the Underwritten Securities is referred to herein as the “Closing Date”, and the time and date for such payment for the Option Securities, if other than the Closing Date, is herein referred to as the “Additional Closing Date.”</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Payment for the Securities to be purchased on the Closing Date or the Additional Closing Date, as the case may be, shall be made against delivery to the Representative[s] for the respective accounts of the several Underwriters of the Securities to be purchased on such date with any transfer taxes payable in connection with the sale of such Securities duly paid by the Company. Delivery of the Securities shall be made through the facilities of The Depository Trust Company (“DTC”) unless the Representative[s] shall otherwise instruct.</w:t>
      </w:r>
    </w:p>
    <w:p>
      <w:pPr>
        <w:spacing w:after="0" w:line="187" w:lineRule="exact"/>
        <w:rPr>
          <w:sz w:val="20"/>
          <w:szCs w:val="20"/>
          <w:color w:val="auto"/>
        </w:rPr>
      </w:pPr>
    </w:p>
    <w:p>
      <w:pPr>
        <w:ind w:right="120" w:firstLine="464"/>
        <w:spacing w:after="0" w:line="271" w:lineRule="auto"/>
        <w:tabs>
          <w:tab w:leader="none" w:pos="71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640" w:hanging="176"/>
        <w:spacing w:after="0"/>
        <w:tabs>
          <w:tab w:leader="none" w:pos="64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143" w:val="left"/>
        </w:tabs>
        <w:numPr>
          <w:ilvl w:val="1"/>
          <w:numId w:val="306"/>
        </w:numPr>
        <w:rPr>
          <w:rFonts w:ascii="Arial" w:cs="Arial" w:eastAsia="Arial" w:hAnsi="Arial"/>
          <w:sz w:val="18"/>
          <w:szCs w:val="18"/>
          <w:color w:val="auto"/>
        </w:rPr>
      </w:pPr>
      <w:r>
        <w:rPr>
          <w:rFonts w:ascii="Arial" w:cs="Arial" w:eastAsia="Arial" w:hAnsi="Arial"/>
          <w:sz w:val="18"/>
          <w:szCs w:val="18"/>
          <w:i w:val="1"/>
          <w:iCs w:val="1"/>
          <w:color w:val="auto"/>
        </w:rPr>
        <w:t xml:space="preserve">Preliminary Prospectus. </w:t>
      </w:r>
      <w:r>
        <w:rPr>
          <w:rFonts w:ascii="Arial" w:cs="Arial" w:eastAsia="Arial" w:hAnsi="Arial"/>
          <w:sz w:val="18"/>
          <w:szCs w:val="18"/>
          <w:color w:val="auto"/>
        </w:rPr>
        <w:t>No order preventing or suspending the use of any Preliminary Prospectus has been issued by the Commission,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Preliminary Prospectus included in the Pricing Disclosure</w:t>
      </w:r>
    </w:p>
    <w:p>
      <w:pPr>
        <w:sectPr>
          <w:pgSz w:w="11900" w:h="16838" w:orient="portrait"/>
          <w:cols w:equalWidth="0" w:num="1">
            <w:col w:w="11420"/>
          </w:cols>
          <w:pgMar w:left="240" w:top="274" w:right="239" w:bottom="1440" w:gutter="0" w:footer="0" w:header="0"/>
        </w:sectPr>
      </w:pPr>
    </w:p>
    <w:bookmarkStart w:id="341" w:name="page342"/>
    <w:bookmarkEnd w:id="34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70" w:lineRule="exact"/>
        <w:rPr>
          <w:sz w:val="20"/>
          <w:szCs w:val="20"/>
          <w:color w:val="auto"/>
        </w:rPr>
      </w:pPr>
    </w:p>
    <w:p>
      <w:pPr>
        <w:ind w:right="40" w:firstLine="443"/>
        <w:spacing w:after="0" w:line="272" w:lineRule="auto"/>
        <w:tabs>
          <w:tab w:leader="none" w:pos="693" w:val="left"/>
        </w:tabs>
        <w:numPr>
          <w:ilvl w:val="0"/>
          <w:numId w:val="307"/>
        </w:numPr>
        <w:rPr>
          <w:rFonts w:ascii="Arial" w:cs="Arial" w:eastAsia="Arial" w:hAnsi="Arial"/>
          <w:sz w:val="17"/>
          <w:szCs w:val="17"/>
          <w:color w:val="auto"/>
        </w:rPr>
      </w:pPr>
      <w:r>
        <w:rPr>
          <w:rFonts w:ascii="Arial" w:cs="Arial" w:eastAsia="Arial" w:hAnsi="Arial"/>
          <w:sz w:val="17"/>
          <w:szCs w:val="17"/>
          <w:i w:val="1"/>
          <w:iCs w:val="1"/>
          <w:color w:val="auto"/>
        </w:rPr>
        <w:t>Pricing Disclosure Package</w:t>
      </w:r>
      <w:r>
        <w:rPr>
          <w:rFonts w:ascii="Arial" w:cs="Arial" w:eastAsia="Arial" w:hAnsi="Arial"/>
          <w:sz w:val="17"/>
          <w:szCs w:val="17"/>
          <w:color w:val="auto"/>
        </w:rPr>
        <w:t>. The Pricing Disclosure Package as of the Applicable Time did not, and the Pricing Disclosure Package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spacing w:after="0" w:line="69" w:lineRule="exact"/>
        <w:rPr>
          <w:rFonts w:ascii="Arial" w:cs="Arial" w:eastAsia="Arial" w:hAnsi="Arial"/>
          <w:sz w:val="17"/>
          <w:szCs w:val="17"/>
          <w:color w:val="auto"/>
        </w:rPr>
      </w:pPr>
    </w:p>
    <w:p>
      <w:pPr>
        <w:ind w:firstLine="443"/>
        <w:spacing w:after="0" w:line="286" w:lineRule="auto"/>
        <w:tabs>
          <w:tab w:leader="none" w:pos="683" w:val="left"/>
        </w:tabs>
        <w:numPr>
          <w:ilvl w:val="0"/>
          <w:numId w:val="30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Company is eligible to use Form N-2. The Registration Statement has been declared effective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1939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(i) that part of the Registration Statement that constitutes the Statement of Eligibility and Qualification (Form T-1) of the Trustee under the 1939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60" w:lineRule="exact"/>
        <w:rPr>
          <w:rFonts w:ascii="Arial" w:cs="Arial" w:eastAsia="Arial" w:hAnsi="Arial"/>
          <w:sz w:val="16"/>
          <w:szCs w:val="16"/>
          <w:color w:val="auto"/>
        </w:rPr>
      </w:pPr>
    </w:p>
    <w:p>
      <w:pPr>
        <w:ind w:firstLine="443"/>
        <w:spacing w:after="0" w:line="270" w:lineRule="auto"/>
        <w:tabs>
          <w:tab w:leader="none" w:pos="693" w:val="left"/>
        </w:tabs>
        <w:numPr>
          <w:ilvl w:val="0"/>
          <w:numId w:val="307"/>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ectPr>
          <w:pgSz w:w="11900" w:h="16838" w:orient="portrait"/>
          <w:cols w:equalWidth="0" w:num="1">
            <w:col w:w="10940"/>
          </w:cols>
          <w:pgMar w:left="700" w:top="274" w:right="259" w:bottom="1440" w:gutter="0" w:footer="0" w:header="0"/>
        </w:sectPr>
      </w:pPr>
    </w:p>
    <w:bookmarkStart w:id="342" w:name="page343"/>
    <w:bookmarkEnd w:id="342"/>
    <w:p>
      <w:pPr>
        <w:jc w:val="both"/>
        <w:ind w:left="-4" w:right="60" w:firstLine="443"/>
        <w:spacing w:after="0" w:line="291" w:lineRule="auto"/>
        <w:tabs>
          <w:tab w:leader="none" w:pos="678" w:val="left"/>
        </w:tabs>
        <w:numPr>
          <w:ilvl w:val="1"/>
          <w:numId w:val="30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left="-4" w:right="60" w:firstLine="4"/>
        <w:spacing w:after="0" w:line="268" w:lineRule="auto"/>
        <w:tabs>
          <w:tab w:leader="none" w:pos="211"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71" w:lineRule="exact"/>
        <w:rPr>
          <w:rFonts w:ascii="Arial" w:cs="Arial" w:eastAsia="Arial" w:hAnsi="Arial"/>
          <w:sz w:val="17"/>
          <w:szCs w:val="17"/>
          <w:color w:val="auto"/>
        </w:rPr>
      </w:pPr>
    </w:p>
    <w:p>
      <w:pPr>
        <w:ind w:left="-4" w:right="20" w:firstLine="443"/>
        <w:spacing w:after="0" w:line="270" w:lineRule="auto"/>
        <w:tabs>
          <w:tab w:leader="none" w:pos="658" w:val="left"/>
        </w:tabs>
        <w:numPr>
          <w:ilvl w:val="1"/>
          <w:numId w:val="309"/>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[and the Warrant Agreement] (a “Material Adverse Effect”). The subsidiaries listed in Schedule 2 to this Agreement are the only subsidiaries of the Company.</w:t>
      </w:r>
    </w:p>
    <w:p>
      <w:pPr>
        <w:spacing w:after="0" w:line="73" w:lineRule="exact"/>
        <w:rPr>
          <w:rFonts w:ascii="Arial" w:cs="Arial" w:eastAsia="Arial" w:hAnsi="Arial"/>
          <w:sz w:val="17"/>
          <w:szCs w:val="17"/>
          <w:color w:val="auto"/>
        </w:rPr>
      </w:pPr>
    </w:p>
    <w:p>
      <w:pPr>
        <w:ind w:left="-4" w:firstLine="443"/>
        <w:spacing w:after="0" w:line="286" w:lineRule="auto"/>
        <w:tabs>
          <w:tab w:leader="none" w:pos="688" w:val="left"/>
        </w:tabs>
        <w:numPr>
          <w:ilvl w:val="1"/>
          <w:numId w:val="309"/>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 ], the Company had the authorized capitalization as set forth in the Registration Statement, the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in “Capitalization” under the heading “Actual,” and, after giving effect to the offering pursuant to this Agreement and the use of proceeds thereof, would have had the authorized capitalization as set forth in column entitled “As Adjusted”;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63" w:lineRule="exact"/>
        <w:rPr>
          <w:rFonts w:ascii="Arial" w:cs="Arial" w:eastAsia="Arial" w:hAnsi="Arial"/>
          <w:sz w:val="16"/>
          <w:szCs w:val="16"/>
          <w:color w:val="auto"/>
        </w:rPr>
      </w:pPr>
    </w:p>
    <w:p>
      <w:pPr>
        <w:ind w:left="696" w:hanging="257"/>
        <w:spacing w:after="0"/>
        <w:tabs>
          <w:tab w:leader="none" w:pos="696" w:val="left"/>
        </w:tabs>
        <w:numPr>
          <w:ilvl w:val="1"/>
          <w:numId w:val="309"/>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ectPr>
          <w:pgSz w:w="11900" w:h="16838" w:orient="portrait"/>
          <w:cols w:equalWidth="0" w:num="1">
            <w:col w:w="10956"/>
          </w:cols>
          <w:pgMar w:left="704" w:top="273" w:right="239" w:bottom="1440" w:gutter="0" w:footer="0" w:header="0"/>
        </w:sectPr>
      </w:pPr>
    </w:p>
    <w:bookmarkStart w:id="343" w:name="page344"/>
    <w:bookmarkEnd w:id="343"/>
    <w:p>
      <w:pPr>
        <w:ind w:left="-443" w:right="40" w:firstLine="443"/>
        <w:spacing w:after="0" w:line="255" w:lineRule="auto"/>
        <w:tabs>
          <w:tab w:leader="none" w:pos="210"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Due Authorization. </w:t>
      </w:r>
      <w:r>
        <w:rPr>
          <w:rFonts w:ascii="Arial" w:cs="Arial" w:eastAsia="Arial" w:hAnsi="Arial"/>
          <w:sz w:val="18"/>
          <w:szCs w:val="18"/>
          <w:color w:val="auto"/>
        </w:rPr>
        <w:t>The Company has corporate power and authority to execute and deliver this Agreement, the Indenture and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at the applicable time had corporate power and authority to execute and deliver the Investment Management Agreement and the Administration Agreement [and the Warrant Agreement] and to perform its obligations hereunder and thereunder; and all action required to be taken for the due and proper authorization, execution and delivery by it of this Agreement, the Indenture, the Securities, and each of the Investment Management Agreement and the Administration Agreement [and the Warrant Agreement] and the consummation by it of the transactions contemplated hereby and thereby has been duly and validly taken.</w:t>
      </w:r>
    </w:p>
    <w:p>
      <w:pPr>
        <w:spacing w:after="0" w:line="85" w:lineRule="exact"/>
        <w:rPr>
          <w:rFonts w:ascii="Arial" w:cs="Arial" w:eastAsia="Arial" w:hAnsi="Arial"/>
          <w:sz w:val="18"/>
          <w:szCs w:val="18"/>
          <w:color w:val="auto"/>
        </w:rPr>
      </w:pPr>
    </w:p>
    <w:p>
      <w:pPr>
        <w:ind w:left="217" w:hanging="217"/>
        <w:spacing w:after="0"/>
        <w:tabs>
          <w:tab w:leader="none" w:pos="217"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43" w:right="20" w:firstLine="443"/>
        <w:spacing w:after="0" w:line="287" w:lineRule="auto"/>
        <w:tabs>
          <w:tab w:leader="none" w:pos="250" w:val="left"/>
        </w:tabs>
        <w:numPr>
          <w:ilvl w:val="0"/>
          <w:numId w:val="310"/>
        </w:numPr>
        <w:rPr>
          <w:rFonts w:ascii="Arial" w:cs="Arial" w:eastAsia="Arial" w:hAnsi="Arial"/>
          <w:sz w:val="16"/>
          <w:szCs w:val="16"/>
          <w:color w:val="auto"/>
        </w:rPr>
      </w:pPr>
      <w:r>
        <w:rPr>
          <w:rFonts w:ascii="Arial" w:cs="Arial" w:eastAsia="Arial" w:hAnsi="Arial"/>
          <w:sz w:val="16"/>
          <w:szCs w:val="16"/>
          <w:i w:val="1"/>
          <w:iCs w:val="1"/>
          <w:color w:val="auto"/>
        </w:rPr>
        <w:t xml:space="preserve">Indenture, Investment Management Agreement and Administration Agreement [and Warrant Agreement]. </w:t>
      </w:r>
      <w:r>
        <w:rPr>
          <w:rFonts w:ascii="Arial" w:cs="Arial" w:eastAsia="Arial" w:hAnsi="Arial"/>
          <w:sz w:val="16"/>
          <w:szCs w:val="16"/>
          <w:color w:val="auto"/>
        </w:rPr>
        <w:t>The Investment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The Indenture has been duly authorized, executed and delivered by the Company, and when executed and delivered by the Trustee, the Base Indenture constituted and the Supplemental Indenture will constitute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[The Warrant Agreement will have been duly authorized, executed and delivered by the Company prior to the issuance of any applicable Warrants and, when executed and delivered by the Warrant Agent,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64" w:lineRule="exact"/>
        <w:rPr>
          <w:rFonts w:ascii="Arial" w:cs="Arial" w:eastAsia="Arial" w:hAnsi="Arial"/>
          <w:sz w:val="16"/>
          <w:szCs w:val="16"/>
          <w:color w:val="auto"/>
        </w:rPr>
      </w:pPr>
    </w:p>
    <w:p>
      <w:pPr>
        <w:ind w:left="-443" w:firstLine="443"/>
        <w:spacing w:after="0" w:line="289" w:lineRule="auto"/>
        <w:tabs>
          <w:tab w:leader="none" w:pos="210" w:val="left"/>
        </w:tabs>
        <w:numPr>
          <w:ilvl w:val="0"/>
          <w:numId w:val="310"/>
        </w:numPr>
        <w:rPr>
          <w:rFonts w:ascii="Arial" w:cs="Arial" w:eastAsia="Arial" w:hAnsi="Arial"/>
          <w:sz w:val="16"/>
          <w:szCs w:val="16"/>
          <w:color w:val="auto"/>
        </w:rPr>
      </w:pPr>
      <w:r>
        <w:rPr>
          <w:rFonts w:ascii="Arial" w:cs="Arial" w:eastAsia="Arial" w:hAnsi="Arial"/>
          <w:sz w:val="16"/>
          <w:szCs w:val="16"/>
          <w:i w:val="1"/>
          <w:iCs w:val="1"/>
          <w:color w:val="auto"/>
        </w:rPr>
        <w:t xml:space="preserve">The Securities. </w:t>
      </w:r>
      <w:r>
        <w:rPr>
          <w:rFonts w:ascii="Arial" w:cs="Arial" w:eastAsia="Arial" w:hAnsi="Arial"/>
          <w:sz w:val="16"/>
          <w:szCs w:val="16"/>
          <w:color w:val="auto"/>
        </w:rPr>
        <w:t>(i) The Securities to be issued and sold by the Company hereunder have been duly authorized for issuance and sale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authenticated and delivered by the Company and authenticated by the Trustee pursuant to the provisions of this Agreement and the Indenture, against payment of the consideration set forth in this Agreement,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conform in all material respects to the descriptions thereof in the Registration Statement, the Pricing Disclosure Package and the Prospectus. [The Warrant Securities issuable upon exercise of the Warrants have been duly authorized and reserved for issuance upon such exercise, and when issued upon such exercise pursuant to the provisions of the Warrant Agreement, will be duly and validly issued, will be fully paid and nonassessable and not subject to any preemptive or similar rights and will conform in all material respects to the descriptions thereof in the Registration Statement, the Pricing Disclosure Package and the Prospectus.]</w:t>
      </w:r>
    </w:p>
    <w:p>
      <w:pPr>
        <w:spacing w:after="0" w:line="58" w:lineRule="exact"/>
        <w:rPr>
          <w:rFonts w:ascii="Arial" w:cs="Arial" w:eastAsia="Arial" w:hAnsi="Arial"/>
          <w:sz w:val="16"/>
          <w:szCs w:val="16"/>
          <w:color w:val="auto"/>
        </w:rPr>
      </w:pPr>
    </w:p>
    <w:p>
      <w:pPr>
        <w:ind w:left="17" w:right="40" w:firstLine="1"/>
        <w:spacing w:after="0" w:line="273" w:lineRule="auto"/>
        <w:tabs>
          <w:tab w:leader="none" w:pos="282" w:val="left"/>
        </w:tabs>
        <w:numPr>
          <w:ilvl w:val="1"/>
          <w:numId w:val="310"/>
        </w:numPr>
        <w:rPr>
          <w:rFonts w:ascii="Arial" w:cs="Arial" w:eastAsia="Arial" w:hAnsi="Arial"/>
          <w:sz w:val="17"/>
          <w:szCs w:val="17"/>
          <w:color w:val="auto"/>
        </w:rPr>
      </w:pPr>
      <w:r>
        <w:rPr>
          <w:rFonts w:ascii="Arial" w:cs="Arial" w:eastAsia="Arial" w:hAnsi="Arial"/>
          <w:sz w:val="17"/>
          <w:szCs w:val="17"/>
          <w:color w:val="auto"/>
        </w:rPr>
        <w:t>[Upon issuance and delivery of the Securities in accordance with this Agreement and the Indenture, the Securities will be convertible at the option of the holder thereof into [cash][shares of Common Stock (the “Underlying Securities”), par value $0.01 per share, of the Company (the “Common Stock”)][or a combination of cash and Underlying Securities, at the Company’s election], in accordance with the terms of the Securities and the Indenture, the Underlying Securities reserved for issuance upon conversion of the Securities will have been duly authorized and reserved and, if issued upon conversion of the Securities in accordance with the terms of the Securities, will be validly issued, fully paid and non-assessable and the issuance of the Underlying Securities will not be subject to any preemptive or similar rights.]</w:t>
      </w:r>
    </w:p>
    <w:p>
      <w:pPr>
        <w:spacing w:after="0" w:line="70" w:lineRule="exact"/>
        <w:rPr>
          <w:rFonts w:ascii="Arial" w:cs="Arial" w:eastAsia="Arial" w:hAnsi="Arial"/>
          <w:sz w:val="17"/>
          <w:szCs w:val="17"/>
          <w:color w:val="auto"/>
        </w:rPr>
      </w:pPr>
    </w:p>
    <w:p>
      <w:pPr>
        <w:ind w:left="-443" w:right="160" w:firstLine="443"/>
        <w:spacing w:after="0" w:line="264" w:lineRule="auto"/>
        <w:tabs>
          <w:tab w:leader="none" w:pos="300" w:val="left"/>
        </w:tabs>
        <w:numPr>
          <w:ilvl w:val="0"/>
          <w:numId w:val="310"/>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ectPr>
          <w:pgSz w:w="11900" w:h="16838" w:orient="portrait"/>
          <w:cols w:equalWidth="0" w:num="1">
            <w:col w:w="10477"/>
          </w:cols>
          <w:pgMar w:left="1143" w:top="273" w:right="279" w:bottom="1440" w:gutter="0" w:footer="0" w:header="0"/>
        </w:sectPr>
      </w:pPr>
    </w:p>
    <w:bookmarkStart w:id="344" w:name="page345"/>
    <w:bookmarkEnd w:id="344"/>
    <w:p>
      <w:pPr>
        <w:ind w:left="-443" w:right="60" w:firstLine="443"/>
        <w:spacing w:after="0" w:line="271" w:lineRule="auto"/>
        <w:tabs>
          <w:tab w:leader="none" w:pos="250" w:val="left"/>
        </w:tabs>
        <w:numPr>
          <w:ilvl w:val="0"/>
          <w:numId w:val="31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Violation or Default. </w:t>
      </w:r>
      <w:r>
        <w:rPr>
          <w:rFonts w:ascii="Arial" w:cs="Arial" w:eastAsia="Arial" w:hAnsi="Arial"/>
          <w:sz w:val="17"/>
          <w:szCs w:val="17"/>
          <w:color w:val="auto"/>
        </w:rPr>
        <w:t>Neither the Company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0" w:lineRule="exact"/>
        <w:rPr>
          <w:rFonts w:ascii="Arial" w:cs="Arial" w:eastAsia="Arial" w:hAnsi="Arial"/>
          <w:sz w:val="17"/>
          <w:szCs w:val="17"/>
          <w:color w:val="auto"/>
        </w:rPr>
      </w:pPr>
    </w:p>
    <w:p>
      <w:pPr>
        <w:ind w:left="-443" w:right="20" w:firstLine="443"/>
        <w:spacing w:after="0" w:line="287" w:lineRule="auto"/>
        <w:tabs>
          <w:tab w:leader="none" w:pos="250" w:val="left"/>
        </w:tabs>
        <w:numPr>
          <w:ilvl w:val="0"/>
          <w:numId w:val="311"/>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and the Indenture, the issuance and 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[(including issuance of the Underlying Securities upon conversion thereof)] and the consummation of the transactions contemplated by this Agreement and the Indenture and the performance by the Company of the Investment Management Agreement and the Administration Agreement [and the Warrant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60" w:lineRule="exact"/>
        <w:rPr>
          <w:rFonts w:ascii="Arial" w:cs="Arial" w:eastAsia="Arial" w:hAnsi="Arial"/>
          <w:sz w:val="16"/>
          <w:szCs w:val="16"/>
          <w:color w:val="auto"/>
        </w:rPr>
      </w:pPr>
    </w:p>
    <w:p>
      <w:pPr>
        <w:ind w:left="-443" w:firstLine="443"/>
        <w:spacing w:after="0" w:line="270" w:lineRule="auto"/>
        <w:tabs>
          <w:tab w:leader="none" w:pos="250" w:val="left"/>
        </w:tabs>
        <w:numPr>
          <w:ilvl w:val="0"/>
          <w:numId w:val="311"/>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license,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[and the Warrant Agreement], except for (i) the registration of the Securities under the Securities Act, (ii) such consents, approvals, authorizations, orders, licenses, registrations or qualifications as have already been obtained or made, (iii) the qualification of the Indenture under the 1939 Act, (iv) such consents, approvals, authorizations, orders and registrations or qualifications as may be required by the Financial Industry Regulatory Authority, Inc. (“FINRA”), [applicable stock exchange] or under applicable state securities laws in connection with the purchase and distribution of the Securities by the Underwriters and (v) where the failure to obtain any such consent, approval, authorization, order, license, registration or qualification would not reasonably be expected, individually or in the aggregate, to have a Material Adverse Effect.</w:t>
      </w:r>
    </w:p>
    <w:p>
      <w:pPr>
        <w:spacing w:after="0" w:line="69" w:lineRule="exact"/>
        <w:rPr>
          <w:rFonts w:ascii="Arial" w:cs="Arial" w:eastAsia="Arial" w:hAnsi="Arial"/>
          <w:sz w:val="17"/>
          <w:szCs w:val="17"/>
          <w:color w:val="auto"/>
        </w:rPr>
      </w:pPr>
    </w:p>
    <w:p>
      <w:pPr>
        <w:ind w:left="-443" w:firstLine="443"/>
        <w:spacing w:after="0" w:line="291" w:lineRule="auto"/>
        <w:tabs>
          <w:tab w:leader="none" w:pos="250" w:val="left"/>
        </w:tabs>
        <w:numPr>
          <w:ilvl w:val="0"/>
          <w:numId w:val="311"/>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w:t>
      </w:r>
    </w:p>
    <w:p>
      <w:pPr>
        <w:sectPr>
          <w:pgSz w:w="11900" w:h="16838" w:orient="portrait"/>
          <w:cols w:equalWidth="0" w:num="1">
            <w:col w:w="10497"/>
          </w:cols>
          <w:pgMar w:left="1143" w:top="274" w:right="259" w:bottom="1440" w:gutter="0" w:footer="0" w:header="0"/>
        </w:sectPr>
      </w:pPr>
    </w:p>
    <w:bookmarkStart w:id="345" w:name="page346"/>
    <w:bookmarkEnd w:id="34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79" w:lineRule="exact"/>
        <w:rPr>
          <w:sz w:val="20"/>
          <w:szCs w:val="20"/>
          <w:color w:val="auto"/>
        </w:rPr>
      </w:pPr>
    </w:p>
    <w:p>
      <w:pPr>
        <w:ind w:right="80" w:firstLine="443"/>
        <w:spacing w:after="0" w:line="259" w:lineRule="auto"/>
        <w:tabs>
          <w:tab w:leader="none" w:pos="663" w:val="left"/>
        </w:tabs>
        <w:numPr>
          <w:ilvl w:val="1"/>
          <w:numId w:val="312"/>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100" w:firstLine="443"/>
        <w:spacing w:after="0" w:line="271" w:lineRule="auto"/>
        <w:tabs>
          <w:tab w:leader="none" w:pos="673" w:val="left"/>
        </w:tabs>
        <w:numPr>
          <w:ilvl w:val="1"/>
          <w:numId w:val="312"/>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Securities, as of the Closing Date and as of any Additional Closing Date, the operations of the Company are in compliance in all material respects with the provisions of the Investment Company Act applicable to business development companies.</w:t>
      </w:r>
    </w:p>
    <w:p>
      <w:pPr>
        <w:spacing w:after="0" w:line="70" w:lineRule="exact"/>
        <w:rPr>
          <w:rFonts w:ascii="Arial" w:cs="Arial" w:eastAsia="Arial" w:hAnsi="Arial"/>
          <w:sz w:val="17"/>
          <w:szCs w:val="17"/>
          <w:color w:val="auto"/>
        </w:rPr>
      </w:pPr>
    </w:p>
    <w:p>
      <w:pPr>
        <w:ind w:right="100" w:firstLine="443"/>
        <w:spacing w:after="0" w:line="286" w:lineRule="auto"/>
        <w:tabs>
          <w:tab w:leader="none" w:pos="653" w:val="left"/>
        </w:tabs>
        <w:numPr>
          <w:ilvl w:val="1"/>
          <w:numId w:val="312"/>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57" w:lineRule="exact"/>
        <w:rPr>
          <w:rFonts w:ascii="Arial" w:cs="Arial" w:eastAsia="Arial" w:hAnsi="Arial"/>
          <w:sz w:val="17"/>
          <w:szCs w:val="17"/>
          <w:color w:val="auto"/>
        </w:rPr>
      </w:pPr>
    </w:p>
    <w:p>
      <w:pPr>
        <w:ind w:firstLine="443"/>
        <w:spacing w:after="0" w:line="293" w:lineRule="auto"/>
        <w:tabs>
          <w:tab w:leader="none" w:pos="693" w:val="left"/>
        </w:tabs>
        <w:numPr>
          <w:ilvl w:val="1"/>
          <w:numId w:val="312"/>
        </w:numPr>
        <w:rPr>
          <w:rFonts w:ascii="Arial" w:cs="Arial" w:eastAsia="Arial" w:hAnsi="Arial"/>
          <w:sz w:val="16"/>
          <w:szCs w:val="16"/>
          <w:color w:val="auto"/>
        </w:rPr>
      </w:pPr>
      <w:r>
        <w:rPr>
          <w:rFonts w:ascii="Arial" w:cs="Arial" w:eastAsia="Arial" w:hAnsi="Arial"/>
          <w:sz w:val="16"/>
          <w:szCs w:val="16"/>
          <w:i w:val="1"/>
          <w:iCs w:val="1"/>
          <w:color w:val="auto"/>
        </w:rPr>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3(v))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56" w:lineRule="exact"/>
        <w:rPr>
          <w:rFonts w:ascii="Arial" w:cs="Arial" w:eastAsia="Arial" w:hAnsi="Arial"/>
          <w:sz w:val="16"/>
          <w:szCs w:val="16"/>
          <w:color w:val="auto"/>
        </w:rPr>
      </w:pPr>
    </w:p>
    <w:p>
      <w:pPr>
        <w:ind w:left="700" w:hanging="257"/>
        <w:spacing w:after="0"/>
        <w:tabs>
          <w:tab w:leader="none" w:pos="700" w:val="left"/>
        </w:tabs>
        <w:numPr>
          <w:ilvl w:val="1"/>
          <w:numId w:val="312"/>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Except as would not reasonably be expected, individually or in the aggregate, to have a Material Adverse Effect,</w:t>
      </w:r>
    </w:p>
    <w:p>
      <w:pPr>
        <w:spacing w:after="0" w:line="46" w:lineRule="exact"/>
        <w:rPr>
          <w:rFonts w:ascii="Arial" w:cs="Arial" w:eastAsia="Arial" w:hAnsi="Arial"/>
          <w:sz w:val="16"/>
          <w:szCs w:val="16"/>
          <w:color w:val="auto"/>
        </w:rPr>
      </w:pPr>
    </w:p>
    <w:p>
      <w:pPr>
        <w:ind w:firstLine="4"/>
        <w:spacing w:after="0" w:line="252" w:lineRule="auto"/>
        <w:tabs>
          <w:tab w:leader="none" w:pos="21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84" w:lineRule="exact"/>
        <w:rPr>
          <w:rFonts w:ascii="Arial" w:cs="Arial" w:eastAsia="Arial" w:hAnsi="Arial"/>
          <w:sz w:val="18"/>
          <w:szCs w:val="18"/>
          <w:color w:val="auto"/>
        </w:rPr>
      </w:pPr>
    </w:p>
    <w:p>
      <w:pPr>
        <w:ind w:firstLine="443"/>
        <w:spacing w:after="0" w:line="259" w:lineRule="auto"/>
        <w:tabs>
          <w:tab w:leader="none" w:pos="733" w:val="left"/>
        </w:tabs>
        <w:numPr>
          <w:ilvl w:val="1"/>
          <w:numId w:val="313"/>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ectPr>
          <w:pgSz w:w="11900" w:h="16838" w:orient="portrait"/>
          <w:cols w:equalWidth="0" w:num="1">
            <w:col w:w="10940"/>
          </w:cols>
          <w:pgMar w:left="700" w:top="274" w:right="259" w:bottom="1440" w:gutter="0" w:footer="0" w:header="0"/>
        </w:sectPr>
      </w:pPr>
    </w:p>
    <w:bookmarkStart w:id="346" w:name="page347"/>
    <w:bookmarkEnd w:id="346"/>
    <w:p>
      <w:pPr>
        <w:ind w:left="-4" w:firstLine="443"/>
        <w:spacing w:after="0" w:line="297" w:lineRule="auto"/>
        <w:tabs>
          <w:tab w:leader="none" w:pos="688" w:val="left"/>
        </w:tabs>
        <w:numPr>
          <w:ilvl w:val="0"/>
          <w:numId w:val="31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Company Act</w:t>
      </w:r>
      <w:r>
        <w:rPr>
          <w:rFonts w:ascii="Arial" w:cs="Arial" w:eastAsia="Arial" w:hAnsi="Arial"/>
          <w:sz w:val="16"/>
          <w:szCs w:val="16"/>
          <w:color w:val="auto"/>
        </w:rPr>
        <w:t>. The Company is not and its subsidiaries are not, and, after giving effect to the offering and sale of the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50" w:lineRule="exact"/>
        <w:rPr>
          <w:rFonts w:ascii="Arial" w:cs="Arial" w:eastAsia="Arial" w:hAnsi="Arial"/>
          <w:sz w:val="16"/>
          <w:szCs w:val="16"/>
          <w:color w:val="auto"/>
        </w:rPr>
      </w:pPr>
    </w:p>
    <w:p>
      <w:pPr>
        <w:ind w:left="-4" w:right="60" w:firstLine="443"/>
        <w:spacing w:after="0" w:line="293" w:lineRule="auto"/>
        <w:tabs>
          <w:tab w:leader="none" w:pos="688" w:val="left"/>
        </w:tabs>
        <w:numPr>
          <w:ilvl w:val="0"/>
          <w:numId w:val="314"/>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56" w:lineRule="exact"/>
        <w:rPr>
          <w:rFonts w:ascii="Arial" w:cs="Arial" w:eastAsia="Arial" w:hAnsi="Arial"/>
          <w:sz w:val="16"/>
          <w:szCs w:val="16"/>
          <w:color w:val="auto"/>
        </w:rPr>
      </w:pPr>
    </w:p>
    <w:p>
      <w:pPr>
        <w:ind w:left="-4" w:right="40" w:firstLine="443"/>
        <w:spacing w:after="0" w:line="270" w:lineRule="auto"/>
        <w:tabs>
          <w:tab w:leader="none" w:pos="678" w:val="left"/>
        </w:tabs>
        <w:numPr>
          <w:ilvl w:val="0"/>
          <w:numId w:val="314"/>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74" w:lineRule="exact"/>
        <w:rPr>
          <w:sz w:val="20"/>
          <w:szCs w:val="20"/>
          <w:color w:val="auto"/>
        </w:rPr>
      </w:pPr>
    </w:p>
    <w:p>
      <w:pPr>
        <w:ind w:left="-4" w:right="120" w:firstLine="443"/>
        <w:spacing w:after="0" w:line="293" w:lineRule="auto"/>
        <w:tabs>
          <w:tab w:leader="none" w:pos="758" w:val="left"/>
        </w:tabs>
        <w:numPr>
          <w:ilvl w:val="1"/>
          <w:numId w:val="315"/>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maintains an effective system of “disclosure controls and procedures” (as defined in Rule 13a-15(e)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56" w:lineRule="exact"/>
        <w:rPr>
          <w:rFonts w:ascii="Arial" w:cs="Arial" w:eastAsia="Arial" w:hAnsi="Arial"/>
          <w:sz w:val="16"/>
          <w:szCs w:val="16"/>
          <w:color w:val="auto"/>
        </w:rPr>
      </w:pPr>
    </w:p>
    <w:p>
      <w:pPr>
        <w:ind w:left="-4" w:right="40" w:firstLine="443"/>
        <w:spacing w:after="0" w:line="284" w:lineRule="auto"/>
        <w:tabs>
          <w:tab w:leader="none" w:pos="779" w:val="left"/>
        </w:tabs>
        <w:numPr>
          <w:ilvl w:val="1"/>
          <w:numId w:val="315"/>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w:t>
      </w:r>
    </w:p>
    <w:p>
      <w:pPr>
        <w:spacing w:after="0" w:line="2" w:lineRule="exact"/>
        <w:rPr>
          <w:rFonts w:ascii="Arial" w:cs="Arial" w:eastAsia="Arial" w:hAnsi="Arial"/>
          <w:sz w:val="16"/>
          <w:szCs w:val="16"/>
          <w:color w:val="auto"/>
        </w:rPr>
      </w:pPr>
    </w:p>
    <w:p>
      <w:pPr>
        <w:ind w:left="-4" w:right="60" w:firstLine="4"/>
        <w:spacing w:after="0" w:line="254" w:lineRule="auto"/>
        <w:tabs>
          <w:tab w:leader="none" w:pos="31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w:t>
      </w:r>
    </w:p>
    <w:p>
      <w:pPr>
        <w:sectPr>
          <w:pgSz w:w="11900" w:h="16838" w:orient="portrait"/>
          <w:cols w:equalWidth="0" w:num="1">
            <w:col w:w="10956"/>
          </w:cols>
          <w:pgMar w:left="704" w:top="274" w:right="239" w:bottom="1440" w:gutter="0" w:footer="0" w:header="0"/>
        </w:sectPr>
      </w:pPr>
    </w:p>
    <w:bookmarkStart w:id="347" w:name="page348"/>
    <w:bookmarkEnd w:id="34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reasonable intervals and appropriate action is taken with respect to any differences. Except as disclosed in the Registration Statement, the Pricing Disclosure Package and the Prospectus,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59" w:lineRule="exact"/>
        <w:rPr>
          <w:sz w:val="20"/>
          <w:szCs w:val="20"/>
          <w:color w:val="auto"/>
        </w:rPr>
      </w:pPr>
    </w:p>
    <w:p>
      <w:pPr>
        <w:ind w:right="80" w:firstLine="443"/>
        <w:spacing w:after="0" w:line="288" w:lineRule="auto"/>
        <w:tabs>
          <w:tab w:leader="none" w:pos="763" w:val="left"/>
        </w:tabs>
        <w:numPr>
          <w:ilvl w:val="1"/>
          <w:numId w:val="317"/>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ind w:right="20" w:firstLine="4"/>
        <w:spacing w:after="0" w:line="254" w:lineRule="auto"/>
        <w:tabs>
          <w:tab w:leader="none" w:pos="21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81" w:lineRule="exact"/>
        <w:rPr>
          <w:rFonts w:ascii="Arial" w:cs="Arial" w:eastAsia="Arial" w:hAnsi="Arial"/>
          <w:sz w:val="18"/>
          <w:szCs w:val="18"/>
          <w:color w:val="auto"/>
        </w:rPr>
      </w:pPr>
    </w:p>
    <w:p>
      <w:pPr>
        <w:ind w:firstLine="443"/>
        <w:spacing w:after="0" w:line="284" w:lineRule="auto"/>
        <w:tabs>
          <w:tab w:leader="none" w:pos="783" w:val="left"/>
        </w:tabs>
        <w:numPr>
          <w:ilvl w:val="1"/>
          <w:numId w:val="318"/>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or employee of the Company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right="200" w:firstLine="4"/>
        <w:spacing w:after="0" w:line="252" w:lineRule="auto"/>
        <w:tabs>
          <w:tab w:leader="none" w:pos="31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84" w:lineRule="exact"/>
        <w:rPr>
          <w:rFonts w:ascii="Arial" w:cs="Arial" w:eastAsia="Arial" w:hAnsi="Arial"/>
          <w:sz w:val="18"/>
          <w:szCs w:val="18"/>
          <w:color w:val="auto"/>
        </w:rPr>
      </w:pPr>
    </w:p>
    <w:p>
      <w:pPr>
        <w:ind w:right="80" w:firstLine="443"/>
        <w:spacing w:after="0" w:line="291" w:lineRule="auto"/>
        <w:tabs>
          <w:tab w:leader="none" w:pos="763" w:val="left"/>
        </w:tabs>
        <w:numPr>
          <w:ilvl w:val="1"/>
          <w:numId w:val="319"/>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Company and its subsidiaries are and have been conducted at all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59" w:lineRule="exact"/>
        <w:rPr>
          <w:rFonts w:ascii="Arial" w:cs="Arial" w:eastAsia="Arial" w:hAnsi="Arial"/>
          <w:sz w:val="16"/>
          <w:szCs w:val="16"/>
          <w:color w:val="auto"/>
        </w:rPr>
      </w:pPr>
    </w:p>
    <w:p>
      <w:pPr>
        <w:jc w:val="both"/>
        <w:ind w:right="40" w:firstLine="443"/>
        <w:spacing w:after="0" w:line="286" w:lineRule="auto"/>
        <w:tabs>
          <w:tab w:leader="none" w:pos="720" w:val="left"/>
        </w:tabs>
        <w:numPr>
          <w:ilvl w:val="1"/>
          <w:numId w:val="319"/>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subsidiaries, directors, officers or employees,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w:t>
      </w:r>
    </w:p>
    <w:p>
      <w:pPr>
        <w:sectPr>
          <w:pgSz w:w="11900" w:h="16838" w:orient="portrait"/>
          <w:cols w:equalWidth="0" w:num="1">
            <w:col w:w="10940"/>
          </w:cols>
          <w:pgMar w:left="700" w:top="273" w:right="259" w:bottom="1440" w:gutter="0" w:footer="0" w:header="0"/>
        </w:sectPr>
      </w:pPr>
    </w:p>
    <w:bookmarkStart w:id="348" w:name="page349"/>
    <w:bookmarkEnd w:id="34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any of its subsidiaries located, organized or resident in a country or territory that is the subject or the target of Sanctions, including, without limitation, Cuba, Iran, North Korea, Sudan and Syria,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72" w:lineRule="exact"/>
        <w:rPr>
          <w:sz w:val="20"/>
          <w:szCs w:val="20"/>
          <w:color w:val="auto"/>
        </w:rPr>
      </w:pPr>
    </w:p>
    <w:p>
      <w:pPr>
        <w:ind w:right="100" w:firstLine="443"/>
        <w:spacing w:after="0" w:line="257" w:lineRule="auto"/>
        <w:tabs>
          <w:tab w:leader="none" w:pos="783"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80" w:lineRule="exact"/>
        <w:rPr>
          <w:rFonts w:ascii="Arial" w:cs="Arial" w:eastAsia="Arial" w:hAnsi="Arial"/>
          <w:sz w:val="18"/>
          <w:szCs w:val="18"/>
          <w:color w:val="auto"/>
        </w:rPr>
      </w:pPr>
    </w:p>
    <w:p>
      <w:pPr>
        <w:ind w:right="280" w:firstLine="443"/>
        <w:spacing w:after="0" w:line="264" w:lineRule="auto"/>
        <w:tabs>
          <w:tab w:leader="none" w:pos="783"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73" w:lineRule="exact"/>
        <w:rPr>
          <w:rFonts w:ascii="Arial" w:cs="Arial" w:eastAsia="Arial" w:hAnsi="Arial"/>
          <w:sz w:val="18"/>
          <w:szCs w:val="18"/>
          <w:color w:val="auto"/>
        </w:rPr>
      </w:pPr>
    </w:p>
    <w:p>
      <w:pPr>
        <w:ind w:right="180" w:firstLine="443"/>
        <w:spacing w:after="0" w:line="308" w:lineRule="auto"/>
        <w:tabs>
          <w:tab w:leader="none" w:pos="703" w:val="left"/>
        </w:tabs>
        <w:numPr>
          <w:ilvl w:val="0"/>
          <w:numId w:val="320"/>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Securities.</w:t>
      </w:r>
    </w:p>
    <w:p>
      <w:pPr>
        <w:spacing w:after="0" w:line="38" w:lineRule="exact"/>
        <w:rPr>
          <w:rFonts w:ascii="Arial" w:cs="Arial" w:eastAsia="Arial" w:hAnsi="Arial"/>
          <w:sz w:val="17"/>
          <w:szCs w:val="17"/>
          <w:color w:val="auto"/>
        </w:rPr>
      </w:pPr>
    </w:p>
    <w:p>
      <w:pPr>
        <w:ind w:right="320" w:firstLine="443"/>
        <w:spacing w:after="0" w:line="264" w:lineRule="auto"/>
        <w:tabs>
          <w:tab w:leader="none" w:pos="703"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has not taken, directly or indirectly, without giving effect to any activities by the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Securities, other than permitted activity pursuant to Regulation M and Rule 10b-18 under the Exchange Act.</w:t>
      </w:r>
    </w:p>
    <w:p>
      <w:pPr>
        <w:spacing w:after="0" w:line="73" w:lineRule="exact"/>
        <w:rPr>
          <w:rFonts w:ascii="Arial" w:cs="Arial" w:eastAsia="Arial" w:hAnsi="Arial"/>
          <w:sz w:val="18"/>
          <w:szCs w:val="18"/>
          <w:color w:val="auto"/>
        </w:rPr>
      </w:pPr>
    </w:p>
    <w:p>
      <w:pPr>
        <w:jc w:val="both"/>
        <w:ind w:right="240" w:firstLine="443"/>
        <w:spacing w:after="0" w:line="264" w:lineRule="auto"/>
        <w:tabs>
          <w:tab w:leader="none" w:pos="783"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contained in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20" w:firstLine="443"/>
        <w:spacing w:after="0" w:line="264" w:lineRule="auto"/>
        <w:tabs>
          <w:tab w:leader="none" w:pos="703"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in the Registration Statement, the Pricing Disclosure Package and the Prospectus is not based on or derived from sources that are reasonably reliable and accurate in all material respects.</w:t>
      </w:r>
    </w:p>
    <w:p>
      <w:pPr>
        <w:spacing w:after="0" w:line="73" w:lineRule="exact"/>
        <w:rPr>
          <w:rFonts w:ascii="Arial" w:cs="Arial" w:eastAsia="Arial" w:hAnsi="Arial"/>
          <w:sz w:val="18"/>
          <w:szCs w:val="18"/>
          <w:color w:val="auto"/>
        </w:rPr>
      </w:pPr>
    </w:p>
    <w:p>
      <w:pPr>
        <w:ind w:firstLine="443"/>
        <w:spacing w:after="0" w:line="259" w:lineRule="auto"/>
        <w:tabs>
          <w:tab w:leader="none" w:pos="883"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right="80" w:firstLine="443"/>
        <w:spacing w:after="0" w:line="264" w:lineRule="auto"/>
        <w:tabs>
          <w:tab w:leader="none" w:pos="783"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Rule 38a-1 Compliance</w:t>
      </w:r>
      <w:r>
        <w:rPr>
          <w:rFonts w:ascii="Arial" w:cs="Arial" w:eastAsia="Arial" w:hAnsi="Arial"/>
          <w:sz w:val="18"/>
          <w:szCs w:val="18"/>
          <w:color w:val="auto"/>
        </w:rPr>
        <w:t>. The Company has adopted and implemented written policies and procedures reasonably designed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of the Federal Securities Laws (as that term is defined in Rule 38a-1 under the Investment Company Act) by the Company, including policies and procedures that</w:t>
      </w:r>
    </w:p>
    <w:p>
      <w:pPr>
        <w:sectPr>
          <w:pgSz w:w="11900" w:h="16838" w:orient="portrait"/>
          <w:cols w:equalWidth="0" w:num="1">
            <w:col w:w="10960"/>
          </w:cols>
          <w:pgMar w:left="700" w:top="274" w:right="2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oversight of compliance by each investment adviser, administrator and transfer agent of the Company.</w:t>
      </w:r>
    </w:p>
    <w:p>
      <w:pPr>
        <w:spacing w:after="0" w:line="117" w:lineRule="exact"/>
        <w:rPr>
          <w:sz w:val="20"/>
          <w:szCs w:val="20"/>
          <w:color w:val="auto"/>
        </w:rPr>
      </w:pPr>
    </w:p>
    <w:p>
      <w:pPr>
        <w:jc w:val="both"/>
        <w:ind w:right="20" w:firstLine="443"/>
        <w:spacing w:after="0" w:line="259" w:lineRule="auto"/>
        <w:tabs>
          <w:tab w:leader="none" w:pos="783" w:val="left"/>
        </w:tabs>
        <w:numPr>
          <w:ilvl w:val="1"/>
          <w:numId w:val="321"/>
        </w:numPr>
        <w:rPr>
          <w:rFonts w:ascii="Arial" w:cs="Arial" w:eastAsia="Arial" w:hAnsi="Arial"/>
          <w:sz w:val="18"/>
          <w:szCs w:val="18"/>
          <w:color w:val="auto"/>
        </w:rPr>
      </w:pPr>
      <w:r>
        <w:rPr>
          <w:rFonts w:ascii="Arial" w:cs="Arial" w:eastAsia="Arial" w:hAnsi="Arial"/>
          <w:sz w:val="18"/>
          <w:szCs w:val="18"/>
          <w:i w:val="1"/>
          <w:iCs w:val="1"/>
          <w:color w:val="auto"/>
        </w:rPr>
        <w:t>Regulated Investment Company</w:t>
      </w:r>
      <w:r>
        <w:rPr>
          <w:rFonts w:ascii="Arial" w:cs="Arial" w:eastAsia="Arial" w:hAnsi="Arial"/>
          <w:sz w:val="18"/>
          <w:szCs w:val="18"/>
          <w:color w:val="auto"/>
        </w:rPr>
        <w:t>. The Company has elected to be treated, and has operated, and intends to continue to operate, its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jc w:val="both"/>
        <w:ind w:firstLine="443"/>
        <w:spacing w:after="0" w:line="291" w:lineRule="auto"/>
        <w:tabs>
          <w:tab w:leader="none" w:pos="683" w:val="left"/>
        </w:tabs>
        <w:numPr>
          <w:ilvl w:val="1"/>
          <w:numId w:val="322"/>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54" w:lineRule="exact"/>
        <w:rPr>
          <w:rFonts w:ascii="Arial" w:cs="Arial" w:eastAsia="Arial" w:hAnsi="Arial"/>
          <w:sz w:val="16"/>
          <w:szCs w:val="16"/>
          <w:color w:val="auto"/>
        </w:rPr>
      </w:pPr>
    </w:p>
    <w:p>
      <w:pPr>
        <w:ind w:right="60" w:firstLine="443"/>
        <w:spacing w:after="0" w:line="271" w:lineRule="auto"/>
        <w:tabs>
          <w:tab w:leader="none" w:pos="693" w:val="left"/>
        </w:tabs>
        <w:numPr>
          <w:ilvl w:val="1"/>
          <w:numId w:val="322"/>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Adviser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70" w:lineRule="exact"/>
        <w:rPr>
          <w:rFonts w:ascii="Arial" w:cs="Arial" w:eastAsia="Arial" w:hAnsi="Arial"/>
          <w:sz w:val="17"/>
          <w:szCs w:val="17"/>
          <w:color w:val="auto"/>
        </w:rPr>
      </w:pPr>
    </w:p>
    <w:p>
      <w:pPr>
        <w:ind w:right="20" w:firstLine="443"/>
        <w:spacing w:after="0" w:line="276" w:lineRule="auto"/>
        <w:tabs>
          <w:tab w:leader="none" w:pos="683" w:val="left"/>
        </w:tabs>
        <w:numPr>
          <w:ilvl w:val="1"/>
          <w:numId w:val="322"/>
        </w:numPr>
        <w:rPr>
          <w:rFonts w:ascii="Arial" w:cs="Arial" w:eastAsia="Arial" w:hAnsi="Arial"/>
          <w:sz w:val="17"/>
          <w:szCs w:val="17"/>
          <w:color w:val="auto"/>
        </w:rPr>
      </w:pPr>
      <w:r>
        <w:rPr>
          <w:rFonts w:ascii="Arial" w:cs="Arial" w:eastAsia="Arial" w:hAnsi="Arial"/>
          <w:sz w:val="17"/>
          <w:szCs w:val="17"/>
          <w:i w:val="1"/>
          <w:iCs w:val="1"/>
          <w:color w:val="auto"/>
        </w:rPr>
        <w:t>Registration as an Investment Adviser</w:t>
      </w:r>
      <w:r>
        <w:rPr>
          <w:rFonts w:ascii="Arial" w:cs="Arial" w:eastAsia="Arial" w:hAnsi="Arial"/>
          <w:sz w:val="17"/>
          <w:szCs w:val="17"/>
          <w:color w:val="auto"/>
        </w:rPr>
        <w:t>. The Adviser is duly registered with the Commission as an investment adviser under the Advisers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1"/>
          <w:numId w:val="322"/>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right="220" w:firstLine="443"/>
        <w:spacing w:after="0" w:line="279" w:lineRule="auto"/>
        <w:tabs>
          <w:tab w:leader="none" w:pos="683" w:val="left"/>
        </w:tabs>
        <w:numPr>
          <w:ilvl w:val="1"/>
          <w:numId w:val="322"/>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the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63" w:lineRule="exact"/>
        <w:rPr>
          <w:rFonts w:ascii="Arial" w:cs="Arial" w:eastAsia="Arial" w:hAnsi="Arial"/>
          <w:sz w:val="17"/>
          <w:szCs w:val="17"/>
          <w:color w:val="auto"/>
        </w:rPr>
      </w:pPr>
    </w:p>
    <w:p>
      <w:pPr>
        <w:ind w:right="20" w:firstLine="443"/>
        <w:spacing w:after="0" w:line="259" w:lineRule="auto"/>
        <w:tabs>
          <w:tab w:leader="none" w:pos="663" w:val="left"/>
        </w:tabs>
        <w:numPr>
          <w:ilvl w:val="1"/>
          <w:numId w:val="322"/>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Adviser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w:t>
      </w:r>
    </w:p>
    <w:p>
      <w:pPr>
        <w:sectPr>
          <w:pgSz w:w="11900" w:h="16838" w:orient="portrait"/>
          <w:cols w:equalWidth="0" w:num="1">
            <w:col w:w="10900"/>
          </w:cols>
          <w:pgMar w:left="700" w:top="274" w:right="299" w:bottom="1440" w:gutter="0" w:footer="0" w:header="0"/>
        </w:sectPr>
      </w:pPr>
    </w:p>
    <w:bookmarkStart w:id="350" w:name="page351"/>
    <w:bookmarkEnd w:id="350"/>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46" w:lineRule="exact"/>
        <w:rPr>
          <w:sz w:val="20"/>
          <w:szCs w:val="20"/>
          <w:color w:val="auto"/>
        </w:rPr>
      </w:pPr>
    </w:p>
    <w:p>
      <w:pPr>
        <w:ind w:left="700" w:hanging="257"/>
        <w:spacing w:after="0"/>
        <w:tabs>
          <w:tab w:leader="none" w:pos="700" w:val="left"/>
        </w:tabs>
        <w:numPr>
          <w:ilvl w:val="0"/>
          <w:numId w:val="323"/>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w:t>
      </w:r>
    </w:p>
    <w:p>
      <w:pPr>
        <w:spacing w:after="0" w:line="34" w:lineRule="exact"/>
        <w:rPr>
          <w:rFonts w:ascii="Arial" w:cs="Arial" w:eastAsia="Arial" w:hAnsi="Arial"/>
          <w:sz w:val="17"/>
          <w:szCs w:val="17"/>
          <w:color w:val="auto"/>
        </w:rPr>
      </w:pPr>
    </w:p>
    <w:p>
      <w:pPr>
        <w:ind w:right="20"/>
        <w:spacing w:after="0" w:line="287" w:lineRule="auto"/>
        <w:rPr>
          <w:rFonts w:ascii="Arial" w:cs="Arial" w:eastAsia="Arial" w:hAnsi="Arial"/>
          <w:sz w:val="17"/>
          <w:szCs w:val="17"/>
          <w:color w:val="auto"/>
        </w:rPr>
      </w:pPr>
      <w:r>
        <w:rPr>
          <w:rFonts w:ascii="Arial" w:cs="Arial" w:eastAsia="Arial" w:hAnsi="Arial"/>
          <w:sz w:val="16"/>
          <w:szCs w:val="16"/>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58" w:lineRule="exact"/>
        <w:rPr>
          <w:rFonts w:ascii="Arial" w:cs="Arial" w:eastAsia="Arial" w:hAnsi="Arial"/>
          <w:sz w:val="17"/>
          <w:szCs w:val="17"/>
          <w:color w:val="auto"/>
        </w:rPr>
      </w:pPr>
    </w:p>
    <w:p>
      <w:pPr>
        <w:ind w:right="160" w:firstLine="443"/>
        <w:spacing w:after="0" w:line="255" w:lineRule="auto"/>
        <w:tabs>
          <w:tab w:leader="none" w:pos="693"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right="80" w:firstLine="443"/>
        <w:spacing w:after="0" w:line="270" w:lineRule="auto"/>
        <w:tabs>
          <w:tab w:leader="none" w:pos="653" w:val="left"/>
        </w:tabs>
        <w:numPr>
          <w:ilvl w:val="0"/>
          <w:numId w:val="323"/>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69" w:lineRule="exact"/>
        <w:rPr>
          <w:rFonts w:ascii="Arial" w:cs="Arial" w:eastAsia="Arial" w:hAnsi="Arial"/>
          <w:sz w:val="17"/>
          <w:szCs w:val="17"/>
          <w:color w:val="auto"/>
        </w:rPr>
      </w:pPr>
    </w:p>
    <w:p>
      <w:pPr>
        <w:ind w:right="20" w:firstLine="443"/>
        <w:spacing w:after="0" w:line="290" w:lineRule="auto"/>
        <w:tabs>
          <w:tab w:leader="none" w:pos="653" w:val="left"/>
        </w:tabs>
        <w:numPr>
          <w:ilvl w:val="0"/>
          <w:numId w:val="323"/>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The Adviser and its subsidiaries possess all licenses, certificates, permits and other authorizations issued by,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w:t>
      </w:r>
    </w:p>
    <w:p>
      <w:pPr>
        <w:sectPr>
          <w:pgSz w:w="11900" w:h="16838" w:orient="portrait"/>
          <w:cols w:equalWidth="0" w:num="1">
            <w:col w:w="10940"/>
          </w:cols>
          <w:pgMar w:left="700" w:top="274" w:right="25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not reasonably be expected, individually or in the aggregate, to have an Adviser Material Adverse Effect.</w:t>
      </w:r>
    </w:p>
    <w:p>
      <w:pPr>
        <w:spacing w:after="0" w:line="117" w:lineRule="exact"/>
        <w:rPr>
          <w:sz w:val="20"/>
          <w:szCs w:val="20"/>
          <w:color w:val="auto"/>
        </w:rPr>
      </w:pPr>
    </w:p>
    <w:p>
      <w:pPr>
        <w:ind w:right="180" w:firstLine="443"/>
        <w:spacing w:after="0" w:line="312" w:lineRule="auto"/>
        <w:tabs>
          <w:tab w:leader="none" w:pos="693" w:val="left"/>
        </w:tabs>
        <w:numPr>
          <w:ilvl w:val="1"/>
          <w:numId w:val="324"/>
        </w:numPr>
        <w:rPr>
          <w:rFonts w:ascii="Arial" w:cs="Arial" w:eastAsia="Arial" w:hAnsi="Arial"/>
          <w:sz w:val="16"/>
          <w:szCs w:val="16"/>
          <w:color w:val="auto"/>
        </w:rPr>
      </w:pPr>
      <w:r>
        <w:rPr>
          <w:rFonts w:ascii="Arial" w:cs="Arial" w:eastAsia="Arial" w:hAnsi="Arial"/>
          <w:sz w:val="16"/>
          <w:szCs w:val="16"/>
          <w:i w:val="1"/>
          <w:iCs w:val="1"/>
          <w:color w:val="auto"/>
        </w:rPr>
        <w:t>Description of the Adviser</w:t>
      </w:r>
      <w:r>
        <w:rPr>
          <w:rFonts w:ascii="Arial" w:cs="Arial" w:eastAsia="Arial" w:hAnsi="Arial"/>
          <w:sz w:val="16"/>
          <w:szCs w:val="16"/>
          <w:color w:val="auto"/>
        </w:rPr>
        <w:t>. The description of the Adviser and its respective principals and business in the Registration Statement,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38" w:lineRule="exact"/>
        <w:rPr>
          <w:rFonts w:ascii="Arial" w:cs="Arial" w:eastAsia="Arial" w:hAnsi="Arial"/>
          <w:sz w:val="16"/>
          <w:szCs w:val="16"/>
          <w:color w:val="auto"/>
        </w:rPr>
      </w:pPr>
    </w:p>
    <w:p>
      <w:pPr>
        <w:ind w:right="440" w:firstLine="443"/>
        <w:spacing w:after="0" w:line="264" w:lineRule="auto"/>
        <w:tabs>
          <w:tab w:leader="none" w:pos="653" w:val="left"/>
        </w:tabs>
        <w:numPr>
          <w:ilvl w:val="1"/>
          <w:numId w:val="324"/>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73" w:lineRule="exact"/>
        <w:rPr>
          <w:rFonts w:ascii="Arial" w:cs="Arial" w:eastAsia="Arial" w:hAnsi="Arial"/>
          <w:sz w:val="18"/>
          <w:szCs w:val="18"/>
          <w:color w:val="auto"/>
        </w:rPr>
      </w:pPr>
    </w:p>
    <w:p>
      <w:pPr>
        <w:ind w:left="740" w:hanging="297"/>
        <w:spacing w:after="0"/>
        <w:tabs>
          <w:tab w:leader="none" w:pos="740" w:val="left"/>
        </w:tabs>
        <w:numPr>
          <w:ilvl w:val="1"/>
          <w:numId w:val="324"/>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 The Adviser maintains a system of internal accounting controls sufficient to provide reasonable assurance that</w:t>
      </w:r>
    </w:p>
    <w:p>
      <w:pPr>
        <w:spacing w:after="0" w:line="23" w:lineRule="exact"/>
        <w:rPr>
          <w:rFonts w:ascii="Arial" w:cs="Arial" w:eastAsia="Arial" w:hAnsi="Arial"/>
          <w:sz w:val="18"/>
          <w:szCs w:val="18"/>
          <w:color w:val="auto"/>
        </w:rPr>
      </w:pPr>
    </w:p>
    <w:p>
      <w:pPr>
        <w:ind w:right="20" w:firstLine="4"/>
        <w:spacing w:after="0" w:line="281" w:lineRule="auto"/>
        <w:tabs>
          <w:tab w:leader="none" w:pos="215"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access to assets of the Company and its subsidiaries is permitted only in accordance with its management’s general or specific authorization; and</w:t>
      </w:r>
    </w:p>
    <w:p>
      <w:pPr>
        <w:spacing w:after="0" w:line="32" w:lineRule="exact"/>
        <w:rPr>
          <w:rFonts w:ascii="Arial" w:cs="Arial" w:eastAsia="Arial" w:hAnsi="Arial"/>
          <w:sz w:val="16"/>
          <w:szCs w:val="16"/>
          <w:color w:val="auto"/>
        </w:rPr>
      </w:pPr>
    </w:p>
    <w:p>
      <w:pPr>
        <w:ind w:right="260" w:firstLine="4"/>
        <w:spacing w:after="0" w:line="261" w:lineRule="auto"/>
        <w:tabs>
          <w:tab w:leader="none" w:pos="30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existing assets at reasonable intervals and appropriate action is taken with respect to any differences.</w:t>
      </w:r>
    </w:p>
    <w:p>
      <w:pPr>
        <w:spacing w:after="0" w:line="75" w:lineRule="exact"/>
        <w:rPr>
          <w:rFonts w:ascii="Arial" w:cs="Arial" w:eastAsia="Arial" w:hAnsi="Arial"/>
          <w:sz w:val="18"/>
          <w:szCs w:val="18"/>
          <w:color w:val="auto"/>
        </w:rPr>
      </w:pPr>
    </w:p>
    <w:p>
      <w:pPr>
        <w:ind w:firstLine="443"/>
        <w:spacing w:after="0" w:line="284" w:lineRule="auto"/>
        <w:tabs>
          <w:tab w:leader="none" w:pos="693" w:val="left"/>
        </w:tabs>
        <w:numPr>
          <w:ilvl w:val="1"/>
          <w:numId w:val="326"/>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Adviser nor any of its subsidiaries nor any director, officer, or employee of the Adviser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right="60" w:firstLine="4"/>
        <w:spacing w:after="0" w:line="254" w:lineRule="auto"/>
        <w:tabs>
          <w:tab w:leader="none" w:pos="31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81" w:lineRule="exact"/>
        <w:rPr>
          <w:rFonts w:ascii="Arial" w:cs="Arial" w:eastAsia="Arial" w:hAnsi="Arial"/>
          <w:sz w:val="18"/>
          <w:szCs w:val="18"/>
          <w:color w:val="auto"/>
        </w:rPr>
      </w:pPr>
    </w:p>
    <w:p>
      <w:pPr>
        <w:ind w:right="60" w:firstLine="443"/>
        <w:spacing w:after="0" w:line="276" w:lineRule="auto"/>
        <w:tabs>
          <w:tab w:leader="none" w:pos="693" w:val="left"/>
        </w:tabs>
        <w:numPr>
          <w:ilvl w:val="1"/>
          <w:numId w:val="327"/>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64" w:lineRule="exact"/>
        <w:rPr>
          <w:rFonts w:ascii="Arial" w:cs="Arial" w:eastAsia="Arial" w:hAnsi="Arial"/>
          <w:sz w:val="17"/>
          <w:szCs w:val="17"/>
          <w:color w:val="auto"/>
        </w:rPr>
      </w:pPr>
    </w:p>
    <w:p>
      <w:pPr>
        <w:ind w:right="40" w:firstLine="443"/>
        <w:spacing w:after="0" w:line="276" w:lineRule="auto"/>
        <w:tabs>
          <w:tab w:leader="none" w:pos="693" w:val="left"/>
        </w:tabs>
        <w:numPr>
          <w:ilvl w:val="1"/>
          <w:numId w:val="327"/>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64" w:lineRule="exact"/>
        <w:rPr>
          <w:rFonts w:ascii="Arial" w:cs="Arial" w:eastAsia="Arial" w:hAnsi="Arial"/>
          <w:sz w:val="17"/>
          <w:szCs w:val="17"/>
          <w:color w:val="auto"/>
        </w:rPr>
      </w:pPr>
    </w:p>
    <w:p>
      <w:pPr>
        <w:ind w:right="440" w:firstLine="443"/>
        <w:spacing w:after="0" w:line="308" w:lineRule="auto"/>
        <w:tabs>
          <w:tab w:leader="none" w:pos="693" w:val="left"/>
        </w:tabs>
        <w:numPr>
          <w:ilvl w:val="1"/>
          <w:numId w:val="327"/>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Adviser has not taken, directly or indirectly, without giving effect to any activities by the Underwriters, any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or that would reasonably be expected to cause or result in any stabilization or manipulation of the price of the Securities.</w:t>
      </w:r>
    </w:p>
    <w:p>
      <w:pPr>
        <w:sectPr>
          <w:pgSz w:w="11900" w:h="16838" w:orient="portrait"/>
          <w:cols w:equalWidth="0" w:num="1">
            <w:col w:w="10940"/>
          </w:cols>
          <w:pgMar w:left="700" w:top="274" w:right="259" w:bottom="1440" w:gutter="0" w:footer="0" w:header="0"/>
        </w:sectPr>
      </w:pPr>
    </w:p>
    <w:bookmarkStart w:id="352" w:name="page353"/>
    <w:bookmarkEnd w:id="352"/>
    <w:p>
      <w:pPr>
        <w:jc w:val="both"/>
        <w:ind w:left="452" w:right="220" w:firstLine="443"/>
        <w:spacing w:after="0" w:line="302" w:lineRule="auto"/>
        <w:tabs>
          <w:tab w:leader="none" w:pos="1115" w:val="left"/>
        </w:tabs>
        <w:numPr>
          <w:ilvl w:val="2"/>
          <w:numId w:val="3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Key Employees. </w:t>
      </w:r>
      <w:r>
        <w:rPr>
          <w:rFonts w:ascii="Arial" w:cs="Arial" w:eastAsia="Arial" w:hAnsi="Arial"/>
          <w:sz w:val="16"/>
          <w:szCs w:val="16"/>
          <w:color w:val="auto"/>
        </w:rPr>
        <w:t>The Adviser is not aware that (i) any of its executives, key employees or significant group of employees plans to terminate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46" w:lineRule="exact"/>
        <w:rPr>
          <w:rFonts w:ascii="Arial" w:cs="Arial" w:eastAsia="Arial" w:hAnsi="Arial"/>
          <w:sz w:val="16"/>
          <w:szCs w:val="16"/>
          <w:color w:val="auto"/>
        </w:rPr>
      </w:pPr>
    </w:p>
    <w:p>
      <w:pPr>
        <w:ind w:left="452" w:right="60" w:firstLine="443"/>
        <w:spacing w:after="0" w:line="259" w:lineRule="auto"/>
        <w:tabs>
          <w:tab w:leader="none" w:pos="1125" w:val="left"/>
        </w:tabs>
        <w:numPr>
          <w:ilvl w:val="2"/>
          <w:numId w:val="328"/>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213" w:lineRule="exact"/>
        <w:rPr>
          <w:rFonts w:ascii="Arial" w:cs="Arial" w:eastAsia="Arial" w:hAnsi="Arial"/>
          <w:sz w:val="18"/>
          <w:szCs w:val="18"/>
          <w:color w:val="auto"/>
        </w:rPr>
      </w:pPr>
    </w:p>
    <w:p>
      <w:pPr>
        <w:ind w:left="452" w:hanging="452"/>
        <w:spacing w:after="0"/>
        <w:tabs>
          <w:tab w:leader="none" w:pos="452"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left="452" w:right="120" w:firstLine="443"/>
        <w:spacing w:after="0" w:line="272" w:lineRule="auto"/>
        <w:tabs>
          <w:tab w:leader="none" w:pos="1135" w:val="left"/>
        </w:tabs>
        <w:numPr>
          <w:ilvl w:val="2"/>
          <w:numId w:val="329"/>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w:t>
      </w:r>
      <w:r>
        <w:rPr>
          <w:rFonts w:ascii="Arial" w:cs="Arial" w:eastAsia="Arial" w:hAnsi="Arial"/>
          <w:sz w:val="17"/>
          <w:szCs w:val="17"/>
          <w:i w:val="1"/>
          <w:iCs w:val="1"/>
          <w:color w:val="auto"/>
        </w:rPr>
        <w:t xml:space="preserve"> </w:t>
      </w:r>
      <w:r>
        <w:rPr>
          <w:rFonts w:ascii="Arial" w:cs="Arial" w:eastAsia="Arial" w:hAnsi="Arial"/>
          <w:sz w:val="17"/>
          <w:szCs w:val="17"/>
          <w:color w:val="auto"/>
        </w:rPr>
        <w:t>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69" w:lineRule="exact"/>
        <w:rPr>
          <w:rFonts w:ascii="Arial" w:cs="Arial" w:eastAsia="Arial" w:hAnsi="Arial"/>
          <w:sz w:val="17"/>
          <w:szCs w:val="17"/>
          <w:color w:val="auto"/>
        </w:rPr>
      </w:pPr>
    </w:p>
    <w:p>
      <w:pPr>
        <w:ind w:left="452" w:right="80" w:firstLine="443"/>
        <w:spacing w:after="0" w:line="291" w:lineRule="auto"/>
        <w:tabs>
          <w:tab w:leader="none" w:pos="1145" w:val="left"/>
        </w:tabs>
        <w:numPr>
          <w:ilvl w:val="2"/>
          <w:numId w:val="329"/>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electronic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w:t>
      </w:r>
    </w:p>
    <w:p>
      <w:pPr>
        <w:ind w:left="452" w:right="120" w:firstLine="4"/>
        <w:spacing w:after="0" w:line="253" w:lineRule="auto"/>
        <w:tabs>
          <w:tab w:leader="none" w:pos="74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83" w:lineRule="exact"/>
        <w:rPr>
          <w:rFonts w:ascii="Arial" w:cs="Arial" w:eastAsia="Arial" w:hAnsi="Arial"/>
          <w:sz w:val="18"/>
          <w:szCs w:val="18"/>
          <w:color w:val="auto"/>
        </w:rPr>
      </w:pPr>
    </w:p>
    <w:p>
      <w:pPr>
        <w:ind w:left="452" w:firstLine="443"/>
        <w:spacing w:after="0" w:line="259" w:lineRule="auto"/>
        <w:tabs>
          <w:tab w:leader="none" w:pos="1135" w:val="left"/>
        </w:tabs>
        <w:numPr>
          <w:ilvl w:val="2"/>
          <w:numId w:val="330"/>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pacing w:after="0" w:line="78" w:lineRule="exact"/>
        <w:rPr>
          <w:rFonts w:ascii="Arial" w:cs="Arial" w:eastAsia="Arial" w:hAnsi="Arial"/>
          <w:sz w:val="18"/>
          <w:szCs w:val="18"/>
          <w:color w:val="auto"/>
        </w:rPr>
      </w:pPr>
    </w:p>
    <w:p>
      <w:pPr>
        <w:ind w:left="452" w:right="40" w:firstLine="443"/>
        <w:spacing w:after="0" w:line="287" w:lineRule="auto"/>
        <w:tabs>
          <w:tab w:leader="none" w:pos="1145" w:val="left"/>
        </w:tabs>
        <w:numPr>
          <w:ilvl w:val="2"/>
          <w:numId w:val="330"/>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Securities</w:t>
      </w:r>
    </w:p>
    <w:p>
      <w:pPr>
        <w:sectPr>
          <w:pgSz w:w="11900" w:h="16838" w:orient="portrait"/>
          <w:cols w:equalWidth="0" w:num="1">
            <w:col w:w="11372"/>
          </w:cols>
          <w:pgMar w:left="248" w:top="273" w:right="279" w:bottom="1440" w:gutter="0" w:footer="0" w:header="0"/>
        </w:sectPr>
      </w:pPr>
    </w:p>
    <w:bookmarkStart w:id="353" w:name="page354"/>
    <w:bookmarkEnd w:id="353"/>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use commercially reasonable efforts to obtain as soon as possible the withdrawal thereof.</w:t>
      </w:r>
    </w:p>
    <w:p>
      <w:pPr>
        <w:spacing w:after="0" w:line="46" w:lineRule="exact"/>
        <w:rPr>
          <w:sz w:val="20"/>
          <w:szCs w:val="20"/>
          <w:color w:val="auto"/>
        </w:rPr>
      </w:pPr>
    </w:p>
    <w:p>
      <w:pPr>
        <w:ind w:right="40" w:firstLine="443"/>
        <w:spacing w:after="0" w:line="268" w:lineRule="auto"/>
        <w:tabs>
          <w:tab w:leader="none" w:pos="683" w:val="left"/>
        </w:tabs>
        <w:numPr>
          <w:ilvl w:val="0"/>
          <w:numId w:val="331"/>
        </w:numPr>
        <w:rPr>
          <w:rFonts w:ascii="Arial" w:cs="Arial" w:eastAsia="Arial" w:hAnsi="Arial"/>
          <w:sz w:val="17"/>
          <w:szCs w:val="17"/>
          <w:color w:val="auto"/>
        </w:rPr>
      </w:pPr>
      <w:r>
        <w:rPr>
          <w:rFonts w:ascii="Arial" w:cs="Arial" w:eastAsia="Arial" w:hAnsi="Arial"/>
          <w:sz w:val="17"/>
          <w:szCs w:val="17"/>
          <w:i w:val="1"/>
          <w:iCs w:val="1"/>
          <w:color w:val="auto"/>
        </w:rPr>
        <w:t xml:space="preserve">Ongoing Compliance. </w:t>
      </w:r>
      <w:r>
        <w:rPr>
          <w:rFonts w:ascii="Arial" w:cs="Arial" w:eastAsia="Arial" w:hAnsi="Arial"/>
          <w:sz w:val="17"/>
          <w:szCs w:val="17"/>
          <w:color w:val="auto"/>
        </w:rPr>
        <w:t>(1) If during the Prospectus Delivery Period (i) any event or development shall occur or condition shall exist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72" w:lineRule="exact"/>
        <w:rPr>
          <w:rFonts w:ascii="Arial" w:cs="Arial" w:eastAsia="Arial" w:hAnsi="Arial"/>
          <w:sz w:val="17"/>
          <w:szCs w:val="17"/>
          <w:color w:val="auto"/>
        </w:rPr>
      </w:pPr>
    </w:p>
    <w:p>
      <w:pPr>
        <w:ind w:firstLine="443"/>
        <w:spacing w:after="0" w:line="255" w:lineRule="auto"/>
        <w:tabs>
          <w:tab w:leader="none" w:pos="663"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 xml:space="preserve">Blue Sky Compliance. </w:t>
      </w:r>
      <w:r>
        <w:rPr>
          <w:rFonts w:ascii="Arial" w:cs="Arial" w:eastAsia="Arial" w:hAnsi="Arial"/>
          <w:sz w:val="18"/>
          <w:szCs w:val="18"/>
          <w:color w:val="auto"/>
        </w:rPr>
        <w:t>The Company will use commercially reasonable efforts, in cooperation with the Representative[s], to qualify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for offer and sale under the 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5" w:lineRule="exact"/>
        <w:rPr>
          <w:rFonts w:ascii="Arial" w:cs="Arial" w:eastAsia="Arial" w:hAnsi="Arial"/>
          <w:sz w:val="18"/>
          <w:szCs w:val="18"/>
          <w:color w:val="auto"/>
        </w:rPr>
      </w:pPr>
    </w:p>
    <w:p>
      <w:pPr>
        <w:ind w:right="80" w:firstLine="443"/>
        <w:spacing w:after="0" w:line="257" w:lineRule="auto"/>
        <w:tabs>
          <w:tab w:leader="none" w:pos="693"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 statement that satisfies the provisions of Section 11(a) of the Securities Act and Rule 158 of the Commission promulgated thereunder covering a period of at least twelve months beginning after the effective date of the Registration Statement as defined in Rule 158;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80" w:lineRule="exact"/>
        <w:rPr>
          <w:rFonts w:ascii="Arial" w:cs="Arial" w:eastAsia="Arial" w:hAnsi="Arial"/>
          <w:sz w:val="18"/>
          <w:szCs w:val="18"/>
          <w:color w:val="auto"/>
        </w:rPr>
      </w:pPr>
    </w:p>
    <w:p>
      <w:pPr>
        <w:ind w:firstLine="443"/>
        <w:spacing w:after="0" w:line="254" w:lineRule="auto"/>
        <w:tabs>
          <w:tab w:leader="none" w:pos="693"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For a period of [ ] days after the date of the Prospectus, the Company will not (i) offer, pledge, sell, contract to sell, sell</w:t>
      </w:r>
      <w:r>
        <w:rPr>
          <w:rFonts w:ascii="Arial" w:cs="Arial" w:eastAsia="Arial" w:hAnsi="Arial"/>
          <w:sz w:val="18"/>
          <w:szCs w:val="18"/>
          <w:i w:val="1"/>
          <w:iCs w:val="1"/>
          <w:color w:val="auto"/>
        </w:rPr>
        <w:t xml:space="preserve"> </w:t>
      </w:r>
      <w:r>
        <w:rPr>
          <w:rFonts w:ascii="Arial" w:cs="Arial" w:eastAsia="Arial" w:hAnsi="Arial"/>
          <w:sz w:val="18"/>
          <w:szCs w:val="18"/>
          <w:color w:val="auto"/>
        </w:rPr>
        <w:t>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Stock][Securities] or any securities convertible into or exercisable or exchangeable for [Common Stock][the Securities], or publicly disclose the intention to make any such offer, sale, pledge, disposition or filing, or (ii) enter into any swap or other agreement that transfers, in whole or in part, any of the economic consequences of ownership of the [Common Stock][Securities] or any such other securities, whether any such transaction described in clause (i) or (ii) above is to be settled by delivery of [Common Stock][Securities] or such other securities, in cash or otherwise, without the prior written consent of the</w:t>
      </w:r>
    </w:p>
    <w:p>
      <w:pPr>
        <w:sectPr>
          <w:pgSz w:w="11900" w:h="16838" w:orient="portrait"/>
          <w:cols w:equalWidth="0" w:num="1">
            <w:col w:w="10960"/>
          </w:cols>
          <w:pgMar w:left="700" w:top="274" w:right="239" w:bottom="1440" w:gutter="0" w:footer="0" w:header="0"/>
        </w:sectPr>
      </w:pPr>
    </w:p>
    <w:bookmarkStart w:id="354" w:name="page355"/>
    <w:bookmarkEnd w:id="354"/>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Representative[s] on behalf of the Underwriters, other than the (A) Securities to be sold hereunder [or the issuance of the Underlying Securities upon conversion of the Securities][or issuance of the Warrant Securities upon exercise of the Warrants], and (B) Stock issued or delivered in connection with</w:t>
      </w:r>
    </w:p>
    <w:p>
      <w:pPr>
        <w:sectPr>
          <w:pgSz w:w="11900" w:h="16838" w:orient="portrait"/>
          <w:cols w:equalWidth="0" w:num="1">
            <w:col w:w="10920"/>
          </w:cols>
          <w:pgMar w:left="700" w:top="274" w:right="279" w:bottom="1440" w:gutter="0" w:footer="0" w:header="0"/>
        </w:sectPr>
      </w:pPr>
    </w:p>
    <w:p>
      <w:pPr>
        <w:spacing w:after="0"/>
        <w:tabs>
          <w:tab w:leader="none" w:pos="8600" w:val="left"/>
        </w:tabs>
        <w:rPr>
          <w:sz w:val="20"/>
          <w:szCs w:val="20"/>
          <w:color w:val="auto"/>
        </w:rPr>
      </w:pPr>
      <w:r>
        <w:rPr>
          <w:rFonts w:ascii="Arial" w:cs="Arial" w:eastAsia="Arial" w:hAnsi="Arial"/>
          <w:sz w:val="18"/>
          <w:szCs w:val="18"/>
          <w:color w:val="auto"/>
        </w:rPr>
        <w:t>the Company’s dividend reinvestment plan. Notwithstanding the foregoing, if (1) during the last 17 days of the [</w:t>
      </w:r>
      <w:r>
        <w:rPr>
          <w:sz w:val="20"/>
          <w:szCs w:val="20"/>
          <w:color w:val="auto"/>
        </w:rPr>
        <w:tab/>
      </w:r>
      <w:r>
        <w:rPr>
          <w:rFonts w:ascii="Arial" w:cs="Arial" w:eastAsia="Arial" w:hAnsi="Arial"/>
          <w:sz w:val="16"/>
          <w:szCs w:val="16"/>
          <w:color w:val="auto"/>
        </w:rPr>
        <w:t>]-day restricted period,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Company issues an earnings release or material news or a material event relating to the Company occurs; or (2) prior to the expiration of the [</w:t>
      </w:r>
    </w:p>
    <w:p>
      <w:pPr>
        <w:spacing w:after="0" w:line="21" w:lineRule="exact"/>
        <w:rPr>
          <w:sz w:val="20"/>
          <w:szCs w:val="20"/>
          <w:color w:val="auto"/>
        </w:rPr>
      </w:pPr>
    </w:p>
    <w:p>
      <w:pPr>
        <w:spacing w:after="0"/>
        <w:tabs>
          <w:tab w:leader="none" w:pos="10620" w:val="left"/>
        </w:tabs>
        <w:rPr>
          <w:sz w:val="20"/>
          <w:szCs w:val="20"/>
          <w:color w:val="auto"/>
        </w:rPr>
      </w:pPr>
      <w:r>
        <w:rPr>
          <w:rFonts w:ascii="Arial" w:cs="Arial" w:eastAsia="Arial" w:hAnsi="Arial"/>
          <w:sz w:val="17"/>
          <w:szCs w:val="17"/>
          <w:color w:val="auto"/>
        </w:rPr>
        <w:t>day restricted period, the Company announces that it will release earnings results during the 16-day period beginning on the last day of the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sectPr>
          <w:pgSz w:w="11900" w:h="16838" w:orient="portrait"/>
          <w:cols w:equalWidth="0" w:num="2">
            <w:col w:w="10760" w:space="0"/>
            <w:col w:w="160"/>
          </w:cols>
          <w:pgMar w:left="700" w:top="274" w:right="279" w:bottom="1440" w:gutter="0" w:footer="0" w:header="0"/>
          <w:type w:val="continuous"/>
        </w:sectPr>
      </w:pPr>
    </w:p>
    <w:p>
      <w:pPr>
        <w:spacing w:after="0" w:line="261" w:lineRule="auto"/>
        <w:rPr>
          <w:sz w:val="20"/>
          <w:szCs w:val="20"/>
          <w:color w:val="auto"/>
        </w:rPr>
      </w:pPr>
      <w:r>
        <w:rPr>
          <w:rFonts w:ascii="Arial" w:cs="Arial" w:eastAsia="Arial" w:hAnsi="Arial"/>
          <w:sz w:val="18"/>
          <w:szCs w:val="18"/>
          <w:color w:val="auto"/>
        </w:rPr>
        <w:t>day period, the restrictions imposed by this Agreement shall continue to apply until the expiration of the 18-day period beginning on the issuance of the earnings release or the occurrence of the material news or material event.</w:t>
      </w:r>
    </w:p>
    <w:p>
      <w:pPr>
        <w:spacing w:after="0" w:line="76" w:lineRule="exact"/>
        <w:rPr>
          <w:sz w:val="20"/>
          <w:szCs w:val="20"/>
          <w:color w:val="auto"/>
        </w:rPr>
      </w:pPr>
    </w:p>
    <w:p>
      <w:pPr>
        <w:ind w:right="740" w:firstLine="443"/>
        <w:spacing w:after="0" w:line="308" w:lineRule="auto"/>
        <w:tabs>
          <w:tab w:leader="none" w:pos="653" w:val="left"/>
        </w:tabs>
        <w:numPr>
          <w:ilvl w:val="0"/>
          <w:numId w:val="332"/>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Securities in all material respects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Pricing Disclosure Package and the Prospectus under the heading “Use of Proceeds”.</w:t>
      </w:r>
    </w:p>
    <w:p>
      <w:pPr>
        <w:spacing w:after="0" w:line="38" w:lineRule="exact"/>
        <w:rPr>
          <w:rFonts w:ascii="Arial" w:cs="Arial" w:eastAsia="Arial" w:hAnsi="Arial"/>
          <w:sz w:val="17"/>
          <w:szCs w:val="17"/>
          <w:color w:val="auto"/>
        </w:rPr>
      </w:pPr>
    </w:p>
    <w:p>
      <w:pPr>
        <w:ind w:firstLine="443"/>
        <w:spacing w:after="0" w:line="312" w:lineRule="auto"/>
        <w:tabs>
          <w:tab w:leader="none" w:pos="653" w:val="left"/>
        </w:tabs>
        <w:numPr>
          <w:ilvl w:val="0"/>
          <w:numId w:val="3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Underlying Securities</w:t>
      </w:r>
      <w:r>
        <w:rPr>
          <w:rFonts w:ascii="Arial" w:cs="Arial" w:eastAsia="Arial" w:hAnsi="Arial"/>
          <w:sz w:val="16"/>
          <w:szCs w:val="16"/>
          <w:color w:val="auto"/>
        </w:rPr>
        <w:t>. The Company will reserve and keep available at all times, free of preemptive rights, shares of Common Stock for the purpose of enabling the Company to satisfy all obligations to issue the Underlying Securities upon conversion of the Securities. [The Company will use its commercially reasonable efforts to cause the Underlying Securities to be listed on the [applicable stock exchange] and to maintain such listing]].</w:t>
      </w:r>
    </w:p>
    <w:p>
      <w:pPr>
        <w:spacing w:after="0" w:line="38" w:lineRule="exact"/>
        <w:rPr>
          <w:rFonts w:ascii="Arial" w:cs="Arial" w:eastAsia="Arial" w:hAnsi="Arial"/>
          <w:sz w:val="16"/>
          <w:szCs w:val="16"/>
          <w:color w:val="auto"/>
        </w:rPr>
      </w:pPr>
    </w:p>
    <w:p>
      <w:pPr>
        <w:jc w:val="both"/>
        <w:ind w:right="100" w:firstLine="443"/>
        <w:spacing w:after="0" w:line="264" w:lineRule="auto"/>
        <w:tabs>
          <w:tab w:leader="none" w:pos="693"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described in 3(jj) herein, the Company will not take, directly or indirectly, without giving effect to any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by the Underwriters, any action designed to or that would reasonably be expected to cause or result in any stabilization or manipulation of the price of the Stock or the Securities.</w:t>
      </w:r>
    </w:p>
    <w:p>
      <w:pPr>
        <w:spacing w:after="0" w:line="73" w:lineRule="exact"/>
        <w:rPr>
          <w:sz w:val="20"/>
          <w:szCs w:val="20"/>
          <w:color w:val="auto"/>
        </w:rPr>
      </w:pPr>
    </w:p>
    <w:p>
      <w:pPr>
        <w:ind w:left="440"/>
        <w:spacing w:after="0"/>
        <w:tabs>
          <w:tab w:leader="none" w:pos="10780" w:val="left"/>
        </w:tabs>
        <w:rPr>
          <w:sz w:val="20"/>
          <w:szCs w:val="20"/>
          <w:color w:val="auto"/>
        </w:rPr>
      </w:pPr>
      <w:r>
        <w:rPr>
          <w:rFonts w:ascii="Arial" w:cs="Arial" w:eastAsia="Arial" w:hAnsi="Arial"/>
          <w:sz w:val="17"/>
          <w:szCs w:val="17"/>
          <w:color w:val="auto"/>
        </w:rPr>
        <w:t xml:space="preserve">(l) </w:t>
      </w:r>
      <w:r>
        <w:rPr>
          <w:rFonts w:ascii="Arial" w:cs="Arial" w:eastAsia="Arial" w:hAnsi="Arial"/>
          <w:sz w:val="17"/>
          <w:szCs w:val="17"/>
          <w:i w:val="1"/>
          <w:iCs w:val="1"/>
          <w:color w:val="auto"/>
        </w:rPr>
        <w:t>Exchange Listing.</w:t>
      </w:r>
      <w:r>
        <w:rPr>
          <w:rFonts w:ascii="Arial" w:cs="Arial" w:eastAsia="Arial" w:hAnsi="Arial"/>
          <w:sz w:val="17"/>
          <w:szCs w:val="17"/>
          <w:color w:val="auto"/>
        </w:rPr>
        <w:t xml:space="preserve"> The Company will use commercially reasonable efforts to effect and maintain the quotation of [the Securities] on [</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right="80" w:firstLine="443"/>
        <w:spacing w:after="0" w:line="257" w:lineRule="auto"/>
        <w:tabs>
          <w:tab w:leader="none" w:pos="743"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Securities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80" w:lineRule="exact"/>
        <w:rPr>
          <w:rFonts w:ascii="Arial" w:cs="Arial" w:eastAsia="Arial" w:hAnsi="Arial"/>
          <w:sz w:val="18"/>
          <w:szCs w:val="18"/>
          <w:color w:val="auto"/>
        </w:rPr>
      </w:pPr>
    </w:p>
    <w:p>
      <w:pPr>
        <w:ind w:right="40" w:firstLine="443"/>
        <w:spacing w:after="0" w:line="302" w:lineRule="auto"/>
        <w:tabs>
          <w:tab w:leader="none" w:pos="693" w:val="left"/>
        </w:tabs>
        <w:numPr>
          <w:ilvl w:val="0"/>
          <w:numId w:val="333"/>
        </w:numPr>
        <w:rPr>
          <w:rFonts w:ascii="Arial" w:cs="Arial" w:eastAsia="Arial" w:hAnsi="Arial"/>
          <w:sz w:val="16"/>
          <w:szCs w:val="16"/>
          <w:color w:val="auto"/>
        </w:rPr>
      </w:pPr>
      <w:r>
        <w:rPr>
          <w:rFonts w:ascii="Arial" w:cs="Arial" w:eastAsia="Arial" w:hAnsi="Arial"/>
          <w:sz w:val="16"/>
          <w:szCs w:val="16"/>
          <w:i w:val="1"/>
          <w:iCs w:val="1"/>
          <w:color w:val="auto"/>
        </w:rPr>
        <w:t>Business Development Company</w:t>
      </w:r>
      <w:r>
        <w:rPr>
          <w:rFonts w:ascii="Arial" w:cs="Arial" w:eastAsia="Arial" w:hAnsi="Arial"/>
          <w:sz w:val="16"/>
          <w:szCs w:val="16"/>
          <w:color w:val="auto"/>
        </w:rPr>
        <w:t>. The Company, during a period of twelve months from the date of the Prospectus, will use commercially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reasonable efforts to maintain its status as a business development company under the Investment Company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46" w:lineRule="exact"/>
        <w:rPr>
          <w:rFonts w:ascii="Arial" w:cs="Arial" w:eastAsia="Arial" w:hAnsi="Arial"/>
          <w:sz w:val="16"/>
          <w:szCs w:val="16"/>
          <w:color w:val="auto"/>
        </w:rPr>
      </w:pPr>
    </w:p>
    <w:p>
      <w:pPr>
        <w:ind w:right="80" w:firstLine="443"/>
        <w:spacing w:after="0" w:line="264" w:lineRule="auto"/>
        <w:tabs>
          <w:tab w:leader="none" w:pos="693"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right="140" w:firstLine="443"/>
        <w:spacing w:after="0" w:line="257" w:lineRule="auto"/>
        <w:tabs>
          <w:tab w:leader="none" w:pos="693"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80" w:lineRule="exact"/>
        <w:rPr>
          <w:rFonts w:ascii="Arial" w:cs="Arial" w:eastAsia="Arial" w:hAnsi="Arial"/>
          <w:sz w:val="18"/>
          <w:szCs w:val="18"/>
          <w:color w:val="auto"/>
        </w:rPr>
      </w:pPr>
    </w:p>
    <w:p>
      <w:pPr>
        <w:ind w:right="280" w:firstLine="443"/>
        <w:spacing w:after="0" w:line="264" w:lineRule="auto"/>
        <w:tabs>
          <w:tab w:leader="none" w:pos="693"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w:t>
      </w:r>
      <w:r>
        <w:rPr>
          <w:rFonts w:ascii="Arial" w:cs="Arial" w:eastAsia="Arial" w:hAnsi="Arial"/>
          <w:sz w:val="18"/>
          <w:szCs w:val="18"/>
          <w:color w:val="auto"/>
        </w:rPr>
        <w:t>. The Company represents and agrees that, without the prior consent of the Representative[s] (i) it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any offering material other than the Registration Statement, the Pricing Disclosure Package or the Prospectus, and (ii) it has not made and will not make any offer</w:t>
      </w:r>
    </w:p>
    <w:p>
      <w:pPr>
        <w:sectPr>
          <w:pgSz w:w="11900" w:h="16838" w:orient="portrait"/>
          <w:cols w:equalWidth="0" w:num="1">
            <w:col w:w="10920"/>
          </w:cols>
          <w:pgMar w:left="700" w:top="274" w:right="279" w:bottom="1440" w:gutter="0" w:footer="0" w:header="0"/>
          <w:type w:val="continuous"/>
        </w:sectPr>
      </w:pPr>
    </w:p>
    <w:bookmarkStart w:id="355" w:name="page356"/>
    <w:bookmarkEnd w:id="355"/>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the Securities that would constitute a “free writing prospectus” as defined in Rule 405 under the Act and which the parties agree, for the purposes of this Agreement, includes (x) any “advertisement” as defined in Rule 482 under the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54" w:lineRule="exact"/>
        <w:rPr>
          <w:sz w:val="20"/>
          <w:szCs w:val="20"/>
          <w:color w:val="auto"/>
        </w:rPr>
      </w:pPr>
    </w:p>
    <w:p>
      <w:pPr>
        <w:ind w:left="180" w:hanging="176"/>
        <w:spacing w:after="0"/>
        <w:tabs>
          <w:tab w:leader="none" w:pos="18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right="20" w:firstLine="443"/>
        <w:spacing w:after="0" w:line="259" w:lineRule="auto"/>
        <w:tabs>
          <w:tab w:leader="none" w:pos="683" w:val="left"/>
        </w:tabs>
        <w:numPr>
          <w:ilvl w:val="1"/>
          <w:numId w:val="334"/>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the Prospectus or any other offering materials prepared by or with the prior written consent of the Company.</w:t>
      </w:r>
    </w:p>
    <w:p>
      <w:pPr>
        <w:spacing w:after="0" w:line="78" w:lineRule="exact"/>
        <w:rPr>
          <w:rFonts w:ascii="Arial" w:cs="Arial" w:eastAsia="Arial" w:hAnsi="Arial"/>
          <w:sz w:val="18"/>
          <w:szCs w:val="18"/>
          <w:color w:val="auto"/>
        </w:rPr>
      </w:pPr>
    </w:p>
    <w:p>
      <w:pPr>
        <w:ind w:right="840" w:firstLine="443"/>
        <w:spacing w:after="0" w:line="342" w:lineRule="auto"/>
        <w:tabs>
          <w:tab w:leader="none" w:pos="693" w:val="left"/>
        </w:tabs>
        <w:numPr>
          <w:ilvl w:val="1"/>
          <w:numId w:val="334"/>
        </w:numPr>
        <w:rPr>
          <w:rFonts w:ascii="Arial" w:cs="Arial" w:eastAsia="Arial" w:hAnsi="Arial"/>
          <w:sz w:val="16"/>
          <w:szCs w:val="16"/>
          <w:color w:val="auto"/>
        </w:rPr>
      </w:pPr>
      <w:r>
        <w:rPr>
          <w:rFonts w:ascii="Arial" w:cs="Arial" w:eastAsia="Arial" w:hAnsi="Arial"/>
          <w:sz w:val="16"/>
          <w:szCs w:val="16"/>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23" w:lineRule="exact"/>
        <w:rPr>
          <w:rFonts w:ascii="Arial" w:cs="Arial" w:eastAsia="Arial" w:hAnsi="Arial"/>
          <w:sz w:val="16"/>
          <w:szCs w:val="16"/>
          <w:color w:val="auto"/>
        </w:rPr>
      </w:pPr>
    </w:p>
    <w:p>
      <w:pPr>
        <w:ind w:left="-460" w:firstLine="464"/>
        <w:spacing w:after="0" w:line="264" w:lineRule="auto"/>
        <w:tabs>
          <w:tab w:leader="none" w:pos="17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Securities on the Closing Date or the Option Securities on the Closing Date or the Additional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right="200" w:firstLine="443"/>
        <w:spacing w:after="0" w:line="279" w:lineRule="auto"/>
        <w:tabs>
          <w:tab w:leader="none" w:pos="683" w:val="left"/>
        </w:tabs>
        <w:numPr>
          <w:ilvl w:val="1"/>
          <w:numId w:val="334"/>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Representative[s].</w:t>
      </w:r>
    </w:p>
    <w:p>
      <w:pPr>
        <w:spacing w:after="0" w:line="63" w:lineRule="exact"/>
        <w:rPr>
          <w:rFonts w:ascii="Arial" w:cs="Arial" w:eastAsia="Arial" w:hAnsi="Arial"/>
          <w:sz w:val="17"/>
          <w:szCs w:val="17"/>
          <w:color w:val="auto"/>
        </w:rPr>
      </w:pPr>
    </w:p>
    <w:p>
      <w:pPr>
        <w:ind w:firstLine="443"/>
        <w:spacing w:after="0" w:line="259" w:lineRule="auto"/>
        <w:tabs>
          <w:tab w:leader="none" w:pos="693" w:val="left"/>
        </w:tabs>
        <w:numPr>
          <w:ilvl w:val="1"/>
          <w:numId w:val="334"/>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firstLine="443"/>
        <w:spacing w:after="0" w:line="276" w:lineRule="auto"/>
        <w:tabs>
          <w:tab w:leader="none" w:pos="683" w:val="left"/>
        </w:tabs>
        <w:numPr>
          <w:ilvl w:val="1"/>
          <w:numId w:val="334"/>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3(e) and Section 4(a) hereof shall have occurred or shall</w:t>
      </w:r>
      <w:r>
        <w:rPr>
          <w:rFonts w:ascii="Arial" w:cs="Arial" w:eastAsia="Arial" w:hAnsi="Arial"/>
          <w:sz w:val="17"/>
          <w:szCs w:val="17"/>
          <w:i w:val="1"/>
          <w:iCs w:val="1"/>
          <w:color w:val="auto"/>
        </w:rPr>
        <w:t xml:space="preserve"> </w:t>
      </w:r>
      <w:r>
        <w:rPr>
          <w:rFonts w:ascii="Arial" w:cs="Arial" w:eastAsia="Arial" w:hAnsi="Arial"/>
          <w:sz w:val="17"/>
          <w:szCs w:val="17"/>
          <w:color w:val="auto"/>
        </w:rPr>
        <w:t>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7"/>
          <w:szCs w:val="17"/>
          <w:color w:val="auto"/>
        </w:rPr>
      </w:pPr>
    </w:p>
    <w:p>
      <w:pPr>
        <w:ind w:right="80" w:firstLine="443"/>
        <w:spacing w:after="0" w:line="289" w:lineRule="auto"/>
        <w:tabs>
          <w:tab w:leader="none" w:pos="693" w:val="left"/>
        </w:tabs>
        <w:numPr>
          <w:ilvl w:val="1"/>
          <w:numId w:val="334"/>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Representative[s] shall have received on and as of the Closing Date or the Additional Closing Date,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case may be, a certificate, which shall be delivered on behalf of the Company and not the signatories in their individual capacity, of the chief financial officer or chief accounting officer (or other authorized officer) of the Company and one additional senior executive officer of the Company who is reasonably satisfactory to the Representative[s] (i) confirming that such officers have carefully reviewed the Registration Statement, the Pricing Disclosure Package and the Prospectus, (ii) confirming that, to the knowledge of such officers, the representations and warranties of the Company in Sections 3(b) and 3(d)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 (a) above and, with respect to the Company and its subsidiaries, to the effect set forth in paragraph (c) above.</w:t>
      </w:r>
    </w:p>
    <w:p>
      <w:pPr>
        <w:sectPr>
          <w:pgSz w:w="11900" w:h="16838" w:orient="portrait"/>
          <w:cols w:equalWidth="0" w:num="1">
            <w:col w:w="10960"/>
          </w:cols>
          <w:pgMar w:left="700" w:top="273" w:right="239" w:bottom="1440" w:gutter="0" w:footer="0" w:header="0"/>
        </w:sectPr>
      </w:pPr>
    </w:p>
    <w:bookmarkStart w:id="356" w:name="page357"/>
    <w:bookmarkEnd w:id="356"/>
    <w:p>
      <w:pPr>
        <w:ind w:right="60" w:firstLine="443"/>
        <w:spacing w:after="0" w:line="255" w:lineRule="auto"/>
        <w:tabs>
          <w:tab w:leader="none" w:pos="683" w:val="left"/>
        </w:tabs>
        <w:numPr>
          <w:ilvl w:val="0"/>
          <w:numId w:val="33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Adviser’s Officer’s Certificate. </w:t>
      </w:r>
      <w:r>
        <w:rPr>
          <w:rFonts w:ascii="Arial" w:cs="Arial" w:eastAsia="Arial" w:hAnsi="Arial"/>
          <w:sz w:val="18"/>
          <w:szCs w:val="18"/>
          <w:color w:val="auto"/>
        </w:rPr>
        <w:t>The Representative[s] shall have received on and as of the Closing Date or the Additional Closing Date,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may be, a certificate, which shall be delivered on behalf of the Adviser and not the signatories in their individual capacity, from the two appropriate senior officers of the Adviser reasonably satisfactory to the 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85" w:lineRule="exact"/>
        <w:rPr>
          <w:rFonts w:ascii="Arial" w:cs="Arial" w:eastAsia="Arial" w:hAnsi="Arial"/>
          <w:sz w:val="18"/>
          <w:szCs w:val="18"/>
          <w:color w:val="auto"/>
        </w:rPr>
      </w:pPr>
    </w:p>
    <w:p>
      <w:pPr>
        <w:ind w:right="40" w:firstLine="443"/>
        <w:spacing w:after="0" w:line="288" w:lineRule="auto"/>
        <w:tabs>
          <w:tab w:leader="none" w:pos="663" w:val="left"/>
        </w:tabs>
        <w:numPr>
          <w:ilvl w:val="0"/>
          <w:numId w:val="335"/>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w:t>
      </w:r>
    </w:p>
    <w:p>
      <w:pPr>
        <w:ind w:right="320"/>
        <w:spacing w:after="0" w:line="281" w:lineRule="auto"/>
        <w:rPr>
          <w:sz w:val="20"/>
          <w:szCs w:val="20"/>
          <w:color w:val="auto"/>
        </w:rPr>
      </w:pPr>
      <w:r>
        <w:rPr>
          <w:rFonts w:ascii="Arial" w:cs="Arial" w:eastAsia="Arial" w:hAnsi="Arial"/>
          <w:sz w:val="16"/>
          <w:szCs w:val="16"/>
          <w:color w:val="auto"/>
        </w:rPr>
        <w:t>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Closing Date, as the case may be, shall use a “cut-off” date no more than business days prior to such Closing Date or such Additional Closing Date, as the case may be.</w:t>
      </w:r>
    </w:p>
    <w:p>
      <w:pPr>
        <w:spacing w:after="0" w:line="76" w:lineRule="exact"/>
        <w:rPr>
          <w:sz w:val="20"/>
          <w:szCs w:val="20"/>
          <w:color w:val="auto"/>
        </w:rPr>
      </w:pPr>
    </w:p>
    <w:p>
      <w:pPr>
        <w:jc w:val="both"/>
        <w:ind w:right="40" w:firstLine="443"/>
        <w:spacing w:after="0" w:line="259" w:lineRule="auto"/>
        <w:tabs>
          <w:tab w:leader="none" w:pos="693" w:val="left"/>
        </w:tabs>
        <w:numPr>
          <w:ilvl w:val="0"/>
          <w:numId w:val="336"/>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and Adviser. </w:t>
      </w:r>
      <w:r>
        <w:rPr>
          <w:rFonts w:ascii="Arial" w:cs="Arial" w:eastAsia="Arial" w:hAnsi="Arial"/>
          <w:sz w:val="18"/>
          <w:szCs w:val="18"/>
          <w:color w:val="auto"/>
        </w:rPr>
        <w:t>Cleary Gottlieb Steen &amp; Hamilton LLP, counsel for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0"/>
          <w:numId w:val="336"/>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 the</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Additional Closing Date, as the case may be, an opinion and 10b-5 statement of ,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82" w:lineRule="exact"/>
        <w:rPr>
          <w:sz w:val="20"/>
          <w:szCs w:val="20"/>
          <w:color w:val="auto"/>
        </w:rPr>
      </w:pPr>
    </w:p>
    <w:p>
      <w:pPr>
        <w:ind w:right="20" w:firstLine="443"/>
        <w:spacing w:after="0" w:line="297" w:lineRule="auto"/>
        <w:tabs>
          <w:tab w:leader="none" w:pos="653" w:val="left"/>
        </w:tabs>
        <w:numPr>
          <w:ilvl w:val="0"/>
          <w:numId w:val="337"/>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w:t>
      </w:r>
      <w:r>
        <w:rPr>
          <w:rFonts w:ascii="Arial" w:cs="Arial" w:eastAsia="Arial" w:hAnsi="Arial"/>
          <w:sz w:val="16"/>
          <w:szCs w:val="16"/>
          <w:color w:val="auto"/>
        </w:rPr>
        <w:t>No action shall have been taken and no statute, rule, regulation or order shall have been enacted, adopted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any federal, state or foreign governmental or regulatory authority that would, as of the Closing Date or the Additional Closing Date, as the case may be, prevent the issuance or sale of the Securities [(including the issuance of the Underlying Securities upon conversion thereof)]; and no injunction or order of any federal, state or foreign court shall have been issued that would, as of the Closing Date or the Additional Closing Date, as the case may be, prevent the issuance or sale of the Securities [(including the issuance of the Underlying Securities upon conversion thereof)].</w:t>
      </w:r>
    </w:p>
    <w:p>
      <w:pPr>
        <w:spacing w:after="0" w:line="50" w:lineRule="exact"/>
        <w:rPr>
          <w:rFonts w:ascii="Arial" w:cs="Arial" w:eastAsia="Arial" w:hAnsi="Arial"/>
          <w:sz w:val="16"/>
          <w:szCs w:val="16"/>
          <w:color w:val="auto"/>
        </w:rPr>
      </w:pPr>
    </w:p>
    <w:p>
      <w:pPr>
        <w:ind w:right="180" w:firstLine="443"/>
        <w:spacing w:after="0" w:line="279" w:lineRule="auto"/>
        <w:tabs>
          <w:tab w:leader="none" w:pos="653" w:val="left"/>
        </w:tabs>
        <w:numPr>
          <w:ilvl w:val="0"/>
          <w:numId w:val="337"/>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63" w:lineRule="exact"/>
        <w:rPr>
          <w:rFonts w:ascii="Arial" w:cs="Arial" w:eastAsia="Arial" w:hAnsi="Arial"/>
          <w:sz w:val="17"/>
          <w:szCs w:val="17"/>
          <w:color w:val="auto"/>
        </w:rPr>
      </w:pPr>
    </w:p>
    <w:p>
      <w:pPr>
        <w:ind w:right="160" w:firstLine="443"/>
        <w:spacing w:after="0" w:line="277" w:lineRule="auto"/>
        <w:tabs>
          <w:tab w:leader="none" w:pos="693"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 xml:space="preserve">Indenture and Securities. </w:t>
      </w:r>
      <w:r>
        <w:rPr>
          <w:rFonts w:ascii="Arial" w:cs="Arial" w:eastAsia="Arial" w:hAnsi="Arial"/>
          <w:sz w:val="18"/>
          <w:szCs w:val="18"/>
          <w:color w:val="auto"/>
        </w:rPr>
        <w:t>On or prior to the Closing Date, the Company and the Trustee shall have executed and delivered the Indenture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w:t>
      </w:r>
    </w:p>
    <w:p>
      <w:pPr>
        <w:spacing w:after="0" w:line="62" w:lineRule="exact"/>
        <w:rPr>
          <w:rFonts w:ascii="Arial" w:cs="Arial" w:eastAsia="Arial" w:hAnsi="Arial"/>
          <w:sz w:val="18"/>
          <w:szCs w:val="18"/>
          <w:color w:val="auto"/>
        </w:rPr>
      </w:pPr>
    </w:p>
    <w:p>
      <w:pPr>
        <w:ind w:right="620" w:firstLine="443"/>
        <w:spacing w:after="0" w:line="277" w:lineRule="auto"/>
        <w:tabs>
          <w:tab w:leader="none" w:pos="65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Listing.</w:t>
      </w:r>
      <w:r>
        <w:rPr>
          <w:rFonts w:ascii="Arial" w:cs="Arial" w:eastAsia="Arial" w:hAnsi="Arial"/>
          <w:sz w:val="18"/>
          <w:szCs w:val="18"/>
          <w:color w:val="auto"/>
        </w:rPr>
        <w:t xml:space="preserve"> The Securities to be delivered on the Closing Date or Additional Closing Date, as the case may be, shall have been approved for listing on , subject to official notice of issuance.]</w:t>
      </w:r>
    </w:p>
    <w:p>
      <w:pPr>
        <w:spacing w:after="0" w:line="62" w:lineRule="exact"/>
        <w:rPr>
          <w:rFonts w:ascii="Arial" w:cs="Arial" w:eastAsia="Arial" w:hAnsi="Arial"/>
          <w:sz w:val="18"/>
          <w:szCs w:val="18"/>
          <w:color w:val="auto"/>
        </w:rPr>
      </w:pPr>
    </w:p>
    <w:p>
      <w:pPr>
        <w:ind w:firstLine="443"/>
        <w:spacing w:after="0" w:line="259" w:lineRule="auto"/>
        <w:tabs>
          <w:tab w:leader="none" w:pos="74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A-1 hereto, between you and the persons listed on Schedule 3, and in the form of Exhibit A-2 hereto, between you and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ectPr>
          <w:pgSz w:w="11900" w:h="16838" w:orient="portrait"/>
          <w:cols w:equalWidth="0" w:num="1">
            <w:col w:w="10940"/>
          </w:cols>
          <w:pgMar w:left="700" w:top="274" w:right="259" w:bottom="1440" w:gutter="0" w:footer="0" w:header="0"/>
        </w:sectPr>
      </w:pPr>
    </w:p>
    <w:bookmarkStart w:id="357" w:name="page358"/>
    <w:bookmarkEnd w:id="357"/>
    <w:p>
      <w:pPr>
        <w:ind w:left="460" w:firstLine="443"/>
        <w:spacing w:after="0" w:line="255" w:lineRule="auto"/>
        <w:tabs>
          <w:tab w:leader="none" w:pos="1153"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Downgrade</w:t>
      </w:r>
      <w:r>
        <w:rPr>
          <w:rFonts w:ascii="Arial" w:cs="Arial" w:eastAsia="Arial" w:hAnsi="Arial"/>
          <w:sz w:val="18"/>
          <w:szCs w:val="18"/>
          <w:color w:val="auto"/>
        </w:rPr>
        <w:t>. Subsequent to the earlier of (A) the Applicable Time and (B) the execution and delivery of this Agreement, if there are any</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85"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68" w:lineRule="auto"/>
        <w:tabs>
          <w:tab w:leader="none" w:pos="701" w:val="left"/>
        </w:tabs>
        <w:numPr>
          <w:ilvl w:val="0"/>
          <w:numId w:val="340"/>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85" w:lineRule="exact"/>
        <w:rPr>
          <w:rFonts w:ascii="Arial" w:cs="Arial" w:eastAsia="Arial" w:hAnsi="Arial"/>
          <w:sz w:val="17"/>
          <w:szCs w:val="17"/>
          <w:color w:val="auto"/>
        </w:rPr>
      </w:pPr>
    </w:p>
    <w:p>
      <w:pPr>
        <w:ind w:right="120" w:firstLine="464"/>
        <w:spacing w:after="0" w:line="284" w:lineRule="auto"/>
        <w:tabs>
          <w:tab w:leader="none" w:pos="711" w:val="left"/>
        </w:tabs>
        <w:numPr>
          <w:ilvl w:val="0"/>
          <w:numId w:val="340"/>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 directors, its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or any Pricing Disclosure Package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(including any Pricing Disclosure Package that has subsequently been amended), it being understood and agreed upon that the only such information</w:t>
      </w:r>
    </w:p>
    <w:p>
      <w:pPr>
        <w:spacing w:after="0" w:line="21" w:lineRule="exact"/>
        <w:rPr>
          <w:sz w:val="20"/>
          <w:szCs w:val="20"/>
          <w:color w:val="auto"/>
        </w:rPr>
      </w:pPr>
    </w:p>
    <w:p>
      <w:pPr>
        <w:spacing w:after="0"/>
        <w:tabs>
          <w:tab w:leader="none" w:pos="9680" w:val="left"/>
        </w:tabs>
        <w:rPr>
          <w:sz w:val="20"/>
          <w:szCs w:val="20"/>
          <w:color w:val="auto"/>
        </w:rPr>
      </w:pPr>
      <w:r>
        <w:rPr>
          <w:rFonts w:ascii="Arial" w:cs="Arial" w:eastAsia="Arial" w:hAnsi="Arial"/>
          <w:sz w:val="17"/>
          <w:szCs w:val="17"/>
          <w:color w:val="auto"/>
        </w:rPr>
        <w:t>furnished by any Underwriter consists of the following information in the Prospectus furnished on behalf of each Underwriter:</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40" w:firstLine="464"/>
        <w:spacing w:after="0" w:line="342" w:lineRule="auto"/>
        <w:tabs>
          <w:tab w:leader="none" w:pos="701" w:val="left"/>
        </w:tabs>
        <w:numPr>
          <w:ilvl w:val="0"/>
          <w:numId w:val="341"/>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or asserted against any person in respect of which indemnification may be sought pursuant to either paragraph (a) or (b) above, such person (the “Indemnified</w:t>
      </w:r>
    </w:p>
    <w:p>
      <w:pPr>
        <w:sectPr>
          <w:pgSz w:w="11900" w:h="16838" w:orient="portrait"/>
          <w:cols w:equalWidth="0" w:num="1">
            <w:col w:w="11420"/>
          </w:cols>
          <w:pgMar w:left="240" w:top="274" w:right="239" w:bottom="1440" w:gutter="0" w:footer="0" w:header="0"/>
        </w:sectPr>
      </w:pPr>
    </w:p>
    <w:bookmarkStart w:id="358" w:name="page359"/>
    <w:bookmarkEnd w:id="35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w:t>
      </w:r>
    </w:p>
    <w:p>
      <w:pPr>
        <w:ind w:right="20"/>
        <w:spacing w:after="0" w:line="285" w:lineRule="auto"/>
        <w:rPr>
          <w:sz w:val="20"/>
          <w:szCs w:val="20"/>
          <w:color w:val="auto"/>
        </w:rPr>
      </w:pPr>
      <w:r>
        <w:rPr>
          <w:rFonts w:ascii="Arial" w:cs="Arial" w:eastAsia="Arial" w:hAnsi="Arial"/>
          <w:sz w:val="16"/>
          <w:szCs w:val="16"/>
          <w:color w:val="auto"/>
        </w:rPr>
        <w:t>for any Underwriter, its affiliates, directors and officers and any control persons of such Underwriter shall be designated in writing by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1" w:lineRule="exact"/>
        <w:rPr>
          <w:sz w:val="20"/>
          <w:szCs w:val="20"/>
          <w:color w:val="auto"/>
        </w:rPr>
      </w:pPr>
    </w:p>
    <w:p>
      <w:pPr>
        <w:ind w:right="80" w:firstLine="464"/>
        <w:spacing w:after="0" w:line="270" w:lineRule="auto"/>
        <w:tabs>
          <w:tab w:leader="none" w:pos="711" w:val="left"/>
        </w:tabs>
        <w:numPr>
          <w:ilvl w:val="0"/>
          <w:numId w:val="342"/>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w:t>
      </w:r>
    </w:p>
    <w:p>
      <w:pPr>
        <w:sectPr>
          <w:pgSz w:w="11900" w:h="16838" w:orient="portrait"/>
          <w:cols w:equalWidth="0" w:num="1">
            <w:col w:w="11400"/>
          </w:cols>
          <w:pgMar w:left="240" w:top="274" w:right="259" w:bottom="1440" w:gutter="0" w:footer="0" w:header="0"/>
        </w:sectPr>
      </w:pPr>
    </w:p>
    <w:bookmarkStart w:id="359" w:name="page360"/>
    <w:bookmarkEnd w:id="359"/>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1940 Act.</w:t>
      </w:r>
    </w:p>
    <w:p>
      <w:pPr>
        <w:spacing w:after="0" w:line="178" w:lineRule="exact"/>
        <w:rPr>
          <w:sz w:val="20"/>
          <w:szCs w:val="20"/>
          <w:color w:val="auto"/>
        </w:rPr>
      </w:pPr>
    </w:p>
    <w:p>
      <w:pPr>
        <w:ind w:left="700" w:hanging="236"/>
        <w:spacing w:after="0"/>
        <w:tabs>
          <w:tab w:leader="none" w:pos="700" w:val="left"/>
        </w:tabs>
        <w:numPr>
          <w:ilvl w:val="1"/>
          <w:numId w:val="343"/>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firstLine="8"/>
        <w:spacing w:after="0" w:line="268" w:lineRule="auto"/>
        <w:tabs>
          <w:tab w:leader="none" w:pos="25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79" w:lineRule="exact"/>
        <w:rPr>
          <w:rFonts w:ascii="Arial" w:cs="Arial" w:eastAsia="Arial" w:hAnsi="Arial"/>
          <w:sz w:val="17"/>
          <w:szCs w:val="17"/>
          <w:color w:val="auto"/>
        </w:rPr>
      </w:pPr>
    </w:p>
    <w:p>
      <w:pPr>
        <w:ind w:right="220" w:firstLine="464"/>
        <w:spacing w:after="0" w:line="277" w:lineRule="auto"/>
        <w:tabs>
          <w:tab w:leader="none" w:pos="681" w:val="left"/>
        </w:tabs>
        <w:numPr>
          <w:ilvl w:val="1"/>
          <w:numId w:val="344"/>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170" w:lineRule="exact"/>
        <w:rPr>
          <w:sz w:val="20"/>
          <w:szCs w:val="20"/>
          <w:color w:val="auto"/>
        </w:rPr>
      </w:pPr>
    </w:p>
    <w:p>
      <w:pPr>
        <w:ind w:left="640" w:hanging="176"/>
        <w:spacing w:after="0"/>
        <w:tabs>
          <w:tab w:leader="none" w:pos="64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20" w:firstLine="464"/>
        <w:spacing w:after="0" w:line="253" w:lineRule="auto"/>
        <w:tabs>
          <w:tab w:leader="none" w:pos="726"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197" w:lineRule="exact"/>
        <w:rPr>
          <w:rFonts w:ascii="Arial" w:cs="Arial" w:eastAsia="Arial" w:hAnsi="Arial"/>
          <w:sz w:val="18"/>
          <w:szCs w:val="18"/>
          <w:color w:val="auto"/>
        </w:rPr>
      </w:pPr>
    </w:p>
    <w:p>
      <w:pPr>
        <w:ind w:left="720" w:hanging="256"/>
        <w:spacing w:after="0"/>
        <w:tabs>
          <w:tab w:leader="none" w:pos="72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97" w:lineRule="auto"/>
        <w:tabs>
          <w:tab w:leader="none" w:pos="701"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w:t>
      </w:r>
    </w:p>
    <w:p>
      <w:pPr>
        <w:sectPr>
          <w:pgSz w:w="11900" w:h="16838" w:orient="portrait"/>
          <w:cols w:equalWidth="0" w:num="1">
            <w:col w:w="11400"/>
          </w:cols>
          <w:pgMar w:left="240" w:top="274" w:right="259" w:bottom="1440" w:gutter="0" w:footer="0" w:header="0"/>
        </w:sectPr>
      </w:pPr>
    </w:p>
    <w:bookmarkStart w:id="360" w:name="page361"/>
    <w:bookmarkEnd w:id="36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65" w:lineRule="exact"/>
        <w:rPr>
          <w:sz w:val="20"/>
          <w:szCs w:val="20"/>
          <w:color w:val="auto"/>
        </w:rPr>
      </w:pPr>
    </w:p>
    <w:p>
      <w:pPr>
        <w:ind w:right="80" w:firstLine="464"/>
        <w:spacing w:after="0" w:line="272" w:lineRule="auto"/>
        <w:tabs>
          <w:tab w:leader="none" w:pos="71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 non-defaulting Underwriters and the Company as provided in paragraph (a) above, the [aggregate principal amount][aggregate number] of Securities that remain unpurchased on the Closing Date or the Additional Closing Date, as the case may be, does not exceed one-eleventh of the [aggregate principal amount] [aggregate number] of Securities to be purchased on such date, then the Company shall have the right to require each non-defaulting Underwriter to purchase the [aggregate principal amount][number] of Securities that such Underwriter agreed to purchase hereunder on such date plus such Underwriter’s pro rata share (based on the [aggregate principal amount][number] of Securities that such Underwriter agreed to purchase on such date) of the Securities of such defaulting Underwriter or Underwriters for which such arrangements have not been made.</w:t>
      </w:r>
    </w:p>
    <w:p>
      <w:pPr>
        <w:spacing w:after="0" w:line="177" w:lineRule="exact"/>
        <w:rPr>
          <w:rFonts w:ascii="Arial" w:cs="Arial" w:eastAsia="Arial" w:hAnsi="Arial"/>
          <w:sz w:val="17"/>
          <w:szCs w:val="17"/>
          <w:color w:val="auto"/>
        </w:rPr>
      </w:pPr>
    </w:p>
    <w:p>
      <w:pPr>
        <w:ind w:right="20" w:firstLine="464"/>
        <w:spacing w:after="0" w:line="271" w:lineRule="auto"/>
        <w:tabs>
          <w:tab w:leader="none" w:pos="70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 non-defaulting Underwriters and the Company as provided in paragraph (a) above, the [aggregate principal amount][aggregate number] of Securities that remain unpurchased on the Closing Date or the Additional Closing Date, as the case may be, exceeds one-eleventh of the [aggregate principal amount][aggregate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78" w:lineRule="exact"/>
        <w:rPr>
          <w:rFonts w:ascii="Arial" w:cs="Arial" w:eastAsia="Arial" w:hAnsi="Arial"/>
          <w:sz w:val="17"/>
          <w:szCs w:val="17"/>
          <w:color w:val="auto"/>
        </w:rPr>
      </w:pPr>
    </w:p>
    <w:p>
      <w:pPr>
        <w:ind w:right="160" w:firstLine="464"/>
        <w:spacing w:after="0" w:line="277" w:lineRule="auto"/>
        <w:tabs>
          <w:tab w:leader="none" w:pos="71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740" w:hanging="276"/>
        <w:spacing w:after="0"/>
        <w:tabs>
          <w:tab w:leader="none" w:pos="74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right="60" w:firstLine="464"/>
        <w:spacing w:after="0" w:line="283" w:lineRule="auto"/>
        <w:tabs>
          <w:tab w:leader="none" w:pos="701" w:val="left"/>
        </w:tabs>
        <w:numPr>
          <w:ilvl w:val="1"/>
          <w:numId w:val="349"/>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Warrant Securities issuable upon exercise of the Warrants]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[and any Warrant Securities issuable upon exercise of the Warrants]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the cost of preparing stock certificates, if applicable, in connection with the issuance and sale of any Underlying Securities;</w:t>
      </w:r>
    </w:p>
    <w:p>
      <w:pPr>
        <w:spacing w:after="0" w:line="5" w:lineRule="exact"/>
        <w:rPr>
          <w:rFonts w:ascii="Arial" w:cs="Arial" w:eastAsia="Arial" w:hAnsi="Arial"/>
          <w:sz w:val="16"/>
          <w:szCs w:val="16"/>
          <w:color w:val="auto"/>
        </w:rPr>
      </w:pPr>
    </w:p>
    <w:p>
      <w:pPr>
        <w:ind w:right="180" w:firstLine="8"/>
        <w:spacing w:after="0" w:line="255" w:lineRule="auto"/>
        <w:tabs>
          <w:tab w:leader="none" w:pos="30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costs and charges of any transfer agent and any registrar in connection with the issuance and sale of any Underlying Securities; [(vii) all filing fees and the reasonable fees and expenses incurred in connection with any filing with, and clearance of the offering by, FINRA (such fees and expenses pursuant to</w:t>
      </w:r>
    </w:p>
    <w:p>
      <w:pPr>
        <w:sectPr>
          <w:pgSz w:w="11900" w:h="16838" w:orient="portrait"/>
          <w:cols w:equalWidth="0" w:num="1">
            <w:col w:w="11420"/>
          </w:cols>
          <w:pgMar w:left="240" w:top="273" w:right="239" w:bottom="1440" w:gutter="0" w:footer="0" w:header="0"/>
        </w:sectPr>
      </w:pPr>
    </w:p>
    <w:bookmarkStart w:id="361" w:name="page362"/>
    <w:bookmarkEnd w:id="361"/>
    <w:p>
      <w:pPr>
        <w:ind w:right="2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clause (vii) and clause (iv), in the aggregate, shall not exceed $[ ])]; (viii) all expenses incurred by the Company in connection with any “road show” presentation to potential investors,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Underwriters shall be responsible for 50% of the third-party costs of any chartered private aircraft incurred in connection with such road show; (ix) the fees and expenses of the Trustee with respect to the Securities; and (x) all expenses and application fees related to the listing of the Securities, the Underlying Securities [or any Warrant Securities issuable upon exercise of the Warrants] on [applicable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79" w:lineRule="exact"/>
        <w:rPr>
          <w:sz w:val="20"/>
          <w:szCs w:val="20"/>
          <w:color w:val="auto"/>
        </w:rPr>
      </w:pPr>
    </w:p>
    <w:p>
      <w:pPr>
        <w:ind w:left="720" w:hanging="256"/>
        <w:spacing w:after="0"/>
        <w:tabs>
          <w:tab w:leader="none" w:pos="72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10 (other than as a result of a termination pursuant to clauses (i), (iii) or (iv) of Section 10),</w:t>
      </w:r>
    </w:p>
    <w:p>
      <w:pPr>
        <w:spacing w:after="0" w:line="46" w:lineRule="exact"/>
        <w:rPr>
          <w:rFonts w:ascii="Arial" w:cs="Arial" w:eastAsia="Arial" w:hAnsi="Arial"/>
          <w:sz w:val="16"/>
          <w:szCs w:val="16"/>
          <w:color w:val="auto"/>
        </w:rPr>
      </w:pPr>
    </w:p>
    <w:p>
      <w:pPr>
        <w:ind w:right="40" w:firstLine="8"/>
        <w:spacing w:after="0" w:line="253" w:lineRule="auto"/>
        <w:tabs>
          <w:tab w:leader="none" w:pos="26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91" w:lineRule="exact"/>
        <w:rPr>
          <w:sz w:val="20"/>
          <w:szCs w:val="20"/>
          <w:color w:val="auto"/>
        </w:rPr>
      </w:pPr>
    </w:p>
    <w:p>
      <w:pPr>
        <w:ind w:right="160" w:firstLine="464"/>
        <w:spacing w:after="0" w:line="279" w:lineRule="auto"/>
        <w:tabs>
          <w:tab w:leader="none" w:pos="726"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1" w:lineRule="exact"/>
        <w:rPr>
          <w:rFonts w:ascii="Arial" w:cs="Arial" w:eastAsia="Arial" w:hAnsi="Arial"/>
          <w:sz w:val="17"/>
          <w:szCs w:val="17"/>
          <w:color w:val="auto"/>
        </w:rPr>
      </w:pPr>
    </w:p>
    <w:p>
      <w:pPr>
        <w:jc w:val="both"/>
        <w:ind w:right="320" w:firstLine="464"/>
        <w:spacing w:after="0" w:line="279" w:lineRule="auto"/>
        <w:tabs>
          <w:tab w:leader="none" w:pos="726"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71" w:lineRule="exact"/>
        <w:rPr>
          <w:rFonts w:ascii="Arial" w:cs="Arial" w:eastAsia="Arial" w:hAnsi="Arial"/>
          <w:sz w:val="17"/>
          <w:szCs w:val="17"/>
          <w:color w:val="auto"/>
        </w:rPr>
      </w:pPr>
    </w:p>
    <w:p>
      <w:pPr>
        <w:ind w:right="100" w:firstLine="464"/>
        <w:spacing w:after="0" w:line="286" w:lineRule="auto"/>
        <w:tabs>
          <w:tab w:leader="none" w:pos="726"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740" w:hanging="276"/>
        <w:spacing w:after="0"/>
        <w:tabs>
          <w:tab w:leader="none" w:pos="74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20" w:firstLine="464"/>
        <w:spacing w:after="0" w:line="259" w:lineRule="auto"/>
        <w:tabs>
          <w:tab w:leader="none" w:pos="701"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 form of telecommunication. Notices to the Underwriters shall be given to the Representative[s] at [address of underwriter]. Notices to the Company or the Adviser shall be given to either of them at TPG Specialty Lending, Inc., 345 California Street, Suite 3300, San Francisco, California 94104 (fax: (917) 463-0175), Attention: David Stiepleman.</w:t>
      </w:r>
    </w:p>
    <w:p>
      <w:pPr>
        <w:spacing w:after="0" w:line="186" w:lineRule="exact"/>
        <w:rPr>
          <w:rFonts w:ascii="Arial" w:cs="Arial" w:eastAsia="Arial" w:hAnsi="Arial"/>
          <w:sz w:val="18"/>
          <w:szCs w:val="18"/>
          <w:color w:val="auto"/>
        </w:rPr>
      </w:pPr>
    </w:p>
    <w:p>
      <w:pPr>
        <w:ind w:firstLine="464"/>
        <w:spacing w:after="0" w:line="264" w:lineRule="auto"/>
        <w:tabs>
          <w:tab w:leader="none" w:pos="711"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ectPr>
          <w:pgSz w:w="11900" w:h="16838" w:orient="portrait"/>
          <w:cols w:equalWidth="0" w:num="1">
            <w:col w:w="11420"/>
          </w:cols>
          <w:pgMar w:left="240" w:top="274" w:right="239" w:bottom="1440" w:gutter="0" w:footer="0" w:header="0"/>
        </w:sectPr>
      </w:pPr>
    </w:p>
    <w:bookmarkStart w:id="362" w:name="page363"/>
    <w:bookmarkEnd w:id="362"/>
    <w:p>
      <w:pPr>
        <w:ind w:left="-220" w:right="480" w:firstLine="464"/>
        <w:spacing w:after="0" w:line="308" w:lineRule="auto"/>
        <w:tabs>
          <w:tab w:leader="none" w:pos="481" w:val="left"/>
        </w:tabs>
        <w:numPr>
          <w:ilvl w:val="0"/>
          <w:numId w:val="35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left="-220" w:right="1160" w:firstLine="464"/>
        <w:spacing w:after="0" w:line="308" w:lineRule="auto"/>
        <w:tabs>
          <w:tab w:leader="none" w:pos="491" w:val="left"/>
        </w:tabs>
        <w:numPr>
          <w:ilvl w:val="0"/>
          <w:numId w:val="355"/>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left="-220" w:right="140" w:firstLine="464"/>
        <w:spacing w:after="0" w:line="277" w:lineRule="auto"/>
        <w:tabs>
          <w:tab w:leader="none" w:pos="481"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220" w:right="440" w:firstLine="464"/>
        <w:spacing w:after="0" w:line="277" w:lineRule="auto"/>
        <w:tabs>
          <w:tab w:leader="none" w:pos="461"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980"/>
          </w:cols>
          <w:pgMar w:left="460" w:top="274" w:right="459" w:bottom="1440" w:gutter="0" w:footer="0" w:header="0"/>
        </w:sectPr>
      </w:pPr>
    </w:p>
    <w:bookmarkStart w:id="363" w:name="page364"/>
    <w:bookmarkEnd w:id="36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color w:val="auto"/>
                <w:w w:val="93"/>
              </w:rPr>
              <w:t>Underwriter</w:t>
            </w:r>
          </w:p>
        </w:tc>
        <w:tc>
          <w:tcPr>
            <w:tcW w:w="58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Aggregate Principal</w:t>
            </w:r>
          </w:p>
        </w:tc>
        <w:tc>
          <w:tcPr>
            <w:tcW w:w="0" w:type="dxa"/>
            <w:vAlign w:val="bottom"/>
          </w:tcPr>
          <w:p>
            <w:pPr>
              <w:spacing w:after="0"/>
              <w:rPr>
                <w:sz w:val="1"/>
                <w:szCs w:val="1"/>
                <w:color w:val="auto"/>
              </w:rPr>
            </w:pPr>
          </w:p>
        </w:tc>
      </w:tr>
      <w:tr>
        <w:trPr>
          <w:trHeight w:val="161"/>
        </w:trPr>
        <w:tc>
          <w:tcPr>
            <w:tcW w:w="700" w:type="dxa"/>
            <w:vAlign w:val="bottom"/>
            <w:vMerge w:val="continue"/>
          </w:tcPr>
          <w:p>
            <w:pPr>
              <w:spacing w:after="0"/>
              <w:rPr>
                <w:sz w:val="13"/>
                <w:szCs w:val="13"/>
                <w:color w:val="auto"/>
              </w:rPr>
            </w:pPr>
          </w:p>
        </w:tc>
        <w:tc>
          <w:tcPr>
            <w:tcW w:w="7060" w:type="dxa"/>
            <w:vAlign w:val="bottom"/>
            <w:gridSpan w:val="2"/>
          </w:tcPr>
          <w:p>
            <w:pPr>
              <w:jc w:val="center"/>
              <w:ind w:left="5728"/>
              <w:spacing w:after="0" w:line="154" w:lineRule="exact"/>
              <w:rPr>
                <w:sz w:val="20"/>
                <w:szCs w:val="20"/>
                <w:color w:val="auto"/>
              </w:rPr>
            </w:pPr>
            <w:r>
              <w:rPr>
                <w:rFonts w:ascii="Arial" w:cs="Arial" w:eastAsia="Arial" w:hAnsi="Arial"/>
                <w:sz w:val="14"/>
                <w:szCs w:val="14"/>
                <w:color w:val="auto"/>
                <w:w w:val="94"/>
              </w:rPr>
              <w:t>Amount of Securities</w:t>
            </w:r>
          </w:p>
        </w:tc>
        <w:tc>
          <w:tcPr>
            <w:tcW w:w="0" w:type="dxa"/>
            <w:vAlign w:val="bottom"/>
          </w:tcPr>
          <w:p>
            <w:pPr>
              <w:spacing w:after="0"/>
              <w:rPr>
                <w:sz w:val="1"/>
                <w:szCs w:val="1"/>
                <w:color w:val="auto"/>
              </w:rPr>
            </w:pPr>
          </w:p>
        </w:tc>
      </w:tr>
      <w:tr>
        <w:trPr>
          <w:trHeight w:val="203"/>
        </w:trPr>
        <w:tc>
          <w:tcPr>
            <w:tcW w:w="700" w:type="dxa"/>
            <w:vAlign w:val="bottom"/>
            <w:tcBorders>
              <w:top w:val="single" w:sz="8" w:color="auto"/>
            </w:tcBorders>
            <w:shd w:val="clear" w:color="auto" w:fill="CCEEFF"/>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10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-121920</wp:posOffset>
            </wp:positionV>
            <wp:extent cx="4922520" cy="1631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922520" cy="163195"/>
                    </a:xfrm>
                    <a:prstGeom prst="rect">
                      <a:avLst/>
                    </a:prstGeom>
                    <a:noFill/>
                  </pic:spPr>
                </pic:pic>
              </a:graphicData>
            </a:graphic>
          </wp:anchor>
        </w:drawing>
      </w:r>
    </w:p>
    <w:p>
      <w:pPr>
        <w:sectPr>
          <w:pgSz w:w="11900" w:h="16838" w:orient="portrait"/>
          <w:cols w:equalWidth="0" w:num="1">
            <w:col w:w="10220"/>
          </w:cols>
          <w:pgMar w:left="1440" w:top="273" w:right="2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Subsidiaries of the Company</w:t>
      </w:r>
    </w:p>
    <w:p>
      <w:pPr>
        <w:spacing w:after="0" w:line="252" w:lineRule="exact"/>
        <w:rPr>
          <w:sz w:val="20"/>
          <w:szCs w:val="20"/>
          <w:color w:val="auto"/>
        </w:rPr>
      </w:pPr>
    </w:p>
    <w:p>
      <w:pPr>
        <w:ind w:left="446" w:hanging="446"/>
        <w:spacing w:after="0"/>
        <w:tabs>
          <w:tab w:leader="none" w:pos="44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23" w:lineRule="exact"/>
        <w:rPr>
          <w:rFonts w:ascii="Arial" w:cs="Arial" w:eastAsia="Arial" w:hAnsi="Arial"/>
          <w:sz w:val="18"/>
          <w:szCs w:val="18"/>
          <w:color w:val="auto"/>
        </w:rPr>
      </w:pPr>
    </w:p>
    <w:p>
      <w:pPr>
        <w:ind w:left="446" w:hanging="446"/>
        <w:spacing w:after="0"/>
        <w:tabs>
          <w:tab w:leader="none" w:pos="44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TSL MR, LLC</w:t>
      </w:r>
    </w:p>
    <w:p>
      <w:pPr>
        <w:sectPr>
          <w:pgSz w:w="11900" w:h="16838" w:orient="portrait"/>
          <w:cols w:equalWidth="0" w:num="1">
            <w:col w:w="10966"/>
          </w:cols>
          <w:pgMar w:left="694" w:top="273"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[List of persons and entities subject to lock-up]</w:t>
      </w:r>
    </w:p>
    <w:p>
      <w:pPr>
        <w:sectPr>
          <w:pgSz w:w="11900" w:h="16838" w:orient="portrait"/>
          <w:cols w:equalWidth="0" w:num="1">
            <w:col w:w="10220"/>
          </w:cols>
          <w:pgMar w:left="1440" w:top="274" w:right="2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Aggregate Principal Amount Senior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Aggregate Principal Amount Subordinated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Debt Securities</w:t>
      </w:r>
    </w:p>
    <w:p>
      <w:pPr>
        <w:spacing w:after="0" w:line="211" w:lineRule="exact"/>
        <w:rPr>
          <w:sz w:val="20"/>
          <w:szCs w:val="20"/>
          <w:color w:val="auto"/>
        </w:rPr>
      </w:pPr>
    </w:p>
    <w:p>
      <w:pPr>
        <w:ind w:left="460"/>
        <w:spacing w:after="0"/>
        <w:tabs>
          <w:tab w:leader="none" w:pos="4980" w:val="left"/>
        </w:tabs>
        <w:rPr>
          <w:sz w:val="20"/>
          <w:szCs w:val="20"/>
          <w:color w:val="auto"/>
        </w:rPr>
      </w:pPr>
      <w:r>
        <w:rPr>
          <w:rFonts w:ascii="Arial" w:cs="Arial" w:eastAsia="Arial" w:hAnsi="Arial"/>
          <w:sz w:val="18"/>
          <w:szCs w:val="18"/>
          <w:color w:val="auto"/>
        </w:rPr>
        <w:t>1. The aggregate principal amount of the Securities is $</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ind w:right="440" w:firstLine="464"/>
        <w:spacing w:after="0" w:line="277" w:lineRule="auto"/>
        <w:tabs>
          <w:tab w:leader="none" w:pos="63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public offering price for the Securities shall be —% of the aggregate principal amount thereof plus accrued interest, if any, from the date of issuance.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purchase price for the Securities to be paid by the several Underwriters shall be —% of the aggregate principal amount thereof.</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2520" w:type="dxa"/>
            <w:vAlign w:val="bottom"/>
          </w:tcPr>
          <w:p>
            <w:pPr>
              <w:ind w:left="20"/>
              <w:spacing w:after="0"/>
              <w:rPr>
                <w:sz w:val="20"/>
                <w:szCs w:val="20"/>
                <w:color w:val="auto"/>
              </w:rPr>
            </w:pPr>
            <w:r>
              <w:rPr>
                <w:rFonts w:ascii="Arial" w:cs="Arial" w:eastAsia="Arial" w:hAnsi="Arial"/>
                <w:sz w:val="18"/>
                <w:szCs w:val="18"/>
                <w:color w:val="auto"/>
              </w:rPr>
              <w:t>The interest rate is   %.</w:t>
            </w:r>
          </w:p>
        </w:tc>
        <w:tc>
          <w:tcPr>
            <w:tcW w:w="2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520" w:type="dxa"/>
            <w:vAlign w:val="bottom"/>
          </w:tcPr>
          <w:p>
            <w:pPr>
              <w:ind w:left="20"/>
              <w:spacing w:after="0"/>
              <w:rPr>
                <w:sz w:val="20"/>
                <w:szCs w:val="20"/>
                <w:color w:val="auto"/>
              </w:rPr>
            </w:pPr>
            <w:r>
              <w:rPr>
                <w:rFonts w:ascii="Arial" w:cs="Arial" w:eastAsia="Arial" w:hAnsi="Arial"/>
                <w:sz w:val="18"/>
                <w:szCs w:val="18"/>
                <w:color w:val="auto"/>
                <w:w w:val="99"/>
              </w:rPr>
              <w:t>The interest payment dates are</w:t>
            </w:r>
          </w:p>
        </w:tc>
        <w:tc>
          <w:tcPr>
            <w:tcW w:w="2120" w:type="dxa"/>
            <w:vAlign w:val="bottom"/>
          </w:tcPr>
          <w:p>
            <w:pPr>
              <w:ind w:left="280"/>
              <w:spacing w:after="0"/>
              <w:rPr>
                <w:sz w:val="20"/>
                <w:szCs w:val="20"/>
                <w:color w:val="auto"/>
              </w:rPr>
            </w:pPr>
            <w:r>
              <w:rPr>
                <w:rFonts w:ascii="Arial" w:cs="Arial" w:eastAsia="Arial" w:hAnsi="Arial"/>
                <w:sz w:val="18"/>
                <w:szCs w:val="18"/>
                <w:color w:val="auto"/>
              </w:rPr>
              <w:t>. The record dates are</w:t>
            </w:r>
          </w:p>
        </w:tc>
        <w:tc>
          <w:tcPr>
            <w:tcW w:w="3320" w:type="dxa"/>
            <w:vAlign w:val="bottom"/>
            <w:gridSpan w:val="2"/>
          </w:tcPr>
          <w:p>
            <w:pPr>
              <w:ind w:left="300"/>
              <w:spacing w:after="0"/>
              <w:rPr>
                <w:sz w:val="20"/>
                <w:szCs w:val="20"/>
                <w:color w:val="auto"/>
              </w:rPr>
            </w:pPr>
            <w:r>
              <w:rPr>
                <w:rFonts w:ascii="Arial" w:cs="Arial" w:eastAsia="Arial" w:hAnsi="Arial"/>
                <w:sz w:val="18"/>
                <w:szCs w:val="18"/>
                <w:color w:val="auto"/>
                <w:w w:val="97"/>
              </w:rPr>
              <w:t>. The first interest payment date will be</w:t>
            </w:r>
          </w:p>
        </w:tc>
        <w:tc>
          <w:tcPr>
            <w:tcW w:w="2780" w:type="dxa"/>
            <w:vAlign w:val="bottom"/>
          </w:tcPr>
          <w:p>
            <w:pPr>
              <w:jc w:val="right"/>
              <w:ind w:right="2430"/>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7180" w:type="dxa"/>
            <w:vAlign w:val="bottom"/>
            <w:gridSpan w:val="3"/>
          </w:tcPr>
          <w:p>
            <w:pPr>
              <w:ind w:left="20"/>
              <w:spacing w:after="0"/>
              <w:rPr>
                <w:sz w:val="20"/>
                <w:szCs w:val="20"/>
                <w:color w:val="auto"/>
              </w:rPr>
            </w:pPr>
            <w:r>
              <w:rPr>
                <w:rFonts w:ascii="Arial" w:cs="Arial" w:eastAsia="Arial" w:hAnsi="Arial"/>
                <w:sz w:val="18"/>
                <w:szCs w:val="18"/>
                <w:color w:val="auto"/>
                <w:w w:val="94"/>
              </w:rPr>
              <w:t>The Securities may be redeemed in whole or in part at any time or from time to time on or after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w w:val="96"/>
              </w:rPr>
              <w:t>, upon not less than 30 nor more than 60 days</w:t>
            </w:r>
          </w:p>
        </w:tc>
      </w:tr>
    </w:tbl>
    <w:p>
      <w:pPr>
        <w:spacing w:after="0"/>
        <w:rPr>
          <w:sz w:val="20"/>
          <w:szCs w:val="20"/>
          <w:color w:val="auto"/>
        </w:rPr>
      </w:pPr>
      <w:r>
        <w:rPr>
          <w:rFonts w:ascii="Arial" w:cs="Arial" w:eastAsia="Arial" w:hAnsi="Arial"/>
          <w:sz w:val="18"/>
          <w:szCs w:val="18"/>
          <w:color w:val="auto"/>
        </w:rPr>
        <w:t>written notice, at a redemption price of per security plus accrued and unpaid interest.</w:t>
      </w:r>
    </w:p>
    <w:p>
      <w:pPr>
        <w:spacing w:after="0" w:line="211" w:lineRule="exact"/>
        <w:rPr>
          <w:sz w:val="20"/>
          <w:szCs w:val="20"/>
          <w:color w:val="auto"/>
        </w:rPr>
      </w:pPr>
    </w:p>
    <w:p>
      <w:pPr>
        <w:ind w:left="640" w:hanging="176"/>
        <w:spacing w:after="0"/>
        <w:tabs>
          <w:tab w:leader="none" w:pos="6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trade date is —.</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closing date will be —.</w:t>
      </w:r>
    </w:p>
    <w:p>
      <w:pPr>
        <w:sectPr>
          <w:pgSz w:w="11900" w:h="16838" w:orient="portrait"/>
          <w:cols w:equalWidth="0" w:num="1">
            <w:col w:w="11420"/>
          </w:cols>
          <w:pgMar w:left="240" w:top="270" w:right="23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17780</wp:posOffset>
            </wp:positionV>
            <wp:extent cx="5213985" cy="17583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21398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April 16,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a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on Form N-2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relating to the offering by the Company from time to time, together or separately and in one or more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series (if applicable), of up to an aggregate offering price of $750,000,000 of (a) shares of the Company’s common stock, par value $0.01 per share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(b) shares of the Company’s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(c) debt securities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Securities</w:t>
      </w:r>
      <w:r>
        <w:rPr>
          <w:rFonts w:ascii="Arial" w:cs="Arial" w:eastAsia="Arial" w:hAnsi="Arial"/>
          <w:sz w:val="16"/>
          <w:szCs w:val="16"/>
          <w:color w:val="auto"/>
        </w:rPr>
        <w:t>”); (d) subscription rights to purchase shares of the Company’s common stock (the “</w:t>
      </w:r>
      <w:r>
        <w:rPr>
          <w:rFonts w:ascii="Arial" w:cs="Arial" w:eastAsia="Arial" w:hAnsi="Arial"/>
          <w:sz w:val="16"/>
          <w:szCs w:val="16"/>
          <w:u w:val="single" w:color="auto"/>
          <w:color w:val="auto"/>
        </w:rPr>
        <w:t>Rights</w:t>
      </w:r>
      <w:r>
        <w:rPr>
          <w:rFonts w:ascii="Arial" w:cs="Arial" w:eastAsia="Arial" w:hAnsi="Arial"/>
          <w:sz w:val="16"/>
          <w:szCs w:val="16"/>
          <w:color w:val="auto"/>
        </w:rPr>
        <w:t>”); and (e) warrants to purchase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Common Stock or other securities, property or assets or other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The Common Stock, Preferred Stock, Debt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Rights and Warrants are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Securities being registered under the Registration Statement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offered on a continuous or delayed basis pursuant to the provisions of Rule 415 under the Securities Act.</w:t>
      </w:r>
    </w:p>
    <w:p>
      <w:pPr>
        <w:spacing w:after="0" w:line="21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terms of the Preferred Stock are to be established in one or more certificates of designation, rights and preferences filed with the Secretary of State of the State of Delaware (each,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The Debt Securities are to be issued under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to be entered into between the Company and the trustee to be named therein. The Rights are to be issued under one or more rights agreements (each, a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the Company and the rights agent to be named therein. The Warrants are to be issued under one or more warrant agreements (each, a “</w:t>
      </w:r>
      <w:r>
        <w:rPr>
          <w:rFonts w:ascii="Arial" w:cs="Arial" w:eastAsia="Arial" w:hAnsi="Arial"/>
          <w:sz w:val="17"/>
          <w:szCs w:val="17"/>
          <w:u w:val="single" w:color="auto"/>
          <w:color w:val="auto"/>
        </w:rPr>
        <w:t>Warrant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to be entered into between the Company and the warrant agent to be named therein.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CLEARY GOTTLIEB STEEN &amp; HAMILTON LLP OR AN AFFILIATED ENTITY HAS AN OFFICE IN EACH OF THE CITIES LISTED ABOVE.</w:t>
      </w:r>
    </w:p>
    <w:p>
      <w:pPr>
        <w:sectPr>
          <w:pgSz w:w="11900" w:h="16838" w:orient="portrait"/>
          <w:cols w:equalWidth="0" w:num="1">
            <w:col w:w="11420"/>
          </w:cols>
          <w:pgMar w:left="240" w:top="121" w:right="23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131" w:lineRule="exact"/>
        <w:rPr>
          <w:sz w:val="20"/>
          <w:szCs w:val="20"/>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form of Certificate of Common Stock included as Exhibit (d)(2)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form of Indenture included as Exhibit (d)(5)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form of Subscription Certificate included as Exhibit (d)(7) to the Registration Statement; and</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Bylaws, certified by the corporate secretary of the Company.</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2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rendering the opinions expressed below, we have assumed the authenticity of all documents submitted to us as originals and the conformity to the originals of all documents submitted to us as copies.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w:t>
      </w:r>
    </w:p>
    <w:p>
      <w:pPr>
        <w:spacing w:after="0" w:line="131" w:lineRule="exact"/>
        <w:rPr>
          <w:sz w:val="20"/>
          <w:szCs w:val="20"/>
          <w:color w:val="auto"/>
        </w:rPr>
      </w:pPr>
    </w:p>
    <w:p>
      <w:pPr>
        <w:ind w:left="900" w:right="220" w:hanging="446"/>
        <w:spacing w:after="0" w:line="277" w:lineRule="auto"/>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Common Stock, including Common Stock to be issued upon conversion, exchange or exercise of any other Security in accordance with its terms, will be validly issued by the Company, fully paid and nonassessable.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Preferred Stock will be validly issued by the Company, fully paid and nonassessable.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Debt Securities will be the valid, binding and enforceable obligations of the Company, entitled to the benefits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Rights will be the valid, binding and enforceable obligations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Warrants will be the valid, binding and enforceable obligations of the Company.</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Insofar as the foregoing opinions relate to the validity, binding effect or enforceability of any agreement or obligation of the Company, (x) we have assumed that the Company and each other party to such agreement or obligation has satisfied or, prior to the issuance of the Securities, will satisfy, those legal requirements that are applicable to it to the extent necessary to make such agreement or obligation enforceable against it and (y) such opinions are subject to applicable bankruptcy, insolvency and similar laws affecting creditors’ rights generally and to general principles of equity.</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rendering the opinions expressed above, we have further assumed that (i) prior to the issuance of the Securities, the Company will authorize the offering and issuance of the Securities and will duly authorize, approve and establish the final terms and conditions thereof, which terms will conform to the descriptions thereof in the Registration Statement, the terms of any agreement governing those Securities and, in the case of Preferred Stock, the provisions of the Company’s Amended and Restated Certificate of Incorporation, as amended, and will not violate any applicable law, conflict with any matter of public policy, result in a default under or breach of any agreement or instrument binding upon the Company or violate any requirement or restriction imposed by any court or governmental body having jurisdiction over the Company; (ii) prior to the issuance of the Securities, the Company will duly authorize, execute and deliver any applicable Indenture, Rights Agreement and Warrant Agreement and any other agreement governing the Securities or otherwise necessary with respect to the Securities or contemplated by the Securities or the Registration Statement and will take any other appropriate or necessary corporate action, including the filing of any Certificate of Designation with the Secretary of State of the State of Delaware; (iii) any agreement governing the Securities and any instruments evidencing the Securities</w:t>
      </w:r>
    </w:p>
    <w:p>
      <w:pPr>
        <w:sectPr>
          <w:pgSz w:w="11900" w:h="16838" w:orient="portrait"/>
          <w:cols w:equalWidth="0" w:num="1">
            <w:col w:w="11420"/>
          </w:cols>
          <w:pgMar w:left="240" w:top="273" w:right="23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3</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will be governed by New York law; (iv) the Indenture will conform to the form thereof filed as an exhibit to the Registration Statement; (v) the Securities will be offered, issued, sold and delivered in compliance with applicable law and any requirements therefor set forth in any corporate action authorizing such Securities and any agreement governing such Securities and in the manner contemplated by the Registration Statement and the related prospectus supplements describing the Securities and the offering thereof; (vi) the Securities will be offered, sold and delivered to, and paid for by, the purchasers thereof at the price specified in, and in accordance with the terms of, an agreement or agreements duly authorized, executed and delivered by the parties thereto, which price, in the case of Common Stock or Preferred Stock, shall not be less than the respective par value thereof; and (vii) if issued in certificated form, certificates representing the Securities will be duly executed and delivered and, to the extent required by any applicable agreement, duly authenticated or countersigned, and if issued in book-entry form, the Securities will be duly registered to the extent required by any applicable agreement.</w:t>
      </w:r>
    </w:p>
    <w:p>
      <w:pPr>
        <w:spacing w:after="0" w:line="166"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 rendering the opinions expressed in paragraph 3 above, we have assumed that each series of Debt Securities will be issued with an original aggregate principal amount (or in the case of Debt Securities issued at an original issue discount, an aggregate issue price) of $2,500,000 or more.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note that any designation in the Securities or any applicable agreement governing those Securities of the U.S. federal courts sitting in New York City as the venue for actions or proceedings relating to such Securities is (notwithstanding any waiver thereof) subject to the power of such courts to transfer actions pursuant to 28 U.S.C. §1404(a) or to dismiss such actions or proceedings on the grounds that such a federal court is an inconvenient forum for such an action or proceeding.</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note that by statute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 In addition, to the extent that any Securities or applicable agreement governing those Securities includes a provision relating to indemnification against any loss in obtaining currency due from a court judgment in another currency, we express no opinion as to the enforceability of such provision.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opinions are limited to the law of the State of New York and the General Corporation Law of the State of Delaware.</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hereby consent to the use of our name in the prospectus constituting a part of the Registration Statement under the heading “Legal Matters” and in any prospectus supplement related thereto as counsel for the Company that has passed on the validity of the Securities, and to the use of this opinion as a part (Exhibit (l)) of the Registration Statement. In giving this consent, we do not thereby admit that we are within the category of persons whose consent is required under Section 7 of the Securities Act or the rules and regulations of the Commission thereunder. 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Adam E. Fleisher, a Partner</w:t>
      </w:r>
    </w:p>
    <w:p>
      <w:pPr>
        <w:sectPr>
          <w:pgSz w:w="11900" w:h="16838" w:orient="portrait"/>
          <w:cols w:equalWidth="0" w:num="1">
            <w:col w:w="11420"/>
          </w:cols>
          <w:pgMar w:left="240" w:top="273" w:right="239"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consent to the use of our report dated February 24, 2015, with respect to the consolidated balance sheets of TPG Specialty Lending, Inc. (and subsidiaries) (the Company), including the consolidated schedules of investments, as of December 31, 2014 and 2013, and the related consolidated statements of operations, changes in net assets and cash flows for each of the years in the three-year period ended December 31, 2014, and the effectiveness of internal control over financial reporting as of December 31, 2014, and our report dated April 16, 2015 on the consolidated senior securities schedule of the Company, included herein, and to the references to our firm under the headings “Senior Securities”, and “Experts” in the prospectus.</w:t>
      </w:r>
    </w:p>
    <w:p>
      <w:pPr>
        <w:spacing w:after="0" w:line="26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2015</w:t>
      </w:r>
    </w:p>
    <w:p>
      <w:pPr>
        <w:sectPr>
          <w:pgSz w:w="11900" w:h="16838" w:orient="portrait"/>
          <w:cols w:equalWidth="0" w:num="1">
            <w:col w:w="11420"/>
          </w:cols>
          <w:pgMar w:left="240" w:top="121" w:right="2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(n)(3)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date of February 24, 2015, we reported on the consolidated balance sheets of TPG Specialty Lending, Inc. (and subsidiaries) (the Company), including the consolidated schedules of investments, as of December 31, 2014 and 2013, and the related consolidated statements of operations, changes in net assets and cash flows for each of the years in the three-year period ended December 31, 2014, which are included in the prospectus. In connection with our audits of the aforementioned consolidated financial statements, we also audited the related consolidated financial statement schedule in the prospectus, under the caption “Senior Securities”. This financial statement schedule is the responsibility of the Company’s management. Our responsibility is to express an opinion on this financial statement schedule based on our audit.</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27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2015</w:t>
      </w:r>
    </w:p>
    <w:p>
      <w:pPr>
        <w:sectPr>
          <w:pgSz w:w="11900" w:h="16838" w:orient="portrait"/>
          <w:cols w:equalWidth="0" w:num="1">
            <w:col w:w="11420"/>
          </w:cols>
          <w:pgMar w:left="240" w:top="121" w:right="239" w:bottom="1440" w:gutter="0" w:footer="0" w:header="0"/>
        </w:sectPr>
      </w:pPr>
    </w:p>
    <w:bookmarkStart w:id="374" w:name="page375"/>
    <w:bookmarkEnd w:id="3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63260" cy="19812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576326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April 16,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Registration Statement on Form N-2</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Filed on April 16,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Greene:</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we hereby respectfully request that the staff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afford the Company’s shelf registration statement on Form N-2, filed pursuant to the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with the Commission on April 16, 2015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 selective review in accordance with Securities Act Release No. 6510 (February 15, 1984). The Registration Statement, upon effectiveness, is intended to replace the Company’s shelf registration statement on Form N-2 (File No. 333-196969) (the “</w:t>
      </w:r>
      <w:r>
        <w:rPr>
          <w:rFonts w:ascii="Arial" w:cs="Arial" w:eastAsia="Arial" w:hAnsi="Arial"/>
          <w:sz w:val="18"/>
          <w:szCs w:val="18"/>
          <w:u w:val="single" w:color="auto"/>
          <w:color w:val="auto"/>
        </w:rPr>
        <w:t>Prior Registration Statement</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disclosure contained in the Registration Statement is substantially similar to the disclosure included in the Prior Registration Statement, except for:</w:t>
      </w:r>
    </w:p>
    <w:p>
      <w:pPr>
        <w:spacing w:after="0" w:line="154" w:lineRule="exact"/>
        <w:rPr>
          <w:sz w:val="20"/>
          <w:szCs w:val="20"/>
          <w:color w:val="auto"/>
        </w:rPr>
      </w:pPr>
    </w:p>
    <w:p>
      <w:pPr>
        <w:ind w:left="900" w:hanging="325"/>
        <w:spacing w:after="0"/>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revisions reflecting certain factual updates related to the Company, current regulatory conditions and current market conditions;</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revisions reflecting current information about the Company’s board of directors and executive officers;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CLEARY GOTTLIEB STEEN &amp; HAMILTON LLP OR AN AFFILIATED ENTITY HAS AN OFFICE IN EACH OF THE CITIES LISTED ABOVE.</w:t>
      </w:r>
    </w:p>
    <w:p>
      <w:pPr>
        <w:sectPr>
          <w:pgSz w:w="11900" w:h="16838" w:orient="portrait"/>
          <w:cols w:equalWidth="0" w:num="1">
            <w:col w:w="11360"/>
          </w:cols>
          <w:pgMar w:left="240" w:top="1440" w:right="29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900" w:hanging="325"/>
        <w:spacing w:after="0" w:line="264" w:lineRule="auto"/>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revisions reflecting material developments relating to the Company since the effective date of the Prior Registration Statement, including the exemptive relief order granted to the Company by the Commission on December 16, 2014, the Company’s status as a large accelerated filer as of December 31, 2014 and the Company’s stock repurchase plan entered into on November 5, 2014;</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removal of shares previously registered on behalf of certain selling stockholders;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inclusion of audited financial statements and related financial data for the period ended December 31, 2014, together with disclosure relating thereto;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revisions to reflect other minor factual updates.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such, the Company hereby requests expedited review of its Registration Statement.</w:t>
      </w:r>
    </w:p>
    <w:p>
      <w:pPr>
        <w:spacing w:after="0" w:line="225" w:lineRule="exact"/>
        <w:rPr>
          <w:sz w:val="20"/>
          <w:szCs w:val="20"/>
          <w:color w:val="auto"/>
        </w:rPr>
      </w:pPr>
    </w:p>
    <w:p>
      <w:pPr>
        <w:ind w:left="5220"/>
        <w:spacing w:after="0"/>
        <w:tabs>
          <w:tab w:leader="none" w:pos="564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If you have any questions or additional comments concerning the foregoing, please contact Adam Fleisher at (212) 225-2286 or Helena Grannis at (212) 225-2376.</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Adam E. Fleisher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Adam E. Fleisher</w:t>
      </w:r>
    </w:p>
    <w:p>
      <w:pPr>
        <w:spacing w:after="0" w:line="238" w:lineRule="exact"/>
        <w:rPr>
          <w:sz w:val="20"/>
          <w:szCs w:val="20"/>
          <w:color w:val="auto"/>
        </w:rPr>
      </w:pPr>
    </w:p>
    <w:p>
      <w:pPr>
        <w:ind w:left="580" w:hanging="572"/>
        <w:spacing w:after="0"/>
        <w:tabs>
          <w:tab w:leader="none" w:pos="5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Jennifer Porter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and Exchange Commission</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Jennifer Mello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Michael A. Gerstenzang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Helena K. Grannis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1340"/>
      </w:cols>
      <w:pgMar w:left="240" w:top="27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517E"/>
    <w:multiLevelType w:val="hybridMultilevel"/>
    <w:lvl w:ilvl="0">
      <w:lvlJc w:val="left"/>
      <w:lvlText w:val="☐"/>
      <w:numFmt w:val="bullet"/>
      <w:start w:val="1"/>
    </w:lvl>
  </w:abstractNum>
  <w:abstractNum w:abstractNumId="1">
    <w:nsid w:val="1F461B51"/>
    <w:multiLevelType w:val="hybridMultilevel"/>
    <w:lvl w:ilvl="0">
      <w:lvlJc w:val="left"/>
      <w:lvlText w:val="(%1)"/>
      <w:numFmt w:val="decimal"/>
      <w:start w:val="1"/>
    </w:lvl>
  </w:abstractNum>
  <w:abstractNum w:abstractNumId="2">
    <w:nsid w:val="29BACF25"/>
    <w:multiLevelType w:val="hybridMultilevel"/>
    <w:lvl w:ilvl="0">
      <w:lvlJc w:val="left"/>
      <w:lvlText w:val="•"/>
      <w:numFmt w:val="bullet"/>
      <w:start w:val="1"/>
    </w:lvl>
  </w:abstractNum>
  <w:abstractNum w:abstractNumId="3">
    <w:nsid w:val="5D5BABB3"/>
    <w:multiLevelType w:val="hybridMultilevel"/>
    <w:lvl w:ilvl="0">
      <w:lvlJc w:val="left"/>
      <w:lvlText w:val="•"/>
      <w:numFmt w:val="bullet"/>
      <w:start w:val="1"/>
    </w:lvl>
    <w:lvl w:ilvl="1">
      <w:lvlJc w:val="left"/>
      <w:lvlText w:val="•"/>
      <w:numFmt w:val="bullet"/>
      <w:start w:val="1"/>
    </w:lvl>
  </w:abstractNum>
  <w:abstractNum w:abstractNumId="4">
    <w:nsid w:val="51BF6B48"/>
    <w:multiLevelType w:val="hybridMultilevel"/>
    <w:lvl w:ilvl="0">
      <w:lvlJc w:val="left"/>
      <w:lvlText w:val="•"/>
      <w:numFmt w:val="bullet"/>
      <w:start w:val="1"/>
    </w:lvl>
    <w:lvl w:ilvl="1">
      <w:lvlJc w:val="left"/>
      <w:lvlText w:val="•"/>
      <w:numFmt w:val="bullet"/>
      <w:start w:val="1"/>
    </w:lvl>
  </w:abstractNum>
  <w:abstractNum w:abstractNumId="5">
    <w:nsid w:val="7E0F6384"/>
    <w:multiLevelType w:val="hybridMultilevel"/>
    <w:lvl w:ilvl="0">
      <w:lvlJc w:val="left"/>
      <w:lvlText w:val="•"/>
      <w:numFmt w:val="bullet"/>
      <w:start w:val="1"/>
    </w:lvl>
  </w:abstractNum>
  <w:abstractNum w:abstractNumId="6">
    <w:nsid w:val="2B4B8B53"/>
    <w:multiLevelType w:val="hybridMultilevel"/>
    <w:lvl w:ilvl="0">
      <w:lvlJc w:val="left"/>
      <w:lvlText w:val="•"/>
      <w:numFmt w:val="bullet"/>
      <w:start w:val="1"/>
    </w:lvl>
  </w:abstractNum>
  <w:abstractNum w:abstractNumId="7">
    <w:nsid w:val="72E3413A"/>
    <w:multiLevelType w:val="hybridMultilevel"/>
    <w:lvl w:ilvl="0">
      <w:lvlJc w:val="left"/>
      <w:lvlText w:val="•"/>
      <w:numFmt w:val="bullet"/>
      <w:start w:val="1"/>
    </w:lvl>
  </w:abstractNum>
  <w:abstractNum w:abstractNumId="8">
    <w:nsid w:val="116AE494"/>
    <w:multiLevelType w:val="hybridMultilevel"/>
    <w:lvl w:ilvl="0">
      <w:lvlJc w:val="left"/>
      <w:lvlText w:val="•"/>
      <w:numFmt w:val="bullet"/>
      <w:start w:val="1"/>
    </w:lvl>
  </w:abstractNum>
  <w:abstractNum w:abstractNumId="9">
    <w:nsid w:val="3494B2FB"/>
    <w:multiLevelType w:val="hybridMultilevel"/>
    <w:lvl w:ilvl="0">
      <w:lvlJc w:val="left"/>
      <w:lvlText w:val="•"/>
      <w:numFmt w:val="bullet"/>
      <w:start w:val="1"/>
    </w:lvl>
  </w:abstractNum>
  <w:abstractNum w:abstractNumId="10">
    <w:nsid w:val="B13A31"/>
    <w:multiLevelType w:val="hybridMultilevel"/>
    <w:lvl w:ilvl="0">
      <w:lvlJc w:val="left"/>
      <w:lvlText w:val="•"/>
      <w:numFmt w:val="bullet"/>
      <w:start w:val="1"/>
    </w:lvl>
  </w:abstractNum>
  <w:abstractNum w:abstractNumId="11">
    <w:nsid w:val="64429599"/>
    <w:multiLevelType w:val="hybridMultilevel"/>
    <w:lvl w:ilvl="0">
      <w:lvlJc w:val="left"/>
      <w:lvlText w:val="(%1)"/>
      <w:numFmt w:val="lowerLetter"/>
      <w:start w:val="2"/>
    </w:lvl>
  </w:abstractNum>
  <w:abstractNum w:abstractNumId="12">
    <w:nsid w:val="631F1690"/>
    <w:multiLevelType w:val="hybridMultilevel"/>
    <w:lvl w:ilvl="0">
      <w:lvlJc w:val="left"/>
      <w:lvlText w:val="(%1)"/>
      <w:numFmt w:val="decimal"/>
      <w:start w:val="1"/>
    </w:lvl>
  </w:abstractNum>
  <w:abstractNum w:abstractNumId="13">
    <w:nsid w:val="25973E32"/>
    <w:multiLevelType w:val="hybridMultilevel"/>
    <w:lvl w:ilvl="0">
      <w:lvlJc w:val="left"/>
      <w:lvlText w:val="(%1)"/>
      <w:numFmt w:val="decimal"/>
      <w:start w:val="6"/>
    </w:lvl>
  </w:abstractNum>
  <w:abstractNum w:abstractNumId="14">
    <w:nsid w:val="EAD6F57"/>
    <w:multiLevelType w:val="hybridMultilevel"/>
    <w:lvl w:ilvl="0">
      <w:lvlJc w:val="left"/>
      <w:lvlText w:val="(%1)"/>
      <w:numFmt w:val="decimal"/>
      <w:start w:val="1"/>
    </w:lvl>
  </w:abstractNum>
  <w:abstractNum w:abstractNumId="15">
    <w:nsid w:val="6EC9D844"/>
    <w:multiLevelType w:val="hybridMultilevel"/>
    <w:lvl w:ilvl="0">
      <w:lvlJc w:val="left"/>
      <w:lvlText w:val="(%1)"/>
      <w:numFmt w:val="decimal"/>
      <w:start w:val="1"/>
    </w:lvl>
  </w:abstractNum>
  <w:abstractNum w:abstractNumId="16">
    <w:nsid w:val="5C49EAEE"/>
    <w:multiLevelType w:val="hybridMultilevel"/>
    <w:lvl w:ilvl="0">
      <w:lvlJc w:val="left"/>
      <w:lvlText w:val="(%1)"/>
      <w:numFmt w:val="decimal"/>
      <w:start w:val="1"/>
    </w:lvl>
  </w:abstractNum>
  <w:abstractNum w:abstractNumId="17">
    <w:nsid w:val="64AF49B"/>
    <w:multiLevelType w:val="hybridMultilevel"/>
    <w:lvl w:ilvl="0">
      <w:lvlJc w:val="left"/>
      <w:lvlText w:val="•"/>
      <w:numFmt w:val="bullet"/>
      <w:start w:val="1"/>
    </w:lvl>
    <w:lvl w:ilvl="1">
      <w:lvlJc w:val="left"/>
      <w:lvlText w:val="•"/>
      <w:numFmt w:val="bullet"/>
      <w:start w:val="1"/>
    </w:lvl>
  </w:abstractNum>
  <w:abstractNum w:abstractNumId="18">
    <w:nsid w:val="397C46BC"/>
    <w:multiLevelType w:val="hybridMultilevel"/>
    <w:lvl w:ilvl="0">
      <w:lvlJc w:val="left"/>
      <w:lvlText w:val="•"/>
      <w:numFmt w:val="bullet"/>
      <w:start w:val="1"/>
    </w:lvl>
  </w:abstractNum>
  <w:abstractNum w:abstractNumId="19">
    <w:nsid w:val="7E448DE9"/>
    <w:multiLevelType w:val="hybridMultilevel"/>
    <w:lvl w:ilvl="0">
      <w:lvlJc w:val="left"/>
      <w:lvlText w:val="•"/>
      <w:numFmt w:val="bullet"/>
      <w:start w:val="1"/>
    </w:lvl>
  </w:abstractNum>
  <w:abstractNum w:abstractNumId="20">
    <w:nsid w:val="5A9CC3E5"/>
    <w:multiLevelType w:val="hybridMultilevel"/>
    <w:lvl w:ilvl="0">
      <w:lvlJc w:val="left"/>
      <w:lvlText w:val="•"/>
      <w:numFmt w:val="bullet"/>
      <w:start w:val="1"/>
    </w:lvl>
  </w:abstractNum>
  <w:abstractNum w:abstractNumId="21">
    <w:nsid w:val="1AFE3625"/>
    <w:multiLevelType w:val="hybridMultilevel"/>
    <w:lvl w:ilvl="0">
      <w:lvlJc w:val="left"/>
      <w:lvlText w:val="•"/>
      <w:numFmt w:val="bullet"/>
      <w:start w:val="1"/>
    </w:lvl>
  </w:abstractNum>
  <w:abstractNum w:abstractNumId="22">
    <w:nsid w:val="3CA88ECF"/>
    <w:multiLevelType w:val="hybridMultilevel"/>
    <w:lvl w:ilvl="0">
      <w:lvlJc w:val="left"/>
      <w:lvlText w:val="•"/>
      <w:numFmt w:val="bullet"/>
      <w:start w:val="1"/>
    </w:lvl>
  </w:abstractNum>
  <w:abstractNum w:abstractNumId="23">
    <w:nsid w:val="6EBE4208"/>
    <w:multiLevelType w:val="hybridMultilevel"/>
    <w:lvl w:ilvl="0">
      <w:lvlJc w:val="left"/>
      <w:lvlText w:val="•"/>
      <w:numFmt w:val="bullet"/>
      <w:start w:val="1"/>
    </w:lvl>
  </w:abstractNum>
  <w:abstractNum w:abstractNumId="24">
    <w:nsid w:val="C058DF5"/>
    <w:multiLevelType w:val="hybridMultilevel"/>
    <w:lvl w:ilvl="0">
      <w:lvlJc w:val="left"/>
      <w:lvlText w:val="•"/>
      <w:numFmt w:val="bullet"/>
      <w:start w:val="1"/>
    </w:lvl>
  </w:abstractNum>
  <w:abstractNum w:abstractNumId="25">
    <w:nsid w:val="CBE5BE9"/>
    <w:multiLevelType w:val="hybridMultilevel"/>
    <w:lvl w:ilvl="0">
      <w:lvlJc w:val="left"/>
      <w:lvlText w:val="•"/>
      <w:numFmt w:val="bullet"/>
      <w:start w:val="1"/>
    </w:lvl>
  </w:abstractNum>
  <w:abstractNum w:abstractNumId="26">
    <w:nsid w:val="3102BBE2"/>
    <w:multiLevelType w:val="hybridMultilevel"/>
    <w:lvl w:ilvl="0">
      <w:lvlJc w:val="left"/>
      <w:lvlText w:val="•"/>
      <w:numFmt w:val="bullet"/>
      <w:start w:val="1"/>
    </w:lvl>
  </w:abstractNum>
  <w:abstractNum w:abstractNumId="27">
    <w:nsid w:val="26A02C5E"/>
    <w:multiLevelType w:val="hybridMultilevel"/>
    <w:lvl w:ilvl="0">
      <w:lvlJc w:val="left"/>
      <w:lvlText w:val="•"/>
      <w:numFmt w:val="bullet"/>
      <w:start w:val="1"/>
    </w:lvl>
  </w:abstractNum>
  <w:abstractNum w:abstractNumId="28">
    <w:nsid w:val="541C8153"/>
    <w:multiLevelType w:val="hybridMultilevel"/>
    <w:lvl w:ilvl="0">
      <w:lvlJc w:val="left"/>
      <w:lvlText w:val="(%1)"/>
      <w:numFmt w:val="upperLetter"/>
      <w:start w:val="2"/>
    </w:lvl>
  </w:abstractNum>
  <w:abstractNum w:abstractNumId="29">
    <w:nsid w:val="67906F60"/>
    <w:multiLevelType w:val="hybridMultilevel"/>
    <w:lvl w:ilvl="0">
      <w:lvlJc w:val="left"/>
      <w:lvlText w:val="(%1)"/>
      <w:numFmt w:val="decimal"/>
      <w:start w:val="1"/>
    </w:lvl>
  </w:abstractNum>
  <w:abstractNum w:abstractNumId="30">
    <w:nsid w:val="10DB9DAA"/>
    <w:multiLevelType w:val="hybridMultilevel"/>
    <w:lvl w:ilvl="0">
      <w:lvlJc w:val="left"/>
      <w:lvlText w:val="*"/>
      <w:numFmt w:val="bullet"/>
      <w:start w:val="1"/>
    </w:lvl>
  </w:abstractNum>
  <w:abstractNum w:abstractNumId="31">
    <w:nsid w:val="697D2D2"/>
    <w:multiLevelType w:val="hybridMultilevel"/>
    <w:lvl w:ilvl="0">
      <w:lvlJc w:val="left"/>
      <w:lvlText w:val="(%1)"/>
      <w:numFmt w:val="decimal"/>
      <w:start w:val="1"/>
    </w:lvl>
  </w:abstractNum>
  <w:abstractNum w:abstractNumId="32">
    <w:nsid w:val="6D68AB2"/>
    <w:multiLevelType w:val="hybridMultilevel"/>
    <w:lvl w:ilvl="0">
      <w:lvlJc w:val="left"/>
      <w:lvlText w:val="•"/>
      <w:numFmt w:val="bullet"/>
      <w:start w:val="1"/>
    </w:lvl>
  </w:abstractNum>
  <w:abstractNum w:abstractNumId="33">
    <w:nsid w:val="3A966CD0"/>
    <w:multiLevelType w:val="hybridMultilevel"/>
    <w:lvl w:ilvl="0">
      <w:lvlJc w:val="left"/>
      <w:lvlText w:val="•"/>
      <w:numFmt w:val="bullet"/>
      <w:start w:val="1"/>
    </w:lvl>
  </w:abstractNum>
  <w:abstractNum w:abstractNumId="34">
    <w:nsid w:val="63F37E85"/>
    <w:multiLevelType w:val="hybridMultilevel"/>
    <w:lvl w:ilvl="0">
      <w:lvlJc w:val="left"/>
      <w:lvlText w:val="•"/>
      <w:numFmt w:val="bullet"/>
      <w:start w:val="1"/>
    </w:lvl>
  </w:abstractNum>
  <w:abstractNum w:abstractNumId="35">
    <w:nsid w:val="5895F5FA"/>
    <w:multiLevelType w:val="hybridMultilevel"/>
    <w:lvl w:ilvl="0">
      <w:lvlJc w:val="left"/>
      <w:lvlText w:val="•"/>
      <w:numFmt w:val="bullet"/>
      <w:start w:val="1"/>
    </w:lvl>
  </w:abstractNum>
  <w:abstractNum w:abstractNumId="36">
    <w:nsid w:val="38A5D054"/>
    <w:multiLevelType w:val="hybridMultilevel"/>
    <w:lvl w:ilvl="0">
      <w:lvlJc w:val="left"/>
      <w:lvlText w:val="(%1)"/>
      <w:numFmt w:val="decimal"/>
      <w:start w:val="1"/>
    </w:lvl>
  </w:abstractNum>
  <w:abstractNum w:abstractNumId="37">
    <w:nsid w:val="F3F09D8"/>
    <w:multiLevelType w:val="hybridMultilevel"/>
    <w:lvl w:ilvl="0">
      <w:lvlJc w:val="left"/>
      <w:lvlText w:val="•"/>
      <w:numFmt w:val="bullet"/>
      <w:start w:val="1"/>
    </w:lvl>
  </w:abstractNum>
  <w:abstractNum w:abstractNumId="38">
    <w:nsid w:val="4B793735"/>
    <w:multiLevelType w:val="hybridMultilevel"/>
    <w:lvl w:ilvl="0">
      <w:lvlJc w:val="left"/>
      <w:lvlText w:val="•"/>
      <w:numFmt w:val="bullet"/>
      <w:start w:val="1"/>
    </w:lvl>
  </w:abstractNum>
  <w:abstractNum w:abstractNumId="39">
    <w:nsid w:val="4A10B4E8"/>
    <w:multiLevelType w:val="hybridMultilevel"/>
    <w:lvl w:ilvl="0">
      <w:lvlJc w:val="left"/>
      <w:lvlText w:val="•"/>
      <w:numFmt w:val="bullet"/>
      <w:start w:val="1"/>
    </w:lvl>
  </w:abstractNum>
  <w:abstractNum w:abstractNumId="40">
    <w:nsid w:val="43D3BCD4"/>
    <w:multiLevelType w:val="hybridMultilevel"/>
    <w:lvl w:ilvl="0">
      <w:lvlJc w:val="left"/>
      <w:lvlText w:val="•"/>
      <w:numFmt w:val="bullet"/>
      <w:start w:val="1"/>
    </w:lvl>
  </w:abstractNum>
  <w:abstractNum w:abstractNumId="41">
    <w:nsid w:val="4C2A7166"/>
    <w:multiLevelType w:val="hybridMultilevel"/>
    <w:lvl w:ilvl="0">
      <w:lvlJc w:val="left"/>
      <w:lvlText w:val="(%1)"/>
      <w:numFmt w:val="decimal"/>
      <w:start w:val="1"/>
    </w:lvl>
  </w:abstractNum>
  <w:abstractNum w:abstractNumId="42">
    <w:nsid w:val="2E534A82"/>
    <w:multiLevelType w:val="hybridMultilevel"/>
    <w:lvl w:ilvl="0">
      <w:lvlJc w:val="left"/>
      <w:lvlText w:val="•"/>
      <w:numFmt w:val="bullet"/>
      <w:start w:val="1"/>
    </w:lvl>
    <w:lvl w:ilvl="1">
      <w:lvlJc w:val="left"/>
      <w:lvlText w:val="•"/>
      <w:numFmt w:val="bullet"/>
      <w:start w:val="1"/>
    </w:lvl>
  </w:abstractNum>
  <w:abstractNum w:abstractNumId="43">
    <w:nsid w:val="26F2D364"/>
    <w:multiLevelType w:val="hybridMultilevel"/>
    <w:lvl w:ilvl="0">
      <w:lvlJc w:val="left"/>
      <w:lvlText w:val="•"/>
      <w:numFmt w:val="bullet"/>
      <w:start w:val="1"/>
    </w:lvl>
  </w:abstractNum>
  <w:abstractNum w:abstractNumId="44">
    <w:nsid w:val="71C1AF98"/>
    <w:multiLevelType w:val="hybridMultilevel"/>
    <w:lvl w:ilvl="0">
      <w:lvlJc w:val="left"/>
      <w:lvlText w:val="•"/>
      <w:numFmt w:val="bullet"/>
      <w:start w:val="1"/>
    </w:lvl>
  </w:abstractNum>
  <w:abstractNum w:abstractNumId="45">
    <w:nsid w:val="3D00B9D9"/>
    <w:multiLevelType w:val="hybridMultilevel"/>
    <w:lvl w:ilvl="0">
      <w:lvlJc w:val="left"/>
      <w:lvlText w:val="•"/>
      <w:numFmt w:val="bullet"/>
      <w:start w:val="1"/>
    </w:lvl>
  </w:abstractNum>
  <w:abstractNum w:abstractNumId="46">
    <w:nsid w:val="15BCABA8"/>
    <w:multiLevelType w:val="hybridMultilevel"/>
    <w:lvl w:ilvl="0">
      <w:lvlJc w:val="left"/>
      <w:lvlText w:val="•"/>
      <w:numFmt w:val="bullet"/>
      <w:start w:val="1"/>
    </w:lvl>
  </w:abstractNum>
  <w:abstractNum w:abstractNumId="47">
    <w:nsid w:val="4E0B9A87"/>
    <w:multiLevelType w:val="hybridMultilevel"/>
    <w:lvl w:ilvl="0">
      <w:lvlJc w:val="left"/>
      <w:lvlText w:val="•"/>
      <w:numFmt w:val="bullet"/>
      <w:start w:val="1"/>
    </w:lvl>
  </w:abstractNum>
  <w:abstractNum w:abstractNumId="48">
    <w:nsid w:val="434BAE75"/>
    <w:multiLevelType w:val="hybridMultilevel"/>
    <w:lvl w:ilvl="0">
      <w:lvlJc w:val="left"/>
      <w:lvlText w:val="•"/>
      <w:numFmt w:val="bullet"/>
      <w:start w:val="1"/>
    </w:lvl>
  </w:abstractNum>
  <w:abstractNum w:abstractNumId="49">
    <w:nsid w:val="4F38F265"/>
    <w:multiLevelType w:val="hybridMultilevel"/>
    <w:lvl w:ilvl="0">
      <w:lvlJc w:val="left"/>
      <w:lvlText w:val="•"/>
      <w:numFmt w:val="bullet"/>
      <w:start w:val="1"/>
    </w:lvl>
  </w:abstractNum>
  <w:abstractNum w:abstractNumId="50">
    <w:nsid w:val="4C502870"/>
    <w:multiLevelType w:val="hybridMultilevel"/>
    <w:lvl w:ilvl="0">
      <w:lvlJc w:val="left"/>
      <w:lvlText w:val="•"/>
      <w:numFmt w:val="bullet"/>
      <w:start w:val="1"/>
    </w:lvl>
  </w:abstractNum>
  <w:abstractNum w:abstractNumId="51">
    <w:nsid w:val="1DE8725A"/>
    <w:multiLevelType w:val="hybridMultilevel"/>
    <w:lvl w:ilvl="0">
      <w:lvlJc w:val="left"/>
      <w:lvlText w:val="•"/>
      <w:numFmt w:val="bullet"/>
      <w:start w:val="1"/>
    </w:lvl>
  </w:abstractNum>
  <w:abstractNum w:abstractNumId="52">
    <w:nsid w:val="6A37288A"/>
    <w:multiLevelType w:val="hybridMultilevel"/>
    <w:lvl w:ilvl="0">
      <w:lvlJc w:val="left"/>
      <w:lvlText w:val="(%1)"/>
      <w:numFmt w:val="decimal"/>
      <w:start w:val="1"/>
    </w:lvl>
  </w:abstractNum>
  <w:abstractNum w:abstractNumId="53">
    <w:nsid w:val="8F8B73F"/>
    <w:multiLevelType w:val="hybridMultilevel"/>
    <w:lvl w:ilvl="0">
      <w:lvlJc w:val="left"/>
      <w:lvlText w:val="•"/>
      <w:numFmt w:val="bullet"/>
      <w:start w:val="1"/>
    </w:lvl>
  </w:abstractNum>
  <w:abstractNum w:abstractNumId="54">
    <w:nsid w:val="CA6B462"/>
    <w:multiLevelType w:val="hybridMultilevel"/>
    <w:lvl w:ilvl="0">
      <w:lvlJc w:val="left"/>
      <w:lvlText w:val="•"/>
      <w:numFmt w:val="bullet"/>
      <w:start w:val="1"/>
    </w:lvl>
    <w:lvl w:ilvl="1">
      <w:lvlJc w:val="left"/>
      <w:lvlText w:val="•"/>
      <w:numFmt w:val="bullet"/>
      <w:start w:val="1"/>
    </w:lvl>
  </w:abstractNum>
  <w:abstractNum w:abstractNumId="55">
    <w:nsid w:val="763CB680"/>
    <w:multiLevelType w:val="hybridMultilevel"/>
    <w:lvl w:ilvl="0">
      <w:lvlJc w:val="left"/>
      <w:lvlText w:val="•"/>
      <w:numFmt w:val="bullet"/>
      <w:start w:val="1"/>
    </w:lvl>
  </w:abstractNum>
  <w:abstractNum w:abstractNumId="56">
    <w:nsid w:val="15B71329"/>
    <w:multiLevelType w:val="hybridMultilevel"/>
    <w:lvl w:ilvl="0">
      <w:lvlJc w:val="left"/>
      <w:lvlText w:val="•"/>
      <w:numFmt w:val="bullet"/>
      <w:start w:val="1"/>
    </w:lvl>
  </w:abstractNum>
  <w:abstractNum w:abstractNumId="57">
    <w:nsid w:val="3DA97044"/>
    <w:multiLevelType w:val="hybridMultilevel"/>
    <w:lvl w:ilvl="0">
      <w:lvlJc w:val="left"/>
      <w:lvlText w:val="•"/>
      <w:numFmt w:val="bullet"/>
      <w:start w:val="1"/>
    </w:lvl>
  </w:abstractNum>
  <w:abstractNum w:abstractNumId="58">
    <w:nsid w:val="1CDCE2DE"/>
    <w:multiLevelType w:val="hybridMultilevel"/>
    <w:lvl w:ilvl="0">
      <w:lvlJc w:val="left"/>
      <w:lvlText w:val="•"/>
      <w:numFmt w:val="bullet"/>
      <w:start w:val="1"/>
    </w:lvl>
  </w:abstractNum>
  <w:abstractNum w:abstractNumId="59">
    <w:nsid w:val="69D3947C"/>
    <w:multiLevelType w:val="hybridMultilevel"/>
    <w:lvl w:ilvl="0">
      <w:lvlJc w:val="left"/>
      <w:lvlText w:val="•"/>
      <w:numFmt w:val="bullet"/>
      <w:start w:val="1"/>
    </w:lvl>
  </w:abstractNum>
  <w:abstractNum w:abstractNumId="60">
    <w:nsid w:val="2539DFA5"/>
    <w:multiLevelType w:val="hybridMultilevel"/>
    <w:lvl w:ilvl="0">
      <w:lvlJc w:val="left"/>
      <w:lvlText w:val="•"/>
      <w:numFmt w:val="bullet"/>
      <w:start w:val="1"/>
    </w:lvl>
  </w:abstractNum>
  <w:abstractNum w:abstractNumId="61">
    <w:nsid w:val="2DB88089"/>
    <w:multiLevelType w:val="hybridMultilevel"/>
    <w:lvl w:ilvl="0">
      <w:lvlJc w:val="left"/>
      <w:lvlText w:val="•"/>
      <w:numFmt w:val="bullet"/>
      <w:start w:val="1"/>
    </w:lvl>
    <w:lvl w:ilvl="1">
      <w:lvlJc w:val="left"/>
      <w:lvlText w:val="•"/>
      <w:numFmt w:val="bullet"/>
      <w:start w:val="1"/>
    </w:lvl>
  </w:abstractNum>
  <w:abstractNum w:abstractNumId="62">
    <w:nsid w:val="706B674E"/>
    <w:multiLevelType w:val="hybridMultilevel"/>
    <w:lvl w:ilvl="0">
      <w:lvlJc w:val="left"/>
      <w:lvlText w:val="•"/>
      <w:numFmt w:val="bullet"/>
      <w:start w:val="1"/>
    </w:lvl>
  </w:abstractNum>
  <w:abstractNum w:abstractNumId="63">
    <w:nsid w:val="2C106A57"/>
    <w:multiLevelType w:val="hybridMultilevel"/>
    <w:lvl w:ilvl="0">
      <w:lvlJc w:val="left"/>
      <w:lvlText w:val="(%1)"/>
      <w:numFmt w:val="decimal"/>
      <w:start w:val="1"/>
    </w:lvl>
  </w:abstractNum>
  <w:abstractNum w:abstractNumId="64">
    <w:nsid w:val="684EED59"/>
    <w:multiLevelType w:val="hybridMultilevel"/>
    <w:lvl w:ilvl="0">
      <w:lvlJc w:val="left"/>
      <w:lvlText w:val="(%1)"/>
      <w:numFmt w:val="decimal"/>
      <w:start w:val="1"/>
    </w:lvl>
  </w:abstractNum>
  <w:abstractNum w:abstractNumId="65">
    <w:nsid w:val="545EE5D3"/>
    <w:multiLevelType w:val="hybridMultilevel"/>
    <w:lvl w:ilvl="0">
      <w:lvlJc w:val="left"/>
      <w:lvlText w:val="(%1)"/>
      <w:numFmt w:val="decimal"/>
      <w:start w:val="1"/>
    </w:lvl>
  </w:abstractNum>
  <w:abstractNum w:abstractNumId="66">
    <w:nsid w:val="4A66051"/>
    <w:multiLevelType w:val="hybridMultilevel"/>
    <w:lvl w:ilvl="0">
      <w:lvlJc w:val="left"/>
      <w:lvlText w:val="(%1)"/>
      <w:numFmt w:val="decimal"/>
      <w:start w:val="7"/>
    </w:lvl>
  </w:abstractNum>
  <w:abstractNum w:abstractNumId="67">
    <w:nsid w:val="20F4BDAD"/>
    <w:multiLevelType w:val="hybridMultilevel"/>
    <w:lvl w:ilvl="0">
      <w:lvlJc w:val="left"/>
      <w:lvlText w:val="(%1)"/>
      <w:numFmt w:val="lowerLetter"/>
      <w:start w:val="1"/>
    </w:lvl>
  </w:abstractNum>
  <w:abstractNum w:abstractNumId="68">
    <w:nsid w:val="639DEFAC"/>
    <w:multiLevelType w:val="hybridMultilevel"/>
    <w:lvl w:ilvl="0">
      <w:lvlJc w:val="left"/>
      <w:lvlText w:val="•"/>
      <w:numFmt w:val="bullet"/>
      <w:start w:val="1"/>
    </w:lvl>
  </w:abstractNum>
  <w:abstractNum w:abstractNumId="69">
    <w:nsid w:val="501F9786"/>
    <w:multiLevelType w:val="hybridMultilevel"/>
    <w:lvl w:ilvl="0">
      <w:lvlJc w:val="left"/>
      <w:lvlText w:val="•"/>
      <w:numFmt w:val="bullet"/>
      <w:start w:val="1"/>
    </w:lvl>
  </w:abstractNum>
  <w:abstractNum w:abstractNumId="70">
    <w:nsid w:val="6B057295"/>
    <w:multiLevelType w:val="hybridMultilevel"/>
    <w:lvl w:ilvl="0">
      <w:lvlJc w:val="left"/>
      <w:lvlText w:val="•"/>
      <w:numFmt w:val="bullet"/>
      <w:start w:val="1"/>
    </w:lvl>
  </w:abstractNum>
  <w:abstractNum w:abstractNumId="71">
    <w:nsid w:val="2771AC80"/>
    <w:multiLevelType w:val="hybridMultilevel"/>
    <w:lvl w:ilvl="0">
      <w:lvlJc w:val="left"/>
      <w:lvlText w:val="•"/>
      <w:numFmt w:val="bullet"/>
      <w:start w:val="1"/>
    </w:lvl>
  </w:abstractNum>
  <w:abstractNum w:abstractNumId="72">
    <w:nsid w:val="1C4A08EC"/>
    <w:multiLevelType w:val="hybridMultilevel"/>
    <w:lvl w:ilvl="0">
      <w:lvlJc w:val="left"/>
      <w:lvlText w:val="•"/>
      <w:numFmt w:val="bullet"/>
      <w:start w:val="1"/>
    </w:lvl>
  </w:abstractNum>
  <w:abstractNum w:abstractNumId="73">
    <w:nsid w:val="1958BD17"/>
    <w:multiLevelType w:val="hybridMultilevel"/>
    <w:lvl w:ilvl="0">
      <w:lvlJc w:val="left"/>
      <w:lvlText w:val="•"/>
      <w:numFmt w:val="bullet"/>
      <w:start w:val="1"/>
    </w:lvl>
  </w:abstractNum>
  <w:abstractNum w:abstractNumId="74">
    <w:nsid w:val="4E647FE4"/>
    <w:multiLevelType w:val="hybridMultilevel"/>
    <w:lvl w:ilvl="0">
      <w:lvlJc w:val="left"/>
      <w:lvlText w:val="•"/>
      <w:numFmt w:val="bullet"/>
      <w:start w:val="1"/>
    </w:lvl>
  </w:abstractNum>
  <w:abstractNum w:abstractNumId="75">
    <w:nsid w:val="E0BB885"/>
    <w:multiLevelType w:val="hybridMultilevel"/>
    <w:lvl w:ilvl="0">
      <w:lvlJc w:val="left"/>
      <w:lvlText w:val="•"/>
      <w:numFmt w:val="bullet"/>
      <w:start w:val="1"/>
    </w:lvl>
  </w:abstractNum>
  <w:abstractNum w:abstractNumId="76">
    <w:nsid w:val="565976F1"/>
    <w:multiLevelType w:val="hybridMultilevel"/>
    <w:lvl w:ilvl="0">
      <w:lvlJc w:val="left"/>
      <w:lvlText w:val="•"/>
      <w:numFmt w:val="bullet"/>
      <w:start w:val="1"/>
    </w:lvl>
  </w:abstractNum>
  <w:abstractNum w:abstractNumId="77">
    <w:nsid w:val="64212B8C"/>
    <w:multiLevelType w:val="hybridMultilevel"/>
    <w:lvl w:ilvl="0">
      <w:lvlJc w:val="left"/>
      <w:lvlText w:val="•"/>
      <w:numFmt w:val="bullet"/>
      <w:start w:val="1"/>
    </w:lvl>
  </w:abstractNum>
  <w:abstractNum w:abstractNumId="78">
    <w:nsid w:val="5C17530C"/>
    <w:multiLevelType w:val="hybridMultilevel"/>
    <w:lvl w:ilvl="0">
      <w:lvlJc w:val="left"/>
      <w:lvlText w:val="•"/>
      <w:numFmt w:val="bullet"/>
      <w:start w:val="1"/>
    </w:lvl>
  </w:abstractNum>
  <w:abstractNum w:abstractNumId="79">
    <w:nsid w:val="19A52566"/>
    <w:multiLevelType w:val="hybridMultilevel"/>
    <w:lvl w:ilvl="0">
      <w:lvlJc w:val="left"/>
      <w:lvlText w:val="(%1)"/>
      <w:numFmt w:val="lowerRoman"/>
      <w:start w:val="1"/>
    </w:lvl>
  </w:abstractNum>
  <w:abstractNum w:abstractNumId="80">
    <w:nsid w:val="335A1DF1"/>
    <w:multiLevelType w:val="hybridMultilevel"/>
    <w:lvl w:ilvl="0">
      <w:lvlJc w:val="left"/>
      <w:lvlText w:val="(%1)"/>
      <w:numFmt w:val="lowerRoman"/>
      <w:start w:val="2"/>
    </w:lvl>
  </w:abstractNum>
  <w:abstractNum w:abstractNumId="81">
    <w:nsid w:val="28677B7C"/>
    <w:multiLevelType w:val="hybridMultilevel"/>
    <w:lvl w:ilvl="0">
      <w:lvlJc w:val="left"/>
      <w:lvlText w:val="•"/>
      <w:numFmt w:val="bullet"/>
      <w:start w:val="1"/>
    </w:lvl>
  </w:abstractNum>
  <w:abstractNum w:abstractNumId="82">
    <w:nsid w:val="378D97C0"/>
    <w:multiLevelType w:val="hybridMultilevel"/>
    <w:lvl w:ilvl="0">
      <w:lvlJc w:val="left"/>
      <w:lvlText w:val="="/>
      <w:numFmt w:val="bullet"/>
      <w:start w:val="1"/>
    </w:lvl>
  </w:abstractNum>
  <w:abstractNum w:abstractNumId="83">
    <w:nsid w:val="1D91467C"/>
    <w:multiLevelType w:val="hybridMultilevel"/>
    <w:lvl w:ilvl="0">
      <w:lvlJc w:val="left"/>
      <w:lvlText w:val="(%1)"/>
      <w:numFmt w:val="decimal"/>
    </w:lvl>
    <w:lvl w:ilvl="1">
      <w:lvlJc w:val="left"/>
      <w:lvlText w:val="="/>
      <w:numFmt w:val="bullet"/>
      <w:start w:val="1"/>
    </w:lvl>
  </w:abstractNum>
  <w:abstractNum w:abstractNumId="84">
    <w:nsid w:val="316032BB"/>
    <w:multiLevelType w:val="hybridMultilevel"/>
    <w:lvl w:ilvl="0">
      <w:lvlJc w:val="left"/>
      <w:lvlText w:val="(*)"/>
      <w:numFmt w:val="bullet"/>
      <w:start w:val="1"/>
    </w:lvl>
  </w:abstractNum>
  <w:abstractNum w:abstractNumId="85">
    <w:nsid w:val="44344C22"/>
    <w:multiLevelType w:val="hybridMultilevel"/>
    <w:lvl w:ilvl="0">
      <w:lvlJc w:val="left"/>
      <w:lvlText w:val="•"/>
      <w:numFmt w:val="bullet"/>
      <w:start w:val="1"/>
    </w:lvl>
  </w:abstractNum>
  <w:abstractNum w:abstractNumId="86">
    <w:nsid w:val="13CDFCFC"/>
    <w:multiLevelType w:val="hybridMultilevel"/>
    <w:lvl w:ilvl="0">
      <w:lvlJc w:val="left"/>
      <w:lvlText w:val="•"/>
      <w:numFmt w:val="bullet"/>
      <w:start w:val="1"/>
    </w:lvl>
  </w:abstractNum>
  <w:abstractNum w:abstractNumId="87">
    <w:nsid w:val="471745E4"/>
    <w:multiLevelType w:val="hybridMultilevel"/>
    <w:lvl w:ilvl="0">
      <w:lvlJc w:val="left"/>
      <w:lvlText w:val="•"/>
      <w:numFmt w:val="bullet"/>
      <w:start w:val="1"/>
    </w:lvl>
  </w:abstractNum>
  <w:abstractNum w:abstractNumId="88">
    <w:nsid w:val="1DDBC66"/>
    <w:multiLevelType w:val="hybridMultilevel"/>
    <w:lvl w:ilvl="0">
      <w:lvlJc w:val="left"/>
      <w:lvlText w:val="•"/>
      <w:numFmt w:val="bullet"/>
      <w:start w:val="1"/>
    </w:lvl>
  </w:abstractNum>
  <w:abstractNum w:abstractNumId="89">
    <w:nsid w:val="30AADFDA"/>
    <w:multiLevelType w:val="hybridMultilevel"/>
    <w:lvl w:ilvl="0">
      <w:lvlJc w:val="left"/>
      <w:lvlText w:val="•"/>
      <w:numFmt w:val="bullet"/>
      <w:start w:val="1"/>
    </w:lvl>
  </w:abstractNum>
  <w:abstractNum w:abstractNumId="90">
    <w:nsid w:val="30EADA61"/>
    <w:multiLevelType w:val="hybridMultilevel"/>
    <w:lvl w:ilvl="0">
      <w:lvlJc w:val="left"/>
      <w:lvlText w:val="•"/>
      <w:numFmt w:val="bullet"/>
      <w:start w:val="1"/>
    </w:lvl>
  </w:abstractNum>
  <w:abstractNum w:abstractNumId="91">
    <w:nsid w:val="27179C0B"/>
    <w:multiLevelType w:val="hybridMultilevel"/>
    <w:lvl w:ilvl="0">
      <w:lvlJc w:val="left"/>
      <w:lvlText w:val="•"/>
      <w:numFmt w:val="bullet"/>
      <w:start w:val="1"/>
    </w:lvl>
  </w:abstractNum>
  <w:abstractNum w:abstractNumId="92">
    <w:nsid w:val="5E636063"/>
    <w:multiLevelType w:val="hybridMultilevel"/>
    <w:lvl w:ilvl="0">
      <w:lvlJc w:val="left"/>
      <w:lvlText w:val="•"/>
      <w:numFmt w:val="bullet"/>
      <w:start w:val="1"/>
    </w:lvl>
  </w:abstractNum>
  <w:abstractNum w:abstractNumId="93">
    <w:nsid w:val="215641AF"/>
    <w:multiLevelType w:val="hybridMultilevel"/>
    <w:lvl w:ilvl="0">
      <w:lvlJc w:val="left"/>
      <w:lvlText w:val="•"/>
      <w:numFmt w:val="bullet"/>
      <w:start w:val="1"/>
    </w:lvl>
  </w:abstractNum>
  <w:abstractNum w:abstractNumId="94">
    <w:nsid w:val="53280662"/>
    <w:multiLevelType w:val="hybridMultilevel"/>
    <w:lvl w:ilvl="0">
      <w:lvlJc w:val="left"/>
      <w:lvlText w:val="•"/>
      <w:numFmt w:val="bullet"/>
      <w:start w:val="1"/>
    </w:lvl>
  </w:abstractNum>
  <w:abstractNum w:abstractNumId="95">
    <w:nsid w:val="46B24DBC"/>
    <w:multiLevelType w:val="hybridMultilevel"/>
    <w:lvl w:ilvl="0">
      <w:lvlJc w:val="left"/>
      <w:lvlText w:val="•"/>
      <w:numFmt w:val="bullet"/>
      <w:start w:val="1"/>
    </w:lvl>
  </w:abstractNum>
  <w:abstractNum w:abstractNumId="96">
    <w:nsid w:val="75B52783"/>
    <w:multiLevelType w:val="hybridMultilevel"/>
    <w:lvl w:ilvl="0">
      <w:lvlJc w:val="left"/>
      <w:lvlText w:val="•"/>
      <w:numFmt w:val="bullet"/>
      <w:start w:val="1"/>
    </w:lvl>
  </w:abstractNum>
  <w:abstractNum w:abstractNumId="97">
    <w:nsid w:val="57CE66B4"/>
    <w:multiLevelType w:val="hybridMultilevel"/>
    <w:lvl w:ilvl="0">
      <w:lvlJc w:val="left"/>
      <w:lvlText w:val="*"/>
      <w:numFmt w:val="bullet"/>
      <w:start w:val="1"/>
    </w:lvl>
  </w:abstractNum>
  <w:abstractNum w:abstractNumId="98">
    <w:nsid w:val="67A70B69"/>
    <w:multiLevelType w:val="hybridMultilevel"/>
    <w:lvl w:ilvl="0">
      <w:lvlJc w:val="left"/>
      <w:lvlText w:val="(%1)"/>
      <w:numFmt w:val="decimal"/>
      <w:start w:val="1"/>
    </w:lvl>
  </w:abstractNum>
  <w:abstractNum w:abstractNumId="99">
    <w:nsid w:val="5953172F"/>
    <w:multiLevelType w:val="hybridMultilevel"/>
    <w:lvl w:ilvl="0">
      <w:lvlJc w:val="left"/>
      <w:lvlText w:val="(%1)"/>
      <w:numFmt w:val="decimal"/>
      <w:start w:val="2"/>
    </w:lvl>
  </w:abstractNum>
  <w:abstractNum w:abstractNumId="100">
    <w:nsid w:val="27EDFE3A"/>
    <w:multiLevelType w:val="hybridMultilevel"/>
    <w:lvl w:ilvl="0">
      <w:lvlJc w:val="left"/>
      <w:lvlText w:val="(%1)"/>
      <w:numFmt w:val="decimal"/>
      <w:start w:val="7"/>
    </w:lvl>
  </w:abstractNum>
  <w:abstractNum w:abstractNumId="101">
    <w:nsid w:val="52AC7DFF"/>
    <w:multiLevelType w:val="hybridMultilevel"/>
    <w:lvl w:ilvl="0">
      <w:lvlJc w:val="left"/>
      <w:lvlText w:val="(%1)"/>
      <w:numFmt w:val="decimal"/>
      <w:start w:val="1"/>
    </w:lvl>
  </w:abstractNum>
  <w:abstractNum w:abstractNumId="102">
    <w:nsid w:val="C4C3AF"/>
    <w:multiLevelType w:val="hybridMultilevel"/>
    <w:lvl w:ilvl="0">
      <w:lvlJc w:val="left"/>
      <w:lvlText w:val="•"/>
      <w:numFmt w:val="bullet"/>
      <w:start w:val="1"/>
    </w:lvl>
  </w:abstractNum>
  <w:abstractNum w:abstractNumId="103">
    <w:nsid w:val="44380727"/>
    <w:multiLevelType w:val="hybridMultilevel"/>
    <w:lvl w:ilvl="0">
      <w:lvlJc w:val="left"/>
      <w:lvlText w:val="•"/>
      <w:numFmt w:val="bullet"/>
      <w:start w:val="1"/>
    </w:lvl>
  </w:abstractNum>
  <w:abstractNum w:abstractNumId="104">
    <w:nsid w:val="6C053B16"/>
    <w:multiLevelType w:val="hybridMultilevel"/>
    <w:lvl w:ilvl="0">
      <w:lvlJc w:val="left"/>
      <w:lvlText w:val="•"/>
      <w:numFmt w:val="bullet"/>
      <w:start w:val="1"/>
    </w:lvl>
  </w:abstractNum>
  <w:abstractNum w:abstractNumId="105">
    <w:nsid w:val="4F294393"/>
    <w:multiLevelType w:val="hybridMultilevel"/>
    <w:lvl w:ilvl="0">
      <w:lvlJc w:val="left"/>
      <w:lvlText w:val="•"/>
      <w:numFmt w:val="bullet"/>
      <w:start w:val="1"/>
    </w:lvl>
  </w:abstractNum>
  <w:abstractNum w:abstractNumId="106">
    <w:nsid w:val="5243BFAC"/>
    <w:multiLevelType w:val="hybridMultilevel"/>
    <w:lvl w:ilvl="0">
      <w:lvlJc w:val="left"/>
      <w:lvlText w:val="•"/>
      <w:numFmt w:val="bullet"/>
      <w:start w:val="1"/>
    </w:lvl>
  </w:abstractNum>
  <w:abstractNum w:abstractNumId="107">
    <w:nsid w:val="425EB207"/>
    <w:multiLevelType w:val="hybridMultilevel"/>
    <w:lvl w:ilvl="0">
      <w:lvlJc w:val="left"/>
      <w:lvlText w:val="•"/>
      <w:numFmt w:val="bullet"/>
      <w:start w:val="1"/>
    </w:lvl>
  </w:abstractNum>
  <w:abstractNum w:abstractNumId="108">
    <w:nsid w:val="334A6F1F"/>
    <w:multiLevelType w:val="hybridMultilevel"/>
    <w:lvl w:ilvl="0">
      <w:lvlJc w:val="left"/>
      <w:lvlText w:val="(%1)"/>
      <w:numFmt w:val="lowerRoman"/>
      <w:start w:val="1"/>
    </w:lvl>
  </w:abstractNum>
  <w:abstractNum w:abstractNumId="109">
    <w:nsid w:val="2E5B12B8"/>
    <w:multiLevelType w:val="hybridMultilevel"/>
    <w:lvl w:ilvl="0">
      <w:lvlJc w:val="left"/>
      <w:lvlText w:val="(%1)"/>
      <w:numFmt w:val="lowerRoman"/>
      <w:start w:val="3"/>
    </w:lvl>
  </w:abstractNum>
  <w:abstractNum w:abstractNumId="110">
    <w:nsid w:val="5C03D76D"/>
    <w:multiLevelType w:val="hybridMultilevel"/>
    <w:lvl w:ilvl="0">
      <w:lvlJc w:val="left"/>
      <w:lvlText w:val="(%1)"/>
      <w:numFmt w:val="lowerRoman"/>
      <w:start w:val="1"/>
    </w:lvl>
  </w:abstractNum>
  <w:abstractNum w:abstractNumId="111">
    <w:nsid w:val="66A48D11"/>
    <w:multiLevelType w:val="hybridMultilevel"/>
    <w:lvl w:ilvl="0">
      <w:lvlJc w:val="left"/>
      <w:lvlText w:val="•"/>
      <w:numFmt w:val="bullet"/>
      <w:start w:val="1"/>
    </w:lvl>
  </w:abstractNum>
  <w:abstractNum w:abstractNumId="112">
    <w:nsid w:val="56C28E34"/>
    <w:multiLevelType w:val="hybridMultilevel"/>
    <w:lvl w:ilvl="0">
      <w:lvlJc w:val="left"/>
      <w:lvlText w:val="•"/>
      <w:numFmt w:val="bullet"/>
      <w:start w:val="1"/>
    </w:lvl>
  </w:abstractNum>
  <w:abstractNum w:abstractNumId="113">
    <w:nsid w:val="13916F2D"/>
    <w:multiLevelType w:val="hybridMultilevel"/>
    <w:lvl w:ilvl="0">
      <w:lvlJc w:val="left"/>
      <w:lvlText w:val="•"/>
      <w:numFmt w:val="bullet"/>
      <w:start w:val="1"/>
    </w:lvl>
  </w:abstractNum>
  <w:abstractNum w:abstractNumId="114">
    <w:nsid w:val="435D38D"/>
    <w:multiLevelType w:val="hybridMultilevel"/>
    <w:lvl w:ilvl="0">
      <w:lvlJc w:val="left"/>
      <w:lvlText w:val="•"/>
      <w:numFmt w:val="bullet"/>
      <w:start w:val="1"/>
    </w:lvl>
  </w:abstractNum>
  <w:abstractNum w:abstractNumId="115">
    <w:nsid w:val="822C0EF"/>
    <w:multiLevelType w:val="hybridMultilevel"/>
    <w:lvl w:ilvl="0">
      <w:lvlJc w:val="left"/>
      <w:lvlText w:val="•"/>
      <w:numFmt w:val="bullet"/>
      <w:start w:val="1"/>
    </w:lvl>
  </w:abstractNum>
  <w:abstractNum w:abstractNumId="116">
    <w:nsid w:val="57C5BB4F"/>
    <w:multiLevelType w:val="hybridMultilevel"/>
    <w:lvl w:ilvl="0">
      <w:lvlJc w:val="left"/>
      <w:lvlText w:val="•"/>
      <w:numFmt w:val="bullet"/>
      <w:start w:val="1"/>
    </w:lvl>
  </w:abstractNum>
  <w:abstractNum w:abstractNumId="117">
    <w:nsid w:val="1803D089"/>
    <w:multiLevelType w:val="hybridMultilevel"/>
    <w:lvl w:ilvl="0">
      <w:lvlJc w:val="left"/>
      <w:lvlText w:val="•"/>
      <w:numFmt w:val="bullet"/>
      <w:start w:val="1"/>
    </w:lvl>
  </w:abstractNum>
  <w:abstractNum w:abstractNumId="118">
    <w:nsid w:val="4F3A06D4"/>
    <w:multiLevelType w:val="hybridMultilevel"/>
    <w:lvl w:ilvl="0">
      <w:lvlJc w:val="left"/>
      <w:lvlText w:val="•"/>
      <w:numFmt w:val="bullet"/>
      <w:start w:val="1"/>
    </w:lvl>
  </w:abstractNum>
  <w:abstractNum w:abstractNumId="119">
    <w:nsid w:val="59A377B6"/>
    <w:multiLevelType w:val="hybridMultilevel"/>
    <w:lvl w:ilvl="0">
      <w:lvlJc w:val="left"/>
      <w:lvlText w:val="•"/>
      <w:numFmt w:val="bullet"/>
      <w:start w:val="1"/>
    </w:lvl>
  </w:abstractNum>
  <w:abstractNum w:abstractNumId="120">
    <w:nsid w:val="48AEB063"/>
    <w:multiLevelType w:val="hybridMultilevel"/>
    <w:lvl w:ilvl="0">
      <w:lvlJc w:val="left"/>
      <w:lvlText w:val="•"/>
      <w:numFmt w:val="bullet"/>
      <w:start w:val="1"/>
    </w:lvl>
  </w:abstractNum>
  <w:abstractNum w:abstractNumId="121">
    <w:nsid w:val="24E135"/>
    <w:multiLevelType w:val="hybridMultilevel"/>
    <w:lvl w:ilvl="0">
      <w:lvlJc w:val="left"/>
      <w:lvlText w:val="•"/>
      <w:numFmt w:val="bullet"/>
      <w:start w:val="1"/>
    </w:lvl>
  </w:abstractNum>
  <w:abstractNum w:abstractNumId="122">
    <w:nsid w:val="BB13C1"/>
    <w:multiLevelType w:val="hybridMultilevel"/>
    <w:lvl w:ilvl="0">
      <w:lvlJc w:val="left"/>
      <w:lvlText w:val="•"/>
      <w:numFmt w:val="bullet"/>
      <w:start w:val="1"/>
    </w:lvl>
  </w:abstractNum>
  <w:abstractNum w:abstractNumId="123">
    <w:nsid w:val="271210C7"/>
    <w:multiLevelType w:val="hybridMultilevel"/>
    <w:lvl w:ilvl="0">
      <w:lvlJc w:val="left"/>
      <w:lvlText w:val="•"/>
      <w:numFmt w:val="bullet"/>
      <w:start w:val="1"/>
    </w:lvl>
  </w:abstractNum>
  <w:abstractNum w:abstractNumId="124">
    <w:nsid w:val="217B22E4"/>
    <w:multiLevelType w:val="hybridMultilevel"/>
    <w:lvl w:ilvl="0">
      <w:lvlJc w:val="left"/>
      <w:lvlText w:val="•"/>
      <w:numFmt w:val="bullet"/>
      <w:start w:val="1"/>
    </w:lvl>
  </w:abstractNum>
  <w:abstractNum w:abstractNumId="125">
    <w:nsid w:val="53E31A24"/>
    <w:multiLevelType w:val="hybridMultilevel"/>
    <w:lvl w:ilvl="0">
      <w:lvlJc w:val="left"/>
      <w:lvlText w:val="•"/>
      <w:numFmt w:val="bullet"/>
      <w:start w:val="1"/>
    </w:lvl>
  </w:abstractNum>
  <w:abstractNum w:abstractNumId="126">
    <w:nsid w:val="6DC45E83"/>
    <w:multiLevelType w:val="hybridMultilevel"/>
    <w:lvl w:ilvl="0">
      <w:lvlJc w:val="left"/>
      <w:lvlText w:val="•"/>
      <w:numFmt w:val="bullet"/>
      <w:start w:val="1"/>
    </w:lvl>
  </w:abstractNum>
  <w:abstractNum w:abstractNumId="127">
    <w:nsid w:val="17304A67"/>
    <w:multiLevelType w:val="hybridMultilevel"/>
    <w:lvl w:ilvl="0">
      <w:lvlJc w:val="left"/>
      <w:lvlText w:val="•"/>
      <w:numFmt w:val="bullet"/>
      <w:start w:val="1"/>
    </w:lvl>
  </w:abstractNum>
  <w:abstractNum w:abstractNumId="128">
    <w:nsid w:val="2BB180D8"/>
    <w:multiLevelType w:val="hybridMultilevel"/>
    <w:lvl w:ilvl="0">
      <w:lvlJc w:val="left"/>
      <w:lvlText w:val="•"/>
      <w:numFmt w:val="bullet"/>
      <w:start w:val="1"/>
    </w:lvl>
  </w:abstractNum>
  <w:abstractNum w:abstractNumId="129">
    <w:nsid w:val="556B69ED"/>
    <w:multiLevelType w:val="hybridMultilevel"/>
    <w:lvl w:ilvl="0">
      <w:lvlJc w:val="left"/>
      <w:lvlText w:val="•"/>
      <w:numFmt w:val="bullet"/>
      <w:start w:val="1"/>
    </w:lvl>
  </w:abstractNum>
  <w:abstractNum w:abstractNumId="130">
    <w:nsid w:val="70836196"/>
    <w:multiLevelType w:val="hybridMultilevel"/>
    <w:lvl w:ilvl="0">
      <w:lvlJc w:val="left"/>
      <w:lvlText w:val="•"/>
      <w:numFmt w:val="bullet"/>
      <w:start w:val="1"/>
    </w:lvl>
  </w:abstractNum>
  <w:abstractNum w:abstractNumId="131">
    <w:nsid w:val="539F7F12"/>
    <w:multiLevelType w:val="hybridMultilevel"/>
    <w:lvl w:ilvl="0">
      <w:lvlJc w:val="left"/>
      <w:lvlText w:val="•"/>
      <w:numFmt w:val="bullet"/>
      <w:start w:val="1"/>
    </w:lvl>
  </w:abstractNum>
  <w:abstractNum w:abstractNumId="132">
    <w:nsid w:val="2817E7EC"/>
    <w:multiLevelType w:val="hybridMultilevel"/>
    <w:lvl w:ilvl="0">
      <w:lvlJc w:val="left"/>
      <w:lvlText w:val="•"/>
      <w:numFmt w:val="bullet"/>
      <w:start w:val="1"/>
    </w:lvl>
  </w:abstractNum>
  <w:abstractNum w:abstractNumId="133">
    <w:nsid w:val="71482545"/>
    <w:multiLevelType w:val="hybridMultilevel"/>
    <w:lvl w:ilvl="0">
      <w:lvlJc w:val="left"/>
      <w:lvlText w:val="•"/>
      <w:numFmt w:val="bullet"/>
      <w:start w:val="1"/>
    </w:lvl>
  </w:abstractNum>
  <w:abstractNum w:abstractNumId="134">
    <w:nsid w:val="17D78639"/>
    <w:multiLevelType w:val="hybridMultilevel"/>
    <w:lvl w:ilvl="0">
      <w:lvlJc w:val="left"/>
      <w:lvlText w:val="•"/>
      <w:numFmt w:val="bullet"/>
      <w:start w:val="1"/>
    </w:lvl>
  </w:abstractNum>
  <w:abstractNum w:abstractNumId="135">
    <w:nsid w:val="141D2302"/>
    <w:multiLevelType w:val="hybridMultilevel"/>
    <w:lvl w:ilvl="0">
      <w:lvlJc w:val="left"/>
      <w:lvlText w:val="•"/>
      <w:numFmt w:val="bullet"/>
      <w:start w:val="1"/>
    </w:lvl>
    <w:lvl w:ilvl="1">
      <w:lvlJc w:val="left"/>
      <w:lvlText w:val="•"/>
      <w:numFmt w:val="bullet"/>
      <w:start w:val="1"/>
    </w:lvl>
  </w:abstractNum>
  <w:abstractNum w:abstractNumId="136">
    <w:nsid w:val="407168D8"/>
    <w:multiLevelType w:val="hybridMultilevel"/>
    <w:lvl w:ilvl="0">
      <w:lvlJc w:val="left"/>
      <w:lvlText w:val="•"/>
      <w:numFmt w:val="bullet"/>
      <w:start w:val="1"/>
    </w:lvl>
  </w:abstractNum>
  <w:abstractNum w:abstractNumId="137">
    <w:nsid w:val="6A1B45E5"/>
    <w:multiLevelType w:val="hybridMultilevel"/>
    <w:lvl w:ilvl="0">
      <w:lvlJc w:val="left"/>
      <w:lvlText w:val="•"/>
      <w:numFmt w:val="bullet"/>
      <w:start w:val="1"/>
    </w:lvl>
  </w:abstractNum>
  <w:abstractNum w:abstractNumId="138">
    <w:nsid w:val="567BD50A"/>
    <w:multiLevelType w:val="hybridMultilevel"/>
    <w:lvl w:ilvl="0">
      <w:lvlJc w:val="left"/>
      <w:lvlText w:val="(%1)"/>
      <w:numFmt w:val="decimal"/>
      <w:start w:val="1"/>
    </w:lvl>
  </w:abstractNum>
  <w:abstractNum w:abstractNumId="139">
    <w:nsid w:val="73BBD7F8"/>
    <w:multiLevelType w:val="hybridMultilevel"/>
    <w:lvl w:ilvl="0">
      <w:lvlJc w:val="left"/>
      <w:lvlText w:val="(%1)"/>
      <w:numFmt w:val="decimal"/>
      <w:start w:val="1"/>
    </w:lvl>
  </w:abstractNum>
  <w:abstractNum w:abstractNumId="140">
    <w:nsid w:val="1876589D"/>
    <w:multiLevelType w:val="hybridMultilevel"/>
    <w:lvl w:ilvl="0">
      <w:lvlJc w:val="left"/>
      <w:lvlText w:val="(%1)"/>
      <w:numFmt w:val="lowerLetter"/>
      <w:start w:val="1"/>
    </w:lvl>
  </w:abstractNum>
  <w:abstractNum w:abstractNumId="141">
    <w:nsid w:val="327FAC77"/>
    <w:multiLevelType w:val="hybridMultilevel"/>
    <w:lvl w:ilvl="0">
      <w:lvlJc w:val="left"/>
      <w:lvlText w:val="(%1)"/>
      <w:numFmt w:val="decimal"/>
      <w:start w:val="1"/>
    </w:lvl>
  </w:abstractNum>
  <w:abstractNum w:abstractNumId="142">
    <w:nsid w:val="5A606509"/>
    <w:multiLevelType w:val="hybridMultilevel"/>
    <w:lvl w:ilvl="0">
      <w:lvlJc w:val="left"/>
      <w:lvlText w:val="•"/>
      <w:numFmt w:val="bullet"/>
      <w:start w:val="1"/>
    </w:lvl>
  </w:abstractNum>
  <w:abstractNum w:abstractNumId="143">
    <w:nsid w:val="6F38E6D1"/>
    <w:multiLevelType w:val="hybridMultilevel"/>
    <w:lvl w:ilvl="0">
      <w:lvlJc w:val="left"/>
      <w:lvlText w:val="•"/>
      <w:numFmt w:val="bullet"/>
      <w:start w:val="1"/>
    </w:lvl>
  </w:abstractNum>
  <w:abstractNum w:abstractNumId="144">
    <w:nsid w:val="46111BA5"/>
    <w:multiLevelType w:val="hybridMultilevel"/>
    <w:lvl w:ilvl="0">
      <w:lvlJc w:val="left"/>
      <w:lvlText w:val="•"/>
      <w:numFmt w:val="bullet"/>
      <w:start w:val="1"/>
    </w:lvl>
  </w:abstractNum>
  <w:abstractNum w:abstractNumId="145">
    <w:nsid w:val="5E963896"/>
    <w:multiLevelType w:val="hybridMultilevel"/>
    <w:lvl w:ilvl="0">
      <w:lvlJc w:val="left"/>
      <w:lvlText w:val="(%1)"/>
      <w:numFmt w:val="lowerRoman"/>
      <w:start w:val="1"/>
    </w:lvl>
  </w:abstractNum>
  <w:abstractNum w:abstractNumId="146">
    <w:nsid w:val="775BA7C1"/>
    <w:multiLevelType w:val="hybridMultilevel"/>
    <w:lvl w:ilvl="0">
      <w:lvlJc w:val="left"/>
      <w:lvlText w:val="•"/>
      <w:numFmt w:val="bullet"/>
      <w:start w:val="1"/>
    </w:lvl>
  </w:abstractNum>
  <w:abstractNum w:abstractNumId="147">
    <w:nsid w:val="1DD6D6F4"/>
    <w:multiLevelType w:val="hybridMultilevel"/>
    <w:lvl w:ilvl="0">
      <w:lvlJc w:val="left"/>
      <w:lvlText w:val="(%1)"/>
      <w:numFmt w:val="decimal"/>
      <w:start w:val="1"/>
    </w:lvl>
  </w:abstractNum>
  <w:abstractNum w:abstractNumId="148">
    <w:nsid w:val="769A091F"/>
    <w:multiLevelType w:val="hybridMultilevel"/>
    <w:lvl w:ilvl="0">
      <w:lvlJc w:val="left"/>
      <w:lvlText w:val="(%1)"/>
      <w:numFmt w:val="decimal"/>
      <w:start w:val="1"/>
    </w:lvl>
  </w:abstractNum>
  <w:abstractNum w:abstractNumId="149">
    <w:nsid w:val="4695AE95"/>
    <w:multiLevelType w:val="hybridMultilevel"/>
    <w:lvl w:ilvl="0">
      <w:lvlJc w:val="left"/>
      <w:lvlText w:val="(%1)"/>
      <w:numFmt w:val="decimal"/>
      <w:start w:val="1"/>
    </w:lvl>
  </w:abstractNum>
  <w:abstractNum w:abstractNumId="150">
    <w:nsid w:val="777A4EAA"/>
    <w:multiLevelType w:val="hybridMultilevel"/>
    <w:lvl w:ilvl="0">
      <w:lvlJc w:val="left"/>
      <w:lvlText w:val="•"/>
      <w:numFmt w:val="bullet"/>
      <w:start w:val="1"/>
    </w:lvl>
    <w:lvl w:ilvl="1">
      <w:lvlJc w:val="left"/>
      <w:lvlText w:val="•"/>
      <w:numFmt w:val="bullet"/>
      <w:start w:val="1"/>
    </w:lvl>
  </w:abstractNum>
  <w:abstractNum w:abstractNumId="151">
    <w:nsid w:val="3F48B982"/>
    <w:multiLevelType w:val="hybridMultilevel"/>
    <w:lvl w:ilvl="0">
      <w:lvlJc w:val="left"/>
      <w:lvlText w:val="•"/>
      <w:numFmt w:val="bullet"/>
      <w:start w:val="1"/>
    </w:lvl>
  </w:abstractNum>
  <w:abstractNum w:abstractNumId="152">
    <w:nsid w:val="46BA8FCA"/>
    <w:multiLevelType w:val="hybridMultilevel"/>
    <w:lvl w:ilvl="0">
      <w:lvlJc w:val="left"/>
      <w:lvlText w:val="•"/>
      <w:numFmt w:val="bullet"/>
      <w:start w:val="1"/>
    </w:lvl>
  </w:abstractNum>
  <w:abstractNum w:abstractNumId="153">
    <w:nsid w:val="7835626C"/>
    <w:multiLevelType w:val="hybridMultilevel"/>
    <w:lvl w:ilvl="0">
      <w:lvlJc w:val="left"/>
      <w:lvlText w:val="•"/>
      <w:numFmt w:val="bullet"/>
      <w:start w:val="1"/>
    </w:lvl>
  </w:abstractNum>
  <w:abstractNum w:abstractNumId="154">
    <w:nsid w:val="665ACA49"/>
    <w:multiLevelType w:val="hybridMultilevel"/>
    <w:lvl w:ilvl="0">
      <w:lvlJc w:val="left"/>
      <w:lvlText w:val="(%1)"/>
      <w:numFmt w:val="decimal"/>
      <w:start w:val="1"/>
    </w:lvl>
  </w:abstractNum>
  <w:abstractNum w:abstractNumId="155">
    <w:nsid w:val="6835B2AE"/>
    <w:multiLevelType w:val="hybridMultilevel"/>
    <w:lvl w:ilvl="0">
      <w:lvlJc w:val="left"/>
      <w:lvlText w:val="(%1)"/>
      <w:numFmt w:val="decimal"/>
      <w:start w:val="1"/>
    </w:lvl>
  </w:abstractNum>
  <w:abstractNum w:abstractNumId="156">
    <w:nsid w:val="4C187C90"/>
    <w:multiLevelType w:val="hybridMultilevel"/>
    <w:lvl w:ilvl="0">
      <w:lvlJc w:val="left"/>
      <w:lvlText w:val="(%1)"/>
      <w:numFmt w:val="decimal"/>
      <w:start w:val="1"/>
    </w:lvl>
  </w:abstractNum>
  <w:abstractNum w:abstractNumId="157">
    <w:nsid w:val="541F28CD"/>
    <w:multiLevelType w:val="hybridMultilevel"/>
    <w:lvl w:ilvl="0">
      <w:lvlJc w:val="left"/>
      <w:lvlText w:val="(%1)"/>
      <w:numFmt w:val="decimal"/>
      <w:start w:val="1"/>
    </w:lvl>
  </w:abstractNum>
  <w:abstractNum w:abstractNumId="158">
    <w:nsid w:val="7F65FD16"/>
    <w:multiLevelType w:val="hybridMultilevel"/>
    <w:lvl w:ilvl="0">
      <w:lvlJc w:val="left"/>
      <w:lvlText w:val="(%1)"/>
      <w:numFmt w:val="decimal"/>
      <w:start w:val="1"/>
    </w:lvl>
  </w:abstractNum>
  <w:abstractNum w:abstractNumId="159">
    <w:nsid w:val="77C9FD68"/>
    <w:multiLevelType w:val="hybridMultilevel"/>
    <w:lvl w:ilvl="0">
      <w:lvlJc w:val="left"/>
      <w:lvlText w:val="(%1)"/>
      <w:numFmt w:val="decimal"/>
      <w:start w:val="1"/>
    </w:lvl>
  </w:abstractNum>
  <w:abstractNum w:abstractNumId="160">
    <w:nsid w:val="298A92BA"/>
    <w:multiLevelType w:val="hybridMultilevel"/>
    <w:lvl w:ilvl="0">
      <w:lvlJc w:val="left"/>
      <w:lvlText w:val="(%1)"/>
      <w:numFmt w:val="decimal"/>
      <w:start w:val="1"/>
    </w:lvl>
  </w:abstractNum>
  <w:abstractNum w:abstractNumId="161">
    <w:nsid w:val="6FE95EAC"/>
    <w:multiLevelType w:val="hybridMultilevel"/>
    <w:lvl w:ilvl="0">
      <w:lvlJc w:val="left"/>
      <w:lvlText w:val="(%1)"/>
      <w:numFmt w:val="decimal"/>
      <w:start w:val="1"/>
    </w:lvl>
  </w:abstractNum>
  <w:abstractNum w:abstractNumId="162">
    <w:nsid w:val="4B697C7A"/>
    <w:multiLevelType w:val="hybridMultilevel"/>
    <w:lvl w:ilvl="0">
      <w:lvlJc w:val="left"/>
      <w:lvlText w:val="(%1)"/>
      <w:numFmt w:val="lowerLetter"/>
      <w:start w:val="2"/>
    </w:lvl>
  </w:abstractNum>
  <w:abstractNum w:abstractNumId="163">
    <w:nsid w:val="51A27AA6"/>
    <w:multiLevelType w:val="hybridMultilevel"/>
    <w:lvl w:ilvl="0">
      <w:lvlJc w:val="left"/>
      <w:lvlText w:val="(%1)"/>
      <w:numFmt w:val="lowerLetter"/>
      <w:start w:val="5"/>
    </w:lvl>
  </w:abstractNum>
  <w:abstractNum w:abstractNumId="164">
    <w:nsid w:val="613183F2"/>
    <w:multiLevelType w:val="hybridMultilevel"/>
    <w:lvl w:ilvl="0">
      <w:lvlJc w:val="left"/>
      <w:lvlText w:val="(%1)"/>
      <w:numFmt w:val="lowerLetter"/>
      <w:start w:val="7"/>
    </w:lvl>
  </w:abstractNum>
  <w:abstractNum w:abstractNumId="165">
    <w:nsid w:val="634102B4"/>
    <w:multiLevelType w:val="hybridMultilevel"/>
    <w:lvl w:ilvl="0">
      <w:lvlJc w:val="left"/>
      <w:lvlText w:val="(%1)"/>
      <w:numFmt w:val="lowerLetter"/>
      <w:start w:val="9"/>
    </w:lvl>
  </w:abstractNum>
  <w:abstractNum w:abstractNumId="166">
    <w:nsid w:val="65BF9DA8"/>
    <w:multiLevelType w:val="hybridMultilevel"/>
    <w:lvl w:ilvl="0">
      <w:lvlJc w:val="left"/>
      <w:lvlText w:val="(%1)"/>
      <w:numFmt w:val="lowerLetter"/>
      <w:start w:val="12"/>
    </w:lvl>
  </w:abstractNum>
  <w:abstractNum w:abstractNumId="167">
    <w:nsid w:val="21A2ECCA"/>
    <w:multiLevelType w:val="hybridMultilevel"/>
    <w:lvl w:ilvl="0">
      <w:lvlJc w:val="left"/>
      <w:lvlText w:val="(%1)"/>
      <w:numFmt w:val="lowerLetter"/>
      <w:start w:val="15"/>
    </w:lvl>
  </w:abstractNum>
  <w:abstractNum w:abstractNumId="168">
    <w:nsid w:val="4D5C4899"/>
    <w:multiLevelType w:val="hybridMultilevel"/>
    <w:lvl w:ilvl="0">
      <w:lvlJc w:val="left"/>
      <w:lvlText w:val="(%1)"/>
      <w:numFmt w:val="decimal"/>
      <w:start w:val="1"/>
    </w:lvl>
  </w:abstractNum>
  <w:abstractNum w:abstractNumId="169">
    <w:nsid w:val="3C3B72B2"/>
    <w:multiLevelType w:val="hybridMultilevel"/>
    <w:lvl w:ilvl="0">
      <w:lvlJc w:val="left"/>
      <w:lvlText w:val="(%1)"/>
      <w:numFmt w:val="decimal"/>
      <w:start w:val="1"/>
    </w:lvl>
  </w:abstractNum>
  <w:abstractNum w:abstractNumId="170">
    <w:nsid w:val="155EC4C2"/>
    <w:multiLevelType w:val="hybridMultilevel"/>
    <w:lvl w:ilvl="0">
      <w:lvlJc w:val="left"/>
      <w:lvlText w:val="(%1)"/>
      <w:numFmt w:val="decimal"/>
      <w:start w:val="1"/>
    </w:lvl>
  </w:abstractNum>
  <w:abstractNum w:abstractNumId="171">
    <w:nsid w:val="65D2A13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2">
    <w:nsid w:val="6EBB1F2A"/>
    <w:multiLevelType w:val="hybridMultilevel"/>
    <w:lvl w:ilvl="0">
      <w:lvlJc w:val="left"/>
      <w:lvlText w:val="%1"/>
      <w:numFmt w:val="decimal"/>
      <w:start w:val="1"/>
    </w:lvl>
    <w:lvl w:ilvl="1">
      <w:lvlJc w:val="left"/>
      <w:lvlText w:val="(%2)"/>
      <w:numFmt w:val="lowerLetter"/>
      <w:start w:val="2"/>
    </w:lvl>
  </w:abstractNum>
  <w:abstractNum w:abstractNumId="173">
    <w:nsid w:val="6FBF29CB"/>
    <w:multiLevelType w:val="hybridMultilevel"/>
    <w:lvl w:ilvl="0">
      <w:lvlJc w:val="left"/>
      <w:lvlText w:val="(%1)"/>
      <w:numFmt w:val="decimal"/>
      <w:start w:val="6"/>
    </w:lvl>
    <w:lvl w:ilvl="1">
      <w:lvlJc w:val="left"/>
      <w:lvlText w:val="%2"/>
      <w:numFmt w:val="lowerLetter"/>
      <w:start w:val="1"/>
    </w:lvl>
  </w:abstractNum>
  <w:abstractNum w:abstractNumId="174">
    <w:nsid w:val="550B8808"/>
    <w:multiLevelType w:val="hybridMultilevel"/>
    <w:lvl w:ilvl="0">
      <w:lvlJc w:val="left"/>
      <w:lvlText w:val="(%1)"/>
      <w:numFmt w:val="lowerLetter"/>
      <w:start w:val="1"/>
    </w:lvl>
  </w:abstractNum>
  <w:abstractNum w:abstractNumId="175">
    <w:nsid w:val="34CC3ACF"/>
    <w:multiLevelType w:val="hybridMultilevel"/>
    <w:lvl w:ilvl="0">
      <w:lvlJc w:val="left"/>
      <w:lvlText w:val="(%1)"/>
      <w:numFmt w:val="lowerRoman"/>
      <w:start w:val="2"/>
    </w:lvl>
  </w:abstractNum>
  <w:abstractNum w:abstractNumId="176">
    <w:nsid w:val="4E556261"/>
    <w:multiLevelType w:val="hybridMultilevel"/>
    <w:lvl w:ilvl="0">
      <w:lvlJc w:val="left"/>
      <w:lvlText w:val="(%1)"/>
      <w:numFmt w:val="lowerRoman"/>
      <w:start w:val="2"/>
    </w:lvl>
  </w:abstractNum>
  <w:abstractNum w:abstractNumId="177">
    <w:nsid w:val="4C672FC9"/>
    <w:multiLevelType w:val="hybridMultilevel"/>
    <w:lvl w:ilvl="0">
      <w:lvlJc w:val="left"/>
      <w:lvlText w:val="(%1)"/>
      <w:numFmt w:val="lowerRoman"/>
      <w:start w:val="1"/>
    </w:lvl>
  </w:abstractNum>
  <w:abstractNum w:abstractNumId="178">
    <w:nsid w:val="52A311C3"/>
    <w:multiLevelType w:val="hybridMultilevel"/>
    <w:lvl w:ilvl="0">
      <w:lvlJc w:val="left"/>
      <w:lvlText w:val="(%1)"/>
      <w:numFmt w:val="lowerLetter"/>
      <w:start w:val="1"/>
    </w:lvl>
  </w:abstractNum>
  <w:abstractNum w:abstractNumId="179">
    <w:nsid w:val="44EF6B80"/>
    <w:multiLevelType w:val="hybridMultilevel"/>
    <w:lvl w:ilvl="0">
      <w:lvlJc w:val="left"/>
      <w:lvlText w:val="(%1)"/>
      <w:numFmt w:val="lowerLetter"/>
      <w:start w:val="1"/>
    </w:lvl>
  </w:abstractNum>
  <w:abstractNum w:abstractNumId="180">
    <w:nsid w:val="12FCDE5E"/>
    <w:multiLevelType w:val="hybridMultilevel"/>
    <w:lvl w:ilvl="0">
      <w:lvlJc w:val="left"/>
      <w:lvlText w:val="(%1)"/>
      <w:numFmt w:val="lowerLetter"/>
      <w:start w:val="2"/>
    </w:lvl>
  </w:abstractNum>
  <w:abstractNum w:abstractNumId="181">
    <w:nsid w:val="4A1D606E"/>
    <w:multiLevelType w:val="hybridMultilevel"/>
    <w:lvl w:ilvl="0">
      <w:lvlJc w:val="left"/>
      <w:lvlText w:val="(%1)"/>
      <w:numFmt w:val="lowerLetter"/>
      <w:start w:val="6"/>
    </w:lvl>
  </w:abstractNum>
  <w:abstractNum w:abstractNumId="182">
    <w:nsid w:val="4382503"/>
    <w:multiLevelType w:val="hybridMultilevel"/>
    <w:lvl w:ilvl="0">
      <w:lvlJc w:val="left"/>
      <w:lvlText w:val="(%1)"/>
      <w:numFmt w:val="lowerRoman"/>
      <w:start w:val="1"/>
    </w:lvl>
  </w:abstractNum>
  <w:abstractNum w:abstractNumId="183">
    <w:nsid w:val="59B76E28"/>
    <w:multiLevelType w:val="hybridMultilevel"/>
    <w:lvl w:ilvl="0">
      <w:lvlJc w:val="left"/>
      <w:lvlText w:val="(%1)"/>
      <w:numFmt w:val="lowerRoman"/>
      <w:start w:val="2"/>
    </w:lvl>
  </w:abstractNum>
  <w:abstractNum w:abstractNumId="184">
    <w:nsid w:val="4252C2DA"/>
    <w:multiLevelType w:val="hybridMultilevel"/>
    <w:lvl w:ilvl="0">
      <w:lvlJc w:val="left"/>
      <w:lvlText w:val="(%1)"/>
      <w:numFmt w:val="lowerRoman"/>
      <w:start w:val="1"/>
    </w:lvl>
  </w:abstractNum>
  <w:abstractNum w:abstractNumId="185">
    <w:nsid w:val="6A92EF4C"/>
    <w:multiLevelType w:val="hybridMultilevel"/>
    <w:lvl w:ilvl="0">
      <w:lvlJc w:val="left"/>
      <w:lvlText w:val="(%1)"/>
      <w:numFmt w:val="lowerRoman"/>
      <w:start w:val="6"/>
    </w:lvl>
  </w:abstractNum>
  <w:abstractNum w:abstractNumId="186">
    <w:nsid w:val="41ED20D7"/>
    <w:multiLevelType w:val="hybridMultilevel"/>
    <w:lvl w:ilvl="0">
      <w:lvlJc w:val="left"/>
      <w:lvlText w:val="(%1)"/>
      <w:numFmt w:val="lowerRoman"/>
      <w:start w:val="17"/>
    </w:lvl>
  </w:abstractNum>
  <w:abstractNum w:abstractNumId="187">
    <w:nsid w:val="E6B3F6A"/>
    <w:multiLevelType w:val="hybridMultilevel"/>
    <w:lvl w:ilvl="0">
      <w:lvlJc w:val="left"/>
      <w:lvlText w:val="(%1)"/>
      <w:numFmt w:val="lowerRoman"/>
      <w:start w:val="22"/>
    </w:lvl>
  </w:abstractNum>
  <w:abstractNum w:abstractNumId="188">
    <w:nsid w:val="3EB21819"/>
    <w:multiLevelType w:val="hybridMultilevel"/>
    <w:lvl w:ilvl="0">
      <w:lvlJc w:val="left"/>
      <w:lvlText w:val="(%1)"/>
      <w:numFmt w:val="lowerLetter"/>
      <w:start w:val="1"/>
    </w:lvl>
    <w:lvl w:ilvl="1">
      <w:lvlJc w:val="left"/>
      <w:lvlText w:val="(%2)"/>
      <w:numFmt w:val="lowerRoman"/>
      <w:start w:val="1"/>
    </w:lvl>
  </w:abstractNum>
  <w:abstractNum w:abstractNumId="189">
    <w:nsid w:val="41531DED"/>
    <w:multiLevelType w:val="hybridMultilevel"/>
    <w:lvl w:ilvl="0">
      <w:lvlJc w:val="left"/>
      <w:lvlText w:val="(%1)"/>
      <w:numFmt w:val="lowerRoman"/>
      <w:start w:val="2"/>
    </w:lvl>
  </w:abstractNum>
  <w:abstractNum w:abstractNumId="190">
    <w:nsid w:val="6353CD2"/>
    <w:multiLevelType w:val="hybridMultilevel"/>
    <w:lvl w:ilvl="0">
      <w:lvlJc w:val="left"/>
      <w:lvlText w:val="(%1)"/>
      <w:numFmt w:val="lowerLetter"/>
      <w:start w:val="1"/>
    </w:lvl>
  </w:abstractNum>
  <w:abstractNum w:abstractNumId="191">
    <w:nsid w:val="683CAAD3"/>
    <w:multiLevelType w:val="hybridMultilevel"/>
    <w:lvl w:ilvl="0">
      <w:lvlJc w:val="left"/>
      <w:lvlText w:val="(%1)"/>
      <w:numFmt w:val="lowerRoman"/>
      <w:start w:val="1"/>
    </w:lvl>
  </w:abstractNum>
  <w:abstractNum w:abstractNumId="192">
    <w:nsid w:val="313C7C99"/>
    <w:multiLevelType w:val="hybridMultilevel"/>
    <w:lvl w:ilvl="0">
      <w:lvlJc w:val="left"/>
      <w:lvlText w:val="(%1)"/>
      <w:numFmt w:val="lowerLetter"/>
      <w:start w:val="2"/>
    </w:lvl>
  </w:abstractNum>
  <w:abstractNum w:abstractNumId="193">
    <w:nsid w:val="519EB94C"/>
    <w:multiLevelType w:val="hybridMultilevel"/>
    <w:lvl w:ilvl="0">
      <w:lvlJc w:val="left"/>
      <w:lvlText w:val="(%1)"/>
      <w:numFmt w:val="lowerLetter"/>
      <w:start w:val="1"/>
    </w:lvl>
  </w:abstractNum>
  <w:abstractNum w:abstractNumId="194">
    <w:nsid w:val="39DF2579"/>
    <w:multiLevelType w:val="hybridMultilevel"/>
    <w:lvl w:ilvl="0">
      <w:lvlJc w:val="left"/>
      <w:lvlText w:val="%1"/>
      <w:numFmt w:val="lowerLetter"/>
      <w:start w:val="1"/>
    </w:lvl>
    <w:lvl w:ilvl="1">
      <w:lvlJc w:val="left"/>
      <w:lvlText w:val="(%2)"/>
      <w:numFmt w:val="lowerLetter"/>
      <w:start w:val="4"/>
    </w:lvl>
  </w:abstractNum>
  <w:abstractNum w:abstractNumId="195">
    <w:nsid w:val="126E008B"/>
    <w:multiLevelType w:val="hybridMultilevel"/>
    <w:lvl w:ilvl="0">
      <w:lvlJc w:val="left"/>
      <w:lvlText w:val="(%1)"/>
      <w:numFmt w:val="lowerLetter"/>
      <w:start w:val="4"/>
    </w:lvl>
    <w:lvl w:ilvl="1">
      <w:lvlJc w:val="left"/>
      <w:lvlText w:val="(%2)"/>
      <w:numFmt w:val="lowerLetter"/>
      <w:start w:val="6"/>
    </w:lvl>
  </w:abstractNum>
  <w:abstractNum w:abstractNumId="196">
    <w:nsid w:val="34DFBC00"/>
    <w:multiLevelType w:val="hybridMultilevel"/>
    <w:lvl w:ilvl="0">
      <w:lvlJc w:val="left"/>
      <w:lvlText w:val="%1"/>
      <w:numFmt w:val="lowerLetter"/>
      <w:start w:val="1"/>
    </w:lvl>
    <w:lvl w:ilvl="1">
      <w:lvlJc w:val="left"/>
      <w:lvlText w:val="(%2)"/>
      <w:numFmt w:val="lowerLetter"/>
      <w:start w:val="1"/>
    </w:lvl>
  </w:abstractNum>
  <w:abstractNum w:abstractNumId="197">
    <w:nsid w:val="1F9EC322"/>
    <w:multiLevelType w:val="hybridMultilevel"/>
    <w:lvl w:ilvl="0">
      <w:lvlJc w:val="left"/>
      <w:lvlText w:val="(%1)"/>
      <w:numFmt w:val="lowerLetter"/>
      <w:start w:val="35"/>
    </w:lvl>
    <w:lvl w:ilvl="1">
      <w:lvlJc w:val="left"/>
      <w:lvlText w:val="(%2)"/>
      <w:numFmt w:val="lowerLetter"/>
      <w:start w:val="2"/>
    </w:lvl>
  </w:abstractNum>
  <w:abstractNum w:abstractNumId="198">
    <w:nsid w:val="3410ED56"/>
    <w:multiLevelType w:val="hybridMultilevel"/>
    <w:lvl w:ilvl="0">
      <w:lvlJc w:val="left"/>
      <w:lvlText w:val="(%1)"/>
      <w:numFmt w:val="lowerLetter"/>
      <w:start w:val="1"/>
    </w:lvl>
    <w:lvl w:ilvl="1">
      <w:lvlJc w:val="left"/>
      <w:lvlText w:val="(%2)"/>
      <w:numFmt w:val="lowerLetter"/>
      <w:start w:val="9"/>
    </w:lvl>
  </w:abstractNum>
  <w:abstractNum w:abstractNumId="199">
    <w:nsid w:val="23C049A"/>
    <w:multiLevelType w:val="hybridMultilevel"/>
    <w:lvl w:ilvl="0">
      <w:lvlJc w:val="left"/>
      <w:lvlText w:val="(%1)"/>
      <w:numFmt w:val="lowerRoman"/>
      <w:start w:val="2"/>
    </w:lvl>
    <w:lvl w:ilvl="1">
      <w:lvlJc w:val="left"/>
      <w:lvlText w:val="(%2)"/>
      <w:numFmt w:val="lowerRoman"/>
      <w:start w:val="2"/>
    </w:lvl>
    <w:lvl w:ilvl="2">
      <w:lvlJc w:val="left"/>
      <w:lvlText w:val="(%3)"/>
      <w:numFmt w:val="decimal"/>
      <w:start w:val="1"/>
    </w:lvl>
  </w:abstractNum>
  <w:abstractNum w:abstractNumId="200">
    <w:nsid w:val="5BDA35D4"/>
    <w:multiLevelType w:val="hybridMultilevel"/>
    <w:lvl w:ilvl="0">
      <w:lvlJc w:val="left"/>
      <w:lvlText w:val="(%1)"/>
      <w:numFmt w:val="lowerLetter"/>
      <w:start w:val="2"/>
    </w:lvl>
  </w:abstractNum>
  <w:abstractNum w:abstractNumId="201">
    <w:nsid w:val="496FB218"/>
    <w:multiLevelType w:val="hybridMultilevel"/>
    <w:lvl w:ilvl="0">
      <w:lvlJc w:val="left"/>
      <w:lvlText w:val="(%1)"/>
      <w:numFmt w:val="lowerRoman"/>
      <w:start w:val="1"/>
    </w:lvl>
    <w:lvl w:ilvl="1">
      <w:lvlJc w:val="left"/>
      <w:lvlText w:val="(%2)"/>
      <w:numFmt w:val="decimal"/>
      <w:start w:val="1"/>
    </w:lvl>
  </w:abstractNum>
  <w:abstractNum w:abstractNumId="202">
    <w:nsid w:val="680EA5D1"/>
    <w:multiLevelType w:val="hybridMultilevel"/>
    <w:lvl w:ilvl="0">
      <w:lvlJc w:val="left"/>
      <w:lvlText w:val="(%1)"/>
      <w:numFmt w:val="lowerRoman"/>
      <w:start w:val="6"/>
    </w:lvl>
    <w:lvl w:ilvl="1">
      <w:lvlJc w:val="left"/>
      <w:lvlText w:val="(%2)"/>
      <w:numFmt w:val="decimal"/>
      <w:start w:val="1"/>
    </w:lvl>
  </w:abstractNum>
  <w:abstractNum w:abstractNumId="203">
    <w:nsid w:val="4A9554FE"/>
    <w:multiLevelType w:val="hybridMultilevel"/>
    <w:lvl w:ilvl="0">
      <w:lvlJc w:val="left"/>
      <w:lvlText w:val="(%1)"/>
      <w:numFmt w:val="lowerRoman"/>
      <w:start w:val="1"/>
    </w:lvl>
    <w:lvl w:ilvl="1">
      <w:lvlJc w:val="left"/>
      <w:lvlText w:val="(%2)"/>
      <w:numFmt w:val="decimal"/>
      <w:start w:val="1"/>
    </w:lvl>
  </w:abstractNum>
  <w:abstractNum w:abstractNumId="204">
    <w:nsid w:val="392EDBE4"/>
    <w:multiLevelType w:val="hybridMultilevel"/>
    <w:lvl w:ilvl="0">
      <w:lvlJc w:val="left"/>
      <w:lvlText w:val="(%1)"/>
      <w:numFmt w:val="lowerRoman"/>
      <w:start w:val="1"/>
    </w:lvl>
  </w:abstractNum>
  <w:abstractNum w:abstractNumId="205">
    <w:nsid w:val="3D1A2DD9"/>
    <w:multiLevelType w:val="hybridMultilevel"/>
    <w:lvl w:ilvl="0">
      <w:lvlJc w:val="left"/>
      <w:lvlText w:val="(%1)"/>
      <w:numFmt w:val="lowerRoman"/>
      <w:start w:val="1"/>
    </w:lvl>
  </w:abstractNum>
  <w:abstractNum w:abstractNumId="206">
    <w:nsid w:val="7F618FCD"/>
    <w:multiLevelType w:val="hybridMultilevel"/>
    <w:lvl w:ilvl="0">
      <w:lvlJc w:val="left"/>
      <w:lvlText w:val="(%1)"/>
      <w:numFmt w:val="lowerRoman"/>
      <w:start w:val="1"/>
    </w:lvl>
  </w:abstractNum>
  <w:abstractNum w:abstractNumId="207">
    <w:nsid w:val="7843E45"/>
    <w:multiLevelType w:val="hybridMultilevel"/>
    <w:lvl w:ilvl="0">
      <w:lvlJc w:val="left"/>
      <w:lvlText w:val="(%1)"/>
      <w:numFmt w:val="lowerRoman"/>
      <w:start w:val="5"/>
    </w:lvl>
  </w:abstractNum>
  <w:abstractNum w:abstractNumId="208">
    <w:nsid w:val="9815DA3"/>
    <w:multiLevelType w:val="hybridMultilevel"/>
    <w:lvl w:ilvl="0">
      <w:lvlJc w:val="left"/>
      <w:lvlText w:val="(%1)"/>
      <w:numFmt w:val="lowerRoman"/>
      <w:start w:val="1"/>
    </w:lvl>
  </w:abstractNum>
  <w:abstractNum w:abstractNumId="209">
    <w:nsid w:val="5204A191"/>
    <w:multiLevelType w:val="hybridMultilevel"/>
    <w:lvl w:ilvl="0">
      <w:lvlJc w:val="left"/>
      <w:lvlText w:val="(%1)"/>
      <w:numFmt w:val="lowerRoman"/>
      <w:start w:val="2"/>
    </w:lvl>
  </w:abstractNum>
  <w:abstractNum w:abstractNumId="210">
    <w:nsid w:val="4C73A9C6"/>
    <w:multiLevelType w:val="hybridMultilevel"/>
    <w:lvl w:ilvl="0">
      <w:lvlJc w:val="left"/>
      <w:lvlText w:val="(%1)"/>
      <w:numFmt w:val="lowerRoman"/>
      <w:start w:val="1"/>
    </w:lvl>
  </w:abstractNum>
  <w:abstractNum w:abstractNumId="211">
    <w:nsid w:val="1C7E3C01"/>
    <w:multiLevelType w:val="hybridMultilevel"/>
    <w:lvl w:ilvl="0">
      <w:lvlJc w:val="left"/>
      <w:lvlText w:val="(%1)"/>
      <w:numFmt w:val="lowerLetter"/>
      <w:start w:val="1"/>
    </w:lvl>
    <w:lvl w:ilvl="1">
      <w:lvlJc w:val="left"/>
      <w:lvlText w:val="(%2)"/>
      <w:numFmt w:val="lowerLetter"/>
      <w:start w:val="9"/>
    </w:lvl>
  </w:abstractNum>
  <w:abstractNum w:abstractNumId="212">
    <w:nsid w:val="1C2201FF"/>
    <w:multiLevelType w:val="hybridMultilevel"/>
    <w:lvl w:ilvl="0">
      <w:lvlJc w:val="left"/>
      <w:lvlText w:val="(%1)"/>
      <w:numFmt w:val="lowerRoman"/>
      <w:start w:val="2"/>
    </w:lvl>
  </w:abstractNum>
  <w:abstractNum w:abstractNumId="213">
    <w:nsid w:val="50ABCEC9"/>
    <w:multiLevelType w:val="hybridMultilevel"/>
    <w:lvl w:ilvl="0">
      <w:lvlJc w:val="left"/>
      <w:lvlText w:val="(%1)"/>
      <w:numFmt w:val="lowerRoman"/>
      <w:start w:val="1"/>
    </w:lvl>
  </w:abstractNum>
  <w:abstractNum w:abstractNumId="214">
    <w:nsid w:val="7635AA2A"/>
    <w:multiLevelType w:val="hybridMultilevel"/>
    <w:lvl w:ilvl="0">
      <w:lvlJc w:val="left"/>
      <w:lvlText w:val="(%1)"/>
      <w:numFmt w:val="lowerRoman"/>
      <w:start w:val="9"/>
    </w:lvl>
  </w:abstractNum>
  <w:abstractNum w:abstractNumId="215">
    <w:nsid w:val="5E74C4D9"/>
    <w:multiLevelType w:val="hybridMultilevel"/>
    <w:lvl w:ilvl="0">
      <w:lvlJc w:val="left"/>
      <w:lvlText w:val="(%1)"/>
      <w:numFmt w:val="lowerRoman"/>
      <w:start w:val="1"/>
    </w:lvl>
  </w:abstractNum>
  <w:abstractNum w:abstractNumId="216">
    <w:nsid w:val="3B3EBE15"/>
    <w:multiLevelType w:val="hybridMultilevel"/>
    <w:lvl w:ilvl="0">
      <w:lvlJc w:val="left"/>
      <w:lvlText w:val="(%1)"/>
      <w:numFmt w:val="lowerLetter"/>
      <w:start w:val="1"/>
    </w:lvl>
    <w:lvl w:ilvl="1">
      <w:lvlJc w:val="left"/>
      <w:lvlText w:val="(%2)"/>
      <w:numFmt w:val="lowerRoman"/>
      <w:start w:val="1"/>
    </w:lvl>
  </w:abstractNum>
  <w:abstractNum w:abstractNumId="217">
    <w:nsid w:val="3822CB01"/>
    <w:multiLevelType w:val="hybridMultilevel"/>
    <w:lvl w:ilvl="0">
      <w:lvlJc w:val="left"/>
      <w:lvlText w:val="(%1)"/>
      <w:numFmt w:val="lowerLetter"/>
      <w:start w:val="5"/>
    </w:lvl>
  </w:abstractNum>
  <w:abstractNum w:abstractNumId="218">
    <w:nsid w:val="6CE00443"/>
    <w:multiLevelType w:val="hybridMultilevel"/>
    <w:lvl w:ilvl="0">
      <w:lvlJc w:val="left"/>
      <w:lvlText w:val="(%1)"/>
      <w:numFmt w:val="lowerLetter"/>
      <w:start w:val="7"/>
    </w:lvl>
  </w:abstractNum>
  <w:abstractNum w:abstractNumId="219">
    <w:nsid w:val="79F0D62F"/>
    <w:multiLevelType w:val="hybridMultilevel"/>
    <w:lvl w:ilvl="0">
      <w:lvlJc w:val="left"/>
      <w:lvlText w:val="(%1)"/>
      <w:numFmt w:val="lowerLetter"/>
      <w:start w:val="1"/>
    </w:lvl>
  </w:abstractNum>
  <w:abstractNum w:abstractNumId="220">
    <w:nsid w:val="7975E8EE"/>
    <w:multiLevelType w:val="hybridMultilevel"/>
    <w:lvl w:ilvl="0">
      <w:lvlJc w:val="left"/>
      <w:lvlText w:val="(%1)"/>
      <w:numFmt w:val="lowerLetter"/>
      <w:start w:val="1"/>
    </w:lvl>
  </w:abstractNum>
  <w:abstractNum w:abstractNumId="221">
    <w:nsid w:val="73154115"/>
    <w:multiLevelType w:val="hybridMultilevel"/>
    <w:lvl w:ilvl="0">
      <w:lvlJc w:val="left"/>
      <w:lvlText w:val="(%1)"/>
      <w:numFmt w:val="lowerLetter"/>
      <w:start w:val="2"/>
    </w:lvl>
  </w:abstractNum>
  <w:abstractNum w:abstractNumId="222">
    <w:nsid w:val="622D8102"/>
    <w:multiLevelType w:val="hybridMultilevel"/>
    <w:lvl w:ilvl="0">
      <w:lvlJc w:val="left"/>
      <w:lvlText w:val="(%1)"/>
      <w:numFmt w:val="lowerRoman"/>
      <w:start w:val="1"/>
    </w:lvl>
  </w:abstractNum>
  <w:abstractNum w:abstractNumId="223">
    <w:nsid w:val="2AB26587"/>
    <w:multiLevelType w:val="hybridMultilevel"/>
    <w:lvl w:ilvl="0">
      <w:lvlJc w:val="left"/>
      <w:lvlText w:val="(%1)"/>
      <w:numFmt w:val="lowerRoman"/>
      <w:start w:val="2"/>
    </w:lvl>
  </w:abstractNum>
  <w:abstractNum w:abstractNumId="224">
    <w:nsid w:val="44B3FA61"/>
    <w:multiLevelType w:val="hybridMultilevel"/>
    <w:lvl w:ilvl="0">
      <w:lvlJc w:val="left"/>
      <w:lvlText w:val="(%1)"/>
      <w:numFmt w:val="lowerRoman"/>
      <w:start w:val="1"/>
    </w:lvl>
  </w:abstractNum>
  <w:abstractNum w:abstractNumId="225">
    <w:nsid w:val="1C0CA67C"/>
    <w:multiLevelType w:val="hybridMultilevel"/>
    <w:lvl w:ilvl="0">
      <w:lvlJc w:val="left"/>
      <w:lvlText w:val="(%1)"/>
      <w:numFmt w:val="lowerRoman"/>
      <w:start w:val="5"/>
    </w:lvl>
  </w:abstractNum>
  <w:abstractNum w:abstractNumId="226">
    <w:nsid w:val="3D206613"/>
    <w:multiLevelType w:val="hybridMultilevel"/>
    <w:lvl w:ilvl="0">
      <w:lvlJc w:val="left"/>
      <w:lvlText w:val="(%1)"/>
      <w:numFmt w:val="lowerRoman"/>
      <w:start w:val="1"/>
    </w:lvl>
  </w:abstractNum>
  <w:abstractNum w:abstractNumId="227">
    <w:nsid w:val="7993B662"/>
    <w:multiLevelType w:val="hybridMultilevel"/>
    <w:lvl w:ilvl="0">
      <w:lvlJc w:val="left"/>
      <w:lvlText w:val="(%1)"/>
      <w:numFmt w:val="lowerRoman"/>
      <w:start w:val="2"/>
    </w:lvl>
  </w:abstractNum>
  <w:abstractNum w:abstractNumId="228">
    <w:nsid w:val="3BAB699E"/>
    <w:multiLevelType w:val="hybridMultilevel"/>
    <w:lvl w:ilvl="0">
      <w:lvlJc w:val="left"/>
      <w:lvlText w:val="(%1)"/>
      <w:numFmt w:val="lowerRoman"/>
      <w:start w:val="1"/>
    </w:lvl>
  </w:abstractNum>
  <w:abstractNum w:abstractNumId="229">
    <w:nsid w:val="71315369"/>
    <w:multiLevelType w:val="hybridMultilevel"/>
    <w:lvl w:ilvl="0">
      <w:lvlJc w:val="left"/>
      <w:lvlText w:val="(%1)"/>
      <w:numFmt w:val="lowerLetter"/>
      <w:start w:val="2"/>
    </w:lvl>
  </w:abstractNum>
  <w:abstractNum w:abstractNumId="230">
    <w:nsid w:val="7BCFBAFC"/>
    <w:multiLevelType w:val="hybridMultilevel"/>
    <w:lvl w:ilvl="0">
      <w:lvlJc w:val="left"/>
      <w:lvlText w:val="%1"/>
      <w:numFmt w:val="upperLetter"/>
      <w:start w:val="1"/>
    </w:lvl>
    <w:lvl w:ilvl="1">
      <w:lvlJc w:val="left"/>
      <w:lvlText w:val="(%2)"/>
      <w:numFmt w:val="lowerRoman"/>
      <w:start w:val="1"/>
    </w:lvl>
  </w:abstractNum>
  <w:abstractNum w:abstractNumId="231">
    <w:nsid w:val="17859F72"/>
    <w:multiLevelType w:val="hybridMultilevel"/>
    <w:lvl w:ilvl="0">
      <w:lvlJc w:val="left"/>
      <w:lvlText w:val="(%1)"/>
      <w:numFmt w:val="upperLetter"/>
      <w:start w:val="1"/>
    </w:lvl>
    <w:lvl w:ilvl="1">
      <w:lvlJc w:val="left"/>
      <w:lvlText w:val="%2"/>
      <w:numFmt w:val="lowerRoman"/>
      <w:start w:val="1"/>
    </w:lvl>
  </w:abstractNum>
  <w:abstractNum w:abstractNumId="232">
    <w:nsid w:val="3AA10581"/>
    <w:multiLevelType w:val="hybridMultilevel"/>
    <w:lvl w:ilvl="0">
      <w:lvlJc w:val="left"/>
      <w:lvlText w:val="(%1)"/>
      <w:numFmt w:val="decimal"/>
      <w:start w:val="2"/>
    </w:lvl>
    <w:lvl w:ilvl="1">
      <w:lvlJc w:val="left"/>
      <w:lvlText w:val="(%2)"/>
      <w:numFmt w:val="lowerRoman"/>
      <w:start w:val="2"/>
    </w:lvl>
  </w:abstractNum>
  <w:abstractNum w:abstractNumId="233">
    <w:nsid w:val="63DE60CD"/>
    <w:multiLevelType w:val="hybridMultilevel"/>
    <w:lvl w:ilvl="0">
      <w:lvlJc w:val="left"/>
      <w:lvlText w:val="(%1)"/>
      <w:numFmt w:val="lowerLetter"/>
      <w:start w:val="1"/>
    </w:lvl>
  </w:abstractNum>
  <w:abstractNum w:abstractNumId="234">
    <w:nsid w:val="621AF471"/>
    <w:multiLevelType w:val="hybridMultilevel"/>
    <w:lvl w:ilvl="0">
      <w:lvlJc w:val="left"/>
      <w:lvlText w:val="(%1)"/>
      <w:numFmt w:val="lowerLetter"/>
      <w:start w:val="2"/>
    </w:lvl>
  </w:abstractNum>
  <w:abstractNum w:abstractNumId="235">
    <w:nsid w:val="73CFE165"/>
    <w:multiLevelType w:val="hybridMultilevel"/>
    <w:lvl w:ilvl="0">
      <w:lvlJc w:val="left"/>
      <w:lvlText w:val="(%1)"/>
      <w:numFmt w:val="lowerRoman"/>
      <w:start w:val="1"/>
    </w:lvl>
  </w:abstractNum>
  <w:abstractNum w:abstractNumId="236">
    <w:nsid w:val="20F88EA6"/>
    <w:multiLevelType w:val="hybridMultilevel"/>
    <w:lvl w:ilvl="0">
      <w:lvlJc w:val="left"/>
      <w:lvlText w:val="(%1)"/>
      <w:numFmt w:val="lowerLetter"/>
      <w:start w:val="1"/>
    </w:lvl>
  </w:abstractNum>
  <w:abstractNum w:abstractNumId="237">
    <w:nsid w:val="617C843E"/>
    <w:multiLevelType w:val="hybridMultilevel"/>
    <w:lvl w:ilvl="0">
      <w:lvlJc w:val="left"/>
      <w:lvlText w:val="(%1)"/>
      <w:numFmt w:val="lowerRoman"/>
      <w:start w:val="1"/>
    </w:lvl>
  </w:abstractNum>
  <w:abstractNum w:abstractNumId="238">
    <w:nsid w:val="7B541FAB"/>
    <w:multiLevelType w:val="hybridMultilevel"/>
    <w:lvl w:ilvl="0">
      <w:lvlJc w:val="left"/>
      <w:lvlText w:val="(%1)"/>
      <w:numFmt w:val="lowerRoman"/>
      <w:start w:val="4"/>
    </w:lvl>
  </w:abstractNum>
  <w:abstractNum w:abstractNumId="239">
    <w:nsid w:val="2A79EC49"/>
    <w:multiLevelType w:val="hybridMultilevel"/>
    <w:lvl w:ilvl="0">
      <w:lvlJc w:val="left"/>
      <w:lvlText w:val="☐"/>
      <w:numFmt w:val="bullet"/>
      <w:start w:val="1"/>
    </w:lvl>
  </w:abstractNum>
  <w:abstractNum w:abstractNumId="240">
    <w:nsid w:val="338125CF"/>
    <w:multiLevelType w:val="hybridMultilevel"/>
    <w:lvl w:ilvl="0">
      <w:lvlJc w:val="left"/>
      <w:lvlText w:val="*"/>
      <w:numFmt w:val="bullet"/>
      <w:start w:val="1"/>
    </w:lvl>
  </w:abstractNum>
  <w:abstractNum w:abstractNumId="241">
    <w:nsid w:val="47C7C971"/>
    <w:multiLevelType w:val="hybridMultilevel"/>
    <w:lvl w:ilvl="0">
      <w:lvlJc w:val="left"/>
      <w:lvlText w:val="**"/>
      <w:numFmt w:val="bullet"/>
      <w:start w:val="1"/>
    </w:lvl>
  </w:abstractNum>
  <w:abstractNum w:abstractNumId="242">
    <w:nsid w:val="46F8284B"/>
    <w:multiLevelType w:val="hybridMultilevel"/>
    <w:lvl w:ilvl="0">
      <w:lvlJc w:val="left"/>
      <w:lvlText w:val="***"/>
      <w:numFmt w:val="bullet"/>
      <w:start w:val="1"/>
    </w:lvl>
  </w:abstractNum>
  <w:abstractNum w:abstractNumId="243">
    <w:nsid w:val="4FA327CE"/>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abstractNum w:abstractNumId="244">
    <w:nsid w:val="1873983A"/>
    <w:multiLevelType w:val="hybridMultilevel"/>
    <w:lvl w:ilvl="0">
      <w:lvlJc w:val="left"/>
      <w:lvlText w:val="%1."/>
      <w:numFmt w:val="decimal"/>
      <w:start w:val="1"/>
    </w:lvl>
  </w:abstractNum>
  <w:abstractNum w:abstractNumId="245">
    <w:nsid w:val="3D2DD275"/>
    <w:multiLevelType w:val="hybridMultilevel"/>
    <w:lvl w:ilvl="0">
      <w:lvlJc w:val="left"/>
      <w:lvlText w:val="%1."/>
      <w:numFmt w:val="decimal"/>
      <w:start w:val="2"/>
    </w:lvl>
  </w:abstractNum>
  <w:abstractNum w:abstractNumId="246">
    <w:nsid w:val="2E17ECA7"/>
    <w:multiLevelType w:val="hybridMultilevel"/>
    <w:lvl w:ilvl="0">
      <w:lvlJc w:val="left"/>
      <w:lvlText w:val="(%1)"/>
      <w:numFmt w:val="lowerLetter"/>
      <w:start w:val="1"/>
    </w:lvl>
  </w:abstractNum>
  <w:abstractNum w:abstractNumId="247">
    <w:nsid w:val="53B2564F"/>
    <w:multiLevelType w:val="hybridMultilevel"/>
    <w:lvl w:ilvl="0">
      <w:lvlJc w:val="left"/>
      <w:lvlText w:val="(%1)"/>
      <w:numFmt w:val="lowerLetter"/>
      <w:start w:val="2"/>
    </w:lvl>
  </w:abstractNum>
  <w:abstractNum w:abstractNumId="248">
    <w:nsid w:val="75509D76"/>
    <w:multiLevelType w:val="hybridMultilevel"/>
    <w:lvl w:ilvl="0">
      <w:lvlJc w:val="left"/>
      <w:lvlText w:val="(%1)"/>
      <w:numFmt w:val="lowerLetter"/>
      <w:start w:val="4"/>
    </w:lvl>
  </w:abstractNum>
  <w:abstractNum w:abstractNumId="249">
    <w:nsid w:val="1AF7F0EA"/>
    <w:multiLevelType w:val="hybridMultilevel"/>
    <w:lvl w:ilvl="0">
      <w:lvlJc w:val="left"/>
      <w:lvlText w:val="%1."/>
      <w:numFmt w:val="decimal"/>
      <w:start w:val="3"/>
    </w:lvl>
    <w:lvl w:ilvl="1">
      <w:lvlJc w:val="left"/>
      <w:lvlText w:val="(%2)"/>
      <w:numFmt w:val="lowerLetter"/>
      <w:start w:val="1"/>
    </w:lvl>
  </w:abstractNum>
  <w:abstractNum w:abstractNumId="250">
    <w:nsid w:val="4DA32C7E"/>
    <w:multiLevelType w:val="hybridMultilevel"/>
    <w:lvl w:ilvl="0">
      <w:lvlJc w:val="left"/>
      <w:lvlText w:val="%1"/>
      <w:numFmt w:val="lowerLetter"/>
      <w:start w:val="1"/>
    </w:lvl>
    <w:lvl w:ilvl="1">
      <w:lvlJc w:val="left"/>
      <w:lvlText w:val="(%2)"/>
      <w:numFmt w:val="lowerLetter"/>
      <w:start w:val="2"/>
    </w:lvl>
  </w:abstractNum>
  <w:abstractNum w:abstractNumId="251">
    <w:nsid w:val="6EC68664"/>
    <w:multiLevelType w:val="hybridMultilevel"/>
    <w:lvl w:ilvl="0">
      <w:lvlJc w:val="left"/>
      <w:lvlText w:val="(%1)"/>
      <w:numFmt w:val="lowerLetter"/>
      <w:start w:val="9"/>
    </w:lvl>
    <w:lvl w:ilvl="1">
      <w:lvlJc w:val="left"/>
      <w:lvlText w:val="%2"/>
      <w:numFmt w:val="lowerLetter"/>
      <w:start w:val="1"/>
    </w:lvl>
  </w:abstractNum>
  <w:abstractNum w:abstractNumId="252">
    <w:nsid w:val="E0D31FF"/>
    <w:multiLevelType w:val="hybridMultilevel"/>
    <w:lvl w:ilvl="0">
      <w:lvlJc w:val="left"/>
      <w:lvlText w:val="(%1)"/>
      <w:numFmt w:val="lowerLetter"/>
      <w:start w:val="6"/>
    </w:lvl>
  </w:abstractNum>
  <w:abstractNum w:abstractNumId="253">
    <w:nsid w:val="2FD0AD81"/>
    <w:multiLevelType w:val="hybridMultilevel"/>
    <w:lvl w:ilvl="0">
      <w:lvlJc w:val="left"/>
      <w:lvlText w:val="(%1)"/>
      <w:numFmt w:val="lowerLetter"/>
      <w:start w:val="10"/>
    </w:lvl>
  </w:abstractNum>
  <w:abstractNum w:abstractNumId="254">
    <w:nsid w:val="1978EBEB"/>
    <w:multiLevelType w:val="hybridMultilevel"/>
    <w:lvl w:ilvl="0">
      <w:lvlJc w:val="left"/>
      <w:lvlText w:val="(%1)"/>
      <w:numFmt w:val="lowerLetter"/>
      <w:start w:val="16"/>
    </w:lvl>
  </w:abstractNum>
  <w:abstractNum w:abstractNumId="255">
    <w:nsid w:val="52C12C61"/>
    <w:multiLevelType w:val="hybridMultilevel"/>
    <w:lvl w:ilvl="0">
      <w:lvlJc w:val="left"/>
      <w:lvlText w:val="%1"/>
      <w:numFmt w:val="lowerLetter"/>
      <w:start w:val="1"/>
    </w:lvl>
    <w:lvl w:ilvl="1">
      <w:lvlJc w:val="left"/>
      <w:lvlText w:val="(%2)"/>
      <w:numFmt w:val="lowerLetter"/>
      <w:start w:val="20"/>
    </w:lvl>
  </w:abstractNum>
  <w:abstractNum w:abstractNumId="256">
    <w:nsid w:val="4BDD53FD"/>
    <w:multiLevelType w:val="hybridMultilevel"/>
    <w:lvl w:ilvl="0">
      <w:lvlJc w:val="left"/>
      <w:lvlText w:val="(%1)"/>
      <w:numFmt w:val="lowerLetter"/>
      <w:start w:val="9"/>
    </w:lvl>
    <w:lvl w:ilvl="1">
      <w:lvlJc w:val="left"/>
      <w:lvlText w:val="(%2)"/>
      <w:numFmt w:val="lowerLetter"/>
      <w:start w:val="23"/>
    </w:lvl>
  </w:abstractNum>
  <w:abstractNum w:abstractNumId="257">
    <w:nsid w:val="569951FE"/>
    <w:multiLevelType w:val="hybridMultilevel"/>
    <w:lvl w:ilvl="0">
      <w:lvlJc w:val="left"/>
      <w:lvlText w:val="%1"/>
      <w:numFmt w:val="lowerLetter"/>
      <w:start w:val="1"/>
    </w:lvl>
    <w:lvl w:ilvl="1">
      <w:lvlJc w:val="left"/>
      <w:lvlText w:val="(%2)"/>
      <w:numFmt w:val="lowerLetter"/>
      <w:start w:val="27"/>
    </w:lvl>
  </w:abstractNum>
  <w:abstractNum w:abstractNumId="258">
    <w:nsid w:val="4C54E2C3"/>
    <w:multiLevelType w:val="hybridMultilevel"/>
    <w:lvl w:ilvl="0">
      <w:lvlJc w:val="left"/>
      <w:lvlText w:val="(%1)"/>
      <w:numFmt w:val="lowerLetter"/>
      <w:start w:val="61"/>
    </w:lvl>
    <w:lvl w:ilvl="1">
      <w:lvlJc w:val="left"/>
      <w:lvlText w:val="(%2)"/>
      <w:numFmt w:val="lowerLetter"/>
      <w:start w:val="29"/>
    </w:lvl>
  </w:abstractNum>
  <w:abstractNum w:abstractNumId="259">
    <w:nsid w:val="788BD9B"/>
    <w:multiLevelType w:val="hybridMultilevel"/>
    <w:lvl w:ilvl="0">
      <w:lvlJc w:val="left"/>
      <w:lvlText w:val="(%1)"/>
      <w:numFmt w:val="lowerLetter"/>
      <w:start w:val="9"/>
    </w:lvl>
    <w:lvl w:ilvl="1">
      <w:lvlJc w:val="left"/>
      <w:lvlText w:val="%2"/>
      <w:numFmt w:val="lowerLetter"/>
      <w:start w:val="1"/>
    </w:lvl>
  </w:abstractNum>
  <w:abstractNum w:abstractNumId="260">
    <w:nsid w:val="47CAA567"/>
    <w:multiLevelType w:val="hybridMultilevel"/>
    <w:lvl w:ilvl="0">
      <w:lvlJc w:val="left"/>
      <w:lvlText w:val="%1"/>
      <w:numFmt w:val="lowerLetter"/>
      <w:start w:val="1"/>
    </w:lvl>
    <w:lvl w:ilvl="1">
      <w:lvlJc w:val="left"/>
      <w:lvlText w:val="(%2)"/>
      <w:numFmt w:val="lowerLetter"/>
      <w:start w:val="30"/>
    </w:lvl>
  </w:abstractNum>
  <w:abstractNum w:abstractNumId="261">
    <w:nsid w:val="48249DBF"/>
    <w:multiLevelType w:val="hybridMultilevel"/>
    <w:lvl w:ilvl="0">
      <w:lvlJc w:val="left"/>
      <w:lvlText w:val="(%1)"/>
      <w:numFmt w:val="lowerLetter"/>
      <w:start w:val="61"/>
    </w:lvl>
    <w:lvl w:ilvl="1">
      <w:lvlJc w:val="left"/>
      <w:lvlText w:val="(%2)"/>
      <w:numFmt w:val="lowerLetter"/>
      <w:start w:val="31"/>
    </w:lvl>
  </w:abstractNum>
  <w:abstractNum w:abstractNumId="262">
    <w:nsid w:val="1F0E5D0D"/>
    <w:multiLevelType w:val="hybridMultilevel"/>
    <w:lvl w:ilvl="0">
      <w:lvlJc w:val="left"/>
      <w:lvlText w:val="%1"/>
      <w:numFmt w:val="decimal"/>
      <w:start w:val="1"/>
    </w:lvl>
    <w:lvl w:ilvl="1">
      <w:lvlJc w:val="left"/>
      <w:lvlText w:val="(%2)"/>
      <w:numFmt w:val="lowerLetter"/>
      <w:start w:val="34"/>
    </w:lvl>
  </w:abstractNum>
  <w:abstractNum w:abstractNumId="263">
    <w:nsid w:val="26BAAE9"/>
    <w:multiLevelType w:val="hybridMultilevel"/>
    <w:lvl w:ilvl="0">
      <w:lvlJc w:val="left"/>
      <w:lvlText w:val="%1."/>
      <w:numFmt w:val="decimal"/>
      <w:start w:val="4"/>
    </w:lvl>
    <w:lvl w:ilvl="1">
      <w:lvlJc w:val="left"/>
      <w:lvlText w:val="(%2)"/>
      <w:numFmt w:val="lowerLetter"/>
      <w:start w:val="1"/>
    </w:lvl>
  </w:abstractNum>
  <w:abstractNum w:abstractNumId="264">
    <w:nsid w:val="2C02FE8C"/>
    <w:multiLevelType w:val="hybridMultilevel"/>
    <w:lvl w:ilvl="0">
      <w:lvlJc w:val="left"/>
      <w:lvlText w:val="(%1)"/>
      <w:numFmt w:val="lowerLetter"/>
      <w:start w:val="2"/>
    </w:lvl>
  </w:abstractNum>
  <w:abstractNum w:abstractNumId="265">
    <w:nsid w:val="129517E"/>
    <w:multiLevelType w:val="hybridMultilevel"/>
    <w:lvl w:ilvl="0">
      <w:lvlJc w:val="left"/>
      <w:lvlText w:val="%1"/>
      <w:numFmt w:val="lowerRoman"/>
      <w:start w:val="1"/>
    </w:lvl>
    <w:lvl w:ilvl="1">
      <w:lvlJc w:val="left"/>
      <w:lvlText w:val="(%2)"/>
      <w:numFmt w:val="lowerLetter"/>
      <w:start w:val="8"/>
    </w:lvl>
  </w:abstractNum>
  <w:abstractNum w:abstractNumId="266">
    <w:nsid w:val="763B8C4E"/>
    <w:multiLevelType w:val="hybridMultilevel"/>
    <w:lvl w:ilvl="0">
      <w:lvlJc w:val="left"/>
      <w:lvlText w:val="(%1)"/>
      <w:numFmt w:val="lowerRoman"/>
      <w:start w:val="1"/>
    </w:lvl>
    <w:lvl w:ilvl="1">
      <w:lvlJc w:val="left"/>
      <w:lvlText w:val="%2"/>
      <w:numFmt w:val="lowerLetter"/>
      <w:start w:val="1"/>
    </w:lvl>
  </w:abstractNum>
  <w:abstractNum w:abstractNumId="267">
    <w:nsid w:val="4CFB8D32"/>
    <w:multiLevelType w:val="hybridMultilevel"/>
    <w:lvl w:ilvl="0">
      <w:lvlJc w:val="left"/>
      <w:lvlText w:val="(%1)"/>
      <w:numFmt w:val="lowerRoman"/>
      <w:start w:val="3"/>
    </w:lvl>
    <w:lvl w:ilvl="1">
      <w:lvlJc w:val="left"/>
      <w:lvlText w:val="%2"/>
      <w:numFmt w:val="lowerLetter"/>
      <w:start w:val="1"/>
    </w:lvl>
  </w:abstractNum>
  <w:abstractNum w:abstractNumId="268">
    <w:nsid w:val="62A5D5BD"/>
    <w:multiLevelType w:val="hybridMultilevel"/>
    <w:lvl w:ilvl="0">
      <w:lvlJc w:val="left"/>
      <w:lvlText w:val="%1"/>
      <w:numFmt w:val="lowerLetter"/>
      <w:start w:val="1"/>
    </w:lvl>
    <w:lvl w:ilvl="1">
      <w:lvlJc w:val="left"/>
      <w:lvlText w:val="(%2)"/>
      <w:numFmt w:val="lowerLetter"/>
      <w:start w:val="14"/>
    </w:lvl>
  </w:abstractNum>
  <w:abstractNum w:abstractNumId="269">
    <w:nsid w:val="718FABF9"/>
    <w:multiLevelType w:val="hybridMultilevel"/>
    <w:lvl w:ilvl="0">
      <w:lvlJc w:val="left"/>
      <w:lvlText w:val="(%1)"/>
      <w:numFmt w:val="lowerLetter"/>
      <w:start w:val="61"/>
    </w:lvl>
    <w:lvl w:ilvl="1">
      <w:lvlJc w:val="left"/>
      <w:lvlText w:val="(%2)"/>
      <w:numFmt w:val="lowerLetter"/>
      <w:start w:val="15"/>
    </w:lvl>
  </w:abstractNum>
  <w:abstractNum w:abstractNumId="270">
    <w:nsid w:val="7775797C"/>
    <w:multiLevelType w:val="hybridMultilevel"/>
    <w:lvl w:ilvl="0">
      <w:lvlJc w:val="left"/>
      <w:lvlText w:val="%1."/>
      <w:numFmt w:val="decimal"/>
      <w:start w:val="5"/>
    </w:lvl>
    <w:lvl w:ilvl="1">
      <w:lvlJc w:val="left"/>
      <w:lvlText w:val="(%2)"/>
      <w:numFmt w:val="lowerLetter"/>
      <w:start w:val="1"/>
    </w:lvl>
  </w:abstractNum>
  <w:abstractNum w:abstractNumId="271">
    <w:nsid w:val="1626FB8C"/>
    <w:multiLevelType w:val="hybridMultilevel"/>
    <w:lvl w:ilvl="0">
      <w:lvlJc w:val="left"/>
      <w:lvlText w:val="%1"/>
      <w:numFmt w:val="upperLetter"/>
      <w:start w:val="1"/>
    </w:lvl>
    <w:lvl w:ilvl="1">
      <w:lvlJc w:val="left"/>
      <w:lvlText w:val="(%2)"/>
      <w:numFmt w:val="lowerLetter"/>
      <w:start w:val="2"/>
    </w:lvl>
  </w:abstractNum>
  <w:abstractNum w:abstractNumId="272">
    <w:nsid w:val="3957756A"/>
    <w:multiLevelType w:val="hybridMultilevel"/>
    <w:lvl w:ilvl="0">
      <w:lvlJc w:val="left"/>
      <w:lvlText w:val="(%1)"/>
      <w:numFmt w:val="upperLetter"/>
      <w:start w:val="1"/>
    </w:lvl>
    <w:lvl w:ilvl="1">
      <w:lvlJc w:val="left"/>
      <w:lvlText w:val="(%2)"/>
      <w:numFmt w:val="lowerLetter"/>
      <w:start w:val="3"/>
    </w:lvl>
  </w:abstractNum>
  <w:abstractNum w:abstractNumId="273">
    <w:nsid w:val="3E6DA1C7"/>
    <w:multiLevelType w:val="hybridMultilevel"/>
    <w:lvl w:ilvl="0">
      <w:lvlJc w:val="left"/>
      <w:lvlText w:val="(%1)"/>
      <w:numFmt w:val="lowerLetter"/>
      <w:start w:val="6"/>
    </w:lvl>
  </w:abstractNum>
  <w:abstractNum w:abstractNumId="274">
    <w:nsid w:val="65CA235B"/>
    <w:multiLevelType w:val="hybridMultilevel"/>
    <w:lvl w:ilvl="0">
      <w:lvlJc w:val="left"/>
      <w:lvlText w:val="(%1)"/>
      <w:numFmt w:val="lowerLetter"/>
      <w:start w:val="9"/>
    </w:lvl>
  </w:abstractNum>
  <w:abstractNum w:abstractNumId="275">
    <w:nsid w:val="51CB0DA4"/>
    <w:multiLevelType w:val="hybridMultilevel"/>
    <w:lvl w:ilvl="0">
      <w:lvlJc w:val="left"/>
      <w:lvlText w:val="%1"/>
      <w:numFmt w:val="decimal"/>
      <w:start w:val="1"/>
    </w:lvl>
    <w:lvl w:ilvl="1">
      <w:lvlJc w:val="left"/>
      <w:lvlText w:val="(%2)"/>
      <w:numFmt w:val="lowerLetter"/>
      <w:start w:val="12"/>
    </w:lvl>
  </w:abstractNum>
  <w:abstractNum w:abstractNumId="276">
    <w:nsid w:val="7B9B743C"/>
    <w:multiLevelType w:val="hybridMultilevel"/>
    <w:lvl w:ilvl="0">
      <w:lvlJc w:val="left"/>
      <w:lvlText w:val="%1."/>
      <w:numFmt w:val="decimal"/>
      <w:start w:val="6"/>
    </w:lvl>
    <w:lvl w:ilvl="1">
      <w:lvlJc w:val="left"/>
      <w:lvlText w:val="(%2)"/>
      <w:numFmt w:val="lowerLetter"/>
      <w:start w:val="1"/>
    </w:lvl>
  </w:abstractNum>
  <w:abstractNum w:abstractNumId="277">
    <w:nsid w:val="13E21002"/>
    <w:multiLevelType w:val="hybridMultilevel"/>
    <w:lvl w:ilvl="0">
      <w:lvlJc w:val="left"/>
      <w:lvlText w:val="(%1)"/>
      <w:numFmt w:val="lowerLetter"/>
      <w:start w:val="2"/>
    </w:lvl>
  </w:abstractNum>
  <w:abstractNum w:abstractNumId="278">
    <w:nsid w:val="257D63F4"/>
    <w:multiLevelType w:val="hybridMultilevel"/>
    <w:lvl w:ilvl="0">
      <w:lvlJc w:val="left"/>
      <w:lvlText w:val="(%1)"/>
      <w:numFmt w:val="lowerLetter"/>
      <w:start w:val="7"/>
    </w:lvl>
  </w:abstractNum>
  <w:abstractNum w:abstractNumId="279">
    <w:nsid w:val="70EC11B2"/>
    <w:multiLevelType w:val="hybridMultilevel"/>
    <w:lvl w:ilvl="0">
      <w:lvlJc w:val="left"/>
      <w:lvlText w:val="(%1)"/>
      <w:numFmt w:val="lowerLetter"/>
      <w:start w:val="9"/>
    </w:lvl>
  </w:abstractNum>
  <w:abstractNum w:abstractNumId="280">
    <w:nsid w:val="2EDA00ED"/>
    <w:multiLevelType w:val="hybridMultilevel"/>
    <w:lvl w:ilvl="0">
      <w:lvlJc w:val="left"/>
      <w:lvlText w:val="%1."/>
      <w:numFmt w:val="decimal"/>
      <w:start w:val="8"/>
    </w:lvl>
  </w:abstractNum>
  <w:abstractNum w:abstractNumId="281">
    <w:nsid w:val="73209072"/>
    <w:multiLevelType w:val="hybridMultilevel"/>
    <w:lvl w:ilvl="0">
      <w:lvlJc w:val="left"/>
      <w:lvlText w:val="(%1)"/>
      <w:numFmt w:val="lowerLetter"/>
      <w:start w:val="1"/>
    </w:lvl>
  </w:abstractNum>
  <w:abstractNum w:abstractNumId="282">
    <w:nsid w:val="5FB29816"/>
    <w:multiLevelType w:val="hybridMultilevel"/>
    <w:lvl w:ilvl="0">
      <w:lvlJc w:val="left"/>
      <w:lvlText w:val="(%1)"/>
      <w:numFmt w:val="lowerLetter"/>
      <w:start w:val="2"/>
    </w:lvl>
  </w:abstractNum>
  <w:abstractNum w:abstractNumId="283">
    <w:nsid w:val="3CE732EC"/>
    <w:multiLevelType w:val="hybridMultilevel"/>
    <w:lvl w:ilvl="0">
      <w:lvlJc w:val="left"/>
      <w:lvlText w:val="%1"/>
      <w:numFmt w:val="lowerLetter"/>
      <w:start w:val="1"/>
    </w:lvl>
    <w:lvl w:ilvl="1">
      <w:lvlJc w:val="left"/>
      <w:lvlText w:val="(%2)"/>
      <w:numFmt w:val="lowerLetter"/>
      <w:start w:val="4"/>
    </w:lvl>
  </w:abstractNum>
  <w:abstractNum w:abstractNumId="284">
    <w:nsid w:val="22F13DF3"/>
    <w:multiLevelType w:val="hybridMultilevel"/>
    <w:lvl w:ilvl="0">
      <w:lvlJc w:val="left"/>
      <w:lvlText w:val="(%1)"/>
      <w:numFmt w:val="lowerLetter"/>
      <w:start w:val="4"/>
    </w:lvl>
    <w:lvl w:ilvl="1">
      <w:lvlJc w:val="left"/>
      <w:lvlText w:val="(%2)"/>
      <w:numFmt w:val="lowerLetter"/>
      <w:start w:val="6"/>
    </w:lvl>
  </w:abstractNum>
  <w:abstractNum w:abstractNumId="285">
    <w:nsid w:val="792B8401"/>
    <w:multiLevelType w:val="hybridMultilevel"/>
    <w:lvl w:ilvl="0">
      <w:lvlJc w:val="left"/>
      <w:lvlText w:val="%1."/>
      <w:numFmt w:val="decimal"/>
      <w:start w:val="9"/>
    </w:lvl>
  </w:abstractNum>
  <w:abstractNum w:abstractNumId="286">
    <w:nsid w:val="FA85F4D"/>
    <w:multiLevelType w:val="hybridMultilevel"/>
    <w:lvl w:ilvl="0">
      <w:lvlJc w:val="left"/>
      <w:lvlText w:val="(%1)"/>
      <w:numFmt w:val="lowerLetter"/>
      <w:start w:val="1"/>
    </w:lvl>
  </w:abstractNum>
  <w:abstractNum w:abstractNumId="287">
    <w:nsid w:val="6ECE91F0"/>
    <w:multiLevelType w:val="hybridMultilevel"/>
    <w:lvl w:ilvl="0">
      <w:lvlJc w:val="left"/>
      <w:lvlText w:val="(%1)"/>
      <w:numFmt w:val="lowerLetter"/>
      <w:start w:val="4"/>
    </w:lvl>
  </w:abstractNum>
  <w:abstractNum w:abstractNumId="288">
    <w:nsid w:val="4FC4D600"/>
    <w:multiLevelType w:val="hybridMultilevel"/>
    <w:lvl w:ilvl="0">
      <w:lvlJc w:val="left"/>
      <w:lvlText w:val="%1."/>
      <w:numFmt w:val="decimal"/>
      <w:start w:val="12"/>
    </w:lvl>
  </w:abstractNum>
  <w:abstractNum w:abstractNumId="289">
    <w:nsid w:val="5BFD4210"/>
    <w:multiLevelType w:val="hybridMultilevel"/>
    <w:lvl w:ilvl="0">
      <w:lvlJc w:val="left"/>
      <w:lvlText w:val="%1"/>
      <w:numFmt w:val="lowerRoman"/>
      <w:start w:val="1"/>
    </w:lvl>
    <w:lvl w:ilvl="1">
      <w:lvlJc w:val="left"/>
      <w:lvlText w:val="(%2)"/>
      <w:numFmt w:val="lowerLetter"/>
      <w:start w:val="1"/>
    </w:lvl>
  </w:abstractNum>
  <w:abstractNum w:abstractNumId="290">
    <w:nsid w:val="76574F8B"/>
    <w:multiLevelType w:val="hybridMultilevel"/>
    <w:lvl w:ilvl="0">
      <w:lvlJc w:val="left"/>
      <w:lvlText w:val="(%1)"/>
      <w:numFmt w:val="lowerRoman"/>
      <w:start w:val="7"/>
    </w:lvl>
    <w:lvl w:ilvl="1">
      <w:lvlJc w:val="left"/>
      <w:lvlText w:val="%2"/>
      <w:numFmt w:val="lowerLetter"/>
      <w:start w:val="1"/>
    </w:lvl>
  </w:abstractNum>
  <w:abstractNum w:abstractNumId="291">
    <w:nsid w:val="178F7B67"/>
    <w:multiLevelType w:val="hybridMultilevel"/>
    <w:lvl w:ilvl="0">
      <w:lvlJc w:val="left"/>
      <w:lvlText w:val="%1"/>
      <w:numFmt w:val="lowerLetter"/>
      <w:start w:val="1"/>
    </w:lvl>
    <w:lvl w:ilvl="1">
      <w:lvlJc w:val="left"/>
      <w:lvlText w:val="(%2)"/>
      <w:numFmt w:val="lowerLetter"/>
      <w:start w:val="2"/>
    </w:lvl>
  </w:abstractNum>
  <w:abstractNum w:abstractNumId="292">
    <w:nsid w:val="2421DFCF"/>
    <w:multiLevelType w:val="hybridMultilevel"/>
    <w:lvl w:ilvl="0">
      <w:lvlJc w:val="left"/>
      <w:lvlText w:val="(%1)"/>
      <w:numFmt w:val="lowerLetter"/>
      <w:start w:val="35"/>
    </w:lvl>
    <w:lvl w:ilvl="1">
      <w:lvlJc w:val="left"/>
      <w:lvlText w:val="%2"/>
      <w:numFmt w:val="lowerLetter"/>
      <w:start w:val="1"/>
    </w:lvl>
  </w:abstractNum>
  <w:abstractNum w:abstractNumId="293">
    <w:nsid w:val="1565AC99"/>
    <w:multiLevelType w:val="hybridMultilevel"/>
    <w:lvl w:ilvl="0">
      <w:lvlJc w:val="left"/>
      <w:lvlText w:val="%1."/>
      <w:numFmt w:val="decimal"/>
      <w:start w:val="13"/>
    </w:lvl>
  </w:abstractNum>
  <w:abstractNum w:abstractNumId="294">
    <w:nsid w:val="19FB2650"/>
    <w:multiLevelType w:val="hybridMultilevel"/>
    <w:lvl w:ilvl="0">
      <w:lvlJc w:val="left"/>
      <w:lvlText w:val="%1."/>
      <w:numFmt w:val="decimal"/>
      <w:start w:val="15"/>
    </w:lvl>
  </w:abstractNum>
  <w:abstractNum w:abstractNumId="295">
    <w:nsid w:val="5024DE5B"/>
    <w:multiLevelType w:val="hybridMultilevel"/>
    <w:lvl w:ilvl="0">
      <w:lvlJc w:val="left"/>
      <w:lvlText w:val="(%1)"/>
      <w:numFmt w:val="lowerLetter"/>
      <w:start w:val="1"/>
    </w:lvl>
  </w:abstractNum>
  <w:abstractNum w:abstractNumId="296">
    <w:nsid w:val="168EFE17"/>
    <w:multiLevelType w:val="hybridMultilevel"/>
    <w:lvl w:ilvl="0">
      <w:lvlJc w:val="left"/>
      <w:lvlText w:val="%1."/>
      <w:numFmt w:val="decimal"/>
      <w:start w:val="1"/>
    </w:lvl>
  </w:abstractNum>
  <w:abstractNum w:abstractNumId="297">
    <w:nsid w:val="1036B29F"/>
    <w:multiLevelType w:val="hybridMultilevel"/>
    <w:lvl w:ilvl="0">
      <w:lvlJc w:val="left"/>
      <w:lvlText w:val="%1."/>
      <w:numFmt w:val="decimal"/>
      <w:start w:val="1"/>
    </w:lvl>
  </w:abstractNum>
  <w:abstractNum w:abstractNumId="298">
    <w:nsid w:val="1D206B8E"/>
    <w:multiLevelType w:val="hybridMultilevel"/>
    <w:lvl w:ilvl="0">
      <w:lvlJc w:val="left"/>
      <w:lvlText w:val="$"/>
      <w:numFmt w:val="bullet"/>
      <w:start w:val="1"/>
    </w:lvl>
  </w:abstractNum>
  <w:abstractNum w:abstractNumId="299">
    <w:nsid w:val="7934D3D4"/>
    <w:multiLevelType w:val="hybridMultilevel"/>
    <w:lvl w:ilvl="0">
      <w:lvlJc w:val="left"/>
      <w:lvlText w:val="$"/>
      <w:numFmt w:val="bullet"/>
      <w:start w:val="1"/>
    </w:lvl>
  </w:abstractNum>
  <w:abstractNum w:abstractNumId="300">
    <w:nsid w:val="1C65E98"/>
    <w:multiLevelType w:val="hybridMultilevel"/>
    <w:lvl w:ilvl="0">
      <w:lvlJc w:val="left"/>
      <w:lvlText w:val="%1."/>
      <w:numFmt w:val="decimal"/>
      <w:start w:val="1"/>
    </w:lvl>
  </w:abstractNum>
  <w:abstractNum w:abstractNumId="301">
    <w:nsid w:val="1495E50A"/>
    <w:multiLevelType w:val="hybridMultilevel"/>
    <w:lvl w:ilvl="0">
      <w:lvlJc w:val="left"/>
      <w:lvlText w:val="%1."/>
      <w:numFmt w:val="decimal"/>
      <w:start w:val="2"/>
    </w:lvl>
  </w:abstractNum>
  <w:abstractNum w:abstractNumId="302">
    <w:nsid w:val="F5BCF61"/>
    <w:multiLevelType w:val="hybridMultilevel"/>
    <w:lvl w:ilvl="0">
      <w:lvlJc w:val="left"/>
      <w:lvlText w:val="(%1)"/>
      <w:numFmt w:val="lowerLetter"/>
      <w:start w:val="1"/>
    </w:lvl>
  </w:abstractNum>
  <w:abstractNum w:abstractNumId="303">
    <w:nsid w:val="3B1DD403"/>
    <w:multiLevelType w:val="hybridMultilevel"/>
    <w:lvl w:ilvl="0">
      <w:lvlJc w:val="left"/>
      <w:lvlText w:val="(%1)"/>
      <w:numFmt w:val="lowerLetter"/>
      <w:start w:val="2"/>
    </w:lvl>
  </w:abstractNum>
  <w:abstractNum w:abstractNumId="304">
    <w:nsid w:val="530386D1"/>
    <w:multiLevelType w:val="hybridMultilevel"/>
    <w:lvl w:ilvl="0">
      <w:lvlJc w:val="left"/>
      <w:lvlText w:val="(%1)"/>
      <w:numFmt w:val="lowerLetter"/>
      <w:start w:val="4"/>
    </w:lvl>
  </w:abstractNum>
  <w:abstractNum w:abstractNumId="305">
    <w:nsid w:val="7525F2BC"/>
    <w:multiLevelType w:val="hybridMultilevel"/>
    <w:lvl w:ilvl="0">
      <w:lvlJc w:val="left"/>
      <w:lvlText w:val="%1."/>
      <w:numFmt w:val="decimal"/>
      <w:start w:val="3"/>
    </w:lvl>
    <w:lvl w:ilvl="1">
      <w:lvlJc w:val="left"/>
      <w:lvlText w:val="(%2)"/>
      <w:numFmt w:val="lowerLetter"/>
      <w:start w:val="1"/>
    </w:lvl>
  </w:abstractNum>
  <w:abstractNum w:abstractNumId="306">
    <w:nsid w:val="CE8E1A7"/>
    <w:multiLevelType w:val="hybridMultilevel"/>
    <w:lvl w:ilvl="0">
      <w:lvlJc w:val="left"/>
      <w:lvlText w:val="(%1)"/>
      <w:numFmt w:val="lowerLetter"/>
      <w:start w:val="2"/>
    </w:lvl>
  </w:abstractNum>
  <w:abstractNum w:abstractNumId="307">
    <w:nsid w:val="4E9EFB0D"/>
    <w:multiLevelType w:val="hybridMultilevel"/>
    <w:lvl w:ilvl="0">
      <w:lvlJc w:val="left"/>
      <w:lvlText w:val="%1"/>
      <w:numFmt w:val="lowerLetter"/>
      <w:start w:val="1"/>
    </w:lvl>
    <w:lvl w:ilvl="1">
      <w:lvlJc w:val="left"/>
      <w:lvlText w:val="(%2)"/>
      <w:numFmt w:val="lowerLetter"/>
      <w:start w:val="5"/>
    </w:lvl>
  </w:abstractNum>
  <w:abstractNum w:abstractNumId="308">
    <w:nsid w:val="90802BE"/>
    <w:multiLevelType w:val="hybridMultilevel"/>
    <w:lvl w:ilvl="0">
      <w:lvlJc w:val="left"/>
      <w:lvlText w:val="(%1)"/>
      <w:numFmt w:val="lowerLetter"/>
      <w:start w:val="9"/>
    </w:lvl>
    <w:lvl w:ilvl="1">
      <w:lvlJc w:val="left"/>
      <w:lvlText w:val="(%2)"/>
      <w:numFmt w:val="lowerLetter"/>
      <w:start w:val="6"/>
    </w:lvl>
  </w:abstractNum>
  <w:abstractNum w:abstractNumId="309">
    <w:nsid w:val="3266459B"/>
    <w:multiLevelType w:val="hybridMultilevel"/>
    <w:lvl w:ilvl="0">
      <w:lvlJc w:val="left"/>
      <w:lvlText w:val="(%1)"/>
      <w:numFmt w:val="lowerLetter"/>
      <w:start w:val="9"/>
    </w:lvl>
    <w:lvl w:ilvl="1">
      <w:lvlJc w:val="left"/>
      <w:lvlText w:val="(%2)"/>
      <w:numFmt w:val="lowerLetter"/>
      <w:start w:val="35"/>
    </w:lvl>
  </w:abstractNum>
  <w:abstractNum w:abstractNumId="310">
    <w:nsid w:val="3F8B0CBF"/>
    <w:multiLevelType w:val="hybridMultilevel"/>
    <w:lvl w:ilvl="0">
      <w:lvlJc w:val="left"/>
      <w:lvlText w:val="(%1)"/>
      <w:numFmt w:val="lowerLetter"/>
      <w:start w:val="14"/>
    </w:lvl>
  </w:abstractNum>
  <w:abstractNum w:abstractNumId="311">
    <w:nsid w:val="37E203AB"/>
    <w:multiLevelType w:val="hybridMultilevel"/>
    <w:lvl w:ilvl="0">
      <w:lvlJc w:val="left"/>
      <w:lvlText w:val="%1"/>
      <w:numFmt w:val="lowerLetter"/>
      <w:start w:val="1"/>
    </w:lvl>
    <w:lvl w:ilvl="1">
      <w:lvlJc w:val="left"/>
      <w:lvlText w:val="(%2)"/>
      <w:numFmt w:val="lowerLetter"/>
      <w:start w:val="18"/>
    </w:lvl>
  </w:abstractNum>
  <w:abstractNum w:abstractNumId="312">
    <w:nsid w:val="2586D60E"/>
    <w:multiLevelType w:val="hybridMultilevel"/>
    <w:lvl w:ilvl="0">
      <w:lvlJc w:val="left"/>
      <w:lvlText w:val="(%1)"/>
      <w:numFmt w:val="lowerLetter"/>
      <w:start w:val="9"/>
    </w:lvl>
    <w:lvl w:ilvl="1">
      <w:lvlJc w:val="left"/>
      <w:lvlText w:val="(%2)"/>
      <w:numFmt w:val="lowerLetter"/>
      <w:start w:val="23"/>
    </w:lvl>
  </w:abstractNum>
  <w:abstractNum w:abstractNumId="313">
    <w:nsid w:val="1F3DA4D5"/>
    <w:multiLevelType w:val="hybridMultilevel"/>
    <w:lvl w:ilvl="0">
      <w:lvlJc w:val="left"/>
      <w:lvlText w:val="(%1)"/>
      <w:numFmt w:val="lowerLetter"/>
      <w:start w:val="24"/>
    </w:lvl>
  </w:abstractNum>
  <w:abstractNum w:abstractNumId="314">
    <w:nsid w:val="74C93698"/>
    <w:multiLevelType w:val="hybridMultilevel"/>
    <w:lvl w:ilvl="0">
      <w:lvlJc w:val="left"/>
      <w:lvlText w:val="%1"/>
      <w:numFmt w:val="lowerLetter"/>
      <w:start w:val="1"/>
    </w:lvl>
    <w:lvl w:ilvl="1">
      <w:lvlJc w:val="left"/>
      <w:lvlText w:val="(%2)"/>
      <w:numFmt w:val="lowerLetter"/>
      <w:start w:val="27"/>
    </w:lvl>
  </w:abstractNum>
  <w:abstractNum w:abstractNumId="315">
    <w:nsid w:val="48781401"/>
    <w:multiLevelType w:val="hybridMultilevel"/>
    <w:lvl w:ilvl="0">
      <w:lvlJc w:val="left"/>
      <w:lvlText w:val="(%1)"/>
      <w:numFmt w:val="lowerLetter"/>
      <w:start w:val="61"/>
    </w:lvl>
    <w:lvl w:ilvl="1">
      <w:lvlJc w:val="left"/>
      <w:lvlText w:val="%2"/>
      <w:numFmt w:val="lowerLetter"/>
      <w:start w:val="1"/>
    </w:lvl>
  </w:abstractNum>
  <w:abstractNum w:abstractNumId="316">
    <w:nsid w:val="186928D6"/>
    <w:multiLevelType w:val="hybridMultilevel"/>
    <w:lvl w:ilvl="0">
      <w:lvlJc w:val="left"/>
      <w:lvlText w:val="%1"/>
      <w:numFmt w:val="lowerLetter"/>
      <w:start w:val="1"/>
    </w:lvl>
    <w:lvl w:ilvl="1">
      <w:lvlJc w:val="left"/>
      <w:lvlText w:val="(%2)"/>
      <w:numFmt w:val="lowerLetter"/>
      <w:start w:val="29"/>
    </w:lvl>
  </w:abstractNum>
  <w:abstractNum w:abstractNumId="317">
    <w:nsid w:val="47195E5"/>
    <w:multiLevelType w:val="hybridMultilevel"/>
    <w:lvl w:ilvl="0">
      <w:lvlJc w:val="left"/>
      <w:lvlText w:val="(%1)"/>
      <w:numFmt w:val="lowerLetter"/>
      <w:start w:val="9"/>
    </w:lvl>
    <w:lvl w:ilvl="1">
      <w:lvlJc w:val="left"/>
      <w:lvlText w:val="(%2)"/>
      <w:numFmt w:val="lowerLetter"/>
      <w:start w:val="30"/>
    </w:lvl>
  </w:abstractNum>
  <w:abstractNum w:abstractNumId="318">
    <w:nsid w:val="3746A5F2"/>
    <w:multiLevelType w:val="hybridMultilevel"/>
    <w:lvl w:ilvl="0">
      <w:lvlJc w:val="left"/>
      <w:lvlText w:val="(%1)"/>
      <w:numFmt w:val="lowerLetter"/>
      <w:start w:val="61"/>
    </w:lvl>
    <w:lvl w:ilvl="1">
      <w:lvlJc w:val="left"/>
      <w:lvlText w:val="(%2)"/>
      <w:numFmt w:val="lowerLetter"/>
      <w:start w:val="31"/>
    </w:lvl>
  </w:abstractNum>
  <w:abstractNum w:abstractNumId="319">
    <w:nsid w:val="682DFED6"/>
    <w:multiLevelType w:val="hybridMultilevel"/>
    <w:lvl w:ilvl="0">
      <w:lvlJc w:val="left"/>
      <w:lvlText w:val="(%1)"/>
      <w:numFmt w:val="lowerLetter"/>
      <w:start w:val="33"/>
    </w:lvl>
  </w:abstractNum>
  <w:abstractNum w:abstractNumId="320">
    <w:nsid w:val="606ED7F6"/>
    <w:multiLevelType w:val="hybridMultilevel"/>
    <w:lvl w:ilvl="0">
      <w:lvlJc w:val="left"/>
      <w:lvlText w:val="%1"/>
      <w:numFmt w:val="decimal"/>
      <w:start w:val="1"/>
    </w:lvl>
    <w:lvl w:ilvl="1">
      <w:lvlJc w:val="left"/>
      <w:lvlText w:val="(%2)"/>
      <w:numFmt w:val="lowerLetter"/>
      <w:start w:val="41"/>
    </w:lvl>
  </w:abstractNum>
  <w:abstractNum w:abstractNumId="321">
    <w:nsid w:val="2D9DF57D"/>
    <w:multiLevelType w:val="hybridMultilevel"/>
    <w:lvl w:ilvl="0">
      <w:lvlJc w:val="left"/>
      <w:lvlText w:val="%1."/>
      <w:numFmt w:val="decimal"/>
      <w:start w:val="4"/>
    </w:lvl>
    <w:lvl w:ilvl="1">
      <w:lvlJc w:val="left"/>
      <w:lvlText w:val="(%2)"/>
      <w:numFmt w:val="lowerLetter"/>
      <w:start w:val="1"/>
    </w:lvl>
  </w:abstractNum>
  <w:abstractNum w:abstractNumId="322">
    <w:nsid w:val="7FBD7A3E"/>
    <w:multiLevelType w:val="hybridMultilevel"/>
    <w:lvl w:ilvl="0">
      <w:lvlJc w:val="left"/>
      <w:lvlText w:val="(%1)"/>
      <w:numFmt w:val="lowerLetter"/>
      <w:start w:val="7"/>
    </w:lvl>
  </w:abstractNum>
  <w:abstractNum w:abstractNumId="323">
    <w:nsid w:val="490B7C5"/>
    <w:multiLevelType w:val="hybridMultilevel"/>
    <w:lvl w:ilvl="0">
      <w:lvlJc w:val="left"/>
      <w:lvlText w:val="%1"/>
      <w:numFmt w:val="lowerRoman"/>
      <w:start w:val="1"/>
    </w:lvl>
    <w:lvl w:ilvl="1">
      <w:lvlJc w:val="left"/>
      <w:lvlText w:val="(%2)"/>
      <w:numFmt w:val="lowerLetter"/>
      <w:start w:val="11"/>
    </w:lvl>
  </w:abstractNum>
  <w:abstractNum w:abstractNumId="324">
    <w:nsid w:val="4303A216"/>
    <w:multiLevelType w:val="hybridMultilevel"/>
    <w:lvl w:ilvl="0">
      <w:lvlJc w:val="left"/>
      <w:lvlText w:val="(%1)"/>
      <w:numFmt w:val="lowerRoman"/>
      <w:start w:val="1"/>
    </w:lvl>
    <w:lvl w:ilvl="1">
      <w:lvlJc w:val="left"/>
      <w:lvlText w:val="%2"/>
      <w:numFmt w:val="lowerLetter"/>
      <w:start w:val="1"/>
    </w:lvl>
  </w:abstractNum>
  <w:abstractNum w:abstractNumId="325">
    <w:nsid w:val="19B8A08E"/>
    <w:multiLevelType w:val="hybridMultilevel"/>
    <w:lvl w:ilvl="0">
      <w:lvlJc w:val="left"/>
      <w:lvlText w:val="(%1)"/>
      <w:numFmt w:val="lowerRoman"/>
      <w:start w:val="3"/>
    </w:lvl>
    <w:lvl w:ilvl="1">
      <w:lvlJc w:val="left"/>
      <w:lvlText w:val="(%2)"/>
      <w:numFmt w:val="lowerLetter"/>
      <w:start w:val="14"/>
    </w:lvl>
  </w:abstractNum>
  <w:abstractNum w:abstractNumId="326">
    <w:nsid w:val="54B59621"/>
    <w:multiLevelType w:val="hybridMultilevel"/>
    <w:lvl w:ilvl="0">
      <w:lvlJc w:val="left"/>
      <w:lvlText w:val="(%1)"/>
      <w:numFmt w:val="lowerRoman"/>
      <w:start w:val="3"/>
    </w:lvl>
    <w:lvl w:ilvl="1">
      <w:lvlJc w:val="left"/>
      <w:lvlText w:val="(%2)"/>
      <w:numFmt w:val="lowerLetter"/>
      <w:start w:val="15"/>
    </w:lvl>
  </w:abstractNum>
  <w:abstractNum w:abstractNumId="327">
    <w:nsid w:val="5992A02E"/>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8"/>
    </w:lvl>
  </w:abstractNum>
  <w:abstractNum w:abstractNumId="328">
    <w:nsid w:val="29EF532D"/>
    <w:multiLevelType w:val="hybridMultilevel"/>
    <w:lvl w:ilvl="0">
      <w:lvlJc w:val="left"/>
      <w:lvlText w:val="%1."/>
      <w:numFmt w:val="decimal"/>
      <w:start w:val="5"/>
    </w:lvl>
    <w:lvl w:ilvl="1">
      <w:lvlJc w:val="left"/>
      <w:lvlText w:val="(%2)"/>
      <w:numFmt w:val="upperLetter"/>
    </w:lvl>
    <w:lvl w:ilvl="2">
      <w:lvlJc w:val="left"/>
      <w:lvlText w:val="(%3)"/>
      <w:numFmt w:val="lowerLetter"/>
      <w:start w:val="1"/>
    </w:lvl>
  </w:abstractNum>
  <w:abstractNum w:abstractNumId="329">
    <w:nsid w:val="71D601A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
    </w:lvl>
  </w:abstractNum>
  <w:abstractNum w:abstractNumId="330">
    <w:nsid w:val="52C77402"/>
    <w:multiLevelType w:val="hybridMultilevel"/>
    <w:lvl w:ilvl="0">
      <w:lvlJc w:val="left"/>
      <w:lvlText w:val="(%1)"/>
      <w:numFmt w:val="lowerLetter"/>
      <w:start w:val="5"/>
    </w:lvl>
  </w:abstractNum>
  <w:abstractNum w:abstractNumId="331">
    <w:nsid w:val="2BB5B1C6"/>
    <w:multiLevelType w:val="hybridMultilevel"/>
    <w:lvl w:ilvl="0">
      <w:lvlJc w:val="left"/>
      <w:lvlText w:val="(%1)"/>
      <w:numFmt w:val="lowerLetter"/>
      <w:start w:val="9"/>
    </w:lvl>
  </w:abstractNum>
  <w:abstractNum w:abstractNumId="332">
    <w:nsid w:val="66BE6B9"/>
    <w:multiLevelType w:val="hybridMultilevel"/>
    <w:lvl w:ilvl="0">
      <w:lvlJc w:val="left"/>
      <w:lvlText w:val="(%1)"/>
      <w:numFmt w:val="lowerLetter"/>
      <w:start w:val="13"/>
    </w:lvl>
  </w:abstractNum>
  <w:abstractNum w:abstractNumId="333">
    <w:nsid w:val="62234363"/>
    <w:multiLevelType w:val="hybridMultilevel"/>
    <w:lvl w:ilvl="0">
      <w:lvlJc w:val="left"/>
      <w:lvlText w:val="%1."/>
      <w:numFmt w:val="decimal"/>
      <w:start w:val="6"/>
    </w:lvl>
    <w:lvl w:ilvl="1">
      <w:lvlJc w:val="left"/>
      <w:lvlText w:val="(%2)"/>
      <w:numFmt w:val="lowerLetter"/>
      <w:start w:val="1"/>
    </w:lvl>
  </w:abstractNum>
  <w:abstractNum w:abstractNumId="334">
    <w:nsid w:val="66D385C9"/>
    <w:multiLevelType w:val="hybridMultilevel"/>
    <w:lvl w:ilvl="0">
      <w:lvlJc w:val="left"/>
      <w:lvlText w:val="(%1)"/>
      <w:numFmt w:val="lowerLetter"/>
      <w:start w:val="5"/>
    </w:lvl>
  </w:abstractNum>
  <w:abstractNum w:abstractNumId="335">
    <w:nsid w:val="596F6D8A"/>
    <w:multiLevelType w:val="hybridMultilevel"/>
    <w:lvl w:ilvl="0">
      <w:lvlJc w:val="left"/>
      <w:lvlText w:val="(%1)"/>
      <w:numFmt w:val="lowerLetter"/>
      <w:start w:val="7"/>
    </w:lvl>
  </w:abstractNum>
  <w:abstractNum w:abstractNumId="336">
    <w:nsid w:val="5749361F"/>
    <w:multiLevelType w:val="hybridMultilevel"/>
    <w:lvl w:ilvl="0">
      <w:lvlJc w:val="left"/>
      <w:lvlText w:val="(%1)"/>
      <w:numFmt w:val="lowerLetter"/>
      <w:start w:val="9"/>
    </w:lvl>
  </w:abstractNum>
  <w:abstractNum w:abstractNumId="337">
    <w:nsid w:val="73BC6770"/>
    <w:multiLevelType w:val="hybridMultilevel"/>
    <w:lvl w:ilvl="0">
      <w:lvlJc w:val="left"/>
      <w:lvlText w:val="(%1)"/>
      <w:numFmt w:val="lowerLetter"/>
      <w:start w:val="14"/>
    </w:lvl>
  </w:abstractNum>
  <w:abstractNum w:abstractNumId="338">
    <w:nsid w:val="280E6897"/>
    <w:multiLevelType w:val="hybridMultilevel"/>
    <w:lvl w:ilvl="0">
      <w:lvlJc w:val="left"/>
      <w:lvlText w:val="%1."/>
      <w:numFmt w:val="decimal"/>
      <w:start w:val="8"/>
    </w:lvl>
  </w:abstractNum>
  <w:abstractNum w:abstractNumId="339">
    <w:nsid w:val="605138DE"/>
    <w:multiLevelType w:val="hybridMultilevel"/>
    <w:lvl w:ilvl="0">
      <w:lvlJc w:val="left"/>
      <w:lvlText w:val="(%1)"/>
      <w:numFmt w:val="lowerLetter"/>
      <w:start w:val="1"/>
    </w:lvl>
  </w:abstractNum>
  <w:abstractNum w:abstractNumId="340">
    <w:nsid w:val="2622AD0C"/>
    <w:multiLevelType w:val="hybridMultilevel"/>
    <w:lvl w:ilvl="0">
      <w:lvlJc w:val="left"/>
      <w:lvlText w:val="(%1)"/>
      <w:numFmt w:val="lowerLetter"/>
      <w:start w:val="3"/>
    </w:lvl>
  </w:abstractNum>
  <w:abstractNum w:abstractNumId="341">
    <w:nsid w:val="67997556"/>
    <w:multiLevelType w:val="hybridMultilevel"/>
    <w:lvl w:ilvl="0">
      <w:lvlJc w:val="left"/>
      <w:lvlText w:val="(%1)"/>
      <w:numFmt w:val="lowerLetter"/>
      <w:start w:val="4"/>
    </w:lvl>
  </w:abstractNum>
  <w:abstractNum w:abstractNumId="342">
    <w:nsid w:val="18333C89"/>
    <w:multiLevelType w:val="hybridMultilevel"/>
    <w:lvl w:ilvl="0">
      <w:lvlJc w:val="left"/>
      <w:lvlText w:val="%1"/>
      <w:numFmt w:val="lowerLetter"/>
      <w:start w:val="1"/>
    </w:lvl>
    <w:lvl w:ilvl="1">
      <w:lvlJc w:val="left"/>
      <w:lvlText w:val="(%2)"/>
      <w:numFmt w:val="lowerLetter"/>
      <w:start w:val="5"/>
    </w:lvl>
  </w:abstractNum>
  <w:abstractNum w:abstractNumId="343">
    <w:nsid w:val="4BA9831A"/>
    <w:multiLevelType w:val="hybridMultilevel"/>
    <w:lvl w:ilvl="0">
      <w:lvlJc w:val="left"/>
      <w:lvlText w:val="(%1)"/>
      <w:numFmt w:val="lowerLetter"/>
      <w:start w:val="4"/>
    </w:lvl>
    <w:lvl w:ilvl="1">
      <w:lvlJc w:val="left"/>
      <w:lvlText w:val="(%2)"/>
      <w:numFmt w:val="lowerLetter"/>
      <w:start w:val="6"/>
    </w:lvl>
  </w:abstractNum>
  <w:abstractNum w:abstractNumId="344">
    <w:nsid w:val="6D71A2B"/>
    <w:multiLevelType w:val="hybridMultilevel"/>
    <w:lvl w:ilvl="0">
      <w:lvlJc w:val="left"/>
      <w:lvlText w:val="%1."/>
      <w:numFmt w:val="decimal"/>
      <w:start w:val="9"/>
    </w:lvl>
  </w:abstractNum>
  <w:abstractNum w:abstractNumId="345">
    <w:nsid w:val="CFC7321"/>
    <w:multiLevelType w:val="hybridMultilevel"/>
    <w:lvl w:ilvl="0">
      <w:lvlJc w:val="left"/>
      <w:lvlText w:val="(%1)"/>
      <w:numFmt w:val="lowerLetter"/>
      <w:start w:val="1"/>
    </w:lvl>
  </w:abstractNum>
  <w:abstractNum w:abstractNumId="346">
    <w:nsid w:val="1421971B"/>
    <w:multiLevelType w:val="hybridMultilevel"/>
    <w:lvl w:ilvl="0">
      <w:lvlJc w:val="left"/>
      <w:lvlText w:val="(%1)"/>
      <w:numFmt w:val="lowerLetter"/>
      <w:start w:val="2"/>
    </w:lvl>
  </w:abstractNum>
  <w:abstractNum w:abstractNumId="347">
    <w:nsid w:val="1F404301"/>
    <w:multiLevelType w:val="hybridMultilevel"/>
    <w:lvl w:ilvl="0">
      <w:lvlJc w:val="left"/>
      <w:lvlText w:val="%1."/>
      <w:numFmt w:val="decimal"/>
      <w:start w:val="12"/>
    </w:lvl>
  </w:abstractNum>
  <w:abstractNum w:abstractNumId="348">
    <w:nsid w:val="116E0907"/>
    <w:multiLevelType w:val="hybridMultilevel"/>
    <w:lvl w:ilvl="0">
      <w:lvlJc w:val="left"/>
      <w:lvlText w:val="%1"/>
      <w:numFmt w:val="lowerRoman"/>
      <w:start w:val="1"/>
    </w:lvl>
    <w:lvl w:ilvl="1">
      <w:lvlJc w:val="left"/>
      <w:lvlText w:val="(%2)"/>
      <w:numFmt w:val="lowerLetter"/>
      <w:start w:val="1"/>
    </w:lvl>
  </w:abstractNum>
  <w:abstractNum w:abstractNumId="349">
    <w:nsid w:val="4B683D0D"/>
    <w:multiLevelType w:val="hybridMultilevel"/>
    <w:lvl w:ilvl="0">
      <w:lvlJc w:val="left"/>
      <w:lvlText w:val="(%1)"/>
      <w:numFmt w:val="lowerRoman"/>
      <w:start w:val="6"/>
    </w:lvl>
    <w:lvl w:ilvl="1">
      <w:lvlJc w:val="left"/>
      <w:lvlText w:val="%2"/>
      <w:numFmt w:val="lowerLetter"/>
      <w:start w:val="1"/>
    </w:lvl>
  </w:abstractNum>
  <w:abstractNum w:abstractNumId="350">
    <w:nsid w:val="76E41D8"/>
    <w:multiLevelType w:val="hybridMultilevel"/>
    <w:lvl w:ilvl="0">
      <w:lvlJc w:val="left"/>
      <w:lvlText w:val="%1"/>
      <w:numFmt w:val="lowerLetter"/>
      <w:start w:val="1"/>
    </w:lvl>
    <w:lvl w:ilvl="1">
      <w:lvlJc w:val="left"/>
      <w:lvlText w:val="(%2)"/>
      <w:numFmt w:val="lowerLetter"/>
      <w:start w:val="2"/>
    </w:lvl>
  </w:abstractNum>
  <w:abstractNum w:abstractNumId="351">
    <w:nsid w:val="71DCE0FD"/>
    <w:multiLevelType w:val="hybridMultilevel"/>
    <w:lvl w:ilvl="0">
      <w:lvlJc w:val="left"/>
      <w:lvlText w:val="(%1)"/>
      <w:numFmt w:val="lowerLetter"/>
      <w:start w:val="35"/>
    </w:lvl>
    <w:lvl w:ilvl="1">
      <w:lvlJc w:val="left"/>
      <w:lvlText w:val="%2"/>
      <w:numFmt w:val="lowerLetter"/>
      <w:start w:val="1"/>
    </w:lvl>
  </w:abstractNum>
  <w:abstractNum w:abstractNumId="352">
    <w:nsid w:val="7906328B"/>
    <w:multiLevelType w:val="hybridMultilevel"/>
    <w:lvl w:ilvl="0">
      <w:lvlJc w:val="left"/>
      <w:lvlText w:val="%1."/>
      <w:numFmt w:val="decimal"/>
      <w:start w:val="13"/>
    </w:lvl>
  </w:abstractNum>
  <w:abstractNum w:abstractNumId="353">
    <w:nsid w:val="72BBC16"/>
    <w:multiLevelType w:val="hybridMultilevel"/>
    <w:lvl w:ilvl="0">
      <w:lvlJc w:val="left"/>
      <w:lvlText w:val="(%1)"/>
      <w:numFmt w:val="lowerLetter"/>
      <w:start w:val="1"/>
    </w:lvl>
  </w:abstractNum>
  <w:abstractNum w:abstractNumId="354">
    <w:nsid w:val="766D98C2"/>
    <w:multiLevelType w:val="hybridMultilevel"/>
    <w:lvl w:ilvl="0">
      <w:lvlJc w:val="left"/>
      <w:lvlText w:val="(%1)"/>
      <w:numFmt w:val="lowerLetter"/>
      <w:start w:val="3"/>
    </w:lvl>
  </w:abstractNum>
  <w:abstractNum w:abstractNumId="355">
    <w:nsid w:val="3C09D4A1"/>
    <w:multiLevelType w:val="hybridMultilevel"/>
    <w:lvl w:ilvl="0">
      <w:lvlJc w:val="left"/>
      <w:lvlText w:val="%1."/>
      <w:numFmt w:val="decimal"/>
      <w:start w:val="1"/>
    </w:lvl>
  </w:abstractNum>
  <w:abstractNum w:abstractNumId="356">
    <w:nsid w:val="20E45CA4"/>
    <w:multiLevelType w:val="hybridMultilevel"/>
    <w:lvl w:ilvl="0">
      <w:lvlJc w:val="left"/>
      <w:lvlText w:val="%1."/>
      <w:numFmt w:val="decimal"/>
      <w:start w:val="2"/>
    </w:lvl>
  </w:abstractNum>
  <w:abstractNum w:abstractNumId="357">
    <w:nsid w:val="4B232EE3"/>
    <w:multiLevelType w:val="hybridMultilevel"/>
    <w:lvl w:ilvl="0">
      <w:lvlJc w:val="left"/>
      <w:lvlText w:val="%1."/>
      <w:numFmt w:val="decimal"/>
      <w:start w:val="7"/>
    </w:lvl>
  </w:abstractNum>
  <w:abstractNum w:abstractNumId="358">
    <w:nsid w:val="159C74CF"/>
    <w:multiLevelType w:val="hybridMultilevel"/>
    <w:lvl w:ilvl="0">
      <w:lvlJc w:val="left"/>
      <w:lvlText w:val="(%1)"/>
      <w:numFmt w:val="lowerLetter"/>
      <w:start w:val="1"/>
    </w:lvl>
  </w:abstractNum>
  <w:abstractNum w:abstractNumId="359">
    <w:nsid w:val="4AD3AFD2"/>
    <w:multiLevelType w:val="hybridMultilevel"/>
    <w:lvl w:ilvl="0">
      <w:lvlJc w:val="left"/>
      <w:lvlText w:val="%1."/>
      <w:numFmt w:val="decimal"/>
      <w:start w:val="1"/>
    </w:lvl>
  </w:abstractNum>
  <w:abstractNum w:abstractNumId="360">
    <w:nsid w:val="3CF93092"/>
    <w:multiLevelType w:val="hybridMultilevel"/>
    <w:lvl w:ilvl="0">
      <w:lvlJc w:val="left"/>
      <w:lvlText w:val="•"/>
      <w:numFmt w:val="bullet"/>
      <w:start w:val="1"/>
    </w:lvl>
  </w:abstractNum>
  <w:abstractNum w:abstractNumId="361">
    <w:nsid w:val="6863E8D2"/>
    <w:multiLevelType w:val="hybridMultilevel"/>
    <w:lvl w:ilvl="0">
      <w:lvlJc w:val="left"/>
      <w:lvlText w:val="•"/>
      <w:numFmt w:val="bullet"/>
      <w:start w:val="1"/>
    </w:lvl>
  </w:abstractNum>
  <w:abstractNum w:abstractNumId="362">
    <w:nsid w:val="7689619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2019-12-08T23:16:52Z</dcterms:created>
  <dcterms:modified xsi:type="dcterms:W3CDTF">2019-12-08T23:16:52Z</dcterms:modified>
</cp:coreProperties>
</file>