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124460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118"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76"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TICC CAPITAL CORP.</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7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80" w:right="180" w:hanging="472"/>
        <w:spacing w:after="0" w:line="306"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-2857500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-2566035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-2136775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-1845310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-1553845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-721995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-430530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152400</wp:posOffset>
            </wp:positionV>
            <wp:extent cx="6663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368" w:right="4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August 30, 2016, TPG Specialty Lending, Inc. issued the following press release:</w:t>
      </w:r>
    </w:p>
    <w:p>
      <w:pPr>
        <w:spacing w:after="0" w:line="22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TPG Specialty Lending, Inc. Urges TICC Capital Corp. Stockholders to Vote the Gold Proxy Card Today to End a Decade of Failed Management and Seize the Opportunity for Significantly Improved Returns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Vote on the GOLD Card is a Vote to End a Decade of Failed Returns and Abusive Governance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One Single Third Party Proxy Advisor Has Recommended Voting With Management</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TSLX Encourages TICC Stockholders to Vote the GOLD Proxy Card to Terminate TICC’s External Adviser’s Advisory Contract and to Elect T. Kelley Millet to the TICC Board of Directors at the 2016 Annual Meeting on September 2, 2016</w:t>
      </w:r>
    </w:p>
    <w:p>
      <w:pPr>
        <w:spacing w:after="0" w:line="17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 xml:space="preserve">NEW YORK—(BUSINESS WIRE)—TPG Specialty Lending, Inc. (“TSLX”; NYSE:TSLX), a specialty finance company focused on lending to middle-market companies, today published a public letter to TICC Capital Corp. (“TICC”; NASDAQ:TICC) stockholders, encouraging them to vote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ahead of TICC’s 2016 annual meeting scheduled for this Friday, September 2, 2016.</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TSLX strongly encourages stockholders to sign and return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today. </w:t>
      </w:r>
      <w:r>
        <w:rPr>
          <w:rFonts w:ascii="Arial" w:cs="Arial" w:eastAsia="Arial" w:hAnsi="Arial"/>
          <w:sz w:val="18"/>
          <w:szCs w:val="18"/>
          <w:b w:val="1"/>
          <w:bCs w:val="1"/>
          <w:color w:val="auto"/>
        </w:rPr>
        <w:t>Even if a WHITE card has been submitted, stockholders can still</w:t>
      </w:r>
      <w:r>
        <w:rPr>
          <w:rFonts w:ascii="Arial" w:cs="Arial" w:eastAsia="Arial" w:hAnsi="Arial"/>
          <w:sz w:val="18"/>
          <w:szCs w:val="18"/>
          <w:color w:val="auto"/>
        </w:rPr>
        <w:t xml:space="preserve"> </w:t>
      </w:r>
      <w:r>
        <w:rPr>
          <w:rFonts w:ascii="Arial" w:cs="Arial" w:eastAsia="Arial" w:hAnsi="Arial"/>
          <w:sz w:val="18"/>
          <w:szCs w:val="18"/>
          <w:b w:val="1"/>
          <w:bCs w:val="1"/>
          <w:color w:val="auto"/>
        </w:rPr>
        <w:t>change their vote, simply by signing and returning the GOLD proxy card now.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Voting instructions and TSLX’s proxy materials are also available through the SEC’s website and at www.changeTICCnow.com.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TICC Stockholders,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TIME IS RUNNING OUT. </w:t>
      </w:r>
      <w:r>
        <w:rPr>
          <w:rFonts w:ascii="Arial" w:cs="Arial" w:eastAsia="Arial" w:hAnsi="Arial"/>
          <w:sz w:val="18"/>
          <w:szCs w:val="18"/>
          <w:b w:val="1"/>
          <w:bCs w:val="1"/>
          <w:color w:val="auto"/>
        </w:rPr>
        <w:t>You must act now to seize on the opportunity to finally end the failed performance of the external adviser of TICC Capital</w:t>
      </w:r>
      <w:r>
        <w:rPr>
          <w:rFonts w:ascii="Arial" w:cs="Arial" w:eastAsia="Arial" w:hAnsi="Arial"/>
          <w:sz w:val="18"/>
          <w:szCs w:val="18"/>
          <w:color w:val="auto"/>
        </w:rPr>
        <w:t xml:space="preserve"> </w:t>
      </w:r>
      <w:r>
        <w:rPr>
          <w:rFonts w:ascii="Arial" w:cs="Arial" w:eastAsia="Arial" w:hAnsi="Arial"/>
          <w:sz w:val="18"/>
          <w:szCs w:val="18"/>
          <w:b w:val="1"/>
          <w:bCs w:val="1"/>
          <w:color w:val="auto"/>
        </w:rPr>
        <w:t>Corp. (“TICC” or the “Company”).</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Listen to the outside proxy advisors. Do not listen to management’s self-interested arguments. All three leading proxy advisory firms have called for TICC stockholders to support TSLX’s campaign for change at TICC.</w:t>
      </w:r>
    </w:p>
    <w:p>
      <w:pPr>
        <w:spacing w:after="0" w:line="193" w:lineRule="exact"/>
        <w:rPr>
          <w:sz w:val="20"/>
          <w:szCs w:val="20"/>
          <w:color w:val="auto"/>
        </w:rPr>
      </w:pPr>
    </w:p>
    <w:p>
      <w:pPr>
        <w:ind w:left="900" w:right="400" w:hanging="325"/>
        <w:spacing w:after="0" w:line="26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“As a result of the current advisor’s investment strategy, </w:t>
      </w:r>
      <w:r>
        <w:rPr>
          <w:rFonts w:ascii="Arial" w:cs="Arial" w:eastAsia="Arial" w:hAnsi="Arial"/>
          <w:sz w:val="18"/>
          <w:szCs w:val="18"/>
          <w:b w:val="1"/>
          <w:bCs w:val="1"/>
          <w:color w:val="auto"/>
        </w:rPr>
        <w:t>TICC has delivered negative [Total Shareholder Return] and underperformed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peers and the index over the past five years </w:t>
      </w:r>
      <w:r>
        <w:rPr>
          <w:rFonts w:ascii="Arial" w:cs="Arial" w:eastAsia="Arial" w:hAnsi="Arial"/>
          <w:sz w:val="18"/>
          <w:szCs w:val="18"/>
          <w:color w:val="auto"/>
        </w:rPr>
        <w:t>. . . As such, terminating the current advisor appears to be in the best interest of TICC</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w:t>
      </w:r>
      <w:r>
        <w:rPr>
          <w:rFonts w:ascii="Arial" w:cs="Arial" w:eastAsia="Arial" w:hAnsi="Arial"/>
          <w:sz w:val="18"/>
          <w:szCs w:val="18"/>
          <w:i w:val="1"/>
          <w:iCs w:val="1"/>
          <w:color w:val="auto"/>
        </w:rPr>
        <w:t>ISS proxy advisory report, Aug. 17, 2016</w:t>
      </w:r>
    </w:p>
    <w:p>
      <w:pPr>
        <w:spacing w:after="0" w:line="203" w:lineRule="exact"/>
        <w:rPr>
          <w:rFonts w:ascii="Arial" w:cs="Arial" w:eastAsia="Arial" w:hAnsi="Arial"/>
          <w:sz w:val="18"/>
          <w:szCs w:val="18"/>
          <w:color w:val="auto"/>
        </w:rPr>
      </w:pPr>
    </w:p>
    <w:p>
      <w:pPr>
        <w:ind w:left="900" w:right="80" w:hanging="325"/>
        <w:spacing w:after="0" w:line="261"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“[W]e see little reason for investors to support retention of the [a]dviser at this time . . . </w:t>
      </w:r>
      <w:r>
        <w:rPr>
          <w:rFonts w:ascii="Arial" w:cs="Arial" w:eastAsia="Arial" w:hAnsi="Arial"/>
          <w:sz w:val="18"/>
          <w:szCs w:val="18"/>
          <w:b w:val="1"/>
          <w:bCs w:val="1"/>
          <w:color w:val="auto"/>
        </w:rPr>
        <w:t>[O]perating under the [a]dviser’s guidance [TICC]</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has consistently posted laggard returns relative to its BDC peers . . . and dramatically eroded the Company’s [Net Asset Value (“NAV”)] </w:t>
      </w:r>
      <w:r>
        <w:rPr>
          <w:rFonts w:ascii="Arial" w:cs="Arial" w:eastAsia="Arial" w:hAnsi="Arial"/>
          <w:sz w:val="18"/>
          <w:szCs w:val="18"/>
          <w:color w:val="auto"/>
        </w:rPr>
        <w:t xml:space="preserve">through a cumbersome strategic shift and a mathematically unsupportable distribution program.” </w:t>
      </w:r>
      <w:r>
        <w:rPr>
          <w:rFonts w:ascii="Arial" w:cs="Arial" w:eastAsia="Arial" w:hAnsi="Arial"/>
          <w:sz w:val="18"/>
          <w:szCs w:val="18"/>
          <w:i w:val="1"/>
          <w:iCs w:val="1"/>
          <w:color w:val="auto"/>
        </w:rPr>
        <w:t>–Glass Lewis proxy advisory report, Aug. 19,</w:t>
      </w:r>
      <w:r>
        <w:rPr>
          <w:rFonts w:ascii="Arial" w:cs="Arial" w:eastAsia="Arial" w:hAnsi="Arial"/>
          <w:sz w:val="18"/>
          <w:szCs w:val="18"/>
          <w:color w:val="auto"/>
        </w:rPr>
        <w:t xml:space="preserve"> </w:t>
      </w:r>
      <w:r>
        <w:rPr>
          <w:rFonts w:ascii="Arial" w:cs="Arial" w:eastAsia="Arial" w:hAnsi="Arial"/>
          <w:sz w:val="18"/>
          <w:szCs w:val="18"/>
          <w:i w:val="1"/>
          <w:iCs w:val="1"/>
          <w:color w:val="auto"/>
        </w:rPr>
        <w:t>2016</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“Ms. Pankopf is part and parcel of an intractably stagnant board room that has not changed a single sitting member since TICC’s listing in 2003. .</w:t>
      </w:r>
    </w:p>
    <w:p>
      <w:pPr>
        <w:spacing w:after="0" w:line="46" w:lineRule="exact"/>
        <w:rPr>
          <w:rFonts w:ascii="Arial" w:cs="Arial" w:eastAsia="Arial" w:hAnsi="Arial"/>
          <w:sz w:val="16"/>
          <w:szCs w:val="16"/>
          <w:color w:val="auto"/>
        </w:rPr>
      </w:pPr>
    </w:p>
    <w:p>
      <w:pPr>
        <w:ind w:left="900" w:right="62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 [W]e would thus </w:t>
      </w:r>
      <w:r>
        <w:rPr>
          <w:rFonts w:ascii="Arial" w:cs="Arial" w:eastAsia="Arial" w:hAnsi="Arial"/>
          <w:sz w:val="18"/>
          <w:szCs w:val="18"/>
          <w:b w:val="1"/>
          <w:bCs w:val="1"/>
          <w:color w:val="auto"/>
        </w:rPr>
        <w:t>argue it is entirely reasonable for investors to now hold Ms. Pankopf directly accountable for TICC’s persistent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underperformance </w:t>
      </w:r>
      <w:r>
        <w:rPr>
          <w:rFonts w:ascii="Arial" w:cs="Arial" w:eastAsia="Arial" w:hAnsi="Arial"/>
          <w:sz w:val="18"/>
          <w:szCs w:val="18"/>
          <w:color w:val="auto"/>
        </w:rPr>
        <w:t>. .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–Glass Lewis proxy advisory report, Aug. 19, 2016</w:t>
      </w:r>
    </w:p>
    <w:p>
      <w:pPr>
        <w:spacing w:after="0" w:line="206" w:lineRule="exact"/>
        <w:rPr>
          <w:rFonts w:ascii="Arial" w:cs="Arial" w:eastAsia="Arial" w:hAnsi="Arial"/>
          <w:sz w:val="16"/>
          <w:szCs w:val="16"/>
          <w:color w:val="auto"/>
        </w:rPr>
      </w:pPr>
    </w:p>
    <w:p>
      <w:pPr>
        <w:ind w:left="900" w:right="120" w:hanging="325"/>
        <w:spacing w:after="0" w:line="282"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“We believe </w:t>
      </w:r>
      <w:r>
        <w:rPr>
          <w:rFonts w:ascii="Arial" w:cs="Arial" w:eastAsia="Arial" w:hAnsi="Arial"/>
          <w:sz w:val="18"/>
          <w:szCs w:val="18"/>
          <w:b w:val="1"/>
          <w:bCs w:val="1"/>
          <w:color w:val="auto"/>
        </w:rPr>
        <w:t>that T. Kelley Millet would bring new perspective and ideas to the Board</w:t>
      </w:r>
      <w:r>
        <w:rPr>
          <w:rFonts w:ascii="Arial" w:cs="Arial" w:eastAsia="Arial" w:hAnsi="Arial"/>
          <w:sz w:val="18"/>
          <w:szCs w:val="18"/>
          <w:color w:val="auto"/>
        </w:rPr>
        <w:t xml:space="preserve"> given his level of industry expertise, public company experience and diversity.” </w:t>
      </w:r>
      <w:r>
        <w:rPr>
          <w:rFonts w:ascii="Arial" w:cs="Arial" w:eastAsia="Arial" w:hAnsi="Arial"/>
          <w:sz w:val="18"/>
          <w:szCs w:val="18"/>
          <w:i w:val="1"/>
          <w:iCs w:val="1"/>
          <w:color w:val="auto"/>
        </w:rPr>
        <w:t>–Egan-Jones proxy advisory report, Aug. 23,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vote on the GOLD proxy card is a vote to end…</w:t>
      </w:r>
    </w:p>
    <w:p>
      <w:pPr>
        <w:spacing w:after="0" w:line="248"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 Decade of Failed Returns</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Since its IPO in 2003, TICC has underperformed the BDC Composite by 183%</w:t>
      </w:r>
      <w:r>
        <w:rPr>
          <w:rFonts w:ascii="Arial" w:cs="Arial" w:eastAsia="Arial" w:hAnsi="Arial"/>
          <w:sz w:val="15"/>
          <w:szCs w:val="15"/>
          <w:color w:val="auto"/>
        </w:rPr>
        <w:t>1</w:t>
      </w:r>
      <w:r>
        <w:rPr>
          <w:rFonts w:ascii="Arial" w:cs="Arial" w:eastAsia="Arial" w:hAnsi="Arial"/>
          <w:sz w:val="18"/>
          <w:szCs w:val="18"/>
          <w:color w:val="auto"/>
        </w:rPr>
        <w:t xml:space="preserve"> while NAV per share has declined 52%.</w:t>
      </w:r>
      <w:r>
        <w:rPr>
          <w:rFonts w:ascii="Arial" w:cs="Arial" w:eastAsia="Arial" w:hAnsi="Arial"/>
          <w:sz w:val="15"/>
          <w:szCs w:val="15"/>
          <w:color w:val="auto"/>
        </w:rPr>
        <w:t>2</w:t>
      </w:r>
    </w:p>
    <w:p>
      <w:pPr>
        <w:spacing w:after="0" w:line="235"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The Collection of Millions in Fees from Stockholders Amid this Underperformance</w:t>
      </w:r>
    </w:p>
    <w:p>
      <w:pPr>
        <w:spacing w:after="0" w:line="27" w:lineRule="exact"/>
        <w:rPr>
          <w:sz w:val="20"/>
          <w:szCs w:val="20"/>
          <w:color w:val="auto"/>
        </w:rPr>
      </w:pPr>
    </w:p>
    <w:p>
      <w:pPr>
        <w:jc w:val="both"/>
        <w:ind w:left="920" w:right="120"/>
        <w:spacing w:after="0" w:line="250" w:lineRule="auto"/>
        <w:rPr>
          <w:sz w:val="20"/>
          <w:szCs w:val="20"/>
          <w:color w:val="auto"/>
        </w:rPr>
      </w:pPr>
      <w:r>
        <w:rPr>
          <w:rFonts w:ascii="Arial" w:cs="Arial" w:eastAsia="Arial" w:hAnsi="Arial"/>
          <w:sz w:val="18"/>
          <w:szCs w:val="18"/>
          <w:color w:val="auto"/>
        </w:rPr>
        <w:t>Despite the Company’s history of continued underperformance, the external adviser has collected more than $141.4 million in management and incentive fees from stockholders’ investment since inception under a fee structure that is approximately 265%</w:t>
      </w:r>
      <w:r>
        <w:rPr>
          <w:rFonts w:ascii="Arial" w:cs="Arial" w:eastAsia="Arial" w:hAnsi="Arial"/>
          <w:sz w:val="15"/>
          <w:szCs w:val="15"/>
          <w:color w:val="auto"/>
        </w:rPr>
        <w:t>3</w:t>
      </w:r>
      <w:r>
        <w:rPr>
          <w:rFonts w:ascii="Arial" w:cs="Arial" w:eastAsia="Arial" w:hAnsi="Arial"/>
          <w:sz w:val="18"/>
          <w:szCs w:val="18"/>
          <w:color w:val="auto"/>
        </w:rPr>
        <w:t xml:space="preserve"> higher than its most comparable peer.</w:t>
      </w:r>
      <w:r>
        <w:rPr>
          <w:rFonts w:ascii="Arial" w:cs="Arial" w:eastAsia="Arial" w:hAnsi="Arial"/>
          <w:sz w:val="15"/>
          <w:szCs w:val="15"/>
          <w:color w:val="auto"/>
        </w:rPr>
        <w:t>4</w:t>
      </w:r>
    </w:p>
    <w:p>
      <w:pPr>
        <w:spacing w:after="0" w:line="1" w:lineRule="exact"/>
        <w:rPr>
          <w:sz w:val="20"/>
          <w:szCs w:val="20"/>
          <w:color w:val="auto"/>
        </w:rPr>
      </w:pPr>
    </w:p>
    <w:p>
      <w:pPr>
        <w:ind w:left="1920" w:right="140" w:hanging="324"/>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TICC collected a $1.2 million incentive fee for its performance last quarter, a quarter in which the Company realized $7.3</w:t>
      </w:r>
      <w:r>
        <w:rPr>
          <w:rFonts w:ascii="Arial" w:cs="Arial" w:eastAsia="Arial" w:hAnsi="Arial"/>
          <w:sz w:val="18"/>
          <w:szCs w:val="18"/>
          <w:color w:val="auto"/>
        </w:rPr>
        <w:t xml:space="preserve"> </w:t>
      </w:r>
      <w:r>
        <w:rPr>
          <w:rFonts w:ascii="Arial" w:cs="Arial" w:eastAsia="Arial" w:hAnsi="Arial"/>
          <w:sz w:val="18"/>
          <w:szCs w:val="18"/>
          <w:b w:val="1"/>
          <w:bCs w:val="1"/>
          <w:color w:val="auto"/>
        </w:rPr>
        <w:t>million in losses.</w:t>
      </w:r>
      <w:r>
        <w:rPr>
          <w:rFonts w:ascii="Arial" w:cs="Arial" w:eastAsia="Arial" w:hAnsi="Arial"/>
          <w:sz w:val="15"/>
          <w:szCs w:val="15"/>
          <w:color w:val="auto"/>
        </w:rPr>
        <w:t>5</w:t>
      </w:r>
    </w:p>
    <w:p>
      <w:pPr>
        <w:sectPr>
          <w:pgSz w:w="11900" w:h="16838" w:orient="portrait"/>
          <w:cols w:equalWidth="0" w:num="1">
            <w:col w:w="11380"/>
          </w:cols>
          <w:pgMar w:left="240" w:top="274" w:right="279" w:bottom="1440" w:gutter="0" w:footer="0" w:header="0"/>
        </w:sectPr>
      </w:pPr>
    </w:p>
    <w:bookmarkStart w:id="2" w:name="page3"/>
    <w:bookmarkEnd w:id="2"/>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Inadequate Governance Practices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Board has consistently demonstrated an interest in helping itself instead of delivering true value for stockholders. This includes:</w:t>
      </w:r>
    </w:p>
    <w:p>
      <w:pPr>
        <w:spacing w:after="0" w:line="9" w:lineRule="exact"/>
        <w:rPr>
          <w:sz w:val="20"/>
          <w:szCs w:val="20"/>
          <w:color w:val="auto"/>
        </w:rPr>
      </w:pPr>
    </w:p>
    <w:p>
      <w:pPr>
        <w:ind w:left="1920" w:right="920" w:hanging="324"/>
        <w:spacing w:after="0" w:line="250" w:lineRule="auto"/>
        <w:rPr>
          <w:sz w:val="20"/>
          <w:szCs w:val="20"/>
          <w:color w:val="auto"/>
        </w:rPr>
      </w:pPr>
      <w:r>
        <w:rPr>
          <w:rFonts w:ascii="Arial" w:cs="Arial" w:eastAsia="Arial" w:hAnsi="Arial"/>
          <w:sz w:val="18"/>
          <w:szCs w:val="18"/>
          <w:color w:val="auto"/>
        </w:rPr>
        <w:t>– Unprecedented delays in the scheduling of its 2016 annual meeting relative to prior years, at a time when insiders were accumulating 1.8 million shares</w:t>
      </w:r>
    </w:p>
    <w:p>
      <w:pPr>
        <w:ind w:left="1920" w:right="340" w:hanging="324"/>
        <w:spacing w:after="0" w:line="250" w:lineRule="auto"/>
        <w:rPr>
          <w:sz w:val="20"/>
          <w:szCs w:val="20"/>
          <w:color w:val="auto"/>
        </w:rPr>
      </w:pPr>
      <w:r>
        <w:rPr>
          <w:rFonts w:ascii="Arial" w:cs="Arial" w:eastAsia="Arial" w:hAnsi="Arial"/>
          <w:sz w:val="18"/>
          <w:szCs w:val="18"/>
          <w:color w:val="auto"/>
        </w:rPr>
        <w:t>– Inadequate disclosure in a conflicted transaction, which led a federal judge to find that TICC likely violated securities laws and misled stockholders</w:t>
      </w:r>
    </w:p>
    <w:p>
      <w:pPr>
        <w:ind w:left="1600"/>
        <w:spacing w:after="0"/>
        <w:rPr>
          <w:sz w:val="20"/>
          <w:szCs w:val="20"/>
          <w:color w:val="auto"/>
        </w:rPr>
      </w:pPr>
      <w:r>
        <w:rPr>
          <w:rFonts w:ascii="Arial" w:cs="Arial" w:eastAsia="Arial" w:hAnsi="Arial"/>
          <w:sz w:val="18"/>
          <w:szCs w:val="18"/>
          <w:color w:val="auto"/>
        </w:rPr>
        <w:t>–   The failure to add even one independent, experienced director to the Board over the past 13+ years</w:t>
      </w:r>
    </w:p>
    <w:p>
      <w:pPr>
        <w:spacing w:after="0" w:line="20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IT IS NOT TOO LATE TO CAST YOUR VOTE! SIGN AND RETURN THE GOLD CARD TODAY TO SUBMIT YOUR SUPPORT FOR TSLX’S PROPOSAL TO TERMINATE THE EXISTING ADVISORY AGREEMENT AND TO ELECT TSLX’S NOMINEE, T. KELLEY MILLET. </w:t>
      </w:r>
      <w:r>
        <w:rPr>
          <w:rFonts w:ascii="Arial" w:cs="Arial" w:eastAsia="Arial" w:hAnsi="Arial"/>
          <w:sz w:val="18"/>
          <w:szCs w:val="18"/>
          <w:color w:val="auto"/>
        </w:rPr>
        <w:t>Even if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you have already submitted a WHITE card, </w:t>
      </w:r>
      <w:r>
        <w:rPr>
          <w:rFonts w:ascii="Arial" w:cs="Arial" w:eastAsia="Arial" w:hAnsi="Arial"/>
          <w:sz w:val="18"/>
          <w:szCs w:val="18"/>
          <w:b w:val="1"/>
          <w:bCs w:val="1"/>
          <w:color w:val="auto"/>
        </w:rPr>
        <w:t>you can still change your vote by simply signing and returning the GOLD proxy card now.</w:t>
      </w:r>
    </w:p>
    <w:p>
      <w:pPr>
        <w:spacing w:after="0" w:line="17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color w:val="auto"/>
        </w:rPr>
        <w:t xml:space="preserve">Stockholders, </w:t>
      </w:r>
      <w:r>
        <w:rPr>
          <w:rFonts w:ascii="Arial" w:cs="Arial" w:eastAsia="Arial" w:hAnsi="Arial"/>
          <w:sz w:val="18"/>
          <w:szCs w:val="18"/>
          <w:b w:val="1"/>
          <w:bCs w:val="1"/>
          <w:color w:val="auto"/>
        </w:rPr>
        <w:t>YOU</w:t>
      </w:r>
      <w:r>
        <w:rPr>
          <w:rFonts w:ascii="Arial" w:cs="Arial" w:eastAsia="Arial" w:hAnsi="Arial"/>
          <w:sz w:val="18"/>
          <w:szCs w:val="18"/>
          <w:color w:val="auto"/>
        </w:rPr>
        <w:t xml:space="preserve"> have the power to effect change at TICC and protect your investment. </w:t>
      </w:r>
      <w:r>
        <w:rPr>
          <w:rFonts w:ascii="Arial" w:cs="Arial" w:eastAsia="Arial" w:hAnsi="Arial"/>
          <w:sz w:val="18"/>
          <w:szCs w:val="18"/>
          <w:b w:val="1"/>
          <w:bCs w:val="1"/>
          <w:color w:val="auto"/>
        </w:rPr>
        <w:t>YOU</w:t>
      </w:r>
      <w:r>
        <w:rPr>
          <w:rFonts w:ascii="Arial" w:cs="Arial" w:eastAsia="Arial" w:hAnsi="Arial"/>
          <w:sz w:val="18"/>
          <w:szCs w:val="18"/>
          <w:color w:val="auto"/>
        </w:rPr>
        <w:t xml:space="preserve"> are the true owners of the Company and </w:t>
      </w:r>
      <w:r>
        <w:rPr>
          <w:rFonts w:ascii="Arial" w:cs="Arial" w:eastAsia="Arial" w:hAnsi="Arial"/>
          <w:sz w:val="18"/>
          <w:szCs w:val="18"/>
          <w:b w:val="1"/>
          <w:bCs w:val="1"/>
          <w:color w:val="auto"/>
        </w:rPr>
        <w:t>YOU</w:t>
      </w:r>
      <w:r>
        <w:rPr>
          <w:rFonts w:ascii="Arial" w:cs="Arial" w:eastAsia="Arial" w:hAnsi="Arial"/>
          <w:sz w:val="18"/>
          <w:szCs w:val="18"/>
          <w:color w:val="auto"/>
        </w:rPr>
        <w:t xml:space="preserve"> should exercise your right to </w:t>
      </w:r>
      <w:r>
        <w:rPr>
          <w:rFonts w:ascii="Arial" w:cs="Arial" w:eastAsia="Arial" w:hAnsi="Arial"/>
          <w:sz w:val="18"/>
          <w:szCs w:val="18"/>
          <w:b w:val="1"/>
          <w:bCs w:val="1"/>
          <w:color w:val="auto"/>
        </w:rPr>
        <w:t>VOTE</w:t>
      </w:r>
      <w:r>
        <w:rPr>
          <w:rFonts w:ascii="Arial" w:cs="Arial" w:eastAsia="Arial" w:hAnsi="Arial"/>
          <w:sz w:val="18"/>
          <w:szCs w:val="18"/>
          <w:color w:val="auto"/>
        </w:rPr>
        <w:t xml:space="preserve">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card in favor of TSLX’s proposals.</w:t>
      </w:r>
    </w:p>
    <w:p>
      <w:pPr>
        <w:spacing w:after="0" w:line="16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If you have not yet voted, or would like to change your vote, IT IS NOT TOO LATE. </w:t>
      </w:r>
      <w:r>
        <w:rPr>
          <w:rFonts w:ascii="Arial" w:cs="Arial" w:eastAsia="Arial" w:hAnsi="Arial"/>
          <w:sz w:val="18"/>
          <w:szCs w:val="18"/>
          <w:color w:val="auto"/>
        </w:rPr>
        <w:t>Vote today to end a decade of failure at TICC and set TICC on a</w:t>
      </w:r>
      <w:r>
        <w:rPr>
          <w:rFonts w:ascii="Arial" w:cs="Arial" w:eastAsia="Arial" w:hAnsi="Arial"/>
          <w:sz w:val="18"/>
          <w:szCs w:val="18"/>
          <w:b w:val="1"/>
          <w:bCs w:val="1"/>
          <w:color w:val="auto"/>
        </w:rPr>
        <w:t xml:space="preserve"> </w:t>
      </w:r>
      <w:r>
        <w:rPr>
          <w:rFonts w:ascii="Arial" w:cs="Arial" w:eastAsia="Arial" w:hAnsi="Arial"/>
          <w:sz w:val="18"/>
          <w:szCs w:val="18"/>
          <w:color w:val="auto"/>
        </w:rPr>
        <w:t>better path forward.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and 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229"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over $16 billion of assets under management as of March 31, 2016, and the broader TPG platform, a global private investment firm with over $74 billion of assets under management as of March 31, 2016. For more information, visit the Company’s website at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ectPr>
          <w:pgSz w:w="11900" w:h="16838" w:orient="portrait"/>
          <w:cols w:equalWidth="0" w:num="1">
            <w:col w:w="11420"/>
          </w:cols>
          <w:pgMar w:left="240" w:top="270" w:right="239" w:bottom="1440" w:gutter="0" w:footer="0" w:header="0"/>
        </w:sectPr>
      </w:pPr>
    </w:p>
    <w:bookmarkStart w:id="3" w:name="page4"/>
    <w:bookmarkEnd w:id="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an amended definitive proxy statement in connection therewith on Schedule 14A with the SEC on July 14, 2016 (the “TSLX Proxy Statement”). TSLX has mailed the TSLX Proxy Statement and accompanying GOLD proxy card to stockholders of TICC. This communication is not a substitute for the TSLX Proxy Statement.</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TSLX STRONGLY ADVISES ALL STOCKHOLDERS OF TICC TO READ THE TSLX PROXY STATEMENT AND THE OTHER PROXY MATERIALS AS THEY BECOME AVAILABLE BECAUSE THEY CONTAIN IMPORTANT INFORMATION. SUCH TSLX PROXY MATERIALS ARE AND WILL BECOME AVAILABLE AT NO CHARGE ON THE SEC’S WEB SITE AT HTTP://WWW.SEC.GOV AND ON TSLX’S WEBSITE AT HTTP://WWW.TPGSPECIALTYLENDING.COM. IN ADDITION, TSLX WILL PROVIDE COPIES OF THE TSLX PROXY STATEMENT WITHOUT CHARGE UPON REQUEST. REQUESTS FOR COPIES SHOULD BE DIRECTED TO TSLX’S PROXY SOLICITOR AT TPG@MACKENZIEPARTNERS.COM.</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beneficially owned 1,633,719 shares of common stock of TICC. As of the date hereof, Mr. Millet did not directly or indirectly beneficially own any shares of common stock of TICC.</w:t>
      </w:r>
    </w:p>
    <w:p>
      <w:pPr>
        <w:sectPr>
          <w:pgSz w:w="11900" w:h="16838" w:orient="portrait"/>
          <w:cols w:equalWidth="0" w:num="1">
            <w:col w:w="11400"/>
          </w:cols>
          <w:pgMar w:left="240" w:top="274" w:right="25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Proxy Statement and other relevant materials to be filed with the SEC (if and when available).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87" w:lineRule="exact"/>
        <w:rPr>
          <w:sz w:val="20"/>
          <w:szCs w:val="20"/>
          <w:color w:val="auto"/>
        </w:rPr>
      </w:pPr>
    </w:p>
    <w:p>
      <w:pPr>
        <w:ind w:right="300" w:firstLine="8"/>
        <w:spacing w:after="0" w:line="277" w:lineRule="auto"/>
        <w:tabs>
          <w:tab w:leader="none" w:pos="121" w:val="left"/>
        </w:tabs>
        <w:numPr>
          <w:ilvl w:val="0"/>
          <w:numId w:val="12"/>
        </w:numPr>
        <w:rPr>
          <w:rFonts w:ascii="Arial" w:cs="Arial" w:eastAsia="Arial" w:hAnsi="Arial"/>
          <w:sz w:val="15"/>
          <w:szCs w:val="15"/>
          <w:color w:val="auto"/>
        </w:rPr>
      </w:pPr>
      <w:r>
        <w:rPr>
          <w:rFonts w:ascii="Arial" w:cs="Arial" w:eastAsia="Arial" w:hAnsi="Arial"/>
          <w:sz w:val="18"/>
          <w:szCs w:val="18"/>
          <w:color w:val="auto"/>
        </w:rPr>
        <w:t>Note: Market data as of August 23, 2016, Financial data as of June 30, 2016 BDC Composite comprised of ACAS, AINV, ARCC, BKCC, FSC, GBDC, HTGC, MAIN, MCC, NMFC, PNNT, PSEC, SLRC, TCAP, and TCRD</w:t>
      </w:r>
    </w:p>
    <w:p>
      <w:pPr>
        <w:spacing w:after="0" w:line="170" w:lineRule="exact"/>
        <w:rPr>
          <w:sz w:val="20"/>
          <w:szCs w:val="20"/>
          <w:color w:val="auto"/>
        </w:rPr>
      </w:pPr>
    </w:p>
    <w:p>
      <w:pPr>
        <w:ind w:left="120" w:hanging="112"/>
        <w:spacing w:after="0"/>
        <w:tabs>
          <w:tab w:leader="none" w:pos="1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Source: Bloomberg, Company Filings.</w:t>
      </w:r>
    </w:p>
    <w:p>
      <w:pPr>
        <w:spacing w:after="0" w:line="225"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15"/>
          <w:szCs w:val="15"/>
          <w:color w:val="auto"/>
        </w:rPr>
      </w:pPr>
      <w:r>
        <w:rPr>
          <w:rFonts w:ascii="Arial" w:cs="Arial" w:eastAsia="Arial" w:hAnsi="Arial"/>
          <w:sz w:val="18"/>
          <w:szCs w:val="18"/>
          <w:color w:val="auto"/>
        </w:rPr>
        <w:t>Source: Bloomberg, Company Filings.</w:t>
      </w:r>
    </w:p>
    <w:p>
      <w:pPr>
        <w:spacing w:after="0" w:line="225" w:lineRule="exact"/>
        <w:rPr>
          <w:sz w:val="20"/>
          <w:szCs w:val="20"/>
          <w:color w:val="auto"/>
        </w:rPr>
      </w:pPr>
    </w:p>
    <w:p>
      <w:pPr>
        <w:ind w:right="180" w:firstLine="8"/>
        <w:spacing w:after="0" w:line="277" w:lineRule="auto"/>
        <w:tabs>
          <w:tab w:leader="none" w:pos="121" w:val="left"/>
        </w:tabs>
        <w:numPr>
          <w:ilvl w:val="0"/>
          <w:numId w:val="15"/>
        </w:numPr>
        <w:rPr>
          <w:rFonts w:ascii="Arial" w:cs="Arial" w:eastAsia="Arial" w:hAnsi="Arial"/>
          <w:sz w:val="15"/>
          <w:szCs w:val="15"/>
          <w:color w:val="auto"/>
        </w:rPr>
      </w:pPr>
      <w:r>
        <w:rPr>
          <w:rFonts w:ascii="Arial" w:cs="Arial" w:eastAsia="Arial" w:hAnsi="Arial"/>
          <w:sz w:val="18"/>
          <w:szCs w:val="18"/>
          <w:color w:val="auto"/>
        </w:rPr>
        <w:t>BDC Composite comprised of ACAS, AINV, ARCC, BKCC, FSC, GBDC, HTGC, MAIN, MCC, NMFC, PNNT, PSEC, SLRC, TCAP, and TCRD Note: Market data as of August 23, 2016</w:t>
      </w:r>
    </w:p>
    <w:p>
      <w:pPr>
        <w:spacing w:after="0" w:line="170" w:lineRule="exact"/>
        <w:rPr>
          <w:sz w:val="20"/>
          <w:szCs w:val="20"/>
          <w:color w:val="auto"/>
        </w:rPr>
      </w:pPr>
    </w:p>
    <w:p>
      <w:pPr>
        <w:ind w:left="120" w:hanging="112"/>
        <w:spacing w:after="0"/>
        <w:tabs>
          <w:tab w:leader="none" w:pos="1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Source: Bloomberg, Company Filings. Market data as of August 4,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800-322-2885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tbj@abmac.com / pct@abmac.com</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lvl w:ilvl="1">
      <w:lvlJc w:val="left"/>
      <w:lvlText w:val="(%2)"/>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endash "/>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endash "/>
      <w:numFmt w:val="bullet"/>
      <w:start w:val="1"/>
    </w:lvl>
  </w:abstractNum>
  <w:abstractNum w:abstractNumId="11">
    <w:nsid w:val="DED7263"/>
    <w:multiLevelType w:val="hybridMultilevel"/>
    <w:lvl w:ilvl="0">
      <w:lvlJc w:val="left"/>
      <w:lvlText w:val="1"/>
      <w:numFmt w:val="bullet"/>
      <w:start w:val="1"/>
    </w:lvl>
  </w:abstractNum>
  <w:abstractNum w:abstractNumId="12">
    <w:nsid w:val="7FDCC233"/>
    <w:multiLevelType w:val="hybridMultilevel"/>
    <w:lvl w:ilvl="0">
      <w:lvlJc w:val="left"/>
      <w:lvlText w:val="2"/>
      <w:numFmt w:val="bullet"/>
      <w:start w:val="1"/>
    </w:lvl>
  </w:abstractNum>
  <w:abstractNum w:abstractNumId="13">
    <w:nsid w:val="1BEFD79F"/>
    <w:multiLevelType w:val="hybridMultilevel"/>
    <w:lvl w:ilvl="0">
      <w:lvlJc w:val="left"/>
      <w:lvlText w:val="3"/>
      <w:numFmt w:val="bullet"/>
      <w:start w:val="1"/>
    </w:lvl>
  </w:abstractNum>
  <w:abstractNum w:abstractNumId="14">
    <w:nsid w:val="41A7C4C9"/>
    <w:multiLevelType w:val="hybridMultilevel"/>
    <w:lvl w:ilvl="0">
      <w:lvlJc w:val="left"/>
      <w:lvlText w:val="4"/>
      <w:numFmt w:val="bullet"/>
      <w:start w:val="1"/>
    </w:lvl>
  </w:abstractNum>
  <w:abstractNum w:abstractNumId="15">
    <w:nsid w:val="6B68079A"/>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2019-12-20T23:06:02Z</dcterms:created>
  <dcterms:modified xsi:type="dcterms:W3CDTF">2019-12-20T23:06:02Z</dcterms:modified>
</cp:coreProperties>
</file>