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18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827"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 DATED MAY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being furnished to the stockholders of TICC Capital Corp., a Maryland corporation (“</w:t>
      </w:r>
      <w:r>
        <w:rPr>
          <w:rFonts w:ascii="Arial" w:cs="Arial" w:eastAsia="Arial" w:hAnsi="Arial"/>
          <w:sz w:val="16"/>
          <w:szCs w:val="16"/>
          <w:u w:val="single" w:color="auto"/>
          <w:color w:val="auto"/>
        </w:rPr>
        <w:t>TICC</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by TPG Specialty Lending, Inc., a Delaware corporation (“</w:t>
      </w:r>
      <w:r>
        <w:rPr>
          <w:rFonts w:ascii="Arial" w:cs="Arial" w:eastAsia="Arial" w:hAnsi="Arial"/>
          <w:sz w:val="16"/>
          <w:szCs w:val="16"/>
          <w:u w:val="single" w:color="auto"/>
          <w:color w:val="auto"/>
        </w:rPr>
        <w:t>TSLX</w:t>
      </w:r>
      <w:r>
        <w:rPr>
          <w:rFonts w:ascii="Arial" w:cs="Arial" w:eastAsia="Arial" w:hAnsi="Arial"/>
          <w:sz w:val="16"/>
          <w:szCs w:val="16"/>
          <w:color w:val="auto"/>
        </w:rPr>
        <w:t>”), in connection with the solicitation of proxies from you, the holders (the “</w:t>
      </w:r>
      <w:r>
        <w:rPr>
          <w:rFonts w:ascii="Arial" w:cs="Arial" w:eastAsia="Arial" w:hAnsi="Arial"/>
          <w:sz w:val="16"/>
          <w:szCs w:val="16"/>
          <w:u w:val="single" w:color="auto"/>
          <w:color w:val="auto"/>
        </w:rPr>
        <w:t>Stockholders</w:t>
      </w:r>
      <w:r>
        <w:rPr>
          <w:rFonts w:ascii="Arial" w:cs="Arial" w:eastAsia="Arial" w:hAnsi="Arial"/>
          <w:sz w:val="16"/>
          <w:szCs w:val="16"/>
          <w:color w:val="auto"/>
        </w:rPr>
        <w:t>”)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Unless the context requires otherwise, we use the terms “we,” “our” or “us” throughout this</w:t>
      </w:r>
    </w:p>
    <w:p>
      <w:pPr>
        <w:spacing w:after="0" w:line="2" w:lineRule="exact"/>
        <w:rPr>
          <w:sz w:val="20"/>
          <w:szCs w:val="20"/>
          <w:color w:val="auto"/>
        </w:rPr>
      </w:pPr>
    </w:p>
    <w:p>
      <w:pPr>
        <w:spacing w:after="0"/>
        <w:tabs>
          <w:tab w:leader="none" w:pos="6940" w:val="left"/>
          <w:tab w:leader="none" w:pos="7900" w:val="left"/>
          <w:tab w:leader="none" w:pos="8840" w:val="left"/>
        </w:tabs>
        <w:rPr>
          <w:sz w:val="20"/>
          <w:szCs w:val="20"/>
          <w:color w:val="auto"/>
        </w:rPr>
      </w:pPr>
      <w:r>
        <w:rPr>
          <w:rFonts w:ascii="Arial" w:cs="Arial" w:eastAsia="Arial" w:hAnsi="Arial"/>
          <w:sz w:val="18"/>
          <w:szCs w:val="18"/>
          <w:color w:val="auto"/>
        </w:rPr>
        <w:t>Proxy Statement to refer to TSLX. The 2016 Annual Meeting is scheduled to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local time.</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solicitation is dated [ Stockholders on or about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480" w:firstLine="416"/>
        <w:spacing w:after="0" w:line="282" w:lineRule="auto"/>
        <w:rPr>
          <w:sz w:val="20"/>
          <w:szCs w:val="20"/>
          <w:color w:val="auto"/>
        </w:rPr>
      </w:pPr>
      <w:r>
        <w:rPr>
          <w:rFonts w:ascii="Arial" w:cs="Arial" w:eastAsia="Arial" w:hAnsi="Arial"/>
          <w:sz w:val="18"/>
          <w:szCs w:val="18"/>
          <w:color w:val="auto"/>
        </w:rPr>
        <w:t xml:space="preserve">], 2016, and this Proxy Statement and the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sent or given to ], 2016.</w:t>
      </w:r>
    </w:p>
    <w:p>
      <w:pPr>
        <w:spacing w:after="0" w:line="166" w:lineRule="exact"/>
        <w:rPr>
          <w:sz w:val="20"/>
          <w:szCs w:val="20"/>
          <w:color w:val="auto"/>
        </w:rPr>
      </w:pPr>
    </w:p>
    <w:p>
      <w:pPr>
        <w:sectPr>
          <w:pgSz w:w="11900" w:h="16838" w:orient="portrait"/>
          <w:cols w:equalWidth="0" w:num="2">
            <w:col w:w="2340" w:space="480"/>
            <w:col w:w="8560"/>
          </w:cols>
          <w:pgMar w:left="240" w:top="459" w:right="279" w:bottom="1440" w:gutter="0" w:footer="0" w:header="0"/>
          <w:type w:val="continuous"/>
        </w:sectPr>
      </w:pPr>
    </w:p>
    <w:p>
      <w:pPr>
        <w:ind w:right="38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66"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TSLX is externally managed by TSL Advisers, LLC, a registered investment adviser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under the 1940 Act.</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w:t>
      </w: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2016.</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set the close of business on [ ], 2016 as the record date for determining Stockholders entitled to notice of and to vote at the 2016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 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w:t>
      </w:r>
      <w:r>
        <w:rPr>
          <w:rFonts w:ascii="Arial" w:cs="Arial" w:eastAsia="Arial" w:hAnsi="Arial"/>
          <w:sz w:val="15"/>
          <w:szCs w:val="15"/>
          <w:color w:val="auto"/>
        </w:rPr>
        <w:t>1</w:t>
      </w:r>
      <w:r>
        <w:rPr>
          <w:rFonts w:ascii="Arial" w:cs="Arial" w:eastAsia="Arial" w:hAnsi="Arial"/>
          <w:sz w:val="18"/>
          <w:szCs w:val="18"/>
          <w:color w:val="auto"/>
        </w:rPr>
        <w:t xml:space="preserve">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17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12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percentages set forth in this Proxy Statement relating to the beneficial ownership of Common Stock are based upon 51,479,409 shares of Common Stock outstanding, which was the total number of shares of Common Stock outstanding as of May 4, 2016, as reported in TICC’s quarterly report on Form 10-Q for the quarter ended March 31, 2016.</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NO MATTER HOW MANY SHARES OF COMMON STOCK YOU OWN.</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C/O [BROADRIDGE FINANCIAL SOLUTIONS, INC.],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in writing your instructions to the person responsible for your account and to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ANY OTHER PROXY TO VOTE YOUR SHARES OF COMMON STOCK AT THE 2016 ANNUAL MEETING, NOT EVEN AS A SIGN OF PROTEST. IF YOU HAVE ALREADY RETURNED A [WHITE] PROXY CARD TO THE COMPANY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that has been provided to you by us (and NOT the [WHITE] proxy card that has been provided to you by the Company or any other proxy card or form that may be provided to you) and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5"/>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5"/>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5"/>
            <w:vMerge w:val="continue"/>
          </w:tcPr>
          <w:p>
            <w:pPr>
              <w:spacing w:after="0"/>
              <w:rPr>
                <w:sz w:val="13"/>
                <w:szCs w:val="13"/>
                <w:color w:val="auto"/>
              </w:rPr>
            </w:pPr>
          </w:p>
        </w:tc>
        <w:tc>
          <w:tcPr>
            <w:tcW w:w="5240" w:type="dxa"/>
            <w:vAlign w:val="bottom"/>
            <w:gridSpan w:val="5"/>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PROPOSAL NO. 2: TSLX’S PROPOSAL TO TERMINATE THE INVESTMENT ADVISORY AGREEMENT</w:t>
              </w:r>
            </w:hyperlink>
          </w:p>
        </w:tc>
        <w:tc>
          <w:tcPr>
            <w:tcW w:w="28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80" w:type="dxa"/>
            <w:vAlign w:val="bottom"/>
            <w:tcBorders>
              <w:top w:val="single" w:sz="8" w:color="0000EE"/>
            </w:tcBorders>
            <w:gridSpan w:val="19"/>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PROPOSAL NO. 4: THE COMPANY’S PROPOSAL TO APPROVE THE ADJOURNMENT OF THE 2016 ANNUAL MEETING</w:t>
              </w:r>
            </w:hyperlink>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6"/>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NO APPRAISAL OR DISSENTER’S RIGHTS</w:t>
              </w:r>
            </w:hyperlink>
          </w:p>
        </w:tc>
        <w:tc>
          <w:tcPr>
            <w:tcW w:w="75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AUDITORS</w:t>
              </w:r>
            </w:hyperlink>
          </w:p>
        </w:tc>
        <w:tc>
          <w:tcPr>
            <w:tcW w:w="1006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SOLICITATION OF PROXIES</w:t>
              </w:r>
            </w:hyperlink>
          </w:p>
        </w:tc>
        <w:tc>
          <w:tcPr>
            <w:tcW w:w="868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INCORPORATION BY REFERENCE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INFORMATION REGARDING TICC</w:t>
              </w:r>
            </w:hyperlink>
          </w:p>
        </w:tc>
        <w:tc>
          <w:tcPr>
            <w:tcW w:w="816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CERTAIN ADDITIONAL INFORMATION</w:t>
              </w:r>
            </w:hyperlink>
          </w:p>
        </w:tc>
        <w:tc>
          <w:tcPr>
            <w:tcW w:w="77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STOCKHOLDER PROPOSALS</w:t>
              </w:r>
            </w:hyperlink>
          </w:p>
        </w:tc>
        <w:tc>
          <w:tcPr>
            <w:tcW w:w="85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FORWARD-LOOKING STATEMENTS</w:t>
              </w:r>
            </w:hyperlink>
          </w:p>
        </w:tc>
        <w:tc>
          <w:tcPr>
            <w:tcW w:w="80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9"/>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w:t>
      </w:r>
    </w:p>
    <w:p>
      <w:pPr>
        <w:spacing w:after="0" w:line="225" w:lineRule="exact"/>
        <w:rPr>
          <w:rFonts w:ascii="Arial" w:cs="Arial" w:eastAsia="Arial" w:hAnsi="Arial"/>
          <w:sz w:val="18"/>
          <w:szCs w:val="18"/>
          <w:color w:val="auto"/>
        </w:rPr>
      </w:pPr>
    </w:p>
    <w:p>
      <w:pPr>
        <w:ind w:right="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 and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w:t>
      </w:r>
    </w:p>
    <w:p>
      <w:pPr>
        <w:spacing w:after="0" w:line="27" w:lineRule="exact"/>
        <w:rPr>
          <w:sz w:val="20"/>
          <w:szCs w:val="20"/>
          <w:color w:val="auto"/>
        </w:rPr>
      </w:pPr>
    </w:p>
    <w:p>
      <w:pPr>
        <w:ind w:right="920" w:firstLine="8"/>
        <w:spacing w:after="0" w:line="261" w:lineRule="auto"/>
        <w:tabs>
          <w:tab w:leader="none" w:pos="2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(3) “FOR” THE ACCOUNTANT RATIFICATION PROPOSAL AND (4) “AGAINST” THE ADJOURNMENT PROPOSAL.</w:t>
      </w:r>
    </w:p>
    <w:p>
      <w:pPr>
        <w:spacing w:after="0" w:line="184"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Please refer to the sections entitled “Proposal No. 1: Election of Director,” “Proposal No. 2: TSLX’s Proposal to Terminate the Investment Advisory Agreement,” “Proposal No. 3: The Company’s Proposal to Ratify the Appointment of PricewaterhouseCoopers LLP” and “Proposal No. 4: The Company’s Proposal to Approve the Adjournment of the 2016 Annual Meeting” for a more complete description of these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2"/>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Form 10-K/A filed by the Company with the SEC on April 29, 2016:</w:t>
      </w:r>
    </w:p>
    <w:p>
      <w:pPr>
        <w:spacing w:after="0" w:line="73" w:lineRule="exact"/>
        <w:rPr>
          <w:sz w:val="20"/>
          <w:szCs w:val="20"/>
          <w:color w:val="auto"/>
        </w:rPr>
      </w:pPr>
    </w:p>
    <w:p>
      <w:pPr>
        <w:ind w:left="460" w:right="80"/>
        <w:spacing w:after="0" w:line="308" w:lineRule="auto"/>
        <w:rPr>
          <w:sz w:val="20"/>
          <w:szCs w:val="20"/>
          <w:color w:val="auto"/>
        </w:rPr>
      </w:pPr>
      <w:r>
        <w:rPr>
          <w:rFonts w:ascii="Arial" w:cs="Arial" w:eastAsia="Arial" w:hAnsi="Arial"/>
          <w:sz w:val="17"/>
          <w:szCs w:val="17"/>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 . . . ]</w:t>
      </w:r>
    </w:p>
    <w:p>
      <w:pPr>
        <w:spacing w:after="0" w:line="38"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In order to evaluate the materiality of any such relationship, our Board of Directors uses the definition of director independence set forth in the rules promulgated by the NASDAQ Stock Market. Rule 5605(a)(2) provides that a director of a BDC, shall be considered to be independent if he or she is not an “interested person” of TICC, as defined in Section 2(a)(19) of the 1940 Act.</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You should refer to the Company’s proxy statement for the 2016 Annual Meeting (the “</w:t>
      </w:r>
      <w:r>
        <w:rPr>
          <w:rFonts w:ascii="Arial" w:cs="Arial" w:eastAsia="Arial" w:hAnsi="Arial"/>
          <w:sz w:val="18"/>
          <w:szCs w:val="18"/>
          <w:u w:val="single" w:color="auto"/>
          <w:color w:val="auto"/>
        </w:rPr>
        <w:t>TICC 2016 Proxy Statement</w:t>
      </w:r>
      <w:r>
        <w:rPr>
          <w:rFonts w:ascii="Arial" w:cs="Arial" w:eastAsia="Arial" w:hAnsi="Arial"/>
          <w:sz w:val="18"/>
          <w:szCs w:val="18"/>
          <w:color w:val="auto"/>
        </w:rPr>
        <w: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TICC 2016 Proxy Statement will state the number of shares of Common Stock issued and outstanding as of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returning it in the enclosed postage-paid envelope or (2) telephone or Internet by following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enclosed postage-paid envelope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All valid proxies received prior to the 2016 Annual Meeting will be voted.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YOUR SHARES OF COMMON STOCK WILL BE VOTED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2016 Annual Meeting will be held at [ ] on [ ], 2016 at [ ] local time.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A quorum must be present at the 2016 Annual Meeting for any business to be conducted. The presence at the 2016 Annual Meeting, in person or by proxy, of the holders of a majority of the shares of Common Stock outstanding on the Record Date will constitute a quorum. Abstentions and broker non-votes (as defined below), if any, will be counted as shares present for purposes of determining whether a quorum exists for the transaction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TSLX’s Proposal to Terminate the Investment Advisory Agreement and Proposal No. 4: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holder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34"/>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What is the deadline for submitting proxies?</w:t>
            </w:r>
          </w:p>
        </w:tc>
        <w:tc>
          <w:tcPr>
            <w:tcW w:w="1020" w:type="dxa"/>
            <w:vAlign w:val="bottom"/>
          </w:tcPr>
          <w:p>
            <w:pPr>
              <w:spacing w:after="0"/>
              <w:rPr>
                <w:sz w:val="24"/>
                <w:szCs w:val="24"/>
                <w:color w:val="auto"/>
              </w:rPr>
            </w:pPr>
          </w:p>
        </w:tc>
      </w:tr>
      <w:tr>
        <w:trPr>
          <w:trHeight w:val="324"/>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7"/>
              </w:rPr>
              <w:t>(a) Internet:  Proxies submitted electronically via the Internet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432"/>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6"/>
              </w:rPr>
              <w:t>(b) Telephone:  Proxies submitted electronically by telephone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22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w:t>
      </w:r>
    </w:p>
    <w:p>
      <w:pPr>
        <w:spacing w:after="0" w:line="67" w:lineRule="exact"/>
        <w:rPr>
          <w:rFonts w:ascii="Arial" w:cs="Arial" w:eastAsia="Arial" w:hAnsi="Arial"/>
          <w:sz w:val="18"/>
          <w:szCs w:val="18"/>
          <w:color w:val="auto"/>
        </w:rPr>
      </w:pPr>
    </w:p>
    <w:p>
      <w:pPr>
        <w:ind w:left="900" w:right="4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 in the postage-paid envelope provided;</w:t>
      </w:r>
    </w:p>
    <w:p>
      <w:pPr>
        <w:spacing w:after="0" w:line="71"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Corporate Secretary of the Company, c/o [Broadridge Financial Solutions, Inc., 51 Mercedes Way, Edgewood, New York 11717];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proxy card you may revoke it at any time by submitting a later-dated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 PROXY TO VOTE YOUR SHARES OF COMMON STOCK AT THE 2016 ANNUAL MEETING, NOT EVEN AS A SIGN OF PROTEST. IF YOU HAVE ALREADY RETURNED A [WHITE] PROXY CARD TO THE COMPANY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6"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POSTAGE-PAID ENVELOPE PROVIDED OR USE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YOUR VOTE IS IMPORTANT, NO MATTER HOW MANY SHARES YOU OWN. TSLX URGES YOU TO MARK, SIGN, DATE AND RETURN THE ENCLOSED GOLD PROXY CARD TODAY TO VOTE (1) “FOR” THE ELECTION OF TSLX’S NOMINEE, T. KELLEY MILLET, (2) “FOR” TSLX’S PROPOSAL TO TERMINATE THE INVESTMENT ADVISORY AGREEMENT, (3) “FOR” THE ACCOUNTANT RATIFICATION PROPOSAL AND (4) “AGAINST” THE ADJOURNMENT PROPOSAL.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ind w:left="3280"/>
        <w:spacing w:after="0"/>
        <w:tabs>
          <w:tab w:leader="none" w:pos="7560" w:val="left"/>
        </w:tabs>
        <w:rPr>
          <w:sz w:val="20"/>
          <w:szCs w:val="20"/>
          <w:color w:val="auto"/>
        </w:rPr>
      </w:pPr>
      <w:r>
        <w:rPr>
          <w:rFonts w:ascii="Arial" w:cs="Arial" w:eastAsia="Arial" w:hAnsi="Arial"/>
          <w:sz w:val="18"/>
          <w:szCs w:val="18"/>
          <w:b w:val="1"/>
          <w:bCs w:val="1"/>
          <w:color w:val="auto"/>
        </w:rPr>
        <w:t>for the Stockholder Meeting to Be Held on [</w:t>
      </w:r>
      <w:r>
        <w:rPr>
          <w:sz w:val="20"/>
          <w:szCs w:val="20"/>
          <w:color w:val="auto"/>
        </w:rPr>
        <w:tab/>
      </w:r>
      <w:r>
        <w:rPr>
          <w:rFonts w:ascii="Arial" w:cs="Arial" w:eastAsia="Arial" w:hAnsi="Arial"/>
          <w:sz w:val="16"/>
          <w:szCs w:val="16"/>
          <w:b w:val="1"/>
          <w:bCs w:val="1"/>
          <w:color w:val="auto"/>
        </w:rPr>
        <w:t>],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From August 5 to August 24, 2015, TSLX acquired 1,633,719 shares of Common Stock through purchases in the open market, which represented 2.72% of the number of shares of TICC Common Stock outstanding as of August 6, 2015 and 3.2% of the number of shares of TICC Common Stock outstanding as of the date of this Proxy Statement.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August 11, 2015, according to a press release issued on August 19, NexPoint Advisors, L.P. (“</w:t>
      </w:r>
      <w:r>
        <w:rPr>
          <w:rFonts w:ascii="Arial" w:cs="Arial" w:eastAsia="Arial" w:hAnsi="Arial"/>
          <w:sz w:val="18"/>
          <w:szCs w:val="18"/>
          <w:u w:val="single" w:color="auto"/>
          <w:color w:val="auto"/>
        </w:rPr>
        <w:t>NexPoint</w:t>
      </w:r>
      <w:r>
        <w:rPr>
          <w:rFonts w:ascii="Arial" w:cs="Arial" w:eastAsia="Arial" w:hAnsi="Arial"/>
          <w:sz w:val="18"/>
          <w:szCs w:val="18"/>
          <w:color w:val="auto"/>
        </w:rPr>
        <w: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in order to evaluate NexPoint’s proposal.</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According to TICC’s proxy statement for the 2015 annual meeting of Stockholders (the “</w:t>
      </w:r>
      <w:r>
        <w:rPr>
          <w:rFonts w:ascii="Arial" w:cs="Arial" w:eastAsia="Arial" w:hAnsi="Arial"/>
          <w:sz w:val="18"/>
          <w:szCs w:val="18"/>
          <w:u w:val="single" w:color="auto"/>
          <w:color w:val="auto"/>
        </w:rPr>
        <w:t>2015 Annual Meeting</w:t>
      </w:r>
      <w:r>
        <w:rPr>
          <w:rFonts w:ascii="Arial" w:cs="Arial" w:eastAsia="Arial" w:hAnsi="Arial"/>
          <w:sz w:val="18"/>
          <w:szCs w:val="18"/>
          <w:color w:val="auto"/>
        </w:rPr>
        <w:t>”), the 2016 Annual Meeting is expected to be held in June 2016. As of the date hereof, however, the Company had yet to schedule the 2016 Annual Meeting, despite having announced the date of every prior annual meeting in the last 11 years by no later than May 2 of that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making this solicitation as one of the largest Stockholders of TICC and in the greater interest of all Stockholders. As of the date of this Proxy Statement, TSLX is the beneficial and economic owner of approximately 3.2% of the outstanding shares of Common Stock.</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34.3% versus 215.2% for the BDC Composite.</w:t>
      </w:r>
      <w:r>
        <w:rPr>
          <w:rFonts w:ascii="Arial" w:cs="Arial" w:eastAsia="Arial" w:hAnsi="Arial"/>
          <w:sz w:val="13"/>
          <w:szCs w:val="13"/>
          <w:color w:val="auto"/>
        </w:rPr>
        <w:t>2</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16.5% since that date.</w:t>
      </w:r>
      <w:r>
        <w:rPr>
          <w:rFonts w:ascii="Arial" w:cs="Arial" w:eastAsia="Arial" w:hAnsi="Arial"/>
          <w:sz w:val="13"/>
          <w:szCs w:val="13"/>
          <w:color w:val="auto"/>
        </w:rPr>
        <w:t>3</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25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 Total return calculation includes share price appreciation and cumulative dividends paid. BDC Composite comprised of ACAS, AINV, ARCC, BKCC, FSC, GBDC, HTGC, MAIN, MCC, NMFC, PNNT, PSEC, SLRC, TCAP, and TCRD. Calculated through May 6, 2016.</w:t>
      </w:r>
    </w:p>
    <w:p>
      <w:pPr>
        <w:spacing w:after="0" w:line="2" w:lineRule="exact"/>
        <w:rPr>
          <w:sz w:val="20"/>
          <w:szCs w:val="20"/>
          <w:color w:val="auto"/>
        </w:rPr>
      </w:pPr>
    </w:p>
    <w:p>
      <w:pPr>
        <w:ind w:left="5620" w:right="2340" w:hanging="5612"/>
        <w:spacing w:after="0" w:line="434" w:lineRule="auto"/>
        <w:tabs>
          <w:tab w:leader="none" w:pos="45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and a closing price of $5.99 on December 22, 2015. 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2418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281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Since</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Since IPO</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7"/>
              </w:rPr>
              <w:t>Total Return (%)</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¹</w:t>
            </w:r>
            <w:r>
              <w:rPr>
                <w:rFonts w:ascii="Arial" w:cs="Arial" w:eastAsia="Arial" w:hAnsi="Arial"/>
                <w:sz w:val="12"/>
                <w:szCs w:val="12"/>
                <w:b w:val="1"/>
                <w:bCs w:val="1"/>
                <w:color w:val="auto"/>
                <w:w w:val="97"/>
              </w:rPr>
              <w:t>)</w:t>
            </w:r>
          </w:p>
        </w:tc>
        <w:tc>
          <w:tcPr>
            <w:tcW w:w="122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w:t>
            </w:r>
          </w:p>
        </w:tc>
        <w:tc>
          <w:tcPr>
            <w:tcW w:w="480" w:type="dxa"/>
            <w:vAlign w:val="bottom"/>
            <w:vMerge w:val="restart"/>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1Y</w:t>
            </w:r>
          </w:p>
        </w:tc>
        <w:tc>
          <w:tcPr>
            <w:tcW w:w="460" w:type="dxa"/>
            <w:vAlign w:val="bottom"/>
            <w:vMerge w:val="restart"/>
          </w:tcPr>
          <w:p>
            <w:pPr>
              <w:spacing w:after="0"/>
              <w:rPr>
                <w:sz w:val="10"/>
                <w:szCs w:val="10"/>
                <w:color w:val="auto"/>
              </w:rPr>
            </w:pPr>
          </w:p>
        </w:tc>
        <w:tc>
          <w:tcPr>
            <w:tcW w:w="3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3Y</w:t>
            </w:r>
          </w:p>
        </w:tc>
        <w:tc>
          <w:tcPr>
            <w:tcW w:w="48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YTD</w:t>
            </w:r>
          </w:p>
        </w:tc>
        <w:tc>
          <w:tcPr>
            <w:tcW w:w="440" w:type="dxa"/>
            <w:vAlign w:val="bottom"/>
            <w:vMerge w:val="restart"/>
          </w:tcPr>
          <w:p>
            <w:pPr>
              <w:spacing w:after="0"/>
              <w:rPr>
                <w:sz w:val="10"/>
                <w:szCs w:val="10"/>
                <w:color w:val="auto"/>
              </w:rPr>
            </w:pPr>
          </w:p>
        </w:tc>
        <w:tc>
          <w:tcPr>
            <w:tcW w:w="3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1Y</w:t>
            </w:r>
          </w:p>
        </w:tc>
        <w:tc>
          <w:tcPr>
            <w:tcW w:w="440" w:type="dxa"/>
            <w:vAlign w:val="bottom"/>
            <w:vMerge w:val="restart"/>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440" w:type="dxa"/>
            <w:vAlign w:val="bottom"/>
            <w:vMerge w:val="restart"/>
          </w:tcPr>
          <w:p>
            <w:pPr>
              <w:spacing w:after="0"/>
              <w:rPr>
                <w:sz w:val="10"/>
                <w:szCs w:val="10"/>
                <w:color w:val="auto"/>
              </w:rPr>
            </w:pPr>
          </w:p>
        </w:tc>
        <w:tc>
          <w:tcPr>
            <w:tcW w:w="9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Since</w:t>
            </w:r>
          </w:p>
        </w:tc>
        <w:tc>
          <w:tcPr>
            <w:tcW w:w="8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Since IPO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IPO</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²</w:t>
            </w:r>
            <w:r>
              <w:rPr>
                <w:rFonts w:ascii="Arial" w:cs="Arial" w:eastAsia="Arial" w:hAnsi="Arial"/>
                <w:sz w:val="12"/>
                <w:szCs w:val="12"/>
                <w:b w:val="1"/>
                <w:bCs w:val="1"/>
                <w:color w:val="auto"/>
                <w:w w:val="97"/>
              </w:rPr>
              <w:t>)</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34.3%</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2.4%</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BDC Composite</w:t>
            </w:r>
            <w:r>
              <w:rPr>
                <w:rFonts w:ascii="Arial" w:cs="Arial" w:eastAsia="Arial" w:hAnsi="Arial"/>
                <w:sz w:val="23"/>
                <w:szCs w:val="23"/>
                <w:color w:val="auto"/>
                <w:vertAlign w:val="superscript"/>
              </w:rPr>
              <w:t>(</w:t>
            </w:r>
            <w:r>
              <w:rPr>
                <w:rFonts w:ascii="Arial" w:cs="Arial" w:eastAsia="Arial" w:hAnsi="Arial"/>
                <w:sz w:val="14"/>
                <w:szCs w:val="14"/>
                <w:color w:val="auto"/>
              </w:rPr>
              <w:t>³</w:t>
            </w:r>
            <w:r>
              <w:rPr>
                <w:rFonts w:ascii="Arial" w:cs="Arial" w:eastAsia="Arial" w:hAnsi="Arial"/>
                <w:sz w:val="23"/>
                <w:szCs w:val="23"/>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(3.4)</w:t>
            </w: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(1.0)</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215.2</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9.7</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(15.7)%</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(5.2)%</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(21.5)%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(180.9)%</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w w:val="97"/>
              </w:rPr>
              <w:t>(7.3)%</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156.9</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7.9</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(14.3)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(58.0)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(122.6)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4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66.8</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4.2</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(16.6)</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(12.6)</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(29.0)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(32.5)</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5.6</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(19.4)</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(32.9)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(62.8)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(3.0)</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106.1</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6.0</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(18.5)</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(5.5)</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(26.0)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(17.8)</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w:t>
      </w:r>
      <w:r>
        <w:rPr>
          <w:rFonts w:ascii="Arial" w:cs="Arial" w:eastAsia="Arial" w:hAnsi="Arial"/>
          <w:sz w:val="18"/>
          <w:szCs w:val="18"/>
          <w:color w:val="auto"/>
        </w:rPr>
        <w:t>.</w:t>
      </w:r>
      <w:r>
        <w:rPr>
          <w:rFonts w:ascii="Arial" w:cs="Arial" w:eastAsia="Arial" w:hAnsi="Arial"/>
          <w:sz w:val="18"/>
          <w:szCs w:val="18"/>
          <w:i w:val="1"/>
          <w:iCs w:val="1"/>
          <w:color w:val="auto"/>
        </w:rPr>
        <w:t xml:space="preserve"> Note: Market data as of May 6,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Market data as of May 6,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603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just 84.9%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management’s willingness to repurchase shares during the fourth quarter of 2015 and during 2016, </w:t>
      </w:r>
      <w:r>
        <w:rPr>
          <w:rFonts w:ascii="Arial" w:cs="Arial" w:eastAsia="Arial" w:hAnsi="Arial"/>
          <w:sz w:val="16"/>
          <w:szCs w:val="16"/>
          <w:i w:val="1"/>
          <w:iCs w:val="1"/>
          <w:color w:val="auto"/>
        </w:rPr>
        <w:t>it is not lost on us nor on other Stockholders that management has refused to commit to continuing this</w:t>
      </w:r>
      <w:r>
        <w:rPr>
          <w:rFonts w:ascii="Arial" w:cs="Arial" w:eastAsia="Arial" w:hAnsi="Arial"/>
          <w:sz w:val="16"/>
          <w:szCs w:val="16"/>
          <w:color w:val="auto"/>
        </w:rPr>
        <w:t xml:space="preserve"> </w:t>
      </w:r>
      <w:r>
        <w:rPr>
          <w:rFonts w:ascii="Arial" w:cs="Arial" w:eastAsia="Arial" w:hAnsi="Arial"/>
          <w:sz w:val="16"/>
          <w:szCs w:val="16"/>
          <w:i w:val="1"/>
          <w:iCs w:val="1"/>
          <w:color w:val="auto"/>
        </w:rPr>
        <w:t>strategy</w:t>
      </w:r>
      <w:r>
        <w:rPr>
          <w:rFonts w:ascii="Arial" w:cs="Arial" w:eastAsia="Arial" w:hAnsi="Arial"/>
          <w:sz w:val="16"/>
          <w:szCs w:val="16"/>
          <w:color w:val="auto"/>
        </w:rPr>
        <w:t>. It is unacceptable that TICC is not continuing to buy back stock at a 15.1% discount to NAV.</w:t>
      </w:r>
      <w:r>
        <w:rPr>
          <w:rFonts w:ascii="Arial" w:cs="Arial" w:eastAsia="Arial" w:hAnsi="Arial"/>
          <w:sz w:val="13"/>
          <w:szCs w:val="13"/>
          <w:color w:val="auto"/>
        </w:rPr>
        <w:t>7</w:t>
      </w:r>
      <w:r>
        <w:rPr>
          <w:rFonts w:ascii="Arial" w:cs="Arial" w:eastAsia="Arial" w:hAnsi="Arial"/>
          <w:sz w:val="16"/>
          <w:szCs w:val="16"/>
          <w:i w:val="1"/>
          <w:iCs w:val="1"/>
          <w:color w:val="auto"/>
        </w:rPr>
        <w:t xml:space="preserve"> </w:t>
      </w:r>
      <w:r>
        <w:rPr>
          <w:rFonts w:ascii="Arial" w:cs="Arial" w:eastAsia="Arial" w:hAnsi="Arial"/>
          <w:sz w:val="16"/>
          <w:szCs w:val="16"/>
          <w:color w:val="auto"/>
        </w:rPr>
        <w:t>Our estimate is that the 2016 repurchases have added</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12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Calculated as of May 6, 2016, based on TICC’s daily closing price as a percentage of the then latest reported net asset value per share. Calculation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both trading and non-trading days.</w:t>
      </w:r>
    </w:p>
    <w:p>
      <w:pPr>
        <w:spacing w:after="0" w:line="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Calculated based on TICC’s closing price of $5.00 per share on May 6, 2016 and TICC’s last reported net asset value of $5.89 per share as of March 31,</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2016.</w:t>
      </w:r>
    </w:p>
    <w:p>
      <w:pPr>
        <w:spacing w:after="0" w:line="8" w:lineRule="exact"/>
        <w:rPr>
          <w:sz w:val="20"/>
          <w:szCs w:val="20"/>
          <w:color w:val="auto"/>
        </w:rPr>
      </w:pPr>
    </w:p>
    <w:p>
      <w:pPr>
        <w:ind w:left="460" w:hanging="452"/>
        <w:spacing w:after="0" w:line="26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$5.00 per share on May 6, 2016 and TICC’s last reported net asset value of $5.89 per share as of March 31,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TSLX believes that Total Shareholder Fees &amp; Expenses and Total Economics for each company in the BDC Composite were calculated on a</w:t>
      </w:r>
    </w:p>
    <w:p>
      <w:pPr>
        <w:spacing w:after="0" w:line="22" w:lineRule="exact"/>
        <w:rPr>
          <w:sz w:val="20"/>
          <w:szCs w:val="20"/>
          <w:color w:val="auto"/>
        </w:rPr>
      </w:pPr>
    </w:p>
    <w:p>
      <w:pPr>
        <w:ind w:left="460" w:right="800"/>
        <w:spacing w:after="0" w:line="264" w:lineRule="auto"/>
        <w:rPr>
          <w:sz w:val="20"/>
          <w:szCs w:val="20"/>
          <w:color w:val="auto"/>
        </w:rPr>
      </w:pPr>
      <w:r>
        <w:rPr>
          <w:rFonts w:ascii="Arial" w:cs="Arial" w:eastAsia="Arial" w:hAnsi="Arial"/>
          <w:sz w:val="17"/>
          <w:szCs w:val="17"/>
          <w:color w:val="auto"/>
        </w:rPr>
        <w:t xml:space="preserve">substantially equivalent basis to the methodology shown for TICC in </w:t>
      </w:r>
      <w:r>
        <w:rPr>
          <w:rFonts w:ascii="Arial" w:cs="Arial" w:eastAsia="Arial" w:hAnsi="Arial"/>
          <w:sz w:val="17"/>
          <w:szCs w:val="17"/>
          <w:u w:val="single" w:color="auto"/>
          <w:color w:val="auto"/>
        </w:rPr>
        <w:t>Annex D</w:t>
      </w:r>
      <w:r>
        <w:rPr>
          <w:rFonts w:ascii="Arial" w:cs="Arial" w:eastAsia="Arial" w:hAnsi="Arial"/>
          <w:sz w:val="17"/>
          <w:szCs w:val="17"/>
          <w:color w:val="auto"/>
        </w:rPr>
        <w:t>, including pro forma adjustments to exclude the effects of any management or incentive fee waiver, where applicable. Source: Company Filings. Capital IQ, Financial data as of 3/31/16.</w:t>
      </w:r>
    </w:p>
    <w:p>
      <w:pPr>
        <w:spacing w:after="0" w:line="1"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itself threatened that if Stockholders voted down the deal it would leave Stockholders’ investments burdened by the “</w:t>
      </w:r>
      <w:r>
        <w:rPr>
          <w:rFonts w:ascii="Arial" w:cs="Arial" w:eastAsia="Arial" w:hAnsi="Arial"/>
          <w:sz w:val="18"/>
          <w:szCs w:val="18"/>
          <w:i w:val="1"/>
          <w:iCs w:val="1"/>
          <w:color w:val="auto"/>
        </w:rPr>
        <w:t>same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same Board.</w:t>
      </w:r>
      <w:r>
        <w:rPr>
          <w:rFonts w:ascii="Arial" w:cs="Arial" w:eastAsia="Arial" w:hAnsi="Arial"/>
          <w:sz w:val="18"/>
          <w:szCs w:val="18"/>
          <w:color w:val="auto"/>
        </w:rPr>
        <w:t>”</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180.9 percentage points since TICC’s initial public offering on a total returns basis, a whopping 7.3 percentage points per year of under-performance, the only appropriate response from the Board would have been to terminate the management contract with the Existing Adviser. Again, TICC’s net total return for investors was approximately 1.8%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86.0%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April 29, 2016, Mr. Novak owned 14,474 shares of Common Stock.</w:t>
      </w:r>
      <w:r>
        <w:rPr>
          <w:rFonts w:ascii="Arial" w:cs="Arial" w:eastAsia="Arial" w:hAnsi="Arial"/>
          <w:sz w:val="15"/>
          <w:szCs w:val="15"/>
          <w:color w:val="auto"/>
        </w:rPr>
        <w:t>13</w:t>
      </w:r>
      <w:r>
        <w:rPr>
          <w:rFonts w:ascii="Arial" w:cs="Arial" w:eastAsia="Arial" w:hAnsi="Arial"/>
          <w:sz w:val="18"/>
          <w:szCs w:val="18"/>
          <w:color w:val="auto"/>
        </w:rPr>
        <w:t xml:space="preserve"> Since April 2012, Mr. Novak has not increased his overall stake in TICC despite shares trading well below NAV for a significant portion of that period. Mr. Novak is not, and has not tried to become, economically aligned with Stockholders.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14,474 shares of Common Stock have a current market value of approximately $72,370, representing a mere 7.2% of the more than $1.0 million in aggregate compensation he has received from TICC during his 12-year tenure as a director.</w:t>
      </w:r>
      <w:r>
        <w:rPr>
          <w:rFonts w:ascii="Arial" w:cs="Arial" w:eastAsia="Arial" w:hAnsi="Arial"/>
          <w:sz w:val="15"/>
          <w:szCs w:val="15"/>
          <w:color w:val="auto"/>
        </w:rPr>
        <w:t>14</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9.2%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May 6, 2016, based on ACSF’s closing price of $10.08 per share and a March 31, 2016 NAV of $11.72 per share.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TICC Form 10-K/A filed on April 29, 2016.</w:t>
      </w:r>
    </w:p>
    <w:p>
      <w:pPr>
        <w:spacing w:after="0" w:line="9" w:lineRule="exact"/>
        <w:rPr>
          <w:rFonts w:ascii="Arial" w:cs="Arial" w:eastAsia="Arial" w:hAnsi="Arial"/>
          <w:sz w:val="15"/>
          <w:szCs w:val="15"/>
          <w:color w:val="auto"/>
        </w:rPr>
      </w:pPr>
    </w:p>
    <w:p>
      <w:pPr>
        <w:ind w:left="460" w:right="20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 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FAILURE TO SCHEDULE STOCKHOLDER MEETING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TICC has held its annual meeting no later than June 18 and has announced the date of each of its annual meetings in the last 11 years by no later than May 2 of that year. The fact that TICC has not set the date for its 2016 Annual Meeting or filed its proxy statement for the 2016 Annual Meeting within 120 days of the end of its fiscal year (and as a result was obligated to file a supplement to its Annual Report on Form 10-K for the year ended December 31, 2015) is another blatant abuse of Stockholders.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TICC is denying Stockholders the opportunity to voice their concerns at the 2016 Annual Meeting and to exercise their right to vote on critical proposals that directly affect their company. Simply put, we believe that the Board is delaying the 2016 Annual Meeting to prevent Stockholders from having the opportunity to vote in favor of our highly qualified director nominee and our proposal to terminate the contract of the failed Existing Adviser.</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Board is clearly stalling. The Board’s failure to take these simple steps demonstrates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the Board to schedule the 2016 Annual Meeting promptly so that Stockholders have the opportunity to vote on our Nominee and on terminating the Investment Advisory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240" w:top="459" w:right="8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16</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19</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You should refer to the TICC 2016 Proxy Statement,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Form 10-K/A filed by the Company with the SEC on April 29,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 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 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Please do not return any [WHITE] proxy card you may receive from the Company or otherwise authorize a proxy to vote your shares of Common Stock for the Company’s nominee. If you have already submitted a [WHITE] proxy card that may have been sent to you by the Company or otherwise authorized a proxy to vote your shares of Common Stock for the Company’s nominee, it is not too late to change your vote. To revoke your prior proxy and change your vote, simply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postage-paid envelope provided to you by us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Only your latest dated proxy will be counted.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that would have received under the previous contract. The Board would then have 150 days to obtain Stockholder approval for that new investment advisory contact.</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TSLX’s proposal to terminate the Investment Advisory Agreement is approved, the Board will be able to seek a new investment adviser that can put the Company on the right path for the maximization of Stockholder value. In that case, our existing investment adviser, TSL Advisers, LLC, may offer its services as a new adviser to the Company.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TSLX believes that the Company should dissociate itself from its current investment adviser because the Existing Adviser’s long-term performance has been abysmal. The Company has itself acknowledged this woeful performance by soliciting proxies in favor of a transaction that would have resulted in a third party acquiring, and thereby replacing, TICC Management as the Company’s investment adviser at the Special Meeting held in December 2015. Though Stockholders rejected that transaction, TSLX believes that the Company must nonetheless follow through with its efforts to replace the Existing Adviser.</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anticipate that the Company will ask Stockholders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to vote your shares,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WE STRONGLY URGE YOU TO VOTE “FOR” AND USE THE GOLD PROXY CARD TO AUTHORIZE A PROXY TO VOTE “FOR” PROPOSAL NO. 3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 THE COMPANY’S PROPOSAL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anticipate that the Company will ask Stockholders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2016 Proxy Statement.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4.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4.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WE STRONGLY URGE YOU TO VOTE “AGAINST” AND USE THE GOLD PROXY CARD TO AUTHORIZE A PROXY TO VOTE “AGAINST” PROPOSAL NO. 4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According to information we anticipate will be contained in the TICC 2016 Proxy Statement, the Audit Committee of the Board will likely appoint PricewaterhouseCoopers LLP as the Company’s independent registered public accounting firm to examine the books, records and accounts of the Company and its subsidiaries for the fiscal year ending December 31, 2016, subject to ratification by Stockholders at the 2016 Annual Meeting. We would anticipate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information concerning PricewaterhouseCoopers LLP has been reproduced from the Form 10-K/A filed by the Company with the SEC on April 29, 2016:</w:t>
      </w:r>
    </w:p>
    <w:p>
      <w:pPr>
        <w:spacing w:after="0" w:line="62" w:lineRule="exact"/>
        <w:rPr>
          <w:sz w:val="20"/>
          <w:szCs w:val="20"/>
          <w:color w:val="auto"/>
        </w:rPr>
      </w:pPr>
    </w:p>
    <w:p>
      <w:pPr>
        <w:jc w:val="both"/>
        <w:ind w:left="460" w:right="420"/>
        <w:spacing w:after="0" w:line="264" w:lineRule="auto"/>
        <w:rPr>
          <w:sz w:val="20"/>
          <w:szCs w:val="20"/>
          <w:color w:val="auto"/>
        </w:rPr>
      </w:pPr>
      <w:r>
        <w:rPr>
          <w:rFonts w:ascii="Arial" w:cs="Arial" w:eastAsia="Arial" w:hAnsi="Arial"/>
          <w:sz w:val="18"/>
          <w:szCs w:val="18"/>
          <w:color w:val="auto"/>
        </w:rPr>
        <w:t>PricewaterhouseCoopers LLP served as the Company’s independent registered public accounting firm for the years ended December 31, 2015 and December 31, 2014. PricewaterhouseCoopers LLP has advised us that neither the firm nor any present member or associate of it has any material financial interest, direct or indirect, in the Company or its affiliates.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retained MacKenzie Partners, Inc. for solicitation and advisory services in connection with solicitations relating to the 2016 Annual Meeting.</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MacKenzie Partners, Inc. is to receive a fee of up to approximately $[ ], plus reimbursement for its reasonable out-of-pocket expenses, for its services to TSLX in connection with the solicitation.</w:t>
      </w:r>
    </w:p>
    <w:p>
      <w:pPr>
        <w:spacing w:after="0" w:line="1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w:t>
      </w:r>
    </w:p>
    <w:p>
      <w:pPr>
        <w:spacing w:after="0"/>
        <w:tabs>
          <w:tab w:leader="none" w:pos="3440" w:val="left"/>
        </w:tabs>
        <w:rPr>
          <w:sz w:val="20"/>
          <w:szCs w:val="20"/>
          <w:color w:val="auto"/>
        </w:rPr>
      </w:pPr>
      <w:r>
        <w:rPr>
          <w:rFonts w:ascii="Arial" w:cs="Arial" w:eastAsia="Arial" w:hAnsi="Arial"/>
          <w:sz w:val="18"/>
          <w:szCs w:val="18"/>
          <w:color w:val="auto"/>
        </w:rPr>
        <w:t>Partners, Inc. will employ approximately [</w:t>
      </w:r>
      <w:r>
        <w:rPr>
          <w:sz w:val="20"/>
          <w:szCs w:val="20"/>
          <w:color w:val="auto"/>
        </w:rPr>
        <w:tab/>
      </w:r>
      <w:r>
        <w:rPr>
          <w:rFonts w:ascii="Arial" w:cs="Arial" w:eastAsia="Arial" w:hAnsi="Arial"/>
          <w:sz w:val="16"/>
          <w:szCs w:val="16"/>
          <w:color w:val="auto"/>
        </w:rPr>
        <w:t>] persons to solicit Stockholders for the 2016 Annual Meeting.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entire expense of soliciting proxies for the 2016 Annual Meeting by TSLX, or on TSLX’s behalf, is being borne by TSLX. Although no precise estimate can be made at the present time, the total expenditures in furtherance of, or in connection with, this solicitation are estimated to be approximately</w:t>
      </w:r>
    </w:p>
    <w:p>
      <w:pPr>
        <w:spacing w:after="0"/>
        <w:tabs>
          <w:tab w:leader="none" w:pos="540" w:val="left"/>
          <w:tab w:leader="none" w:pos="5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date hereof, TSLX has incurred approximately $[</w:t>
      </w:r>
      <w:r>
        <w:rPr>
          <w:sz w:val="20"/>
          <w:szCs w:val="20"/>
          <w:color w:val="auto"/>
        </w:rPr>
        <w:tab/>
      </w:r>
      <w:r>
        <w:rPr>
          <w:rFonts w:ascii="Arial" w:cs="Arial" w:eastAsia="Arial" w:hAnsi="Arial"/>
          <w:sz w:val="16"/>
          <w:szCs w:val="16"/>
          <w:color w:val="auto"/>
        </w:rPr>
        <w:t>] of total expenditures in furtherance of, or in connection with, this solicitation.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will not be submitted to a vote of Stockholders. The Maryland General Corporation Law does not impose on a Maryland corporation any obligation to reimburse the successful bidder in a proxy contest, and the Board may deny a request for such reimbursement.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TSLX anticipates that the TICC 2016 Proxy Statement, when available, will contain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and information on how to obtain directions to be able to attend the 2016 Annual Meeting and vote in person. Stockholders should refer to the Company’s public filings in order to review this disclosure when available. TSLX has no knowledge of, or responsibility for, the accuracy of the Company’s disclosures in its proxy materials.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OMITTED FROM THIS PROXY STATEMENT CERTAIN DISCLOSURE REQUIRED BY APPLICABLE LAW THAT IS EXPECTED TO BE INCLUDED IN THE TICC 2016 PROXY STATEMENT. THIS DISCLOSURE IS EXPECTED TO INCLUDE, AMONG OTHER THINGS, SECURITY OWNERSHIP OF CERTAIN BENEFICIAL OWNERS, DIRECTORS AND MANAGEMENT, BIOGRAPHICAL INFORMATION ON THE COMPANY’S DIRECTORS AND EXECUTIVE OFFICERS, INFORMATION CONCERNING EXECUTIVE COMPENSATION AND OTHER IMPORTANT INFORMATION. PLEASE NOTE THAT WE WERE NOT INVOLVED IN THE PREPARATION OF THE TICC 2016 PROXY STATEMENT AND THAT WE ASSUME NO RESPONSIBILITY FOR THE ACCURACY OR COMPLETENESS OF ANY SUCH INFORMATION.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TICC is a Maryland corporation with its principal executive office located at 8 Sound Shore Drive, Suite 255, Greenwich, Connecticut 06830.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TICC is subject to the informational requirements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and in accordance therewith is required to file reports, proxy statements and other information with the SEC. Reports, registration statements, proxy statements and other information filed by TICC with the SEC, including the TICC 2016 Proxy Statement, when available, are and will be publicly available at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Proxy Statement is dated [ ], 2016. You should not assume that the information contained in this Proxy Statement is accurate as of any date other than such date, and the mailing of this Proxy Statement to Stockholders shall not create any implication to the contrary.</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YOUR VOTE IS IMPORTANT, NO MATTER HOW MANY SHARES YOU OWN. TSLX URGES YOU TO MARK,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TO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of the requirements for submitting Stockholder proposals for the 2016 Annual Meeting has been reproduced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proxy statement for the 2015 Annual Meeting:</w:t>
      </w:r>
    </w:p>
    <w:p>
      <w:pPr>
        <w:spacing w:after="0" w:line="103"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The Company expects that the 2016 Annual Meeting will be held in June 2016, but the exact date, time, and location of such meeting have yet to be determined. A stockholder who intends to present a proposal at the 2016 Annual Meeting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For any proposal that is not submitted for inclusion in next year’s proxy statement (as described in the preceding paragraph) but is instead sought to be presented directly at the 2016 Annual Meeting,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46"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Notices of intention to present proposals at the 2016 Annual Meeting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expect that the deadlines for submitting nominees and Stockholders proposals for inclusion in the Company’s proxy statement and form of proxy for the 2017 annual meeting of Stockholders (as well as the date after which notice of a Stockholder proposal submitted outside the process of Rule 14a-8 under the Exchange Act will be considered untimely) will be included in the TICC 2016 Proxy Statement, when available. The incorporation of this information in this Proxy Statement should not be construed as an admission by TSLX that such procedures are legal, valid or binding.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Form 10-K/A filed by the Company with the SEC on April 29, 2016, the following table sets forth as of April 28, 2016 the beneficial ownership of each current director, the director nominees, the Company’s executive officers, each person known to the Company to beneficially own 5% or more of the outstanding shares of Common Stock, and the executive officers and directors as a group.</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Number of Common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Beneficially</w:t>
            </w:r>
            <w:r>
              <w:rPr>
                <w:rFonts w:ascii="Arial" w:cs="Arial" w:eastAsia="Arial" w:hAnsi="Arial"/>
                <w:sz w:val="12"/>
                <w:szCs w:val="12"/>
                <w:b w:val="1"/>
                <w:bCs w:val="1"/>
                <w:color w:val="auto"/>
                <w:w w:val="95"/>
              </w:rPr>
              <w:t>(1)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310,337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Patrick F. Conroy</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54,984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1,092,355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8"/>
          <w:szCs w:val="18"/>
          <w:i w:val="1"/>
          <w:iCs w:val="1"/>
          <w:color w:val="auto"/>
        </w:rPr>
      </w:pPr>
    </w:p>
    <w:p>
      <w:pPr>
        <w:ind w:left="900" w:hanging="446"/>
        <w:spacing w:after="0"/>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a total of 59,987,986 shares of Common Stock issued and outstanding on the record date for the 2015 Annual Meeting.</w:t>
      </w:r>
    </w:p>
    <w:p>
      <w:pPr>
        <w:spacing w:after="0" w:line="9" w:lineRule="exact"/>
        <w:rPr>
          <w:rFonts w:ascii="Arial" w:cs="Arial" w:eastAsia="Arial" w:hAnsi="Arial"/>
          <w:sz w:val="18"/>
          <w:szCs w:val="18"/>
          <w:i w:val="1"/>
          <w:iCs w:val="1"/>
          <w:color w:val="auto"/>
        </w:rPr>
      </w:pPr>
    </w:p>
    <w:p>
      <w:pPr>
        <w:ind w:left="900" w:right="32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337 shares held by BDC Partners, LLC which may be deemed to be beneficially owned by Messrs. Cohen and Rosenthal by virtue of their ownership interests therein.</w:t>
      </w:r>
    </w:p>
    <w:p>
      <w:pPr>
        <w:ind w:left="900" w:right="40" w:hanging="446"/>
        <w:spacing w:after="0" w:line="255"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April 28,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$5.22 on April 28, 2016 on the NASDAQ Global Select Market. Beneficial ownership has been determined in accordance with Rule 16a-1(a)(2) of the Exchange Act.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TICC Capital Corp.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TSLX RECOMMENDS THAT YOU VOTE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40" w:right="4600" w:hanging="1002"/>
        <w:spacing w:after="0" w:line="250" w:lineRule="auto"/>
        <w:tabs>
          <w:tab w:leader="none" w:pos="5073"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MAY 12, 2016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undersigned stockholder of TICC Capital Corp.,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5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AND 3 AND “AGAINST” PROPOSAL NO. 4.</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8"/>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election of TPG Specialty Lending, Inc.’s (“</w:t>
      </w:r>
      <w:r>
        <w:rPr>
          <w:rFonts w:ascii="Arial" w:cs="Arial" w:eastAsia="Arial" w:hAnsi="Arial"/>
          <w:sz w:val="17"/>
          <w:szCs w:val="17"/>
          <w:u w:val="single" w:color="auto"/>
          <w:color w:val="auto"/>
        </w:rPr>
        <w:t>TSLX</w:t>
      </w:r>
      <w:r>
        <w:rPr>
          <w:rFonts w:ascii="Arial" w:cs="Arial" w:eastAsia="Arial" w:hAnsi="Arial"/>
          <w:sz w:val="17"/>
          <w:szCs w:val="17"/>
          <w:color w:val="auto"/>
        </w:rPr>
        <w:t>”) nominee, T. Kelley Millet, to serve as a director on the Company’s board of directors.</w:t>
      </w:r>
    </w:p>
    <w:p>
      <w:pPr>
        <w:spacing w:after="0" w:line="26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right="24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4.</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2)"/>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decimal"/>
      <w:start w:val="212"/>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decimal"/>
      <w:start w:val="56"/>
    </w:lvl>
  </w:abstractNum>
  <w:abstractNum w:abstractNumId="12">
    <w:nsid w:val="22221A70"/>
    <w:multiLevelType w:val="hybridMultilevel"/>
    <w:lvl w:ilvl="0">
      <w:lvlJc w:val="left"/>
      <w:lvlText w:val="(%1)"/>
      <w:numFmt w:val="lowerLetter"/>
      <w:start w:val="3"/>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2"/>
      <w:numFmt w:val="bullet"/>
      <w:start w:val="1"/>
    </w:lvl>
  </w:abstractNum>
  <w:abstractNum w:abstractNumId="16">
    <w:nsid w:val="419AC241"/>
    <w:multiLevelType w:val="hybridMultilevel"/>
    <w:lvl w:ilvl="0">
      <w:lvlJc w:val="left"/>
      <w:lvlText w:val="3"/>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4"/>
      <w:numFmt w:val="bullet"/>
      <w:start w:val="1"/>
    </w:lvl>
  </w:abstractNum>
  <w:abstractNum w:abstractNumId="19">
    <w:nsid w:val="5072367"/>
    <w:multiLevelType w:val="hybridMultilevel"/>
    <w:lvl w:ilvl="0">
      <w:lvlJc w:val="left"/>
      <w:lvlText w:val="5"/>
      <w:numFmt w:val="bullet"/>
      <w:start w:val="1"/>
    </w:lvl>
  </w:abstractNum>
  <w:abstractNum w:abstractNumId="20">
    <w:nsid w:val="3804823E"/>
    <w:multiLevelType w:val="hybridMultilevel"/>
    <w:lvl w:ilvl="0">
      <w:lvlJc w:val="left"/>
      <w:lvlText w:val="6"/>
      <w:numFmt w:val="bullet"/>
      <w:start w:val="1"/>
    </w:lvl>
  </w:abstractNum>
  <w:abstractNum w:abstractNumId="21">
    <w:nsid w:val="77465F01"/>
    <w:multiLevelType w:val="hybridMultilevel"/>
    <w:lvl w:ilvl="0">
      <w:lvlJc w:val="left"/>
      <w:lvlText w:val="7"/>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9"/>
      <w:numFmt w:val="bullet"/>
      <w:start w:val="1"/>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5"/>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upperLetter"/>
      <w:start w:val="2"/>
    </w:lvl>
  </w:abstractNum>
  <w:abstractNum w:abstractNumId="38">
    <w:nsid w:val="7A6D8D3C"/>
    <w:multiLevelType w:val="hybridMultilevel"/>
    <w:lvl w:ilvl="0">
      <w:lvlJc w:val="left"/>
      <w:lvlText w:val="%1."/>
      <w:numFmt w:val="upp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upperLetter"/>
      <w:start w:val="6"/>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21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2019-12-20T21:48:39Z</dcterms:created>
  <dcterms:modified xsi:type="dcterms:W3CDTF">2019-12-20T21:48:39Z</dcterms:modified>
</cp:coreProperties>
</file>