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333-269222</w:t>
      </w:r>
    </w:p>
    <w:p>
      <w:pPr>
        <w:spacing w:after="0" w:line="139"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(To Prospectus dated January 13, 2023)</w:t>
      </w:r>
    </w:p>
    <w:p>
      <w:pPr>
        <w:spacing w:after="0" w:line="184"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$300,000,000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2794635</wp:posOffset>
            </wp:positionH>
            <wp:positionV relativeFrom="paragraph">
              <wp:posOffset>178435</wp:posOffset>
            </wp:positionV>
            <wp:extent cx="1405890"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5890" cy="436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3"/>
        <w:spacing w:after="0"/>
        <w:rPr>
          <w:sz w:val="20"/>
          <w:szCs w:val="20"/>
          <w:color w:val="auto"/>
        </w:rPr>
      </w:pPr>
      <w:r>
        <w:rPr>
          <w:rFonts w:ascii="Arial" w:cs="Arial" w:eastAsia="Arial" w:hAnsi="Arial"/>
          <w:sz w:val="25"/>
          <w:szCs w:val="25"/>
          <w:b w:val="1"/>
          <w:bCs w:val="1"/>
          <w:color w:val="auto"/>
        </w:rPr>
        <w:t>6.950% Notes due 2028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243205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ind w:left="4" w:right="100" w:firstLine="440"/>
        <w:spacing w:after="0" w:line="255" w:lineRule="auto"/>
        <w:rPr>
          <w:sz w:val="20"/>
          <w:szCs w:val="20"/>
          <w:color w:val="auto"/>
        </w:rPr>
      </w:pPr>
      <w:r>
        <w:rPr>
          <w:rFonts w:ascii="Arial" w:cs="Arial" w:eastAsia="Arial" w:hAnsi="Arial"/>
          <w:sz w:val="18"/>
          <w:szCs w:val="18"/>
          <w:color w:val="auto"/>
        </w:rPr>
        <w:t>We are offering $300,000,000 in aggregate principal amount of 6.950% notes due 2028, which we refer to as the Notes. The Notes will mature on August 14, 2028. We will pay interest on the Notes on February 14 and August 14 of each year, beginning on February 14, 2024. We may redeem the Notes in whole or in part at any time or from time to time at the redemption price discussed under the caption “Description of Notes—Optional Redemption” in this prospectus supplement. In addition, holders of the Notes can require us to repurchase the Notes at 100% of their principal amount upon the occurrence of a Change of Control Repurchase Event (as defined herein). The Notes will be issued in minimum denominations of $2,000 and integral multiples of $1,000 in excess thereof.</w:t>
      </w:r>
    </w:p>
    <w:p>
      <w:pPr>
        <w:spacing w:after="0" w:line="192" w:lineRule="exact"/>
        <w:rPr>
          <w:sz w:val="24"/>
          <w:szCs w:val="24"/>
          <w:color w:val="auto"/>
        </w:rPr>
      </w:pPr>
    </w:p>
    <w:p>
      <w:pPr>
        <w:ind w:left="4" w:right="100" w:firstLine="440"/>
        <w:spacing w:after="0" w:line="257" w:lineRule="auto"/>
        <w:rPr>
          <w:sz w:val="20"/>
          <w:szCs w:val="20"/>
          <w:color w:val="auto"/>
        </w:rPr>
      </w:pPr>
      <w:r>
        <w:rPr>
          <w:rFonts w:ascii="Arial" w:cs="Arial" w:eastAsia="Arial" w:hAnsi="Arial"/>
          <w:sz w:val="18"/>
          <w:szCs w:val="18"/>
          <w:color w:val="auto"/>
        </w:rPr>
        <w:t>The Notes will be our direct, general unsecured obligations and rank pari passu, or equal, with all existing and future unsecured unsubordinated indebtedness issued by us, but will rank senior to our future indebtedness that is expressly subordinated in right of payment to the Notes. 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and unsecured loans and investments in corporate bonds and equity securities.</w:t>
      </w:r>
    </w:p>
    <w:p>
      <w:pPr>
        <w:spacing w:after="0" w:line="188" w:lineRule="exact"/>
        <w:rPr>
          <w:sz w:val="24"/>
          <w:szCs w:val="24"/>
          <w:color w:val="auto"/>
        </w:rPr>
      </w:pPr>
    </w:p>
    <w:p>
      <w:pPr>
        <w:ind w:left="4" w:right="80" w:firstLine="440"/>
        <w:spacing w:after="0" w:line="259" w:lineRule="auto"/>
        <w:rPr>
          <w:sz w:val="20"/>
          <w:szCs w:val="20"/>
          <w:color w:val="auto"/>
        </w:rPr>
      </w:pPr>
      <w:r>
        <w:rPr>
          <w:rFonts w:ascii="Arial" w:cs="Arial" w:eastAsia="Arial" w:hAnsi="Arial"/>
          <w:sz w:val="18"/>
          <w:szCs w:val="18"/>
          <w:color w:val="auto"/>
        </w:rPr>
        <w:t>As of June 30, 2023, our investment portfolio consisted of investments in 130 portfolio companies (including 44 structured credit investments, which include each series of collateralized loan obligation as a separate portfolio company investment) with an aggregate fair value of $3,089.0 million. We intend to continue to pursue an investment strategy focused primarily on direct origination of loans to middle-market companies domiciled in the United States.</w:t>
      </w:r>
    </w:p>
    <w:p>
      <w:pPr>
        <w:spacing w:after="0" w:line="187" w:lineRule="exact"/>
        <w:rPr>
          <w:sz w:val="24"/>
          <w:szCs w:val="24"/>
          <w:color w:val="auto"/>
        </w:rPr>
      </w:pPr>
    </w:p>
    <w:p>
      <w:pPr>
        <w:jc w:val="both"/>
        <w:ind w:left="4" w:right="200" w:firstLine="440"/>
        <w:spacing w:after="0" w:line="263" w:lineRule="auto"/>
        <w:rPr>
          <w:sz w:val="20"/>
          <w:szCs w:val="20"/>
          <w:color w:val="auto"/>
        </w:rPr>
      </w:pPr>
      <w:r>
        <w:rPr>
          <w:rFonts w:ascii="Arial" w:cs="Arial" w:eastAsia="Arial" w:hAnsi="Arial"/>
          <w:sz w:val="18"/>
          <w:szCs w:val="18"/>
          <w:color w:val="auto"/>
        </w:rPr>
        <w:t>We are an externally managed, closed-end, non-diversified management investment company. Sixth Street Specialty Lending Advisers, LLC, or the Adviser, acts as our investment adviser and administrator. We and the Adviser are part of Sixth Street Partners, LLC, a global investment firm with over $65 billion in assets under management as of June 30, 2023.</w:t>
      </w:r>
    </w:p>
    <w:p>
      <w:pPr>
        <w:spacing w:after="0" w:line="184" w:lineRule="exact"/>
        <w:rPr>
          <w:sz w:val="24"/>
          <w:szCs w:val="24"/>
          <w:color w:val="auto"/>
        </w:rPr>
      </w:pPr>
    </w:p>
    <w:p>
      <w:pPr>
        <w:ind w:left="4" w:right="20" w:firstLine="440"/>
        <w:spacing w:after="0" w:line="255" w:lineRule="auto"/>
        <w:rPr>
          <w:sz w:val="20"/>
          <w:szCs w:val="20"/>
          <w:color w:val="auto"/>
        </w:rPr>
      </w:pPr>
      <w:r>
        <w:rPr>
          <w:rFonts w:ascii="Arial" w:cs="Arial" w:eastAsia="Arial" w:hAnsi="Arial"/>
          <w:sz w:val="18"/>
          <w:szCs w:val="18"/>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192" w:lineRule="exact"/>
        <w:rPr>
          <w:sz w:val="24"/>
          <w:szCs w:val="24"/>
          <w:color w:val="auto"/>
        </w:rPr>
      </w:pPr>
    </w:p>
    <w:p>
      <w:pPr>
        <w:ind w:left="4" w:right="20" w:firstLine="440"/>
        <w:spacing w:after="0" w:line="301" w:lineRule="auto"/>
        <w:rPr>
          <w:sz w:val="20"/>
          <w:szCs w:val="20"/>
          <w:color w:val="auto"/>
        </w:rPr>
      </w:pPr>
      <w:r>
        <w:rPr>
          <w:rFonts w:ascii="Arial" w:cs="Arial" w:eastAsia="Arial" w:hAnsi="Arial"/>
          <w:sz w:val="16"/>
          <w:szCs w:val="16"/>
          <w:color w:val="auto"/>
        </w:rPr>
        <w:t>Substantially all of our debt investments have variable interest rates that reset periodically based on interest rate benchmarks such as the London Interbank Offered Rate, the Euro Interbank Offered Rate, the Canadian Dollar Offered Rate, the Secured Overnight Financing Rate, the Sterling Overnight Interbank Average Rate or the Prime Rate. As a result, significant increases in such interest rate benchmarks (or any replacement benchmarks) in the future would make it more difficult for these borrowers to service their obligations under the debt investments that we hold.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134620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left="4" w:right="20" w:firstLine="440"/>
        <w:spacing w:after="0" w:line="239" w:lineRule="auto"/>
        <w:rPr>
          <w:sz w:val="20"/>
          <w:szCs w:val="20"/>
          <w:color w:val="auto"/>
        </w:rPr>
      </w:pPr>
      <w:r>
        <w:rPr>
          <w:rFonts w:ascii="Arial" w:cs="Arial" w:eastAsia="Arial" w:hAnsi="Arial"/>
          <w:sz w:val="22"/>
          <w:szCs w:val="22"/>
          <w:b w:val="1"/>
          <w:bCs w:val="1"/>
          <w:color w:val="auto"/>
        </w:rPr>
        <w:t>Investing in the Notes involves risks, including the risk of leverage, that are described in the “</w:t>
      </w:r>
      <w:r>
        <w:rPr>
          <w:rFonts w:ascii="Arial" w:cs="Arial" w:eastAsia="Arial" w:hAnsi="Arial"/>
          <w:sz w:val="22"/>
          <w:szCs w:val="22"/>
          <w:b w:val="1"/>
          <w:bCs w:val="1"/>
          <w:u w:val="single" w:color="auto"/>
          <w:color w:val="0000EE"/>
        </w:rPr>
        <w:t>Risk Factors</w:t>
      </w:r>
      <w:r>
        <w:rPr>
          <w:rFonts w:ascii="Arial" w:cs="Arial" w:eastAsia="Arial" w:hAnsi="Arial"/>
          <w:sz w:val="22"/>
          <w:szCs w:val="22"/>
          <w:b w:val="1"/>
          <w:bCs w:val="1"/>
          <w:color w:val="auto"/>
        </w:rPr>
        <w:t>” section beginning on page S-8 of this prospectus supplement and page 22 of the accompanying prospectus and the matters discussed in the documents incorporated or deemed to be incorporated by reference in this prospectus supplement and the accompanying prospectus.</w:t>
      </w:r>
    </w:p>
    <w:p>
      <w:pPr>
        <w:spacing w:after="0" w:line="193" w:lineRule="exact"/>
        <w:rPr>
          <w:sz w:val="24"/>
          <w:szCs w:val="24"/>
          <w:color w:val="auto"/>
        </w:rPr>
      </w:pPr>
    </w:p>
    <w:p>
      <w:pPr>
        <w:ind w:left="4" w:right="20" w:firstLine="440"/>
        <w:spacing w:after="0" w:line="289" w:lineRule="auto"/>
        <w:rPr>
          <w:sz w:val="20"/>
          <w:szCs w:val="20"/>
          <w:color w:val="auto"/>
        </w:rPr>
      </w:pPr>
      <w:r>
        <w:rPr>
          <w:rFonts w:ascii="Arial" w:cs="Arial" w:eastAsia="Arial" w:hAnsi="Arial"/>
          <w:sz w:val="16"/>
          <w:szCs w:val="16"/>
          <w:color w:val="auto"/>
        </w:rPr>
        <w:t>Please read this prospectus supplement and the accompanying prospectus, including any information incorporated by reference herein or therein, before investing and keep such documents for future reference. This prospectus supplement and the accompanying prospectus,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supplement and the accompanying prospectus or incorporated by reference herein or therein. We also file periodic and current reports, proxy statements and other information about us with the Securities and Exchange Commission (the “SEC”). This information is available free of charge by contacting us at 888 7th Avenue, 41st Floor, New York, NY 10106, Attention: TSLX Investor Relations, by emailing us at IRTSLX@sixthstreet.com or visiting our website at http://www.sixthstreetspecialtylending.com. Information on our website is not incorporated into or a part of this prospectus supplement or the accompanying prospectus. The SEC also maintains a website at http://www.sec.gov that contains this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140335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tbl>
      <w:tblPr>
        <w:tblLayout w:type="fixed"/>
        <w:tblInd w:w="1324"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Per Note</w:t>
            </w:r>
          </w:p>
        </w:tc>
        <w:tc>
          <w:tcPr>
            <w:tcW w:w="100" w:type="dxa"/>
            <w:vAlign w:val="bottom"/>
          </w:tcPr>
          <w:p>
            <w:pPr>
              <w:spacing w:after="0"/>
              <w:rPr>
                <w:sz w:val="14"/>
                <w:szCs w:val="14"/>
                <w:color w:val="auto"/>
              </w:rPr>
            </w:pPr>
          </w:p>
        </w:tc>
        <w:tc>
          <w:tcPr>
            <w:tcW w:w="94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r>
      <w:tr>
        <w:trPr>
          <w:trHeight w:val="20"/>
        </w:trPr>
        <w:tc>
          <w:tcPr>
            <w:tcW w:w="6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Public offering price</w:t>
            </w:r>
            <w:r>
              <w:rPr>
                <w:rFonts w:ascii="Arial" w:cs="Arial" w:eastAsia="Arial" w:hAnsi="Arial"/>
                <w:sz w:val="22"/>
                <w:szCs w:val="22"/>
                <w:color w:val="auto"/>
                <w:vertAlign w:val="superscript"/>
              </w:rPr>
              <w:t>(1)</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99.403%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298,209,000</w:t>
            </w:r>
          </w:p>
        </w:tc>
        <w:tc>
          <w:tcPr>
            <w:tcW w:w="4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Underwriting discount (sales load)</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3,000,000</w:t>
            </w:r>
          </w:p>
        </w:tc>
        <w:tc>
          <w:tcPr>
            <w:tcW w:w="4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Proceeds to us, before expenses</w:t>
            </w:r>
            <w:r>
              <w:rPr>
                <w:rFonts w:ascii="Arial" w:cs="Arial" w:eastAsia="Arial" w:hAnsi="Arial"/>
                <w:sz w:val="22"/>
                <w:szCs w:val="22"/>
                <w:color w:val="auto"/>
                <w:vertAlign w:val="superscript"/>
              </w:rPr>
              <w:t>(2)</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98.403%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295,209,000</w:t>
            </w:r>
          </w:p>
        </w:tc>
        <w:tc>
          <w:tcPr>
            <w:tcW w:w="40" w:type="dxa"/>
            <w:vAlign w:val="bottom"/>
            <w:shd w:val="clear" w:color="auto" w:fill="CCEEFF"/>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4"/>
          <w:szCs w:val="24"/>
          <w:color w:val="auto"/>
        </w:rPr>
      </w:pPr>
    </w:p>
    <w:p>
      <w:pPr>
        <w:ind w:left="444" w:right="100" w:hanging="444"/>
        <w:spacing w:after="0" w:line="277" w:lineRule="auto"/>
        <w:tabs>
          <w:tab w:leader="none" w:pos="44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public offering price set forth above does not include accrued interest, if any. Interest on the Notes must be paid by the purchaser if the Notes are delivered after August 14, 2023.</w:t>
      </w:r>
    </w:p>
    <w:p>
      <w:pPr>
        <w:sectPr>
          <w:pgSz w:w="11900" w:h="16922" w:orient="portrait"/>
          <w:cols w:equalWidth="0" w:num="1">
            <w:col w:w="11024"/>
          </w:cols>
          <w:pgMar w:left="436" w:top="229" w:right="439" w:bottom="0" w:gutter="0" w:footer="0" w:header="0"/>
        </w:sectPr>
      </w:pPr>
    </w:p>
    <w:bookmarkStart w:id="1" w:name="page2"/>
    <w:bookmarkEnd w:id="1"/>
    <w:p>
      <w:pPr>
        <w:spacing w:after="0" w:line="12" w:lineRule="exact"/>
        <w:rPr>
          <w:sz w:val="20"/>
          <w:szCs w:val="20"/>
          <w:color w:val="auto"/>
        </w:rPr>
      </w:pPr>
    </w:p>
    <w:p>
      <w:pPr>
        <w:ind w:left="444" w:hanging="444"/>
        <w:spacing w:after="0"/>
        <w:tabs>
          <w:tab w:leader="none" w:pos="444" w:val="left"/>
        </w:tabs>
        <w:numPr>
          <w:ilvl w:val="0"/>
          <w:numId w:val="2"/>
        </w:numPr>
        <w:rPr>
          <w:rFonts w:ascii="Arial" w:cs="Arial" w:eastAsia="Arial" w:hAnsi="Arial"/>
          <w:sz w:val="18"/>
          <w:szCs w:val="18"/>
          <w:color w:val="auto"/>
        </w:rPr>
      </w:pPr>
      <w:r>
        <w:rPr>
          <w:rFonts w:ascii="Arial" w:cs="Arial" w:eastAsia="Arial" w:hAnsi="Arial"/>
          <w:sz w:val="18"/>
          <w:szCs w:val="18"/>
          <w:color w:val="auto"/>
        </w:rPr>
        <w:t>Before deducting expenses payable by us related to this offering, estimated at $1.1 million.</w:t>
      </w:r>
    </w:p>
    <w:p>
      <w:pPr>
        <w:spacing w:after="0" w:line="221" w:lineRule="exact"/>
        <w:rPr>
          <w:sz w:val="20"/>
          <w:szCs w:val="20"/>
          <w:color w:val="auto"/>
        </w:rPr>
      </w:pPr>
    </w:p>
    <w:p>
      <w:pPr>
        <w:ind w:left="4" w:right="700" w:firstLine="440"/>
        <w:spacing w:after="0" w:line="282" w:lineRule="auto"/>
        <w:rPr>
          <w:sz w:val="20"/>
          <w:szCs w:val="20"/>
          <w:color w:val="auto"/>
        </w:rPr>
      </w:pPr>
      <w:r>
        <w:rPr>
          <w:rFonts w:ascii="Arial" w:cs="Arial" w:eastAsia="Arial" w:hAnsi="Arial"/>
          <w:sz w:val="18"/>
          <w:szCs w:val="18"/>
          <w:b w:val="1"/>
          <w:bCs w:val="1"/>
          <w:color w:val="auto"/>
        </w:rPr>
        <w:t>THE NOTES ARE NOT DEPOSITS OR OTHER OBLIGATIONS OF A BANK AND ARE NOT INSURED BY THE FEDERAL DEPOSIT INSURANCE CORPORATION OR ANY OTHER GOVERNMENT AGENCY.</w:t>
      </w:r>
    </w:p>
    <w:p>
      <w:pPr>
        <w:spacing w:after="0" w:line="162" w:lineRule="exact"/>
        <w:rPr>
          <w:sz w:val="20"/>
          <w:szCs w:val="20"/>
          <w:color w:val="auto"/>
        </w:rPr>
      </w:pPr>
    </w:p>
    <w:p>
      <w:pPr>
        <w:ind w:left="4" w:right="860"/>
        <w:spacing w:after="0" w:line="386" w:lineRule="auto"/>
        <w:rPr>
          <w:sz w:val="20"/>
          <w:szCs w:val="20"/>
          <w:color w:val="auto"/>
        </w:rPr>
      </w:pPr>
      <w:r>
        <w:rPr>
          <w:rFonts w:ascii="Arial" w:cs="Arial" w:eastAsia="Arial" w:hAnsi="Arial"/>
          <w:sz w:val="15"/>
          <w:szCs w:val="15"/>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9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Delivery of the Notes in book-entry form only through The Depository Trust Company will be made on or about August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177800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p>
        </w:tc>
        <w:tc>
          <w:tcPr>
            <w:tcW w:w="7880" w:type="dxa"/>
            <w:vAlign w:val="bottom"/>
            <w:gridSpan w:val="2"/>
          </w:tcPr>
          <w:p>
            <w:pPr>
              <w:jc w:val="center"/>
              <w:ind w:right="3084"/>
              <w:spacing w:after="0"/>
              <w:rPr>
                <w:sz w:val="20"/>
                <w:szCs w:val="20"/>
                <w:color w:val="auto"/>
              </w:rPr>
            </w:pPr>
            <w:r>
              <w:rPr>
                <w:rFonts w:ascii="Arial" w:cs="Arial" w:eastAsia="Arial" w:hAnsi="Arial"/>
                <w:sz w:val="18"/>
                <w:szCs w:val="18"/>
                <w:b w:val="1"/>
                <w:bCs w:val="1"/>
                <w:i w:val="1"/>
                <w:iCs w:val="1"/>
                <w:color w:val="auto"/>
                <w:w w:val="88"/>
              </w:rPr>
              <w:t>Joint Book-Running Managers</w:t>
            </w:r>
          </w:p>
        </w:tc>
      </w:tr>
      <w:tr>
        <w:trPr>
          <w:trHeight w:val="477"/>
        </w:trPr>
        <w:tc>
          <w:tcPr>
            <w:tcW w:w="3140" w:type="dxa"/>
            <w:vAlign w:val="bottom"/>
          </w:tcPr>
          <w:p>
            <w:pPr>
              <w:spacing w:after="0"/>
              <w:rPr>
                <w:sz w:val="20"/>
                <w:szCs w:val="20"/>
                <w:color w:val="auto"/>
              </w:rPr>
            </w:pPr>
            <w:r>
              <w:rPr>
                <w:rFonts w:ascii="Arial" w:cs="Arial" w:eastAsia="Arial" w:hAnsi="Arial"/>
                <w:sz w:val="20"/>
                <w:szCs w:val="20"/>
                <w:b w:val="1"/>
                <w:bCs w:val="1"/>
                <w:color w:val="auto"/>
              </w:rPr>
              <w:t>BofA Securities</w:t>
            </w:r>
          </w:p>
        </w:tc>
        <w:tc>
          <w:tcPr>
            <w:tcW w:w="3160" w:type="dxa"/>
            <w:vAlign w:val="bottom"/>
          </w:tcPr>
          <w:p>
            <w:pPr>
              <w:ind w:left="1560"/>
              <w:spacing w:after="0"/>
              <w:rPr>
                <w:sz w:val="20"/>
                <w:szCs w:val="20"/>
                <w:color w:val="auto"/>
              </w:rPr>
            </w:pPr>
            <w:r>
              <w:rPr>
                <w:rFonts w:ascii="Arial" w:cs="Arial" w:eastAsia="Arial" w:hAnsi="Arial"/>
                <w:sz w:val="20"/>
                <w:szCs w:val="20"/>
                <w:b w:val="1"/>
                <w:bCs w:val="1"/>
                <w:color w:val="auto"/>
              </w:rPr>
              <w:t>J.P. Morgan</w:t>
            </w:r>
          </w:p>
        </w:tc>
        <w:tc>
          <w:tcPr>
            <w:tcW w:w="4720" w:type="dxa"/>
            <w:vAlign w:val="bottom"/>
          </w:tcPr>
          <w:p>
            <w:pPr>
              <w:ind w:left="3580"/>
              <w:spacing w:after="0"/>
              <w:rPr>
                <w:sz w:val="20"/>
                <w:szCs w:val="20"/>
                <w:color w:val="auto"/>
              </w:rPr>
            </w:pPr>
            <w:r>
              <w:rPr>
                <w:rFonts w:ascii="Arial" w:cs="Arial" w:eastAsia="Arial" w:hAnsi="Arial"/>
                <w:sz w:val="20"/>
                <w:szCs w:val="20"/>
                <w:b w:val="1"/>
                <w:bCs w:val="1"/>
                <w:color w:val="auto"/>
                <w:w w:val="94"/>
              </w:rPr>
              <w:t>SMBC Nikko</w:t>
            </w:r>
          </w:p>
        </w:tc>
      </w:tr>
      <w:tr>
        <w:trPr>
          <w:trHeight w:val="436"/>
        </w:trPr>
        <w:tc>
          <w:tcPr>
            <w:tcW w:w="3140" w:type="dxa"/>
            <w:vAlign w:val="bottom"/>
          </w:tcPr>
          <w:p>
            <w:pPr>
              <w:jc w:val="center"/>
              <w:ind w:left="525"/>
              <w:spacing w:after="0"/>
              <w:rPr>
                <w:sz w:val="20"/>
                <w:szCs w:val="20"/>
                <w:color w:val="auto"/>
              </w:rPr>
            </w:pPr>
            <w:r>
              <w:rPr>
                <w:rFonts w:ascii="Arial" w:cs="Arial" w:eastAsia="Arial" w:hAnsi="Arial"/>
                <w:sz w:val="16"/>
                <w:szCs w:val="16"/>
                <w:b w:val="1"/>
                <w:bCs w:val="1"/>
                <w:color w:val="auto"/>
                <w:w w:val="93"/>
              </w:rPr>
              <w:t>Goldman Sachs &amp; Co. LLC</w:t>
            </w:r>
          </w:p>
        </w:tc>
        <w:tc>
          <w:tcPr>
            <w:tcW w:w="3160" w:type="dxa"/>
            <w:vAlign w:val="bottom"/>
          </w:tcPr>
          <w:p>
            <w:pPr>
              <w:jc w:val="center"/>
              <w:ind w:left="1721"/>
              <w:spacing w:after="0"/>
              <w:rPr>
                <w:sz w:val="20"/>
                <w:szCs w:val="20"/>
                <w:color w:val="auto"/>
              </w:rPr>
            </w:pPr>
            <w:r>
              <w:rPr>
                <w:rFonts w:ascii="Arial" w:cs="Arial" w:eastAsia="Arial" w:hAnsi="Arial"/>
                <w:sz w:val="16"/>
                <w:szCs w:val="16"/>
                <w:b w:val="1"/>
                <w:bCs w:val="1"/>
                <w:color w:val="auto"/>
                <w:w w:val="93"/>
              </w:rPr>
              <w:t>Morgan Stanley</w:t>
            </w:r>
          </w:p>
        </w:tc>
        <w:tc>
          <w:tcPr>
            <w:tcW w:w="4720" w:type="dxa"/>
            <w:vAlign w:val="bottom"/>
          </w:tcPr>
          <w:p>
            <w:pPr>
              <w:jc w:val="center"/>
              <w:ind w:left="1084"/>
              <w:spacing w:after="0"/>
              <w:rPr>
                <w:sz w:val="20"/>
                <w:szCs w:val="20"/>
                <w:color w:val="auto"/>
              </w:rPr>
            </w:pPr>
            <w:r>
              <w:rPr>
                <w:rFonts w:ascii="Arial" w:cs="Arial" w:eastAsia="Arial" w:hAnsi="Arial"/>
                <w:sz w:val="16"/>
                <w:szCs w:val="16"/>
                <w:b w:val="1"/>
                <w:bCs w:val="1"/>
                <w:color w:val="auto"/>
                <w:w w:val="96"/>
              </w:rPr>
              <w:t>RBC Capital Markets</w:t>
            </w:r>
          </w:p>
        </w:tc>
      </w:tr>
      <w:tr>
        <w:trPr>
          <w:trHeight w:val="432"/>
        </w:trPr>
        <w:tc>
          <w:tcPr>
            <w:tcW w:w="3140" w:type="dxa"/>
            <w:vAlign w:val="bottom"/>
          </w:tcPr>
          <w:p>
            <w:pPr>
              <w:jc w:val="center"/>
              <w:ind w:left="525"/>
              <w:spacing w:after="0"/>
              <w:rPr>
                <w:sz w:val="20"/>
                <w:szCs w:val="20"/>
                <w:color w:val="auto"/>
              </w:rPr>
            </w:pPr>
            <w:r>
              <w:rPr>
                <w:rFonts w:ascii="Arial" w:cs="Arial" w:eastAsia="Arial" w:hAnsi="Arial"/>
                <w:sz w:val="16"/>
                <w:szCs w:val="16"/>
                <w:b w:val="1"/>
                <w:bCs w:val="1"/>
                <w:color w:val="auto"/>
                <w:w w:val="92"/>
              </w:rPr>
              <w:t>Citigroup</w:t>
            </w:r>
          </w:p>
        </w:tc>
        <w:tc>
          <w:tcPr>
            <w:tcW w:w="3160" w:type="dxa"/>
            <w:vAlign w:val="bottom"/>
          </w:tcPr>
          <w:p>
            <w:pPr>
              <w:jc w:val="center"/>
              <w:ind w:left="1721"/>
              <w:spacing w:after="0"/>
              <w:rPr>
                <w:sz w:val="20"/>
                <w:szCs w:val="20"/>
                <w:color w:val="auto"/>
              </w:rPr>
            </w:pPr>
            <w:r>
              <w:rPr>
                <w:rFonts w:ascii="Arial" w:cs="Arial" w:eastAsia="Arial" w:hAnsi="Arial"/>
                <w:sz w:val="16"/>
                <w:szCs w:val="16"/>
                <w:b w:val="1"/>
                <w:bCs w:val="1"/>
                <w:color w:val="auto"/>
                <w:w w:val="96"/>
              </w:rPr>
              <w:t>HSBC</w:t>
            </w:r>
          </w:p>
        </w:tc>
        <w:tc>
          <w:tcPr>
            <w:tcW w:w="4720" w:type="dxa"/>
            <w:vAlign w:val="bottom"/>
          </w:tcPr>
          <w:p>
            <w:pPr>
              <w:jc w:val="center"/>
              <w:ind w:left="1104"/>
              <w:spacing w:after="0"/>
              <w:rPr>
                <w:sz w:val="20"/>
                <w:szCs w:val="20"/>
                <w:color w:val="auto"/>
              </w:rPr>
            </w:pPr>
            <w:r>
              <w:rPr>
                <w:rFonts w:ascii="Arial" w:cs="Arial" w:eastAsia="Arial" w:hAnsi="Arial"/>
                <w:sz w:val="16"/>
                <w:szCs w:val="16"/>
                <w:b w:val="1"/>
                <w:bCs w:val="1"/>
                <w:color w:val="auto"/>
                <w:w w:val="97"/>
              </w:rPr>
              <w:t>Mizuho</w:t>
            </w:r>
          </w:p>
        </w:tc>
      </w:tr>
      <w:tr>
        <w:trPr>
          <w:trHeight w:val="418"/>
        </w:trPr>
        <w:tc>
          <w:tcPr>
            <w:tcW w:w="3140" w:type="dxa"/>
            <w:vAlign w:val="bottom"/>
          </w:tcPr>
          <w:p>
            <w:pPr>
              <w:jc w:val="center"/>
              <w:ind w:left="525"/>
              <w:spacing w:after="0"/>
              <w:rPr>
                <w:sz w:val="20"/>
                <w:szCs w:val="20"/>
                <w:color w:val="auto"/>
              </w:rPr>
            </w:pPr>
            <w:r>
              <w:rPr>
                <w:rFonts w:ascii="Arial" w:cs="Arial" w:eastAsia="Arial" w:hAnsi="Arial"/>
                <w:sz w:val="16"/>
                <w:szCs w:val="16"/>
                <w:b w:val="1"/>
                <w:bCs w:val="1"/>
                <w:color w:val="auto"/>
              </w:rPr>
              <w:t>MUFG</w:t>
            </w:r>
          </w:p>
        </w:tc>
        <w:tc>
          <w:tcPr>
            <w:tcW w:w="3160" w:type="dxa"/>
            <w:vAlign w:val="bottom"/>
          </w:tcPr>
          <w:p>
            <w:pPr>
              <w:jc w:val="center"/>
              <w:ind w:left="1701"/>
              <w:spacing w:after="0"/>
              <w:rPr>
                <w:sz w:val="20"/>
                <w:szCs w:val="20"/>
                <w:color w:val="auto"/>
              </w:rPr>
            </w:pPr>
            <w:r>
              <w:rPr>
                <w:rFonts w:ascii="Arial" w:cs="Arial" w:eastAsia="Arial" w:hAnsi="Arial"/>
                <w:sz w:val="16"/>
                <w:szCs w:val="16"/>
                <w:b w:val="1"/>
                <w:bCs w:val="1"/>
                <w:color w:val="auto"/>
                <w:w w:val="90"/>
              </w:rPr>
              <w:t>Truist Securities</w:t>
            </w:r>
          </w:p>
        </w:tc>
        <w:tc>
          <w:tcPr>
            <w:tcW w:w="4720" w:type="dxa"/>
            <w:vAlign w:val="bottom"/>
          </w:tcPr>
          <w:p>
            <w:pPr>
              <w:jc w:val="center"/>
              <w:ind w:left="1104"/>
              <w:spacing w:after="0"/>
              <w:rPr>
                <w:sz w:val="20"/>
                <w:szCs w:val="20"/>
                <w:color w:val="auto"/>
              </w:rPr>
            </w:pPr>
            <w:r>
              <w:rPr>
                <w:rFonts w:ascii="Arial" w:cs="Arial" w:eastAsia="Arial" w:hAnsi="Arial"/>
                <w:sz w:val="16"/>
                <w:szCs w:val="16"/>
                <w:b w:val="1"/>
                <w:bCs w:val="1"/>
                <w:color w:val="auto"/>
                <w:w w:val="89"/>
              </w:rPr>
              <w:t>Wells Fargo Securities</w:t>
            </w:r>
          </w:p>
        </w:tc>
      </w:tr>
      <w:tr>
        <w:trPr>
          <w:trHeight w:val="438"/>
        </w:trPr>
        <w:tc>
          <w:tcPr>
            <w:tcW w:w="3140" w:type="dxa"/>
            <w:vAlign w:val="bottom"/>
          </w:tcPr>
          <w:p>
            <w:pPr>
              <w:spacing w:after="0"/>
              <w:rPr>
                <w:sz w:val="24"/>
                <w:szCs w:val="24"/>
                <w:color w:val="auto"/>
              </w:rPr>
            </w:pPr>
          </w:p>
        </w:tc>
        <w:tc>
          <w:tcPr>
            <w:tcW w:w="3160" w:type="dxa"/>
            <w:vAlign w:val="bottom"/>
          </w:tcPr>
          <w:p>
            <w:pPr>
              <w:jc w:val="center"/>
              <w:ind w:left="1501"/>
              <w:spacing w:after="0"/>
              <w:rPr>
                <w:sz w:val="20"/>
                <w:szCs w:val="20"/>
                <w:color w:val="auto"/>
              </w:rPr>
            </w:pPr>
            <w:r>
              <w:rPr>
                <w:rFonts w:ascii="Arial" w:cs="Arial" w:eastAsia="Arial" w:hAnsi="Arial"/>
                <w:sz w:val="18"/>
                <w:szCs w:val="18"/>
                <w:b w:val="1"/>
                <w:bCs w:val="1"/>
                <w:i w:val="1"/>
                <w:iCs w:val="1"/>
                <w:color w:val="auto"/>
                <w:w w:val="89"/>
              </w:rPr>
              <w:t>Co-Managers</w:t>
            </w:r>
          </w:p>
        </w:tc>
        <w:tc>
          <w:tcPr>
            <w:tcW w:w="4720" w:type="dxa"/>
            <w:vAlign w:val="bottom"/>
          </w:tcPr>
          <w:p>
            <w:pPr>
              <w:spacing w:after="0"/>
              <w:rPr>
                <w:sz w:val="24"/>
                <w:szCs w:val="24"/>
                <w:color w:val="auto"/>
              </w:rPr>
            </w:pPr>
          </w:p>
        </w:tc>
      </w:tr>
      <w:tr>
        <w:trPr>
          <w:trHeight w:val="368"/>
        </w:trPr>
        <w:tc>
          <w:tcPr>
            <w:tcW w:w="3140" w:type="dxa"/>
            <w:vAlign w:val="bottom"/>
          </w:tcPr>
          <w:p>
            <w:pPr>
              <w:jc w:val="center"/>
              <w:ind w:left="525"/>
              <w:spacing w:after="0"/>
              <w:rPr>
                <w:sz w:val="20"/>
                <w:szCs w:val="20"/>
                <w:color w:val="auto"/>
              </w:rPr>
            </w:pPr>
            <w:r>
              <w:rPr>
                <w:rFonts w:ascii="Arial" w:cs="Arial" w:eastAsia="Arial" w:hAnsi="Arial"/>
                <w:sz w:val="13"/>
                <w:szCs w:val="13"/>
                <w:b w:val="1"/>
                <w:bCs w:val="1"/>
                <w:color w:val="auto"/>
                <w:w w:val="88"/>
              </w:rPr>
              <w:t>Keefe, Bruyette &amp; Woods</w:t>
            </w:r>
          </w:p>
        </w:tc>
        <w:tc>
          <w:tcPr>
            <w:tcW w:w="3160" w:type="dxa"/>
            <w:vAlign w:val="bottom"/>
          </w:tcPr>
          <w:p>
            <w:pPr>
              <w:jc w:val="center"/>
              <w:ind w:left="1701"/>
              <w:spacing w:after="0"/>
              <w:rPr>
                <w:sz w:val="20"/>
                <w:szCs w:val="20"/>
                <w:color w:val="auto"/>
              </w:rPr>
            </w:pPr>
            <w:r>
              <w:rPr>
                <w:rFonts w:ascii="Arial" w:cs="Arial" w:eastAsia="Arial" w:hAnsi="Arial"/>
                <w:sz w:val="13"/>
                <w:szCs w:val="13"/>
                <w:b w:val="1"/>
                <w:bCs w:val="1"/>
                <w:color w:val="auto"/>
                <w:w w:val="90"/>
              </w:rPr>
              <w:t>Oppenheimer &amp; Co.</w:t>
            </w:r>
          </w:p>
        </w:tc>
        <w:tc>
          <w:tcPr>
            <w:tcW w:w="4720" w:type="dxa"/>
            <w:vAlign w:val="bottom"/>
          </w:tcPr>
          <w:p>
            <w:pPr>
              <w:jc w:val="center"/>
              <w:ind w:left="1104"/>
              <w:spacing w:after="0"/>
              <w:rPr>
                <w:sz w:val="20"/>
                <w:szCs w:val="20"/>
                <w:color w:val="auto"/>
              </w:rPr>
            </w:pPr>
            <w:r>
              <w:rPr>
                <w:rFonts w:ascii="Arial" w:cs="Arial" w:eastAsia="Arial" w:hAnsi="Arial"/>
                <w:sz w:val="13"/>
                <w:szCs w:val="13"/>
                <w:b w:val="1"/>
                <w:bCs w:val="1"/>
                <w:color w:val="auto"/>
                <w:w w:val="86"/>
              </w:rPr>
              <w:t>B. Riley Securities</w:t>
            </w:r>
          </w:p>
        </w:tc>
      </w:tr>
      <w:tr>
        <w:trPr>
          <w:trHeight w:val="136"/>
        </w:trPr>
        <w:tc>
          <w:tcPr>
            <w:tcW w:w="3140" w:type="dxa"/>
            <w:vAlign w:val="bottom"/>
          </w:tcPr>
          <w:p>
            <w:pPr>
              <w:ind w:left="1800"/>
              <w:spacing w:after="0"/>
              <w:rPr>
                <w:sz w:val="20"/>
                <w:szCs w:val="20"/>
                <w:color w:val="auto"/>
              </w:rPr>
            </w:pPr>
            <w:r>
              <w:rPr>
                <w:rFonts w:ascii="Arial" w:cs="Arial" w:eastAsia="Arial" w:hAnsi="Arial"/>
                <w:sz w:val="11"/>
                <w:szCs w:val="11"/>
                <w:i w:val="1"/>
                <w:iCs w:val="1"/>
                <w:color w:val="auto"/>
              </w:rPr>
              <w:t>A Stifel Company</w:t>
            </w:r>
          </w:p>
        </w:tc>
        <w:tc>
          <w:tcPr>
            <w:tcW w:w="3160" w:type="dxa"/>
            <w:vAlign w:val="bottom"/>
          </w:tcPr>
          <w:p>
            <w:pPr>
              <w:spacing w:after="0"/>
              <w:rPr>
                <w:sz w:val="11"/>
                <w:szCs w:val="11"/>
                <w:color w:val="auto"/>
              </w:rPr>
            </w:pPr>
          </w:p>
        </w:tc>
        <w:tc>
          <w:tcPr>
            <w:tcW w:w="4720" w:type="dxa"/>
            <w:vAlign w:val="bottom"/>
          </w:tcPr>
          <w:p>
            <w:pPr>
              <w:spacing w:after="0"/>
              <w:rPr>
                <w:sz w:val="11"/>
                <w:szCs w:val="11"/>
                <w:color w:val="auto"/>
              </w:rPr>
            </w:pPr>
          </w:p>
        </w:tc>
      </w:tr>
      <w:tr>
        <w:trPr>
          <w:trHeight w:val="290"/>
        </w:trPr>
        <w:tc>
          <w:tcPr>
            <w:tcW w:w="3140" w:type="dxa"/>
            <w:vAlign w:val="bottom"/>
          </w:tcPr>
          <w:p>
            <w:pPr>
              <w:jc w:val="center"/>
              <w:ind w:left="525"/>
              <w:spacing w:after="0"/>
              <w:rPr>
                <w:sz w:val="20"/>
                <w:szCs w:val="20"/>
                <w:color w:val="auto"/>
              </w:rPr>
            </w:pPr>
            <w:r>
              <w:rPr>
                <w:rFonts w:ascii="Arial" w:cs="Arial" w:eastAsia="Arial" w:hAnsi="Arial"/>
                <w:sz w:val="13"/>
                <w:szCs w:val="13"/>
                <w:b w:val="1"/>
                <w:bCs w:val="1"/>
                <w:color w:val="auto"/>
                <w:w w:val="92"/>
              </w:rPr>
              <w:t>Hovde Group, LLC</w:t>
            </w:r>
          </w:p>
        </w:tc>
        <w:tc>
          <w:tcPr>
            <w:tcW w:w="3160" w:type="dxa"/>
            <w:vAlign w:val="bottom"/>
          </w:tcPr>
          <w:p>
            <w:pPr>
              <w:jc w:val="center"/>
              <w:ind w:left="1721"/>
              <w:spacing w:after="0"/>
              <w:rPr>
                <w:sz w:val="20"/>
                <w:szCs w:val="20"/>
                <w:color w:val="auto"/>
              </w:rPr>
            </w:pPr>
            <w:r>
              <w:rPr>
                <w:rFonts w:ascii="Arial" w:cs="Arial" w:eastAsia="Arial" w:hAnsi="Arial"/>
                <w:sz w:val="13"/>
                <w:szCs w:val="13"/>
                <w:b w:val="1"/>
                <w:bCs w:val="1"/>
                <w:color w:val="auto"/>
                <w:w w:val="91"/>
              </w:rPr>
              <w:t>ICBC Standard Bank</w:t>
            </w:r>
          </w:p>
        </w:tc>
        <w:tc>
          <w:tcPr>
            <w:tcW w:w="4720" w:type="dxa"/>
            <w:vAlign w:val="bottom"/>
          </w:tcPr>
          <w:p>
            <w:pPr>
              <w:jc w:val="center"/>
              <w:ind w:left="1104"/>
              <w:spacing w:after="0"/>
              <w:rPr>
                <w:sz w:val="20"/>
                <w:szCs w:val="20"/>
                <w:color w:val="auto"/>
              </w:rPr>
            </w:pPr>
            <w:r>
              <w:rPr>
                <w:rFonts w:ascii="Arial" w:cs="Arial" w:eastAsia="Arial" w:hAnsi="Arial"/>
                <w:sz w:val="13"/>
                <w:szCs w:val="13"/>
                <w:b w:val="1"/>
                <w:bCs w:val="1"/>
                <w:color w:val="auto"/>
                <w:w w:val="89"/>
              </w:rPr>
              <w:t>Citizens Capital Markets</w:t>
            </w:r>
          </w:p>
        </w:tc>
      </w:tr>
      <w:tr>
        <w:trPr>
          <w:trHeight w:val="351"/>
        </w:trPr>
        <w:tc>
          <w:tcPr>
            <w:tcW w:w="3140" w:type="dxa"/>
            <w:vAlign w:val="bottom"/>
          </w:tcPr>
          <w:p>
            <w:pPr>
              <w:spacing w:after="0"/>
              <w:rPr>
                <w:sz w:val="24"/>
                <w:szCs w:val="24"/>
                <w:color w:val="auto"/>
              </w:rPr>
            </w:pPr>
          </w:p>
        </w:tc>
        <w:tc>
          <w:tcPr>
            <w:tcW w:w="3160" w:type="dxa"/>
            <w:vAlign w:val="bottom"/>
          </w:tcPr>
          <w:p>
            <w:pPr>
              <w:ind w:left="320"/>
              <w:spacing w:after="0"/>
              <w:rPr>
                <w:sz w:val="20"/>
                <w:szCs w:val="20"/>
                <w:color w:val="auto"/>
              </w:rPr>
            </w:pPr>
            <w:r>
              <w:rPr>
                <w:rFonts w:ascii="Arial" w:cs="Arial" w:eastAsia="Arial" w:hAnsi="Arial"/>
                <w:sz w:val="13"/>
                <w:szCs w:val="13"/>
                <w:b w:val="1"/>
                <w:bCs w:val="1"/>
                <w:color w:val="auto"/>
              </w:rPr>
              <w:t>Ladenburg Thalmann</w:t>
            </w:r>
          </w:p>
        </w:tc>
        <w:tc>
          <w:tcPr>
            <w:tcW w:w="4720" w:type="dxa"/>
            <w:vAlign w:val="bottom"/>
          </w:tcPr>
          <w:p>
            <w:pPr>
              <w:ind w:left="100"/>
              <w:spacing w:after="0"/>
              <w:rPr>
                <w:sz w:val="20"/>
                <w:szCs w:val="20"/>
                <w:color w:val="auto"/>
              </w:rPr>
            </w:pPr>
            <w:r>
              <w:rPr>
                <w:rFonts w:ascii="Arial" w:cs="Arial" w:eastAsia="Arial" w:hAnsi="Arial"/>
                <w:sz w:val="13"/>
                <w:szCs w:val="13"/>
                <w:b w:val="1"/>
                <w:bCs w:val="1"/>
                <w:color w:val="auto"/>
              </w:rPr>
              <w:t>Raymond James</w:t>
            </w:r>
          </w:p>
        </w:tc>
      </w:tr>
    </w:tbl>
    <w:p>
      <w:pPr>
        <w:spacing w:after="0" w:line="18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The date of this prospectus supplement is August 7, 2023.</w:t>
      </w:r>
    </w:p>
    <w:p>
      <w:pPr>
        <w:spacing w:after="0" w:line="378" w:lineRule="exact"/>
        <w:rPr>
          <w:sz w:val="20"/>
          <w:szCs w:val="20"/>
          <w:color w:val="auto"/>
        </w:rPr>
      </w:pPr>
    </w:p>
    <w:p>
      <w:pPr>
        <w:ind w:left="4" w:right="40" w:firstLine="440"/>
        <w:spacing w:after="0" w:line="293" w:lineRule="auto"/>
        <w:rPr>
          <w:sz w:val="20"/>
          <w:szCs w:val="20"/>
          <w:color w:val="auto"/>
        </w:rPr>
      </w:pPr>
      <w:r>
        <w:rPr>
          <w:rFonts w:ascii="Arial" w:cs="Arial" w:eastAsia="Arial" w:hAnsi="Arial"/>
          <w:sz w:val="16"/>
          <w:szCs w:val="16"/>
          <w:color w:val="auto"/>
        </w:rPr>
        <w:t>We have not, and the underwriters have not, authorized anyone to give you any information other than in this prospectus supplement, the accompanying prospectus or any information that we have incorporated by reference herein or therein,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supplement and the accompanying prospectus, as well as the information incorporated by reference herein or therein, is accurate only as of the date of such documents. Our business, financial condition, results of operations and prospects may have changed since that date. We will update these documents to reflect material changes only as required by law.</w:t>
      </w:r>
    </w:p>
    <w:p>
      <w:pPr>
        <w:spacing w:after="0" w:line="376" w:lineRule="exact"/>
        <w:rPr>
          <w:sz w:val="20"/>
          <w:szCs w:val="20"/>
          <w:color w:val="auto"/>
        </w:rPr>
      </w:pPr>
    </w:p>
    <w:p>
      <w:pPr>
        <w:ind w:left="4604"/>
        <w:spacing w:after="0"/>
        <w:rPr>
          <w:sz w:val="20"/>
          <w:szCs w:val="20"/>
          <w:color w:val="auto"/>
        </w:rPr>
      </w:pPr>
      <w:r>
        <w:rPr>
          <w:rFonts w:ascii="Arial" w:cs="Arial" w:eastAsia="Arial" w:hAnsi="Arial"/>
          <w:sz w:val="18"/>
          <w:szCs w:val="18"/>
          <w:b w:val="1"/>
          <w:bCs w:val="1"/>
          <w:color w:val="auto"/>
        </w:rPr>
        <w:t>Prospectus Supplement</w:t>
      </w:r>
    </w:p>
    <w:p>
      <w:pPr>
        <w:spacing w:after="0" w:line="117" w:lineRule="exact"/>
        <w:rPr>
          <w:sz w:val="20"/>
          <w:szCs w:val="20"/>
          <w:color w:val="auto"/>
        </w:rPr>
      </w:pPr>
    </w:p>
    <w:p>
      <w:pPr>
        <w:ind w:left="4544"/>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10580" w:type="dxa"/>
            <w:vAlign w:val="bottom"/>
            <w:gridSpan w:val="22"/>
            <w:vMerge w:val="restart"/>
          </w:tcPr>
          <w:p>
            <w:pPr>
              <w:spacing w:after="0"/>
              <w:rPr>
                <w:sz w:val="20"/>
                <w:szCs w:val="20"/>
                <w:color w:val="auto"/>
              </w:rPr>
            </w:pPr>
            <w:r>
              <w:rPr>
                <w:rFonts w:ascii="Arial" w:cs="Arial" w:eastAsia="Arial" w:hAnsi="Arial"/>
                <w:sz w:val="18"/>
                <w:szCs w:val="18"/>
                <w:color w:val="0000EE"/>
              </w:rPr>
              <w:t>SPECIAL NOTE REGARDING FORWARD-LOOKING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0580" w:type="dxa"/>
            <w:vAlign w:val="bottom"/>
            <w:gridSpan w:val="22"/>
            <w:vMerge w:val="continue"/>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130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6"/>
              </w:rPr>
              <w:t>THE COMPANY</w:t>
            </w:r>
          </w:p>
        </w:tc>
        <w:tc>
          <w:tcPr>
            <w:tcW w:w="4020" w:type="dxa"/>
            <w:vAlign w:val="bottom"/>
            <w:tcBorders>
              <w:top w:val="single" w:sz="8" w:color="0000EE"/>
            </w:tcBorders>
            <w:gridSpan w:val="17"/>
          </w:tcPr>
          <w:p>
            <w:pPr>
              <w:spacing w:after="0"/>
              <w:rPr>
                <w:sz w:val="17"/>
                <w:szCs w:val="17"/>
                <w:color w:val="auto"/>
              </w:rPr>
            </w:pPr>
          </w:p>
        </w:tc>
        <w:tc>
          <w:tcPr>
            <w:tcW w:w="52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3"/>
              </w:rPr>
              <w:t>SPECIFIC TERMS OF THE NOTES AND THE OFFERING</w:t>
            </w:r>
          </w:p>
        </w:tc>
        <w:tc>
          <w:tcPr>
            <w:tcW w:w="614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6"/>
        </w:trPr>
        <w:tc>
          <w:tcPr>
            <w:tcW w:w="10580" w:type="dxa"/>
            <w:vAlign w:val="bottom"/>
            <w:gridSpan w:val="22"/>
          </w:tcPr>
          <w:p>
            <w:pPr>
              <w:spacing w:after="0" w:line="196" w:lineRule="exact"/>
              <w:rPr>
                <w:sz w:val="20"/>
                <w:szCs w:val="20"/>
                <w:color w:val="auto"/>
              </w:rPr>
            </w:pPr>
            <w:r>
              <w:rPr>
                <w:rFonts w:ascii="Arial" w:cs="Arial" w:eastAsia="Arial" w:hAnsi="Arial"/>
                <w:sz w:val="18"/>
                <w:szCs w:val="18"/>
                <w:color w:val="0000EE"/>
              </w:rPr>
              <w:t>RISK FACTORS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0"/>
              </w:rPr>
              <w:t>USE OF PROCEEDS</w:t>
            </w:r>
          </w:p>
        </w:tc>
        <w:tc>
          <w:tcPr>
            <w:tcW w:w="9000" w:type="dxa"/>
            <w:vAlign w:val="bottom"/>
            <w:gridSpan w:val="1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4"/>
              </w:rPr>
              <w:t>S-12</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3"/>
              </w:rPr>
              <w:t>SENIOR SECURITIES</w:t>
            </w:r>
          </w:p>
        </w:tc>
        <w:tc>
          <w:tcPr>
            <w:tcW w:w="8860" w:type="dxa"/>
            <w:vAlign w:val="bottom"/>
            <w:gridSpan w:val="1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4"/>
              </w:rPr>
              <w:t>S-13</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8"/>
              </w:rPr>
              <w:t>CAPITALIZATION</w:t>
            </w:r>
          </w:p>
        </w:tc>
        <w:tc>
          <w:tcPr>
            <w:tcW w:w="912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4"/>
              </w:rPr>
              <w:t>S-15</w:t>
            </w:r>
          </w:p>
        </w:tc>
        <w:tc>
          <w:tcPr>
            <w:tcW w:w="0" w:type="dxa"/>
            <w:vAlign w:val="bottom"/>
          </w:tcPr>
          <w:p>
            <w:pPr>
              <w:spacing w:after="0"/>
              <w:rPr>
                <w:sz w:val="1"/>
                <w:szCs w:val="1"/>
                <w:color w:val="auto"/>
              </w:rPr>
            </w:pPr>
          </w:p>
        </w:tc>
      </w:tr>
      <w:tr>
        <w:trPr>
          <w:trHeight w:val="196"/>
        </w:trPr>
        <w:tc>
          <w:tcPr>
            <w:tcW w:w="10580" w:type="dxa"/>
            <w:vAlign w:val="bottom"/>
            <w:gridSpan w:val="22"/>
          </w:tcPr>
          <w:p>
            <w:pPr>
              <w:spacing w:after="0" w:line="196" w:lineRule="exact"/>
              <w:rPr>
                <w:sz w:val="20"/>
                <w:szCs w:val="20"/>
                <w:color w:val="auto"/>
              </w:rPr>
            </w:pPr>
            <w:r>
              <w:rPr>
                <w:rFonts w:ascii="Arial" w:cs="Arial" w:eastAsia="Arial" w:hAnsi="Arial"/>
                <w:sz w:val="18"/>
                <w:szCs w:val="18"/>
                <w:color w:val="0000EE"/>
              </w:rPr>
              <w:t>DESCRIPTION OF NOTES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4"/>
              </w:rPr>
              <w:t>S-16</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2"/>
          </w:tcPr>
          <w:p>
            <w:pPr>
              <w:spacing w:after="0" w:line="196" w:lineRule="exact"/>
              <w:rPr>
                <w:sz w:val="20"/>
                <w:szCs w:val="20"/>
                <w:color w:val="auto"/>
              </w:rPr>
            </w:pPr>
            <w:r>
              <w:rPr>
                <w:rFonts w:ascii="Arial" w:cs="Arial" w:eastAsia="Arial" w:hAnsi="Arial"/>
                <w:sz w:val="18"/>
                <w:szCs w:val="18"/>
                <w:color w:val="0000EE"/>
              </w:rPr>
              <w:t>MATERIAL U.S. FEDERAL INCOME TAX CONSIDERATIONS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4"/>
              </w:rPr>
              <w:t>S-27</w:t>
            </w:r>
          </w:p>
        </w:tc>
        <w:tc>
          <w:tcPr>
            <w:tcW w:w="0" w:type="dxa"/>
            <w:vAlign w:val="bottom"/>
          </w:tcPr>
          <w:p>
            <w:pPr>
              <w:spacing w:after="0"/>
              <w:rPr>
                <w:sz w:val="1"/>
                <w:szCs w:val="1"/>
                <w:color w:val="auto"/>
              </w:rPr>
            </w:pPr>
          </w:p>
        </w:tc>
      </w:tr>
      <w:tr>
        <w:trPr>
          <w:trHeight w:val="196"/>
        </w:trPr>
        <w:tc>
          <w:tcPr>
            <w:tcW w:w="4840" w:type="dxa"/>
            <w:vAlign w:val="bottom"/>
            <w:tcBorders>
              <w:top w:val="single" w:sz="8" w:color="0000EE"/>
            </w:tcBorders>
            <w:gridSpan w:val="20"/>
          </w:tcPr>
          <w:p>
            <w:pPr>
              <w:spacing w:after="0" w:line="196" w:lineRule="exact"/>
              <w:rPr>
                <w:sz w:val="20"/>
                <w:szCs w:val="20"/>
                <w:color w:val="auto"/>
              </w:rPr>
            </w:pPr>
            <w:r>
              <w:rPr>
                <w:rFonts w:ascii="Arial" w:cs="Arial" w:eastAsia="Arial" w:hAnsi="Arial"/>
                <w:sz w:val="18"/>
                <w:szCs w:val="18"/>
                <w:color w:val="0000EE"/>
              </w:rPr>
              <w:t>UNDERWRITING</w:t>
            </w:r>
          </w:p>
        </w:tc>
        <w:tc>
          <w:tcPr>
            <w:tcW w:w="574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4"/>
              </w:rPr>
              <w:t>S-29</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2"/>
          </w:tcPr>
          <w:p>
            <w:pPr>
              <w:spacing w:after="0" w:line="196" w:lineRule="exact"/>
              <w:rPr>
                <w:sz w:val="20"/>
                <w:szCs w:val="20"/>
                <w:color w:val="auto"/>
              </w:rPr>
            </w:pPr>
            <w:r>
              <w:rPr>
                <w:rFonts w:ascii="Arial" w:cs="Arial" w:eastAsia="Arial" w:hAnsi="Arial"/>
                <w:sz w:val="18"/>
                <w:szCs w:val="18"/>
                <w:color w:val="0000EE"/>
              </w:rPr>
              <w:t>LEGAL MATTERS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4"/>
              </w:rPr>
              <w:t>S-33</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2"/>
          </w:tcPr>
          <w:p>
            <w:pPr>
              <w:spacing w:after="0" w:line="196" w:lineRule="exact"/>
              <w:rPr>
                <w:sz w:val="20"/>
                <w:szCs w:val="20"/>
                <w:color w:val="auto"/>
              </w:rPr>
            </w:pPr>
            <w:r>
              <w:rPr>
                <w:rFonts w:ascii="Arial" w:cs="Arial" w:eastAsia="Arial" w:hAnsi="Arial"/>
                <w:sz w:val="18"/>
                <w:szCs w:val="18"/>
                <w:color w:val="0000EE"/>
              </w:rPr>
              <w:t>INFORMATION INCORPORATED BY REFERENCE</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4"/>
              </w:rPr>
              <w:t>S-34</w:t>
            </w:r>
          </w:p>
        </w:tc>
        <w:tc>
          <w:tcPr>
            <w:tcW w:w="0" w:type="dxa"/>
            <w:vAlign w:val="bottom"/>
          </w:tcPr>
          <w:p>
            <w:pPr>
              <w:spacing w:after="0"/>
              <w:rPr>
                <w:sz w:val="1"/>
                <w:szCs w:val="1"/>
                <w:color w:val="auto"/>
              </w:rPr>
            </w:pPr>
          </w:p>
        </w:tc>
      </w:tr>
      <w:tr>
        <w:trPr>
          <w:trHeight w:val="668"/>
        </w:trPr>
        <w:tc>
          <w:tcPr>
            <w:tcW w:w="9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40" w:type="dxa"/>
            <w:vAlign w:val="bottom"/>
            <w:gridSpan w:val="2"/>
          </w:tcPr>
          <w:p>
            <w:pPr>
              <w:jc w:val="center"/>
              <w:ind w:right="4420"/>
              <w:spacing w:after="0"/>
              <w:rPr>
                <w:sz w:val="20"/>
                <w:szCs w:val="20"/>
                <w:color w:val="auto"/>
              </w:rPr>
            </w:pPr>
            <w:r>
              <w:rPr>
                <w:rFonts w:ascii="Arial" w:cs="Arial" w:eastAsia="Arial" w:hAnsi="Arial"/>
                <w:sz w:val="18"/>
                <w:szCs w:val="18"/>
                <w:b w:val="1"/>
                <w:bCs w:val="1"/>
                <w:color w:val="auto"/>
                <w:w w:val="85"/>
              </w:rPr>
              <w:t>Prospectus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40" w:type="dxa"/>
            <w:vAlign w:val="bottom"/>
            <w:gridSpan w:val="5"/>
          </w:tcPr>
          <w:p>
            <w:pPr>
              <w:jc w:val="center"/>
              <w:ind w:right="4020"/>
              <w:spacing w:after="0"/>
              <w:rPr>
                <w:sz w:val="20"/>
                <w:szCs w:val="20"/>
                <w:color w:val="auto"/>
              </w:rPr>
            </w:pPr>
            <w:r>
              <w:rPr>
                <w:rFonts w:ascii="Arial" w:cs="Arial" w:eastAsia="Arial" w:hAnsi="Arial"/>
                <w:sz w:val="18"/>
                <w:szCs w:val="18"/>
                <w:b w:val="1"/>
                <w:bCs w:val="1"/>
                <w:color w:val="auto"/>
                <w:w w:val="98"/>
              </w:rPr>
              <w:t>TABLE OF CONTENTS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22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2"/>
              </w:rPr>
              <w:t>ABOUT THIS PROSPECTUS</w:t>
            </w:r>
          </w:p>
        </w:tc>
        <w:tc>
          <w:tcPr>
            <w:tcW w:w="8360" w:type="dxa"/>
            <w:vAlign w:val="bottom"/>
            <w:gridSpan w:val="10"/>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7"/>
              </w:rPr>
              <w:t>SUMMARY</w:t>
            </w:r>
          </w:p>
        </w:tc>
        <w:tc>
          <w:tcPr>
            <w:tcW w:w="9660" w:type="dxa"/>
            <w:vAlign w:val="bottom"/>
            <w:gridSpan w:val="2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3"/>
              </w:rPr>
              <w:t>THE OFFERING</w:t>
            </w:r>
          </w:p>
        </w:tc>
        <w:tc>
          <w:tcPr>
            <w:tcW w:w="9300" w:type="dxa"/>
            <w:vAlign w:val="bottom"/>
            <w:gridSpan w:val="1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1"/>
              </w:rPr>
              <w:t>FEES AND EXPENSES</w:t>
            </w:r>
          </w:p>
        </w:tc>
        <w:tc>
          <w:tcPr>
            <w:tcW w:w="880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0580" w:type="dxa"/>
            <w:vAlign w:val="bottom"/>
            <w:gridSpan w:val="22"/>
          </w:tcPr>
          <w:p>
            <w:pPr>
              <w:spacing w:after="0" w:line="196" w:lineRule="exact"/>
              <w:rPr>
                <w:sz w:val="20"/>
                <w:szCs w:val="20"/>
                <w:color w:val="auto"/>
              </w:rPr>
            </w:pPr>
            <w:r>
              <w:rPr>
                <w:rFonts w:ascii="Arial" w:cs="Arial" w:eastAsia="Arial" w:hAnsi="Arial"/>
                <w:sz w:val="18"/>
                <w:szCs w:val="18"/>
                <w:color w:val="0000EE"/>
              </w:rPr>
              <w:t>RISK FACTORS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240" w:type="dxa"/>
            <w:vAlign w:val="bottom"/>
            <w:gridSpan w:val="2"/>
            <w:shd w:val="clear" w:color="auto" w:fill="0000EE"/>
          </w:tcPr>
          <w:p>
            <w:pPr>
              <w:spacing w:after="0" w:line="20" w:lineRule="exact"/>
              <w:rPr>
                <w:sz w:val="1"/>
                <w:szCs w:val="1"/>
                <w:color w:val="auto"/>
              </w:rPr>
            </w:pPr>
          </w:p>
        </w:tc>
        <w:tc>
          <w:tcPr>
            <w:tcW w:w="800" w:type="dxa"/>
            <w:vAlign w:val="bottom"/>
            <w:gridSpan w:val="9"/>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2"/>
          </w:tcPr>
          <w:p>
            <w:pPr>
              <w:spacing w:after="0" w:line="196" w:lineRule="exact"/>
              <w:rPr>
                <w:sz w:val="20"/>
                <w:szCs w:val="20"/>
                <w:color w:val="auto"/>
              </w:rPr>
            </w:pPr>
            <w:r>
              <w:rPr>
                <w:rFonts w:ascii="Arial" w:cs="Arial" w:eastAsia="Arial" w:hAnsi="Arial"/>
                <w:sz w:val="18"/>
                <w:szCs w:val="18"/>
                <w:color w:val="0000EE"/>
              </w:rPr>
              <w:t>SPECIAL NOTE REGARDING FORWARD-LOOKING STATEMENTS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0"/>
              </w:rPr>
              <w:t>USE OF PROCEEDS</w:t>
            </w:r>
          </w:p>
        </w:tc>
        <w:tc>
          <w:tcPr>
            <w:tcW w:w="3740" w:type="dxa"/>
            <w:vAlign w:val="bottom"/>
            <w:tcBorders>
              <w:top w:val="single" w:sz="8" w:color="0000EE"/>
            </w:tcBorders>
            <w:gridSpan w:val="13"/>
          </w:tcPr>
          <w:p>
            <w:pPr>
              <w:spacing w:after="0"/>
              <w:rPr>
                <w:sz w:val="17"/>
                <w:szCs w:val="17"/>
                <w:color w:val="auto"/>
              </w:rPr>
            </w:pPr>
          </w:p>
        </w:tc>
        <w:tc>
          <w:tcPr>
            <w:tcW w:w="52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580" w:type="dxa"/>
            <w:vAlign w:val="bottom"/>
            <w:gridSpan w:val="22"/>
          </w:tcPr>
          <w:p>
            <w:pPr>
              <w:spacing w:after="0" w:line="196" w:lineRule="exact"/>
              <w:rPr>
                <w:sz w:val="20"/>
                <w:szCs w:val="20"/>
                <w:color w:val="auto"/>
              </w:rPr>
            </w:pPr>
            <w:r>
              <w:rPr>
                <w:rFonts w:ascii="Arial" w:cs="Arial" w:eastAsia="Arial" w:hAnsi="Arial"/>
                <w:sz w:val="18"/>
                <w:szCs w:val="18"/>
                <w:color w:val="0000EE"/>
              </w:rPr>
              <w:t>PRICE RANGE OF COMMON STOCK AND DISTRIBUTIONS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3"/>
              </w:rPr>
              <w:t>SENIOR SECURITIES</w:t>
            </w:r>
          </w:p>
        </w:tc>
        <w:tc>
          <w:tcPr>
            <w:tcW w:w="3060" w:type="dxa"/>
            <w:vAlign w:val="bottom"/>
            <w:tcBorders>
              <w:top w:val="single" w:sz="8" w:color="0000EE"/>
            </w:tcBorders>
            <w:gridSpan w:val="10"/>
          </w:tcPr>
          <w:p>
            <w:pPr>
              <w:spacing w:after="0"/>
              <w:rPr>
                <w:sz w:val="17"/>
                <w:szCs w:val="17"/>
                <w:color w:val="auto"/>
              </w:rPr>
            </w:pPr>
          </w:p>
        </w:tc>
        <w:tc>
          <w:tcPr>
            <w:tcW w:w="580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0580" w:type="dxa"/>
            <w:vAlign w:val="bottom"/>
            <w:gridSpan w:val="22"/>
          </w:tcPr>
          <w:p>
            <w:pPr>
              <w:spacing w:after="0" w:line="196" w:lineRule="exact"/>
              <w:rPr>
                <w:sz w:val="20"/>
                <w:szCs w:val="20"/>
                <w:color w:val="auto"/>
              </w:rPr>
            </w:pPr>
            <w:r>
              <w:rPr>
                <w:rFonts w:ascii="Arial" w:cs="Arial" w:eastAsia="Arial" w:hAnsi="Arial"/>
                <w:sz w:val="18"/>
                <w:szCs w:val="18"/>
                <w:color w:val="0000EE"/>
              </w:rPr>
              <w:t>PORTFOLIO COMPANIES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40" w:type="dxa"/>
            <w:vAlign w:val="bottom"/>
            <w:gridSpan w:val="11"/>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59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2"/>
          </w:tcPr>
          <w:p>
            <w:pPr>
              <w:spacing w:after="0" w:line="196" w:lineRule="exact"/>
              <w:rPr>
                <w:sz w:val="20"/>
                <w:szCs w:val="20"/>
                <w:color w:val="auto"/>
              </w:rPr>
            </w:pPr>
            <w:r>
              <w:rPr>
                <w:rFonts w:ascii="Arial" w:cs="Arial" w:eastAsia="Arial" w:hAnsi="Arial"/>
                <w:sz w:val="18"/>
                <w:szCs w:val="18"/>
                <w:color w:val="0000EE"/>
              </w:rPr>
              <w:t>DETERMINATION OF NET ASSET VALUE</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820" w:type="dxa"/>
            <w:vAlign w:val="bottom"/>
            <w:gridSpan w:val="1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59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5"/>
              </w:rPr>
              <w:t>SALES OF COMMON STOCK BELOW NET ASSET VALUE</w:t>
            </w:r>
          </w:p>
        </w:tc>
        <w:tc>
          <w:tcPr>
            <w:tcW w:w="596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8"/>
              </w:rPr>
              <w:t>DIVIDEND REINVESTMENT PLAN</w:t>
            </w:r>
          </w:p>
        </w:tc>
        <w:tc>
          <w:tcPr>
            <w:tcW w:w="776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0580" w:type="dxa"/>
            <w:vAlign w:val="bottom"/>
            <w:gridSpan w:val="22"/>
          </w:tcPr>
          <w:p>
            <w:pPr>
              <w:spacing w:after="0" w:line="196" w:lineRule="exact"/>
              <w:rPr>
                <w:sz w:val="20"/>
                <w:szCs w:val="20"/>
                <w:color w:val="auto"/>
              </w:rPr>
            </w:pPr>
            <w:r>
              <w:rPr>
                <w:rFonts w:ascii="Arial" w:cs="Arial" w:eastAsia="Arial" w:hAnsi="Arial"/>
                <w:sz w:val="18"/>
                <w:szCs w:val="18"/>
                <w:color w:val="0000EE"/>
              </w:rPr>
              <w:t>MATERIAL U.S. FEDERAL INCOME TAX CONSIDERATIONS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2940" w:type="dxa"/>
            <w:vAlign w:val="bottom"/>
            <w:tcBorders>
              <w:top w:val="single" w:sz="8" w:color="0000EE"/>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3"/>
              </w:rPr>
              <w:t>DESCRIPTION OF OUR SECURITIES</w:t>
            </w:r>
          </w:p>
        </w:tc>
        <w:tc>
          <w:tcPr>
            <w:tcW w:w="1900" w:type="dxa"/>
            <w:vAlign w:val="bottom"/>
            <w:tcBorders>
              <w:top w:val="single" w:sz="8" w:color="0000EE"/>
            </w:tcBorders>
            <w:gridSpan w:val="6"/>
          </w:tcPr>
          <w:p>
            <w:pPr>
              <w:spacing w:after="0"/>
              <w:rPr>
                <w:sz w:val="17"/>
                <w:szCs w:val="17"/>
                <w:color w:val="auto"/>
              </w:rPr>
            </w:pPr>
          </w:p>
        </w:tc>
        <w:tc>
          <w:tcPr>
            <w:tcW w:w="574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ectPr>
          <w:pgSz w:w="11900" w:h="16851" w:orient="portrait"/>
          <w:cols w:equalWidth="0" w:num="1">
            <w:col w:w="11024"/>
          </w:cols>
          <w:pgMar w:left="436" w:top="125" w:right="4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12"/>
          </w:tcPr>
          <w:p>
            <w:pPr>
              <w:spacing w:after="0"/>
              <w:rPr>
                <w:sz w:val="20"/>
                <w:szCs w:val="20"/>
                <w:color w:val="auto"/>
              </w:rPr>
            </w:pPr>
            <w:r>
              <w:rPr>
                <w:rFonts w:ascii="Arial" w:cs="Arial" w:eastAsia="Arial" w:hAnsi="Arial"/>
                <w:sz w:val="18"/>
                <w:szCs w:val="18"/>
                <w:color w:val="0000EE"/>
              </w:rPr>
              <w:t>DESCRIPTION OF OUR CAPITAL STOCK</w:t>
            </w:r>
          </w:p>
        </w:tc>
        <w:tc>
          <w:tcPr>
            <w:tcW w:w="47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7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96"/>
        </w:trPr>
        <w:tc>
          <w:tcPr>
            <w:tcW w:w="6200" w:type="dxa"/>
            <w:vAlign w:val="bottom"/>
            <w:gridSpan w:val="12"/>
          </w:tcPr>
          <w:p>
            <w:pPr>
              <w:spacing w:after="0" w:line="196" w:lineRule="exact"/>
              <w:rPr>
                <w:sz w:val="20"/>
                <w:szCs w:val="20"/>
                <w:color w:val="auto"/>
              </w:rPr>
            </w:pPr>
            <w:r>
              <w:rPr>
                <w:rFonts w:ascii="Arial" w:cs="Arial" w:eastAsia="Arial" w:hAnsi="Arial"/>
                <w:sz w:val="18"/>
                <w:szCs w:val="18"/>
                <w:color w:val="0000EE"/>
              </w:rPr>
              <w:t>DESCRIPTION OF OUR PREFERRED STOCK</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
        </w:trPr>
        <w:tc>
          <w:tcPr>
            <w:tcW w:w="7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96"/>
        </w:trPr>
        <w:tc>
          <w:tcPr>
            <w:tcW w:w="6200" w:type="dxa"/>
            <w:vAlign w:val="bottom"/>
            <w:gridSpan w:val="12"/>
          </w:tcPr>
          <w:p>
            <w:pPr>
              <w:spacing w:after="0" w:line="196" w:lineRule="exact"/>
              <w:rPr>
                <w:sz w:val="20"/>
                <w:szCs w:val="20"/>
                <w:color w:val="auto"/>
              </w:rPr>
            </w:pPr>
            <w:r>
              <w:rPr>
                <w:rFonts w:ascii="Arial" w:cs="Arial" w:eastAsia="Arial" w:hAnsi="Arial"/>
                <w:sz w:val="18"/>
                <w:szCs w:val="18"/>
                <w:color w:val="0000EE"/>
              </w:rPr>
              <w:t>DESCRIPTION OF OUR SUBSCRIPTION RIGHTS</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290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4"/>
              </w:rPr>
              <w:t>DESCRIPTION OF OUR WARRANTS</w:t>
            </w:r>
          </w:p>
        </w:tc>
        <w:tc>
          <w:tcPr>
            <w:tcW w:w="980" w:type="dxa"/>
            <w:vAlign w:val="bottom"/>
            <w:tcBorders>
              <w:top w:val="single" w:sz="8" w:color="0000EE"/>
            </w:tcBorders>
            <w:gridSpan w:val="4"/>
          </w:tcPr>
          <w:p>
            <w:pPr>
              <w:spacing w:after="0"/>
              <w:rPr>
                <w:sz w:val="17"/>
                <w:szCs w:val="17"/>
                <w:color w:val="auto"/>
              </w:rPr>
            </w:pPr>
          </w:p>
        </w:tc>
        <w:tc>
          <w:tcPr>
            <w:tcW w:w="2320" w:type="dxa"/>
            <w:vAlign w:val="bottom"/>
            <w:gridSpan w:val="3"/>
          </w:tcPr>
          <w:p>
            <w:pPr>
              <w:spacing w:after="0"/>
              <w:rPr>
                <w:sz w:val="17"/>
                <w:szCs w:val="17"/>
                <w:color w:val="auto"/>
              </w:rPr>
            </w:pP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6200" w:type="dxa"/>
            <w:vAlign w:val="bottom"/>
            <w:gridSpan w:val="12"/>
          </w:tcPr>
          <w:p>
            <w:pPr>
              <w:spacing w:after="0" w:line="196" w:lineRule="exact"/>
              <w:rPr>
                <w:sz w:val="20"/>
                <w:szCs w:val="20"/>
                <w:color w:val="auto"/>
              </w:rPr>
            </w:pPr>
            <w:r>
              <w:rPr>
                <w:rFonts w:ascii="Arial" w:cs="Arial" w:eastAsia="Arial" w:hAnsi="Arial"/>
                <w:sz w:val="18"/>
                <w:szCs w:val="18"/>
                <w:color w:val="0000EE"/>
              </w:rPr>
              <w:t>DESCRIPTION OF OUR DEBT SECURITIES</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7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96"/>
        </w:trPr>
        <w:tc>
          <w:tcPr>
            <w:tcW w:w="620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6"/>
              </w:rPr>
              <w:t>CUSTODIAN, TRANSFER AND DIVIDEND PAYING AGENT AND REGISTRAR</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436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5"/>
              </w:rPr>
              <w:t>BROKERAGE ALLOCATION AND OTHER PRACTICES</w:t>
            </w:r>
          </w:p>
        </w:tc>
        <w:tc>
          <w:tcPr>
            <w:tcW w:w="1840" w:type="dxa"/>
            <w:vAlign w:val="bottom"/>
          </w:tcPr>
          <w:p>
            <w:pPr>
              <w:spacing w:after="0"/>
              <w:rPr>
                <w:sz w:val="17"/>
                <w:szCs w:val="17"/>
                <w:color w:val="auto"/>
              </w:rPr>
            </w:pP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6200" w:type="dxa"/>
            <w:vAlign w:val="bottom"/>
            <w:gridSpan w:val="12"/>
          </w:tcPr>
          <w:p>
            <w:pPr>
              <w:spacing w:after="0" w:line="196" w:lineRule="exact"/>
              <w:rPr>
                <w:sz w:val="20"/>
                <w:szCs w:val="20"/>
                <w:color w:val="auto"/>
              </w:rPr>
            </w:pPr>
            <w:r>
              <w:rPr>
                <w:rFonts w:ascii="Arial" w:cs="Arial" w:eastAsia="Arial" w:hAnsi="Arial"/>
                <w:sz w:val="18"/>
                <w:szCs w:val="18"/>
                <w:color w:val="0000EE"/>
              </w:rPr>
              <w:t>PLAN OF DISTRIBUTION</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204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LEGAL MATTERS</w:t>
            </w:r>
          </w:p>
        </w:tc>
        <w:tc>
          <w:tcPr>
            <w:tcW w:w="4160" w:type="dxa"/>
            <w:vAlign w:val="bottom"/>
            <w:gridSpan w:val="9"/>
          </w:tcPr>
          <w:p>
            <w:pPr>
              <w:spacing w:after="0"/>
              <w:rPr>
                <w:sz w:val="17"/>
                <w:szCs w:val="17"/>
                <w:color w:val="auto"/>
              </w:rPr>
            </w:pP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196"/>
        </w:trPr>
        <w:tc>
          <w:tcPr>
            <w:tcW w:w="14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rPr>
              <w:t>EXPERTS</w:t>
            </w:r>
          </w:p>
        </w:tc>
        <w:tc>
          <w:tcPr>
            <w:tcW w:w="4760" w:type="dxa"/>
            <w:vAlign w:val="bottom"/>
            <w:gridSpan w:val="10"/>
          </w:tcPr>
          <w:p>
            <w:pPr>
              <w:spacing w:after="0"/>
              <w:rPr>
                <w:sz w:val="17"/>
                <w:szCs w:val="17"/>
                <w:color w:val="auto"/>
              </w:rPr>
            </w:pP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20"/>
        </w:trPr>
        <w:tc>
          <w:tcPr>
            <w:tcW w:w="760" w:type="dxa"/>
            <w:vAlign w:val="bottom"/>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96"/>
        </w:trPr>
        <w:tc>
          <w:tcPr>
            <w:tcW w:w="6200" w:type="dxa"/>
            <w:vAlign w:val="bottom"/>
            <w:gridSpan w:val="12"/>
          </w:tcPr>
          <w:p>
            <w:pPr>
              <w:spacing w:after="0" w:line="196" w:lineRule="exact"/>
              <w:rPr>
                <w:sz w:val="20"/>
                <w:szCs w:val="20"/>
                <w:color w:val="auto"/>
              </w:rPr>
            </w:pPr>
            <w:r>
              <w:rPr>
                <w:rFonts w:ascii="Arial" w:cs="Arial" w:eastAsia="Arial" w:hAnsi="Arial"/>
                <w:sz w:val="18"/>
                <w:szCs w:val="18"/>
                <w:color w:val="0000EE"/>
              </w:rPr>
              <w:t>AVAILABLE INFORMATION</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20"/>
        </w:trPr>
        <w:tc>
          <w:tcPr>
            <w:tcW w:w="2260" w:type="dxa"/>
            <w:vAlign w:val="bottom"/>
            <w:gridSpan w:val="4"/>
            <w:shd w:val="clear" w:color="auto" w:fill="0000EE"/>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96"/>
        </w:trPr>
        <w:tc>
          <w:tcPr>
            <w:tcW w:w="402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4"/>
              </w:rPr>
              <w:t>INFORMATION INCORPORATED BY REFERENCE</w:t>
            </w:r>
          </w:p>
        </w:tc>
        <w:tc>
          <w:tcPr>
            <w:tcW w:w="2180" w:type="dxa"/>
            <w:vAlign w:val="bottom"/>
            <w:gridSpan w:val="2"/>
          </w:tcPr>
          <w:p>
            <w:pPr>
              <w:spacing w:after="0"/>
              <w:rPr>
                <w:sz w:val="17"/>
                <w:szCs w:val="17"/>
                <w:color w:val="auto"/>
              </w:rPr>
            </w:pP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1"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95" w:lineRule="exact"/>
        <w:rPr>
          <w:sz w:val="20"/>
          <w:szCs w:val="20"/>
          <w:color w:val="auto"/>
        </w:rPr>
      </w:pPr>
    </w:p>
    <w:p>
      <w:pPr>
        <w:jc w:val="both"/>
        <w:ind w:right="500" w:firstLine="440"/>
        <w:spacing w:after="0" w:line="263" w:lineRule="auto"/>
        <w:rPr>
          <w:sz w:val="20"/>
          <w:szCs w:val="20"/>
          <w:color w:val="auto"/>
        </w:rPr>
      </w:pPr>
      <w:r>
        <w:rPr>
          <w:rFonts w:ascii="Arial" w:cs="Arial" w:eastAsia="Arial" w:hAnsi="Arial"/>
          <w:sz w:val="18"/>
          <w:szCs w:val="18"/>
          <w:color w:val="auto"/>
        </w:rPr>
        <w:t>In addition to factors identified elsewhere in this prospectus supplement, the accompanying prospectus and the documents incorporated by reference herein or therein, the following factors, among others, could cause actual results to differ materially from forward-looking statements or historical performance:</w:t>
      </w:r>
    </w:p>
    <w:p>
      <w:pPr>
        <w:spacing w:after="0" w:line="89" w:lineRule="exact"/>
        <w:rPr>
          <w:sz w:val="20"/>
          <w:szCs w:val="20"/>
          <w:color w:val="auto"/>
        </w:rPr>
      </w:pPr>
    </w:p>
    <w:p>
      <w:pPr>
        <w:ind w:left="980" w:right="300" w:hanging="433"/>
        <w:spacing w:after="0" w:line="34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 economic downturn, including the current and future economic effects of the COVID-19 pandemic, could impair our portfolio companies’ abilities to continue to operate, which could lead to the loss of some or all of our investments in those portfolio companies;</w:t>
      </w:r>
    </w:p>
    <w:p>
      <w:pPr>
        <w:spacing w:after="0" w:line="29" w:lineRule="exact"/>
        <w:rPr>
          <w:rFonts w:ascii="Arial" w:cs="Arial" w:eastAsia="Arial" w:hAnsi="Arial"/>
          <w:sz w:val="16"/>
          <w:szCs w:val="16"/>
          <w:color w:val="auto"/>
        </w:rPr>
      </w:pPr>
    </w:p>
    <w:p>
      <w:pPr>
        <w:jc w:val="both"/>
        <w:ind w:left="980" w:right="120" w:hanging="433"/>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9" w:lineRule="exact"/>
        <w:rPr>
          <w:rFonts w:ascii="Arial" w:cs="Arial" w:eastAsia="Arial" w:hAnsi="Arial"/>
          <w:sz w:val="18"/>
          <w:szCs w:val="18"/>
          <w:color w:val="auto"/>
        </w:rPr>
      </w:pPr>
    </w:p>
    <w:p>
      <w:pPr>
        <w:ind w:left="980" w:hanging="433"/>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w:t>
      </w:r>
    </w:p>
    <w:p>
      <w:pPr>
        <w:spacing w:after="0" w:line="130" w:lineRule="exact"/>
        <w:rPr>
          <w:rFonts w:ascii="Arial" w:cs="Arial" w:eastAsia="Arial" w:hAnsi="Arial"/>
          <w:sz w:val="18"/>
          <w:szCs w:val="18"/>
          <w:color w:val="auto"/>
        </w:rPr>
      </w:pPr>
    </w:p>
    <w:p>
      <w:pPr>
        <w:ind w:left="980" w:right="340" w:hanging="433"/>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inflation could negatively impact our business, including our ability to access the debt markets on favorable terms, or could negatively impact our portfolio companies; and</w:t>
      </w:r>
    </w:p>
    <w:p>
      <w:pPr>
        <w:spacing w:after="0" w:line="75" w:lineRule="exact"/>
        <w:rPr>
          <w:rFonts w:ascii="Arial" w:cs="Arial" w:eastAsia="Arial" w:hAnsi="Arial"/>
          <w:sz w:val="18"/>
          <w:szCs w:val="18"/>
          <w:color w:val="auto"/>
        </w:rPr>
      </w:pPr>
    </w:p>
    <w:p>
      <w:pPr>
        <w:ind w:left="980" w:hanging="433"/>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prospectus supplement, the accompanying prospectus and in Part I, Item 1A of our Annual Report on Form 10-K for the year ended December 31, 2022 (the “2022 Annual Report”), Part I, Item 1A of our Quarterly Report on Form 10-Q for the quarter ended March 31, 2023 (the “1Q 2023 Quarterly Report”), Part I, Item 1A of our Quarterly Report on Form 10-Q for the quarter ended June 30, 2023 (the “2Q 2023 Quarterly Report”), any subsequent Quarterly Reports on Form 10-Q or Current Reports on Form 8-K we file after the date of this prospectus supplement, and those discussed in other documents we file with the SEC.</w:t>
      </w:r>
    </w:p>
    <w:p>
      <w:pPr>
        <w:spacing w:after="0" w:line="192"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in this prospectus supplement, the accompanying prospectus and in Part I, Item 1A of our 2022 Annual Report and in Part I, Item 1A of our 1Q 2023 Quarterly Report and our 2Q 2023 Quarterly Report, any subsequent Quarterly Reports on Form 10-Q or Current Reports on Form 8-K we file after the date of this prospectus supplement, and those discussed in other documents we file with the SEC and elsewhere in this prospectus supplement, the accompanying prospectus and the documents incorporated by reference herein or therein. You should not place undue reliance on these forward-looking statements, which apply only as of the date of this prospectus supplement. We do not undertake any obligation to update or revise any forward-looking statements or any other information contained herein or therein, except as required by applicable law.</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000"/>
          </w:cols>
          <w:pgMar w:left="440" w:top="108"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7450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77450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300" w:right="160" w:firstLine="426"/>
        <w:spacing w:after="0" w:line="293" w:lineRule="auto"/>
        <w:rPr>
          <w:sz w:val="20"/>
          <w:szCs w:val="20"/>
          <w:color w:val="auto"/>
        </w:rPr>
      </w:pPr>
      <w:r>
        <w:rPr>
          <w:rFonts w:ascii="Arial" w:cs="Arial" w:eastAsia="Arial" w:hAnsi="Arial"/>
          <w:sz w:val="16"/>
          <w:szCs w:val="16"/>
          <w:i w:val="1"/>
          <w:iCs w:val="1"/>
          <w:color w:val="auto"/>
        </w:rPr>
        <w:t>This summary highlights some of the information contained elsewhere or incorporated by reference in this prospectus supplement and the accompanying prospectus. It is not complete and may not contain all of the information that you may want to consider. You should read this entire prospectus supplement, the accompanying prospectus, any free writing prospectus relating to this offering and the documents incorporated by reference in this prospectus supplement and the accompanying prospectus carefully. In particular, you should read the more detailed information set forth under “Risk Factors” in this prospectus supplement and the accompanying prospectus and the consolidated financial statements and the related notes included elsewhere or incorporated by reference in this prospectus supplement and the accompanying prospectus.</w:t>
      </w:r>
    </w:p>
    <w:p>
      <w:pPr>
        <w:spacing w:after="0" w:line="164"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As used in the prospectus supplement and the accompanying prospectus, except where the context suggests otherwise, references to:</w:t>
      </w:r>
    </w:p>
    <w:p>
      <w:pPr>
        <w:spacing w:after="0" w:line="131" w:lineRule="exact"/>
        <w:rPr>
          <w:sz w:val="20"/>
          <w:szCs w:val="20"/>
          <w:color w:val="auto"/>
        </w:rPr>
      </w:pPr>
    </w:p>
    <w:p>
      <w:pPr>
        <w:ind w:left="1260" w:right="200" w:hanging="433"/>
        <w:spacing w:after="0" w:line="277"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“TSLX,” “Sixth Street Specialty Lending,” “we,” “us,” “our,” the “Company,” and the “Registrant” refer to Sixth Street Specialty Lending, Inc., a Delaware corporation, and its consolidated subsidiaries;</w:t>
      </w:r>
    </w:p>
    <w:p>
      <w:pPr>
        <w:spacing w:after="0" w:line="75" w:lineRule="exact"/>
        <w:rPr>
          <w:rFonts w:ascii="Arial" w:cs="Arial" w:eastAsia="Arial" w:hAnsi="Arial"/>
          <w:sz w:val="18"/>
          <w:szCs w:val="18"/>
          <w:color w:val="auto"/>
        </w:rPr>
      </w:pPr>
    </w:p>
    <w:p>
      <w:pPr>
        <w:ind w:left="1260" w:right="20" w:hanging="433"/>
        <w:spacing w:after="0" w:line="263"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consolidated subsidiaries of Sixth Street Specialty Lending, Inc. refers to TC Lending, LLC, Sixth Street SL SPV, LLC, Sixth Street SL Holding, LLC, each a Delaware limited liability company, and Sixth Street Specialty Lending Sub, LLC, a limited liability company incorporated under the laws of the Cayman Islands;</w:t>
      </w:r>
    </w:p>
    <w:p>
      <w:pPr>
        <w:spacing w:after="0" w:line="89" w:lineRule="exact"/>
        <w:rPr>
          <w:rFonts w:ascii="Arial" w:cs="Arial" w:eastAsia="Arial" w:hAnsi="Arial"/>
          <w:sz w:val="18"/>
          <w:szCs w:val="18"/>
          <w:color w:val="auto"/>
        </w:rPr>
      </w:pPr>
    </w:p>
    <w:p>
      <w:pPr>
        <w:ind w:left="1260" w:hanging="433"/>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“Adviser” refers to Sixth Street Specialty Lending Advisers, LLC, a Delaware limited liability company; and</w:t>
      </w:r>
    </w:p>
    <w:p>
      <w:pPr>
        <w:spacing w:after="0" w:line="130" w:lineRule="exact"/>
        <w:rPr>
          <w:rFonts w:ascii="Arial" w:cs="Arial" w:eastAsia="Arial" w:hAnsi="Arial"/>
          <w:sz w:val="18"/>
          <w:szCs w:val="18"/>
          <w:color w:val="auto"/>
        </w:rPr>
      </w:pPr>
    </w:p>
    <w:p>
      <w:pPr>
        <w:ind w:left="1260" w:hanging="433"/>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“Sixth Street” refers to Sixth Street Partners, LLC together with its affiliates.</w:t>
      </w:r>
    </w:p>
    <w:p>
      <w:pPr>
        <w:spacing w:after="0" w:line="333" w:lineRule="exact"/>
        <w:rPr>
          <w:sz w:val="20"/>
          <w:szCs w:val="20"/>
          <w:color w:val="auto"/>
        </w:rPr>
      </w:pPr>
    </w:p>
    <w:p>
      <w:pPr>
        <w:ind w:left="720"/>
        <w:spacing w:after="0"/>
        <w:rPr>
          <w:sz w:val="20"/>
          <w:szCs w:val="20"/>
          <w:color w:val="auto"/>
        </w:rPr>
      </w:pPr>
      <w:r>
        <w:rPr>
          <w:rFonts w:ascii="Arial" w:cs="Arial" w:eastAsia="Arial" w:hAnsi="Arial"/>
          <w:sz w:val="16"/>
          <w:szCs w:val="16"/>
          <w:i w:val="1"/>
          <w:iCs w:val="1"/>
          <w:color w:val="auto"/>
        </w:rPr>
        <w:t>We have elected to be regulated as a business development company, or BDC, under the Investment Company Act of 1940, as amended, or the</w:t>
      </w:r>
    </w:p>
    <w:p>
      <w:pPr>
        <w:spacing w:after="0" w:line="46" w:lineRule="exact"/>
        <w:rPr>
          <w:sz w:val="20"/>
          <w:szCs w:val="20"/>
          <w:color w:val="auto"/>
        </w:rPr>
      </w:pPr>
    </w:p>
    <w:p>
      <w:pPr>
        <w:ind w:left="300" w:right="340"/>
        <w:spacing w:after="0" w:line="260" w:lineRule="auto"/>
        <w:rPr>
          <w:sz w:val="20"/>
          <w:szCs w:val="20"/>
          <w:color w:val="auto"/>
        </w:rPr>
      </w:pPr>
      <w:r>
        <w:rPr>
          <w:rFonts w:ascii="Arial" w:cs="Arial" w:eastAsia="Arial" w:hAnsi="Arial"/>
          <w:sz w:val="18"/>
          <w:szCs w:val="18"/>
          <w:i w:val="1"/>
          <w:iCs w:val="1"/>
          <w:color w:val="auto"/>
        </w:rPr>
        <w:t>1940 Act. In addition, for U.S. federal income tax purposes we have elected to be treated as a regulated investment company, or RIC, under the Internal Revenue Code of 1986, as amended, or the Code.</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Sixth Street Specialty Lending</w:t>
      </w:r>
    </w:p>
    <w:p>
      <w:pPr>
        <w:spacing w:after="0" w:line="121" w:lineRule="exact"/>
        <w:rPr>
          <w:sz w:val="20"/>
          <w:szCs w:val="20"/>
          <w:color w:val="auto"/>
        </w:rPr>
      </w:pPr>
    </w:p>
    <w:p>
      <w:pPr>
        <w:ind w:left="300" w:right="120" w:firstLine="426"/>
        <w:spacing w:after="0" w:line="291" w:lineRule="auto"/>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through June 30, 2023, we have originated more than $27.6 billion aggregate principal amount of investments and retained approximately</w:t>
      </w:r>
    </w:p>
    <w:p>
      <w:pPr>
        <w:ind w:left="300" w:right="180"/>
        <w:spacing w:after="0" w:line="302" w:lineRule="auto"/>
        <w:rPr>
          <w:sz w:val="20"/>
          <w:szCs w:val="20"/>
          <w:color w:val="auto"/>
        </w:rPr>
      </w:pPr>
      <w:r>
        <w:rPr>
          <w:rFonts w:ascii="Arial" w:cs="Arial" w:eastAsia="Arial" w:hAnsi="Arial"/>
          <w:sz w:val="16"/>
          <w:szCs w:val="16"/>
          <w:color w:val="auto"/>
        </w:rPr>
        <w:t>$9.6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equity securities and other instruments.</w:t>
      </w:r>
    </w:p>
    <w:p>
      <w:pPr>
        <w:spacing w:after="0" w:line="155" w:lineRule="exact"/>
        <w:rPr>
          <w:sz w:val="20"/>
          <w:szCs w:val="20"/>
          <w:color w:val="auto"/>
        </w:rPr>
      </w:pPr>
    </w:p>
    <w:p>
      <w:pPr>
        <w:ind w:left="300" w:right="120" w:firstLine="426"/>
        <w:spacing w:after="0" w:line="257" w:lineRule="auto"/>
        <w:rPr>
          <w:sz w:val="20"/>
          <w:szCs w:val="20"/>
          <w:color w:val="auto"/>
        </w:rPr>
      </w:pPr>
      <w:r>
        <w:rPr>
          <w:rFonts w:ascii="Arial" w:cs="Arial" w:eastAsia="Arial" w:hAnsi="Arial"/>
          <w:sz w:val="18"/>
          <w:szCs w:val="18"/>
          <w:color w:val="auto"/>
        </w:rPr>
        <w:t>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June 30, 2023, our core portfolio companies, which excludes certain investments that fall outside of our typical borrower profile and represent 91.3% of our total investments based on fair value, had weighted average annual revenue of $205.3 million and weighted average annual EBITDA of $67.3 million.</w:t>
      </w:r>
    </w:p>
    <w:p>
      <w:pPr>
        <w:spacing w:after="0" w:line="188" w:lineRule="exact"/>
        <w:rPr>
          <w:sz w:val="20"/>
          <w:szCs w:val="20"/>
          <w:color w:val="auto"/>
        </w:rPr>
      </w:pPr>
    </w:p>
    <w:p>
      <w:pPr>
        <w:ind w:left="300" w:right="420" w:firstLine="426"/>
        <w:spacing w:after="0" w:line="308"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146" w:lineRule="exact"/>
        <w:rPr>
          <w:sz w:val="20"/>
          <w:szCs w:val="20"/>
          <w:color w:val="auto"/>
        </w:rPr>
      </w:pPr>
    </w:p>
    <w:p>
      <w:pPr>
        <w:ind w:left="300" w:right="160" w:firstLine="426"/>
        <w:spacing w:after="0" w:line="342" w:lineRule="auto"/>
        <w:rPr>
          <w:sz w:val="20"/>
          <w:szCs w:val="20"/>
          <w:color w:val="auto"/>
        </w:rPr>
      </w:pPr>
      <w:r>
        <w:rPr>
          <w:rFonts w:ascii="Arial" w:cs="Arial" w:eastAsia="Arial" w:hAnsi="Arial"/>
          <w:sz w:val="16"/>
          <w:szCs w:val="16"/>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300" w:right="120" w:firstLine="426"/>
        <w:spacing w:after="0" w:line="277"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(including restructurings).</w:t>
      </w:r>
    </w:p>
    <w:p>
      <w:pPr>
        <w:spacing w:after="0" w:line="170" w:lineRule="exact"/>
        <w:rPr>
          <w:sz w:val="20"/>
          <w:szCs w:val="20"/>
          <w:color w:val="auto"/>
        </w:rPr>
      </w:pPr>
    </w:p>
    <w:p>
      <w:pPr>
        <w:ind w:left="300" w:right="20" w:firstLine="426"/>
        <w:spacing w:after="0" w:line="275" w:lineRule="auto"/>
        <w:rPr>
          <w:sz w:val="20"/>
          <w:szCs w:val="20"/>
          <w:color w:val="auto"/>
        </w:rPr>
      </w:pPr>
      <w:r>
        <w:rPr>
          <w:rFonts w:ascii="Arial" w:cs="Arial" w:eastAsia="Arial" w:hAnsi="Arial"/>
          <w:sz w:val="17"/>
          <w:szCs w:val="17"/>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28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60"/>
          </w:cols>
          <w:pgMar w:left="320" w:top="702" w:right="6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779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77793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80" w:firstLine="426"/>
        <w:spacing w:after="0" w:line="259" w:lineRule="auto"/>
        <w:rPr>
          <w:sz w:val="20"/>
          <w:szCs w:val="20"/>
          <w:color w:val="auto"/>
        </w:rPr>
      </w:pPr>
      <w:r>
        <w:rPr>
          <w:rFonts w:ascii="Arial" w:cs="Arial" w:eastAsia="Arial" w:hAnsi="Arial"/>
          <w:sz w:val="18"/>
          <w:szCs w:val="18"/>
          <w:color w:val="auto"/>
        </w:rPr>
        <w:t>As of June 30, 2023, our portfolio based on fair value consisted of 90.6% first-lien debt investments, 1.3% second-lien debt investments, 1.3% mezzanine debt investments, 5.0% equity and other investments and 1.8% structured credit investments. As of June 30, 2023, 99.2% of our debt investments based on fair value bore interest at floating rates, with 100.0% of these subject to interest rate floors, which we believe helps act as a portfolio-wide hedge against inflation.</w:t>
      </w:r>
    </w:p>
    <w:p>
      <w:pPr>
        <w:spacing w:after="0" w:line="187" w:lineRule="exact"/>
        <w:rPr>
          <w:sz w:val="20"/>
          <w:szCs w:val="20"/>
          <w:color w:val="auto"/>
        </w:rPr>
      </w:pPr>
    </w:p>
    <w:p>
      <w:pPr>
        <w:ind w:left="300" w:right="20" w:firstLine="426"/>
        <w:spacing w:after="0" w:line="279" w:lineRule="auto"/>
        <w:rPr>
          <w:sz w:val="20"/>
          <w:szCs w:val="20"/>
          <w:color w:val="auto"/>
        </w:rPr>
      </w:pPr>
      <w:r>
        <w:rPr>
          <w:rFonts w:ascii="Arial" w:cs="Arial" w:eastAsia="Arial" w:hAnsi="Arial"/>
          <w:sz w:val="17"/>
          <w:szCs w:val="17"/>
          <w:color w:val="auto"/>
        </w:rPr>
        <w:t>As of June 30, 2023, we had investments in 130 portfolio companies (including 44 structured credit investments, which include each series of collateralized loan obligation as a separate portfolio company investment) with an aggregate fair value of $3,089.0 million. For the three months ended June 30, 2023, the principal amount of new investments funded was $240.0 million in six new portfolio companies and four existing portfolio companies. For this period, we had $114.1 million aggregate principal amount in exits and repayments.</w:t>
      </w:r>
    </w:p>
    <w:p>
      <w:pPr>
        <w:spacing w:after="0" w:line="171"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color w:val="auto"/>
        </w:rPr>
        <w:t>As of June 30, 2023, the largest single investment based on fair value represented 2.5% of our total investment portfolio. As of June 30, 2023, the average investment size in each of our portfolio companies was approximately $23.8 million based on fair value. Portfolio companies includes investments in structured products including each series of collateralized loan obligation as a portfolio company investment. When excluding investments in structured credit investments, the average investment in our remaining portfolio companies was approximately $35.3 million as of June 30, 2023. As of June 30, 2023, the largest industry represented 15.7% of our total portfolio based on fair value.</w:t>
      </w:r>
    </w:p>
    <w:p>
      <w:pPr>
        <w:spacing w:after="0" w:line="161" w:lineRule="exact"/>
        <w:rPr>
          <w:sz w:val="20"/>
          <w:szCs w:val="20"/>
          <w:color w:val="auto"/>
        </w:rPr>
      </w:pPr>
    </w:p>
    <w:p>
      <w:pPr>
        <w:ind w:left="300" w:right="80" w:firstLine="426"/>
        <w:spacing w:after="0" w:line="255" w:lineRule="auto"/>
        <w:rPr>
          <w:sz w:val="20"/>
          <w:szCs w:val="20"/>
          <w:color w:val="auto"/>
        </w:rPr>
      </w:pPr>
      <w:r>
        <w:rPr>
          <w:rFonts w:ascii="Arial" w:cs="Arial" w:eastAsia="Arial" w:hAnsi="Arial"/>
          <w:sz w:val="18"/>
          <w:szCs w:val="18"/>
          <w:color w:val="auto"/>
        </w:rPr>
        <w:t>Since we began investing in 2011 through June 30, 2023, weighted by capital invested, our exited investments have generated an average realized gross internal rate of return to us of 17.5% (based on total capital invested of $6.8 billion and total proceeds from these exited investments of $8.5 billion). Ninety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 Item 2 of our 2Q 2023 Quarterly Report, which is incorporated herein by reference.</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300" w:right="100" w:firstLine="426"/>
        <w:spacing w:after="0" w:line="277" w:lineRule="auto"/>
        <w:rPr>
          <w:sz w:val="20"/>
          <w:szCs w:val="20"/>
          <w:color w:val="auto"/>
        </w:rPr>
      </w:pPr>
      <w:r>
        <w:rPr>
          <w:rFonts w:ascii="Arial" w:cs="Arial" w:eastAsia="Arial" w:hAnsi="Arial"/>
          <w:sz w:val="18"/>
          <w:szCs w:val="18"/>
          <w:color w:val="auto"/>
        </w:rPr>
        <w:t>Sixth Street Specialty Lending, Inc. is a Delaware corporation formed on July 21, 2010. Sixth Street Specialty Lending Advisers, LLC is our external manager.</w:t>
      </w:r>
    </w:p>
    <w:p>
      <w:pPr>
        <w:spacing w:after="0" w:line="170" w:lineRule="exact"/>
        <w:rPr>
          <w:sz w:val="20"/>
          <w:szCs w:val="20"/>
          <w:color w:val="auto"/>
        </w:rPr>
      </w:pPr>
    </w:p>
    <w:p>
      <w:pPr>
        <w:ind w:left="300" w:right="40" w:firstLine="426"/>
        <w:spacing w:after="0" w:line="259"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2022 Annual Report, which is incorporated herein by reference, for more information on these requirements.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left="300" w:right="620" w:firstLine="426"/>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70" w:lineRule="exact"/>
        <w:rPr>
          <w:sz w:val="20"/>
          <w:szCs w:val="20"/>
          <w:color w:val="auto"/>
        </w:rPr>
      </w:pPr>
    </w:p>
    <w:p>
      <w:pPr>
        <w:ind w:left="300" w:right="40" w:firstLine="426"/>
        <w:spacing w:after="0" w:line="257"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88" w:lineRule="exact"/>
        <w:rPr>
          <w:sz w:val="20"/>
          <w:szCs w:val="20"/>
          <w:color w:val="auto"/>
        </w:rPr>
      </w:pPr>
    </w:p>
    <w:p>
      <w:pPr>
        <w:ind w:left="300" w:right="80" w:firstLine="426"/>
        <w:spacing w:after="0" w:line="287" w:lineRule="auto"/>
        <w:rPr>
          <w:sz w:val="20"/>
          <w:szCs w:val="20"/>
          <w:color w:val="auto"/>
        </w:rPr>
      </w:pPr>
      <w:r>
        <w:rPr>
          <w:rFonts w:ascii="Arial" w:cs="Arial" w:eastAsia="Arial" w:hAnsi="Arial"/>
          <w:sz w:val="16"/>
          <w:szCs w:val="16"/>
          <w:color w:val="auto"/>
        </w:rPr>
        <w:t>Sixth Street is a global investment business with over $65 billion of assets under management as of June 30, 2023. Sixth Street’s core platforms include Sixth Street Specialty Lending, Sixth Street Lending Partners, which is aimed at U.S. upper middle-market loan originations,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520 investment and operating professionals. As of June 30, 2023, forty-nine (49) of these personnel are dedicated to our business, including thirty-seven (37) investment professionals.</w:t>
      </w:r>
    </w:p>
    <w:p>
      <w:pPr>
        <w:spacing w:after="0" w:line="28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40"/>
          </w:cols>
          <w:pgMar w:left="320" w:top="702" w:right="6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567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2567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93" w:lineRule="auto"/>
        <w:rPr>
          <w:sz w:val="20"/>
          <w:szCs w:val="20"/>
          <w:color w:val="auto"/>
        </w:rPr>
      </w:pPr>
      <w:r>
        <w:rPr>
          <w:rFonts w:ascii="Arial" w:cs="Arial" w:eastAsia="Arial" w:hAnsi="Arial"/>
          <w:sz w:val="16"/>
          <w:szCs w:val="16"/>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00" w:right="760" w:firstLine="426"/>
        <w:spacing w:after="0" w:line="277" w:lineRule="auto"/>
        <w:rPr>
          <w:sz w:val="20"/>
          <w:szCs w:val="20"/>
          <w:color w:val="auto"/>
        </w:rPr>
      </w:pPr>
      <w:r>
        <w:rPr>
          <w:rFonts w:ascii="Arial" w:cs="Arial" w:eastAsia="Arial" w:hAnsi="Arial"/>
          <w:sz w:val="18"/>
          <w:szCs w:val="18"/>
          <w:color w:val="auto"/>
        </w:rPr>
        <w:t>In connection with this offering, we intend to enter into interest rate swaps to better align the interest rates of our liabilities with our investment portfolio, which consists of predominately floating rate loans.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120" w:firstLine="426"/>
        <w:spacing w:after="0" w:line="263" w:lineRule="auto"/>
        <w:rPr>
          <w:sz w:val="20"/>
          <w:szCs w:val="20"/>
          <w:color w:val="auto"/>
        </w:rPr>
      </w:pPr>
      <w:r>
        <w:rPr>
          <w:rFonts w:ascii="Arial" w:cs="Arial" w:eastAsia="Arial" w:hAnsi="Arial"/>
          <w:sz w:val="18"/>
          <w:szCs w:val="18"/>
          <w:color w:val="auto"/>
        </w:rPr>
        <w:t>Our principal executive offices are located at 2100 McKinney Avenue, Suite 1500, Dallas, Texas 75201 and our telephone number is (469) 621-3001. Our corporate website is located at http://www.sixthstreetspecialtylending.com. Information on our website is not incorporated into or a part of this prospectus supplement or the accompanying prospectus.</w:t>
      </w: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60"/>
          </w:cols>
          <w:pgMar w:left="320" w:top="702" w:right="619" w:bottom="1440" w:gutter="0" w:footer="0" w:header="0"/>
        </w:sectPr>
      </w:pPr>
    </w:p>
    <w:bookmarkStart w:id="6" w:name="page7"/>
    <w:bookmarkEnd w:id="6"/>
    <w:p>
      <w:pPr>
        <w:spacing w:after="0" w:line="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9832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98323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SPECIFIC TERMS OF THE NOTES AND THE OFFERING</w:t>
      </w:r>
    </w:p>
    <w:p>
      <w:pPr>
        <w:spacing w:after="0" w:line="229" w:lineRule="exact"/>
        <w:rPr>
          <w:sz w:val="20"/>
          <w:szCs w:val="20"/>
          <w:color w:val="auto"/>
        </w:rPr>
      </w:pPr>
    </w:p>
    <w:p>
      <w:pPr>
        <w:ind w:left="300" w:right="40" w:firstLine="426"/>
        <w:spacing w:after="0" w:line="293" w:lineRule="auto"/>
        <w:rPr>
          <w:sz w:val="20"/>
          <w:szCs w:val="20"/>
          <w:color w:val="auto"/>
        </w:rPr>
      </w:pPr>
      <w:r>
        <w:rPr>
          <w:rFonts w:ascii="Arial" w:cs="Arial" w:eastAsia="Arial" w:hAnsi="Arial"/>
          <w:sz w:val="16"/>
          <w:szCs w:val="16"/>
          <w:i w:val="1"/>
          <w:iCs w:val="1"/>
          <w:color w:val="auto"/>
        </w:rPr>
        <w:t>This prospectus supplement sets forth certain terms of the Notes that we are offering pursuant to this prospectus supplement and supplements the accompanying prospectus that is attached to the back of this prospectus supplement. This section outlines certain legal and financial terms of the Notes. You should read this section together with the more detailed description of the Notes under the heading “Description of Notes” in this prospectus supplement and in the accompanying prospectus under the heading “Description of Our Debt Securities” before investing in the Notes. Capitalized terms used in this prospectus supplement and not otherwise defined shall have the meanings ascribed to them in the accompanying prospectus or in the indenture governing the Notes, as amended from time to time, the “indenture”.</w:t>
      </w:r>
    </w:p>
    <w:p>
      <w:pPr>
        <w:sectPr>
          <w:pgSz w:w="11900" w:h="16868" w:orient="portrait"/>
          <w:cols w:equalWidth="0" w:num="1">
            <w:col w:w="10940"/>
          </w:cols>
          <w:pgMar w:left="320" w:top="702" w:right="639" w:bottom="0" w:gutter="0" w:footer="0" w:header="0"/>
        </w:sectPr>
      </w:pPr>
    </w:p>
    <w:p>
      <w:pPr>
        <w:spacing w:after="0" w:line="19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Sixth Street Specialty Lending, Inc., a Delaware corporation</w:t>
      </w:r>
    </w:p>
    <w:p>
      <w:pPr>
        <w:spacing w:after="0" w:line="200" w:lineRule="exact"/>
        <w:rPr>
          <w:sz w:val="20"/>
          <w:szCs w:val="20"/>
          <w:color w:val="auto"/>
        </w:rPr>
      </w:pPr>
    </w:p>
    <w:p>
      <w:pPr>
        <w:sectPr>
          <w:pgSz w:w="11900" w:h="16868" w:orient="portrait"/>
          <w:cols w:equalWidth="0" w:num="2">
            <w:col w:w="5220" w:space="720"/>
            <w:col w:w="5000"/>
          </w:cols>
          <w:pgMar w:left="320" w:top="702" w:right="639" w:bottom="0" w:gutter="0" w:footer="0" w:header="0"/>
          <w:type w:val="continuous"/>
        </w:sectPr>
      </w:pPr>
    </w:p>
    <w:p>
      <w:pPr>
        <w:spacing w:after="0" w:line="4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Title of the Securities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6.950% Notes due 2028</w:t>
      </w:r>
    </w:p>
    <w:p>
      <w:pPr>
        <w:spacing w:after="0" w:line="200" w:lineRule="exact"/>
        <w:rPr>
          <w:sz w:val="20"/>
          <w:szCs w:val="20"/>
          <w:color w:val="auto"/>
        </w:rPr>
      </w:pPr>
    </w:p>
    <w:p>
      <w:pPr>
        <w:sectPr>
          <w:pgSz w:w="11900" w:h="16868" w:orient="portrait"/>
          <w:cols w:equalWidth="0" w:num="2">
            <w:col w:w="5220" w:space="720"/>
            <w:col w:w="5000"/>
          </w:cols>
          <w:pgMar w:left="320" w:top="702" w:right="639" w:bottom="0" w:gutter="0" w:footer="0" w:header="0"/>
          <w:type w:val="continuous"/>
        </w:sectPr>
      </w:pPr>
    </w:p>
    <w:p>
      <w:pPr>
        <w:spacing w:after="0" w:line="4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Total Aggregate Principal Amount Being Offered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$300,000,000</w:t>
      </w:r>
    </w:p>
    <w:p>
      <w:pPr>
        <w:spacing w:after="0" w:line="200" w:lineRule="exact"/>
        <w:rPr>
          <w:sz w:val="20"/>
          <w:szCs w:val="20"/>
          <w:color w:val="auto"/>
        </w:rPr>
      </w:pPr>
    </w:p>
    <w:p>
      <w:pPr>
        <w:sectPr>
          <w:pgSz w:w="11900" w:h="16868" w:orient="portrait"/>
          <w:cols w:equalWidth="0" w:num="2">
            <w:col w:w="5220" w:space="720"/>
            <w:col w:w="5000"/>
          </w:cols>
          <w:pgMar w:left="320" w:top="702" w:right="639" w:bottom="0" w:gutter="0" w:footer="0" w:header="0"/>
          <w:type w:val="continuous"/>
        </w:sectPr>
      </w:pPr>
    </w:p>
    <w:p>
      <w:pPr>
        <w:spacing w:after="0" w:line="4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Initial Public Offering Price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99.403% of the aggregate principal amount of Notes</w:t>
      </w:r>
    </w:p>
    <w:p>
      <w:pPr>
        <w:spacing w:after="0" w:line="211" w:lineRule="exact"/>
        <w:rPr>
          <w:sz w:val="20"/>
          <w:szCs w:val="20"/>
          <w:color w:val="auto"/>
        </w:rPr>
      </w:pPr>
    </w:p>
    <w:p>
      <w:pPr>
        <w:sectPr>
          <w:pgSz w:w="11900" w:h="16868" w:orient="portrait"/>
          <w:cols w:equalWidth="0" w:num="2">
            <w:col w:w="5220" w:space="720"/>
            <w:col w:w="5000"/>
          </w:cols>
          <w:pgMar w:left="320" w:top="702" w:right="639" w:bottom="0" w:gutter="0" w:footer="0" w:header="0"/>
          <w:type w:val="continuous"/>
        </w:sectPr>
      </w:pPr>
    </w:p>
    <w:p>
      <w:pPr>
        <w:spacing w:after="0" w:line="3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Interest Rate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4440"/>
        <w:spacing w:after="0"/>
        <w:rPr>
          <w:sz w:val="20"/>
          <w:szCs w:val="20"/>
          <w:color w:val="auto"/>
        </w:rPr>
      </w:pPr>
      <w:r>
        <w:rPr>
          <w:rFonts w:ascii="Arial" w:cs="Arial" w:eastAsia="Arial" w:hAnsi="Arial"/>
          <w:sz w:val="16"/>
          <w:szCs w:val="16"/>
          <w:color w:val="auto"/>
        </w:rPr>
        <w:t>6.950%</w:t>
      </w:r>
    </w:p>
    <w:p>
      <w:pPr>
        <w:spacing w:after="0" w:line="200" w:lineRule="exact"/>
        <w:rPr>
          <w:sz w:val="20"/>
          <w:szCs w:val="20"/>
          <w:color w:val="auto"/>
        </w:rPr>
      </w:pPr>
    </w:p>
    <w:p>
      <w:pPr>
        <w:sectPr>
          <w:pgSz w:w="11900" w:h="16868" w:orient="portrait"/>
          <w:cols w:equalWidth="0" w:num="2">
            <w:col w:w="5220" w:space="720"/>
            <w:col w:w="5000"/>
          </w:cols>
          <w:pgMar w:left="320" w:top="702" w:right="639" w:bottom="0" w:gutter="0" w:footer="0" w:header="0"/>
          <w:type w:val="continuous"/>
        </w:sectPr>
      </w:pPr>
    </w:p>
    <w:p>
      <w:pPr>
        <w:spacing w:after="0" w:line="4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Yield to Maturity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4440"/>
        <w:spacing w:after="0"/>
        <w:rPr>
          <w:sz w:val="20"/>
          <w:szCs w:val="20"/>
          <w:color w:val="auto"/>
        </w:rPr>
      </w:pPr>
      <w:r>
        <w:rPr>
          <w:rFonts w:ascii="Arial" w:cs="Arial" w:eastAsia="Arial" w:hAnsi="Arial"/>
          <w:sz w:val="16"/>
          <w:szCs w:val="16"/>
          <w:color w:val="auto"/>
        </w:rPr>
        <w:t>7.094%</w:t>
      </w:r>
    </w:p>
    <w:p>
      <w:pPr>
        <w:spacing w:after="0" w:line="211" w:lineRule="exact"/>
        <w:rPr>
          <w:sz w:val="20"/>
          <w:szCs w:val="20"/>
          <w:color w:val="auto"/>
        </w:rPr>
      </w:pPr>
    </w:p>
    <w:p>
      <w:pPr>
        <w:sectPr>
          <w:pgSz w:w="11900" w:h="16868" w:orient="portrait"/>
          <w:cols w:equalWidth="0" w:num="2">
            <w:col w:w="5220" w:space="720"/>
            <w:col w:w="5000"/>
          </w:cols>
          <w:pgMar w:left="320" w:top="702" w:right="639" w:bottom="0" w:gutter="0" w:footer="0" w:header="0"/>
          <w:type w:val="continuous"/>
        </w:sectPr>
      </w:pPr>
    </w:p>
    <w:p>
      <w:pPr>
        <w:spacing w:after="0" w:line="3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August 7, 2023</w:t>
      </w:r>
    </w:p>
    <w:p>
      <w:pPr>
        <w:spacing w:after="0" w:line="200" w:lineRule="exact"/>
        <w:rPr>
          <w:sz w:val="20"/>
          <w:szCs w:val="20"/>
          <w:color w:val="auto"/>
        </w:rPr>
      </w:pPr>
    </w:p>
    <w:p>
      <w:pPr>
        <w:sectPr>
          <w:pgSz w:w="11900" w:h="16868" w:orient="portrait"/>
          <w:cols w:equalWidth="0" w:num="2">
            <w:col w:w="5220" w:space="720"/>
            <w:col w:w="5000"/>
          </w:cols>
          <w:pgMar w:left="320" w:top="702" w:right="639" w:bottom="0" w:gutter="0" w:footer="0" w:header="0"/>
          <w:type w:val="continuous"/>
        </w:sectPr>
      </w:pPr>
    </w:p>
    <w:p>
      <w:pPr>
        <w:spacing w:after="0" w:line="4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Issue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August 14, 2023</w:t>
      </w:r>
    </w:p>
    <w:p>
      <w:pPr>
        <w:spacing w:after="0" w:line="200" w:lineRule="exact"/>
        <w:rPr>
          <w:sz w:val="20"/>
          <w:szCs w:val="20"/>
          <w:color w:val="auto"/>
        </w:rPr>
      </w:pPr>
    </w:p>
    <w:p>
      <w:pPr>
        <w:sectPr>
          <w:pgSz w:w="11900" w:h="16868" w:orient="portrait"/>
          <w:cols w:equalWidth="0" w:num="2">
            <w:col w:w="5220" w:space="720"/>
            <w:col w:w="5000"/>
          </w:cols>
          <w:pgMar w:left="320" w:top="702" w:right="639" w:bottom="0" w:gutter="0" w:footer="0" w:header="0"/>
          <w:type w:val="continuous"/>
        </w:sectPr>
      </w:pPr>
    </w:p>
    <w:p>
      <w:pPr>
        <w:spacing w:after="0" w:line="4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Maturity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August 14, 2028</w:t>
      </w:r>
    </w:p>
    <w:p>
      <w:pPr>
        <w:spacing w:after="0" w:line="200" w:lineRule="exact"/>
        <w:rPr>
          <w:sz w:val="20"/>
          <w:szCs w:val="20"/>
          <w:color w:val="auto"/>
        </w:rPr>
      </w:pPr>
    </w:p>
    <w:p>
      <w:pPr>
        <w:sectPr>
          <w:pgSz w:w="11900" w:h="16868" w:orient="portrait"/>
          <w:cols w:equalWidth="0" w:num="2">
            <w:col w:w="5220" w:space="720"/>
            <w:col w:w="5000"/>
          </w:cols>
          <w:pgMar w:left="320" w:top="702" w:right="639" w:bottom="0" w:gutter="0" w:footer="0" w:header="0"/>
          <w:type w:val="continuous"/>
        </w:sectPr>
      </w:pPr>
    </w:p>
    <w:p>
      <w:pPr>
        <w:spacing w:after="0" w:line="4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February 14 and August 14, commencing February 14, 2024</w:t>
      </w:r>
    </w:p>
    <w:p>
      <w:pPr>
        <w:spacing w:after="0" w:line="200" w:lineRule="exact"/>
        <w:rPr>
          <w:sz w:val="20"/>
          <w:szCs w:val="20"/>
          <w:color w:val="auto"/>
        </w:rPr>
      </w:pPr>
    </w:p>
    <w:p>
      <w:pPr>
        <w:sectPr>
          <w:pgSz w:w="11900" w:h="16868" w:orient="portrait"/>
          <w:cols w:equalWidth="0" w:num="2">
            <w:col w:w="5220" w:space="720"/>
            <w:col w:w="5000"/>
          </w:cols>
          <w:pgMar w:left="320" w:top="702" w:right="639" w:bottom="0" w:gutter="0" w:footer="0" w:header="0"/>
          <w:type w:val="continuous"/>
        </w:sectPr>
      </w:pPr>
    </w:p>
    <w:p>
      <w:pPr>
        <w:spacing w:after="0" w:line="4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Ranking of Notes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Notes will be our direct, general unsecured obligations and will rank:</w:t>
      </w:r>
    </w:p>
    <w:p>
      <w:pPr>
        <w:spacing w:after="0" w:line="170" w:lineRule="exact"/>
        <w:rPr>
          <w:sz w:val="20"/>
          <w:szCs w:val="20"/>
          <w:color w:val="auto"/>
        </w:rPr>
      </w:pPr>
    </w:p>
    <w:p>
      <w:pPr>
        <w:sectPr>
          <w:pgSz w:w="11900" w:h="16868" w:orient="portrait"/>
          <w:cols w:equalWidth="0" w:num="2">
            <w:col w:w="5220" w:space="720"/>
            <w:col w:w="5000"/>
          </w:cols>
          <w:pgMar w:left="320" w:top="702" w:right="639" w:bottom="0" w:gutter="0" w:footer="0" w:header="0"/>
          <w:type w:val="continuous"/>
        </w:sectPr>
      </w:pPr>
    </w:p>
    <w:p>
      <w:pPr>
        <w:ind w:left="6400"/>
        <w:spacing w:after="0"/>
        <w:rPr>
          <w:sz w:val="20"/>
          <w:szCs w:val="20"/>
          <w:color w:val="auto"/>
        </w:rPr>
      </w:pPr>
      <w:r>
        <w:rPr>
          <w:rFonts w:ascii="Arial" w:cs="Arial" w:eastAsia="Arial" w:hAnsi="Arial"/>
          <w:sz w:val="16"/>
          <w:szCs w:val="16"/>
          <w:color w:val="auto"/>
        </w:rPr>
        <w:t>•  Senior in right of payment to all of our future indebtedness</w:t>
      </w:r>
    </w:p>
    <w:p>
      <w:pPr>
        <w:spacing w:after="0" w:line="46"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or other obligations that are expressly subordinated, or</w:t>
      </w:r>
    </w:p>
    <w:p>
      <w:pPr>
        <w:spacing w:after="0" w:line="2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junior, in right of payment to the Notes;</w:t>
      </w:r>
    </w:p>
    <w:p>
      <w:pPr>
        <w:spacing w:after="0" w:line="10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•  Pari passu, or equal, in right of payment with all of our</w:t>
      </w:r>
    </w:p>
    <w:p>
      <w:pPr>
        <w:spacing w:after="0" w:line="35"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existing and future indebtedness or other obligations that</w:t>
      </w:r>
    </w:p>
    <w:p>
      <w:pPr>
        <w:spacing w:after="0" w:line="2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are not so subordinated, or junior, including, without</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limitation, as of June 30, 2023, approximately</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$347.5 million aggregate principal amount of outstanding</w:t>
      </w:r>
    </w:p>
    <w:p>
      <w:pPr>
        <w:spacing w:after="0" w:line="21"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indebtedness under our unsecured notes due November</w:t>
      </w:r>
    </w:p>
    <w:p>
      <w:pPr>
        <w:spacing w:after="0" w:line="2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2024, which we refer to as the 2024 Notes, and</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approximately $300.0 million aggregate principal amount</w:t>
      </w:r>
    </w:p>
    <w:p>
      <w:pPr>
        <w:spacing w:after="0" w:line="21"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of outstanding indebtedness under our unsecured notes due</w:t>
      </w:r>
    </w:p>
    <w:p>
      <w:pPr>
        <w:spacing w:after="0" w:line="3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August 2026, which we refer to as the 2026 Notes;</w:t>
      </w:r>
    </w:p>
    <w:p>
      <w:pPr>
        <w:spacing w:after="0" w:line="10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•  Effectively subordinated, or junior, to any of our secured</w:t>
      </w:r>
    </w:p>
    <w:p>
      <w:pPr>
        <w:spacing w:after="0" w:line="35"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indebtedness or other obligations (including unsecured</w:t>
      </w:r>
    </w:p>
    <w:p>
      <w:pPr>
        <w:spacing w:after="0" w:line="21"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indebtedness that we later secure) to the extent of the value</w:t>
      </w:r>
    </w:p>
    <w:p>
      <w:pPr>
        <w:spacing w:after="0" w:line="3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of the assets securing such indebtedness, including,</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without limitation, approximately $1,050.8 million</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aggregate principal amount of outstanding indebtedness as</w:t>
      </w:r>
    </w:p>
    <w:p>
      <w:pPr>
        <w:spacing w:after="0" w:line="32"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of June 30, 2023 under our Senior Secured Revolving</w:t>
      </w:r>
    </w:p>
    <w:p>
      <w:pPr>
        <w:spacing w:after="0" w:line="21"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Credit Agreement, dated August 23, 2012, as amended,</w:t>
      </w:r>
    </w:p>
    <w:p>
      <w:pPr>
        <w:spacing w:after="0" w:line="21"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which we refer to as the Revolving Credit Facility; and</w:t>
      </w:r>
    </w:p>
    <w:p>
      <w:pPr>
        <w:spacing w:after="0" w:line="11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•  Structurally subordinated, or junior, to all existing and</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future indebtedness and other obligations (including trade</w:t>
      </w:r>
    </w:p>
    <w:p>
      <w:pPr>
        <w:spacing w:after="0" w:line="32"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payables) incurred by our subsidiaries, financing vehicles</w:t>
      </w:r>
    </w:p>
    <w:p>
      <w:pPr>
        <w:spacing w:after="0" w:line="3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or similar facilities.</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As of June 30, 2023, our total consolidated indebtedness was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approximately $1,698.3 million aggregate principal amount</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outstanding, of which approximately $1,050.8 million was secured</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indebtedness at the TSLX level and none of which was indebtedness</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of our subsidiaries. After giving effect to the issuance of the Note,</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and assuming the net proceeds therefrom are used to repay</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outstanding borrowings under the Revolving Credit Facility, our total</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consolidated indebtedness would have been approximately $1,704.2</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million aggregate principal amount outstanding as of June 30, 2023.</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See “Capitalization”.</w:t>
      </w:r>
    </w:p>
    <w:p>
      <w:pPr>
        <w:sectPr>
          <w:pgSz w:w="11900" w:h="16868" w:orient="portrait"/>
          <w:cols w:equalWidth="0" w:num="1">
            <w:col w:w="10940"/>
          </w:cols>
          <w:pgMar w:left="320" w:top="702" w:right="639" w:bottom="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111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11125"/>
                    </a:xfrm>
                    <a:prstGeom prst="rect">
                      <a:avLst/>
                    </a:prstGeom>
                    <a:noFill/>
                  </pic:spPr>
                </pic:pic>
              </a:graphicData>
            </a:graphic>
          </wp:anchor>
        </w:drawing>
        <w:t>S-5</w:t>
      </w:r>
    </w:p>
    <w:p>
      <w:pPr>
        <w:sectPr>
          <w:pgSz w:w="11900" w:h="16838" w:orient="portrait"/>
          <w:cols w:equalWidth="0" w:num="1">
            <w:col w:w="9019"/>
          </w:cols>
          <w:pgMar w:left="1440" w:top="449" w:right="1440"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144780</wp:posOffset>
            </wp:positionV>
            <wp:extent cx="7174865"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502"/>
        </w:trPr>
        <w:tc>
          <w:tcPr>
            <w:tcW w:w="504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Denominations</w:t>
            </w:r>
          </w:p>
        </w:tc>
        <w:tc>
          <w:tcPr>
            <w:tcW w:w="5980" w:type="dxa"/>
            <w:vAlign w:val="bottom"/>
            <w:tcBorders>
              <w:top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We will issue the Notes in denominations of $2,000 and integral</w:t>
            </w:r>
          </w:p>
        </w:tc>
      </w:tr>
      <w:tr>
        <w:trPr>
          <w:trHeight w:val="230"/>
        </w:trPr>
        <w:tc>
          <w:tcPr>
            <w:tcW w:w="5040" w:type="dxa"/>
            <w:vAlign w:val="bottom"/>
            <w:tcBorders>
              <w:left w:val="single" w:sz="8" w:color="auto"/>
            </w:tcBorders>
          </w:tcPr>
          <w:p>
            <w:pPr>
              <w:spacing w:after="0"/>
              <w:rPr>
                <w:sz w:val="20"/>
                <w:szCs w:val="20"/>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multiples of $1,000 in excess thereof.</w:t>
            </w:r>
          </w:p>
        </w:tc>
      </w:tr>
      <w:tr>
        <w:trPr>
          <w:trHeight w:val="418"/>
        </w:trPr>
        <w:tc>
          <w:tcPr>
            <w:tcW w:w="5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We may redeem some or all of the Notes, in whole or in part, at any</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time, or from time to time, at a redemption price, prior to Par Call</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Date, equal to the greater of (1) (a) the sum of the present values of</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6"/>
              </w:rPr>
              <w:t>the remaining scheduled payments of principal and interest thereon</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discounted to the redemption date (assuming the Notes matured on</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4"/>
              </w:rPr>
              <w:t>the Par Call Date) on a semi-annual basis (assuming a 360-day year</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9"/>
              </w:rPr>
              <w:t>consisting of twelve 30-day months) at the Treasury Rate plus 45</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6"/>
              </w:rPr>
              <w:t>basis points less (b) interest accrued to the date of redemption, and</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(2) 100% of the principal amount of the Notes to be redeemed, plus,</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3"/>
              </w:rPr>
              <w:t>in either case, accrued and unpaid interest thereon to the redemption</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4"/>
              </w:rPr>
              <w:t>date; provided, however, that if we redeem any Notes on or after the</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Par Call Date, the redemption price for the Notes will be equal to</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100% of the principal amount of the Notes to be redeemed plus</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accrued and unpaid interest thereon to the redemption date. Any</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exercise of our option to redeem the Notes will be done in</w:t>
            </w:r>
          </w:p>
        </w:tc>
      </w:tr>
      <w:tr>
        <w:trPr>
          <w:trHeight w:val="230"/>
        </w:trPr>
        <w:tc>
          <w:tcPr>
            <w:tcW w:w="5040" w:type="dxa"/>
            <w:vAlign w:val="bottom"/>
            <w:tcBorders>
              <w:left w:val="single" w:sz="8" w:color="auto"/>
            </w:tcBorders>
          </w:tcPr>
          <w:p>
            <w:pPr>
              <w:spacing w:after="0"/>
              <w:rPr>
                <w:sz w:val="20"/>
                <w:szCs w:val="20"/>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compliance with the 1940 Act.</w:t>
            </w:r>
          </w:p>
        </w:tc>
      </w:tr>
      <w:tr>
        <w:trPr>
          <w:trHeight w:val="418"/>
        </w:trPr>
        <w:tc>
          <w:tcPr>
            <w:tcW w:w="5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Sinking Fund</w:t>
            </w: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The Notes will not be subject to any sinking fund. A sinking fund is a</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reserve fund accumulated over a period of time for the retirement of</w:t>
            </w:r>
          </w:p>
        </w:tc>
      </w:tr>
      <w:tr>
        <w:trPr>
          <w:trHeight w:val="230"/>
        </w:trPr>
        <w:tc>
          <w:tcPr>
            <w:tcW w:w="5040" w:type="dxa"/>
            <w:vAlign w:val="bottom"/>
            <w:tcBorders>
              <w:left w:val="single" w:sz="8" w:color="auto"/>
            </w:tcBorders>
          </w:tcPr>
          <w:p>
            <w:pPr>
              <w:spacing w:after="0"/>
              <w:rPr>
                <w:sz w:val="20"/>
                <w:szCs w:val="20"/>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debt.</w:t>
            </w:r>
          </w:p>
        </w:tc>
      </w:tr>
      <w:tr>
        <w:trPr>
          <w:trHeight w:val="418"/>
        </w:trPr>
        <w:tc>
          <w:tcPr>
            <w:tcW w:w="5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5"/>
              </w:rPr>
              <w:t>Offer to Purchase upon a Change of Control Repurchase Event</w:t>
            </w: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8"/>
              </w:rPr>
              <w:t>If a Change of Control Repurchase Event occurs prior to maturity,</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unless we have exercised our right to redeem the Notes in full,</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4"/>
              </w:rPr>
              <w:t>holders will have the right, at their option, to require us to repurchase</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3"/>
              </w:rPr>
              <w:t>for cash some or all of the Notes at a repurchase price equal to 100%</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3"/>
              </w:rPr>
              <w:t>of the principal amount of the Notes being repurchased, plus accrued</w:t>
            </w:r>
          </w:p>
        </w:tc>
      </w:tr>
      <w:tr>
        <w:trPr>
          <w:trHeight w:val="230"/>
        </w:trPr>
        <w:tc>
          <w:tcPr>
            <w:tcW w:w="5040" w:type="dxa"/>
            <w:vAlign w:val="bottom"/>
            <w:tcBorders>
              <w:left w:val="single" w:sz="8" w:color="auto"/>
            </w:tcBorders>
          </w:tcPr>
          <w:p>
            <w:pPr>
              <w:spacing w:after="0"/>
              <w:rPr>
                <w:sz w:val="20"/>
                <w:szCs w:val="20"/>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and unpaid interest to, but not including, the repurchase date.</w:t>
            </w:r>
          </w:p>
        </w:tc>
      </w:tr>
      <w:tr>
        <w:trPr>
          <w:trHeight w:val="418"/>
        </w:trPr>
        <w:tc>
          <w:tcPr>
            <w:tcW w:w="5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Legal Defeasance</w:t>
            </w: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The Notes are subject to legal defeasance by us, which means that,</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subject to the satisfaction of certain conditions, including, but not</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8"/>
              </w:rPr>
              <w:t>limited to, (i) depositing in trust for the benefit of the holders of the</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Notes a combination of money and U.S. government or U.S.</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3"/>
              </w:rPr>
              <w:t>government agency notes or bonds that will generate enough cash to</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2"/>
              </w:rPr>
              <w:t>make interest, principal and any other payments on the Notes on their</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various due dates and (ii) delivering to the Trustee an opinion of</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counsel as described herein under “Description of Notes—</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Satisfaction and Discharge; Defeasance,” we can legally release</w:t>
            </w:r>
          </w:p>
        </w:tc>
      </w:tr>
      <w:tr>
        <w:trPr>
          <w:trHeight w:val="230"/>
        </w:trPr>
        <w:tc>
          <w:tcPr>
            <w:tcW w:w="5040" w:type="dxa"/>
            <w:vAlign w:val="bottom"/>
            <w:tcBorders>
              <w:left w:val="single" w:sz="8" w:color="auto"/>
            </w:tcBorders>
          </w:tcPr>
          <w:p>
            <w:pPr>
              <w:spacing w:after="0"/>
              <w:rPr>
                <w:sz w:val="20"/>
                <w:szCs w:val="20"/>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ourselves from all payment and other obligations on the Notes.</w:t>
            </w:r>
          </w:p>
        </w:tc>
      </w:tr>
      <w:tr>
        <w:trPr>
          <w:trHeight w:val="418"/>
        </w:trPr>
        <w:tc>
          <w:tcPr>
            <w:tcW w:w="5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Covenant Defeasance</w:t>
            </w: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6"/>
              </w:rPr>
              <w:t>The Notes are subject to covenant defeasance by us, which means</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8"/>
              </w:rPr>
              <w:t>that, subject to the satisfaction of certain conditions, including, but</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8"/>
              </w:rPr>
              <w:t>not limited to, (i) depositing in trust for the benefit of the holders of</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the Notes a combination of money and U.S. government or U.S.</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3"/>
              </w:rPr>
              <w:t>government agency notes or bonds that will generate enough cash to</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2"/>
              </w:rPr>
              <w:t>make interest, principal and any other payments on the Notes on their</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various due dates and (ii) delivering to the Trustee an opinion of</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counsel as described herein under “Description of Notes—</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7"/>
              </w:rPr>
              <w:t>Satisfaction and Discharge; Defeasance,” we will be released from</w:t>
            </w:r>
          </w:p>
        </w:tc>
      </w:tr>
      <w:tr>
        <w:trPr>
          <w:trHeight w:val="230"/>
        </w:trPr>
        <w:tc>
          <w:tcPr>
            <w:tcW w:w="5040" w:type="dxa"/>
            <w:vAlign w:val="bottom"/>
            <w:tcBorders>
              <w:left w:val="single" w:sz="8" w:color="auto"/>
            </w:tcBorders>
          </w:tcPr>
          <w:p>
            <w:pPr>
              <w:spacing w:after="0"/>
              <w:rPr>
                <w:sz w:val="20"/>
                <w:szCs w:val="20"/>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some of the restrictive covenants in the indenture.</w:t>
            </w:r>
          </w:p>
        </w:tc>
      </w:tr>
      <w:tr>
        <w:trPr>
          <w:trHeight w:val="418"/>
        </w:trPr>
        <w:tc>
          <w:tcPr>
            <w:tcW w:w="5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Form of Notes</w:t>
            </w: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The Notes will be represented by global securities that will be</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deposited and registered in the name of The Depository Trust</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4"/>
              </w:rPr>
              <w:t>Company, or DTC, or its nominee. This means that, except in limited</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circumstances, you will not receive certificates for the Notes.</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8"/>
              </w:rPr>
              <w:t>Beneficial interests in the Notes will be represented through book-</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7"/>
              </w:rPr>
              <w:t>entry accounts of financial institutions acting on behalf of beneficial</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owners as direct and indirect participants in DTC. Investors may</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6"/>
              </w:rPr>
              <w:t>elect to hold interests in the Notes through either DTC, if they are a</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4"/>
              </w:rPr>
              <w:t>participant, or indirectly through organizations that are participants in</w:t>
            </w:r>
          </w:p>
        </w:tc>
      </w:tr>
      <w:tr>
        <w:trPr>
          <w:trHeight w:val="230"/>
        </w:trPr>
        <w:tc>
          <w:tcPr>
            <w:tcW w:w="5040" w:type="dxa"/>
            <w:vAlign w:val="bottom"/>
            <w:tcBorders>
              <w:left w:val="single" w:sz="8" w:color="auto"/>
            </w:tcBorders>
          </w:tcPr>
          <w:p>
            <w:pPr>
              <w:spacing w:after="0"/>
              <w:rPr>
                <w:sz w:val="20"/>
                <w:szCs w:val="20"/>
                <w:color w:val="auto"/>
              </w:rPr>
            </w:pPr>
          </w:p>
        </w:tc>
        <w:tc>
          <w:tcPr>
            <w:tcW w:w="59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DTC.</w:t>
            </w:r>
          </w:p>
        </w:tc>
      </w:tr>
      <w:tr>
        <w:trPr>
          <w:trHeight w:val="159"/>
        </w:trPr>
        <w:tc>
          <w:tcPr>
            <w:tcW w:w="5040" w:type="dxa"/>
            <w:vAlign w:val="bottom"/>
            <w:tcBorders>
              <w:left w:val="single" w:sz="8" w:color="auto"/>
              <w:bottom w:val="single" w:sz="8" w:color="auto"/>
            </w:tcBorders>
          </w:tcPr>
          <w:p>
            <w:pPr>
              <w:spacing w:after="0"/>
              <w:rPr>
                <w:sz w:val="13"/>
                <w:szCs w:val="13"/>
                <w:color w:val="auto"/>
              </w:rPr>
            </w:pPr>
          </w:p>
        </w:tc>
        <w:tc>
          <w:tcPr>
            <w:tcW w:w="5980" w:type="dxa"/>
            <w:vAlign w:val="bottom"/>
            <w:tcBorders>
              <w:bottom w:val="single" w:sz="8" w:color="auto"/>
              <w:right w:val="single" w:sz="8" w:color="auto"/>
            </w:tcBorders>
          </w:tcPr>
          <w:p>
            <w:pPr>
              <w:spacing w:after="0"/>
              <w:rPr>
                <w:sz w:val="13"/>
                <w:szCs w:val="13"/>
                <w:color w:val="auto"/>
              </w:rPr>
            </w:pPr>
          </w:p>
        </w:tc>
      </w:tr>
      <w:tr>
        <w:trPr>
          <w:trHeight w:val="361"/>
        </w:trPr>
        <w:tc>
          <w:tcPr>
            <w:tcW w:w="5040" w:type="dxa"/>
            <w:vAlign w:val="bottom"/>
          </w:tcPr>
          <w:p>
            <w:pPr>
              <w:spacing w:after="0"/>
              <w:rPr>
                <w:sz w:val="24"/>
                <w:szCs w:val="24"/>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S-6</w:t>
            </w:r>
          </w:p>
        </w:tc>
      </w:tr>
    </w:tbl>
    <w:p>
      <w:pPr>
        <w:sectPr>
          <w:pgSz w:w="11900" w:h="16838" w:orient="portrait"/>
          <w:cols w:equalWidth="0" w:num="1">
            <w:col w:w="11140"/>
          </w:cols>
          <w:pgMar w:left="320" w:top="594" w:right="439" w:bottom="703"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438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Trustee, Paying Agent and Registrar</w:t>
            </w:r>
          </w:p>
        </w:tc>
        <w:tc>
          <w:tcPr>
            <w:tcW w:w="6640" w:type="dxa"/>
            <w:vAlign w:val="bottom"/>
            <w:tcBorders>
              <w:top w:val="single" w:sz="8" w:color="auto"/>
              <w:right w:val="single" w:sz="8" w:color="auto"/>
            </w:tcBorders>
          </w:tcPr>
          <w:p>
            <w:pPr>
              <w:ind w:left="1440"/>
              <w:spacing w:after="0"/>
              <w:rPr>
                <w:sz w:val="20"/>
                <w:szCs w:val="20"/>
                <w:color w:val="auto"/>
              </w:rPr>
            </w:pPr>
            <w:r>
              <w:rPr>
                <w:rFonts w:ascii="Arial" w:cs="Arial" w:eastAsia="Arial" w:hAnsi="Arial"/>
                <w:sz w:val="18"/>
                <w:szCs w:val="18"/>
                <w:color w:val="auto"/>
                <w:w w:val="96"/>
              </w:rPr>
              <w:t>Computershare Trust Company, N.A., as successor to Wells Fargo</w:t>
            </w:r>
          </w:p>
        </w:tc>
      </w:tr>
      <w:tr>
        <w:trPr>
          <w:trHeight w:val="230"/>
        </w:trPr>
        <w:tc>
          <w:tcPr>
            <w:tcW w:w="4380" w:type="dxa"/>
            <w:vAlign w:val="bottom"/>
            <w:tcBorders>
              <w:left w:val="single" w:sz="8" w:color="auto"/>
            </w:tcBorders>
          </w:tcPr>
          <w:p>
            <w:pPr>
              <w:spacing w:after="0"/>
              <w:rPr>
                <w:sz w:val="20"/>
                <w:szCs w:val="20"/>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Bank, National Association</w:t>
            </w:r>
          </w:p>
        </w:tc>
      </w:tr>
      <w:tr>
        <w:trPr>
          <w:trHeight w:val="418"/>
        </w:trPr>
        <w:tc>
          <w:tcPr>
            <w:tcW w:w="43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Events of Default</w:t>
            </w: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w w:val="96"/>
              </w:rPr>
              <w:t>If an event of default (as described under “Description of Notes”) on</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w w:val="92"/>
              </w:rPr>
              <w:t>the Notes occurs, the principal amount of the Notes, plus accrued and</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unpaid interest, may be declared immediately due and payable,</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subject to conditions set forth in the indenture. These amounts</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w w:val="93"/>
              </w:rPr>
              <w:t>automatically become due and payable in the case of certain types of</w:t>
            </w:r>
          </w:p>
        </w:tc>
      </w:tr>
      <w:tr>
        <w:trPr>
          <w:trHeight w:val="230"/>
        </w:trPr>
        <w:tc>
          <w:tcPr>
            <w:tcW w:w="4380" w:type="dxa"/>
            <w:vAlign w:val="bottom"/>
            <w:tcBorders>
              <w:left w:val="single" w:sz="8" w:color="auto"/>
            </w:tcBorders>
          </w:tcPr>
          <w:p>
            <w:pPr>
              <w:spacing w:after="0"/>
              <w:rPr>
                <w:sz w:val="20"/>
                <w:szCs w:val="20"/>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bankruptcy or insolvency events involving us.</w:t>
            </w:r>
          </w:p>
        </w:tc>
      </w:tr>
      <w:tr>
        <w:trPr>
          <w:trHeight w:val="418"/>
        </w:trPr>
        <w:tc>
          <w:tcPr>
            <w:tcW w:w="43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Other Covenants</w:t>
            </w: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In addition to the covenants described in the accompanying</w:t>
            </w:r>
          </w:p>
        </w:tc>
      </w:tr>
      <w:tr>
        <w:trPr>
          <w:trHeight w:val="230"/>
        </w:trPr>
        <w:tc>
          <w:tcPr>
            <w:tcW w:w="4380" w:type="dxa"/>
            <w:vAlign w:val="bottom"/>
            <w:tcBorders>
              <w:left w:val="single" w:sz="8" w:color="auto"/>
            </w:tcBorders>
          </w:tcPr>
          <w:p>
            <w:pPr>
              <w:spacing w:after="0"/>
              <w:rPr>
                <w:sz w:val="20"/>
                <w:szCs w:val="20"/>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prospectus, the following covenants shall apply to the Notes:</w:t>
            </w:r>
          </w:p>
        </w:tc>
      </w:tr>
      <w:tr>
        <w:trPr>
          <w:trHeight w:val="323"/>
        </w:trPr>
        <w:tc>
          <w:tcPr>
            <w:tcW w:w="4380" w:type="dxa"/>
            <w:vAlign w:val="bottom"/>
            <w:tcBorders>
              <w:left w:val="single" w:sz="8" w:color="auto"/>
            </w:tcBorders>
          </w:tcPr>
          <w:p>
            <w:pPr>
              <w:spacing w:after="0"/>
              <w:rPr>
                <w:sz w:val="24"/>
                <w:szCs w:val="24"/>
                <w:color w:val="auto"/>
              </w:rPr>
            </w:pPr>
          </w:p>
        </w:tc>
        <w:tc>
          <w:tcPr>
            <w:tcW w:w="6640" w:type="dxa"/>
            <w:vAlign w:val="bottom"/>
            <w:tcBorders>
              <w:right w:val="single" w:sz="8" w:color="auto"/>
            </w:tcBorders>
          </w:tcPr>
          <w:p>
            <w:pPr>
              <w:ind w:left="1900"/>
              <w:spacing w:after="0"/>
              <w:rPr>
                <w:sz w:val="20"/>
                <w:szCs w:val="20"/>
                <w:color w:val="auto"/>
              </w:rPr>
            </w:pPr>
            <w:r>
              <w:rPr>
                <w:rFonts w:ascii="Arial" w:cs="Arial" w:eastAsia="Arial" w:hAnsi="Arial"/>
                <w:sz w:val="18"/>
                <w:szCs w:val="18"/>
                <w:color w:val="auto"/>
                <w:w w:val="94"/>
              </w:rPr>
              <w:t>•  We agree that for the period of time during which the Notes</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6"/>
              </w:rPr>
              <w:t>are outstanding, we will not violate, whether or not we are</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rPr>
              <w:t>subject thereto, Section 18(a)(1)(A) as modified by</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5"/>
              </w:rPr>
              <w:t>Section 61(a) of the 1940 Act or any successor provisions,</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rPr>
              <w:t>but giving effect, in either case, to any exemptive relief</w:t>
            </w:r>
          </w:p>
        </w:tc>
      </w:tr>
      <w:tr>
        <w:trPr>
          <w:trHeight w:val="230"/>
        </w:trPr>
        <w:tc>
          <w:tcPr>
            <w:tcW w:w="4380" w:type="dxa"/>
            <w:vAlign w:val="bottom"/>
            <w:tcBorders>
              <w:left w:val="single" w:sz="8" w:color="auto"/>
            </w:tcBorders>
          </w:tcPr>
          <w:p>
            <w:pPr>
              <w:spacing w:after="0"/>
              <w:rPr>
                <w:sz w:val="20"/>
                <w:szCs w:val="20"/>
                <w:color w:val="auto"/>
              </w:rPr>
            </w:pPr>
          </w:p>
        </w:tc>
        <w:tc>
          <w:tcPr>
            <w:tcW w:w="664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rPr>
              <w:t>granted to us by the SEC.</w:t>
            </w:r>
          </w:p>
        </w:tc>
      </w:tr>
      <w:tr>
        <w:trPr>
          <w:trHeight w:val="323"/>
        </w:trPr>
        <w:tc>
          <w:tcPr>
            <w:tcW w:w="4380" w:type="dxa"/>
            <w:vAlign w:val="bottom"/>
            <w:tcBorders>
              <w:left w:val="single" w:sz="8" w:color="auto"/>
            </w:tcBorders>
          </w:tcPr>
          <w:p>
            <w:pPr>
              <w:spacing w:after="0"/>
              <w:rPr>
                <w:sz w:val="24"/>
                <w:szCs w:val="24"/>
                <w:color w:val="auto"/>
              </w:rPr>
            </w:pPr>
          </w:p>
        </w:tc>
        <w:tc>
          <w:tcPr>
            <w:tcW w:w="6640" w:type="dxa"/>
            <w:vAlign w:val="bottom"/>
            <w:tcBorders>
              <w:right w:val="single" w:sz="8" w:color="auto"/>
            </w:tcBorders>
          </w:tcPr>
          <w:p>
            <w:pPr>
              <w:ind w:left="1900"/>
              <w:spacing w:after="0"/>
              <w:rPr>
                <w:sz w:val="20"/>
                <w:szCs w:val="20"/>
                <w:color w:val="auto"/>
              </w:rPr>
            </w:pPr>
            <w:r>
              <w:rPr>
                <w:rFonts w:ascii="Arial" w:cs="Arial" w:eastAsia="Arial" w:hAnsi="Arial"/>
                <w:sz w:val="18"/>
                <w:szCs w:val="18"/>
                <w:color w:val="auto"/>
              </w:rPr>
              <w:t>•  If, at any time, we are not subject to the reporting</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6"/>
              </w:rPr>
              <w:t>requirements of Sections 13 or 15(d) of the Exchange Act</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rPr>
              <w:t>to file any periodic reports with the SEC, we agree to</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rPr>
              <w:t>furnish to holders of the Notes and the Trustee, for the</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6"/>
              </w:rPr>
              <w:t>period of time during which the Notes are outstanding, our</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4"/>
              </w:rPr>
              <w:t>audited annual consolidated financial statements, within 90</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rPr>
              <w:t>days of our fiscal year end, and unaudited interim</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rPr>
              <w:t>consolidated financial statements, within 45 days of our</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7"/>
              </w:rPr>
              <w:t>fiscal quarter end (other than our fourth fiscal quarter). All</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8"/>
              </w:rPr>
              <w:t>such financial statements will be prepared, in all material</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rPr>
              <w:t>respects, in accordance with applicable United States</w:t>
            </w:r>
          </w:p>
        </w:tc>
      </w:tr>
      <w:tr>
        <w:trPr>
          <w:trHeight w:val="230"/>
        </w:trPr>
        <w:tc>
          <w:tcPr>
            <w:tcW w:w="4380" w:type="dxa"/>
            <w:vAlign w:val="bottom"/>
            <w:tcBorders>
              <w:left w:val="single" w:sz="8" w:color="auto"/>
            </w:tcBorders>
          </w:tcPr>
          <w:p>
            <w:pPr>
              <w:spacing w:after="0"/>
              <w:rPr>
                <w:sz w:val="20"/>
                <w:szCs w:val="20"/>
                <w:color w:val="auto"/>
              </w:rPr>
            </w:pPr>
          </w:p>
        </w:tc>
        <w:tc>
          <w:tcPr>
            <w:tcW w:w="664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rPr>
              <w:t>generally accepted accounting principles, or GAAP.</w:t>
            </w:r>
          </w:p>
        </w:tc>
      </w:tr>
      <w:tr>
        <w:trPr>
          <w:trHeight w:val="431"/>
        </w:trPr>
        <w:tc>
          <w:tcPr>
            <w:tcW w:w="43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No Established Trading Market</w:t>
            </w: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w w:val="96"/>
              </w:rPr>
              <w:t>The Notes are a new issue of securities with no established trading</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w w:val="98"/>
              </w:rPr>
              <w:t>market. The Notes will not be listed on any securities exchange or</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w w:val="95"/>
              </w:rPr>
              <w:t>quoted on any automated dealer quotation system. Although certain</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of the underwriters have informed us that they currently intend to</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make a market in the Notes, as permitted by applicable laws and</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w w:val="94"/>
              </w:rPr>
              <w:t>regulations, they are not obligated to do so and may discontinue any</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such market making activities at any time without notice. See</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“Underwriting.” Accordingly, we cannot assure you that a liquid</w:t>
            </w:r>
          </w:p>
        </w:tc>
      </w:tr>
      <w:tr>
        <w:trPr>
          <w:trHeight w:val="230"/>
        </w:trPr>
        <w:tc>
          <w:tcPr>
            <w:tcW w:w="4380" w:type="dxa"/>
            <w:vAlign w:val="bottom"/>
            <w:tcBorders>
              <w:left w:val="single" w:sz="8" w:color="auto"/>
            </w:tcBorders>
          </w:tcPr>
          <w:p>
            <w:pPr>
              <w:spacing w:after="0"/>
              <w:rPr>
                <w:sz w:val="20"/>
                <w:szCs w:val="20"/>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market for the Notes will develop or be maintained.</w:t>
            </w:r>
          </w:p>
        </w:tc>
      </w:tr>
      <w:tr>
        <w:trPr>
          <w:trHeight w:val="418"/>
        </w:trPr>
        <w:tc>
          <w:tcPr>
            <w:tcW w:w="43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Global Clearance and Settlement Procedures</w:t>
            </w: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Interests in the Notes will trade in DTC’s Same Day Funds</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Settlement System, and any permitted secondary market trading</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activity in such Notes will, therefore, be required by DTC to be</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w w:val="99"/>
              </w:rPr>
              <w:t>settled in immediately available funds. None of the Company, the</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w w:val="99"/>
              </w:rPr>
              <w:t>Trustee or the paying agent will have any responsibility or liability</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for the performance by DTC or its participants or indirect</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participants of their respective obligations under the rules and</w:t>
            </w:r>
          </w:p>
        </w:tc>
      </w:tr>
      <w:tr>
        <w:trPr>
          <w:trHeight w:val="230"/>
        </w:trPr>
        <w:tc>
          <w:tcPr>
            <w:tcW w:w="4380" w:type="dxa"/>
            <w:vAlign w:val="bottom"/>
            <w:tcBorders>
              <w:left w:val="single" w:sz="8" w:color="auto"/>
            </w:tcBorders>
          </w:tcPr>
          <w:p>
            <w:pPr>
              <w:spacing w:after="0"/>
              <w:rPr>
                <w:sz w:val="20"/>
                <w:szCs w:val="20"/>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procedures governing their operations.</w:t>
            </w:r>
          </w:p>
        </w:tc>
      </w:tr>
      <w:tr>
        <w:trPr>
          <w:trHeight w:val="418"/>
        </w:trPr>
        <w:tc>
          <w:tcPr>
            <w:tcW w:w="43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Governing Law</w:t>
            </w: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The Notes and the indenture are governed by and construed in</w:t>
            </w:r>
          </w:p>
        </w:tc>
      </w:tr>
      <w:tr>
        <w:trPr>
          <w:trHeight w:val="230"/>
        </w:trPr>
        <w:tc>
          <w:tcPr>
            <w:tcW w:w="4380" w:type="dxa"/>
            <w:vAlign w:val="bottom"/>
            <w:tcBorders>
              <w:left w:val="single" w:sz="8" w:color="auto"/>
            </w:tcBorders>
          </w:tcPr>
          <w:p>
            <w:pPr>
              <w:spacing w:after="0"/>
              <w:rPr>
                <w:sz w:val="20"/>
                <w:szCs w:val="20"/>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accordance with the laws of the State of New York.</w:t>
            </w:r>
          </w:p>
        </w:tc>
      </w:tr>
      <w:tr>
        <w:trPr>
          <w:trHeight w:val="159"/>
        </w:trPr>
        <w:tc>
          <w:tcPr>
            <w:tcW w:w="4380" w:type="dxa"/>
            <w:vAlign w:val="bottom"/>
            <w:tcBorders>
              <w:left w:val="single" w:sz="8" w:color="auto"/>
              <w:bottom w:val="single" w:sz="8" w:color="auto"/>
            </w:tcBorders>
          </w:tcPr>
          <w:p>
            <w:pPr>
              <w:spacing w:after="0"/>
              <w:rPr>
                <w:sz w:val="13"/>
                <w:szCs w:val="13"/>
                <w:color w:val="auto"/>
              </w:rPr>
            </w:pPr>
          </w:p>
        </w:tc>
        <w:tc>
          <w:tcPr>
            <w:tcW w:w="6640" w:type="dxa"/>
            <w:vAlign w:val="bottom"/>
            <w:tcBorders>
              <w:bottom w:val="single" w:sz="8" w:color="auto"/>
              <w:right w:val="single" w:sz="8" w:color="auto"/>
            </w:tcBorders>
          </w:tcPr>
          <w:p>
            <w:pPr>
              <w:spacing w:after="0"/>
              <w:rPr>
                <w:sz w:val="13"/>
                <w:szCs w:val="13"/>
                <w:color w:val="auto"/>
              </w:rPr>
            </w:pPr>
          </w:p>
        </w:tc>
      </w:tr>
      <w:tr>
        <w:trPr>
          <w:trHeight w:val="361"/>
        </w:trPr>
        <w:tc>
          <w:tcPr>
            <w:tcW w:w="4380" w:type="dxa"/>
            <w:vAlign w:val="bottom"/>
          </w:tcPr>
          <w:p>
            <w:pPr>
              <w:spacing w:after="0"/>
              <w:rPr>
                <w:sz w:val="24"/>
                <w:szCs w:val="24"/>
                <w:color w:val="auto"/>
              </w:rPr>
            </w:pPr>
          </w:p>
        </w:tc>
        <w:tc>
          <w:tcPr>
            <w:tcW w:w="6640" w:type="dxa"/>
            <w:vAlign w:val="bottom"/>
          </w:tcPr>
          <w:p>
            <w:pPr>
              <w:ind w:left="1000"/>
              <w:spacing w:after="0"/>
              <w:rPr>
                <w:sz w:val="20"/>
                <w:szCs w:val="20"/>
                <w:color w:val="auto"/>
              </w:rPr>
            </w:pPr>
            <w:r>
              <w:rPr>
                <w:rFonts w:ascii="Arial" w:cs="Arial" w:eastAsia="Arial" w:hAnsi="Arial"/>
                <w:sz w:val="18"/>
                <w:szCs w:val="18"/>
                <w:color w:val="auto"/>
              </w:rPr>
              <w:t>S-7</w:t>
            </w:r>
          </w:p>
        </w:tc>
      </w:tr>
    </w:tbl>
    <w:p>
      <w:pPr>
        <w:sectPr>
          <w:pgSz w:w="11900" w:h="16838" w:orient="portrait"/>
          <w:cols w:equalWidth="0" w:num="1">
            <w:col w:w="11140"/>
          </w:cols>
          <w:pgMar w:left="320" w:top="702"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60" w:firstLine="440"/>
        <w:spacing w:after="0" w:line="288" w:lineRule="auto"/>
        <w:rPr>
          <w:sz w:val="20"/>
          <w:szCs w:val="20"/>
          <w:color w:val="auto"/>
        </w:rPr>
      </w:pPr>
      <w:r>
        <w:rPr>
          <w:rFonts w:ascii="Arial" w:cs="Arial" w:eastAsia="Arial" w:hAnsi="Arial"/>
          <w:sz w:val="16"/>
          <w:szCs w:val="16"/>
          <w:i w:val="1"/>
          <w:iCs w:val="1"/>
          <w:color w:val="auto"/>
        </w:rPr>
        <w:t>Investing in our securities involves a number of significant risks. You should carefully consider the risks set out below and the risk factors incorporated by reference in Part I, Item 1A, “Risk Factors,” in our 2022 Annual Report, Part I, Item IA, “Risk Factors,” in our Q1 2023 Quarterly Report and our Q2 2023 Quarterly Report, and in any subsequent Quarterly Reports on Form 10-Q or Current Reports on Form 8-K we file after the date of this prospectus supplement, together with the other information set forth in this prospectus supplement, the accompanying prospectus, the documents incorporated by reference herein and therein, including our consolidated financial statements and the related notes thereto, and any free writing prospectus that we may authorize for use in connection with this offering, as updated by our subsequent filings under the Exchange Act, before making a decision about investing in our securities. The risks and uncertainties set out below and discussed in our 2022 Annual Report, our Q1 2023 Quarterly Report, Q2 2023 Quarterly Report and in the accompanying prospectus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The Notes are unsecured and therefore are effectively subordinated to any secured indebtedness we have currently incurred or may incur in the future.</w:t>
      </w:r>
    </w:p>
    <w:p>
      <w:pPr>
        <w:spacing w:after="0" w:line="62" w:lineRule="exact"/>
        <w:rPr>
          <w:sz w:val="20"/>
          <w:szCs w:val="20"/>
          <w:color w:val="auto"/>
        </w:rPr>
      </w:pPr>
    </w:p>
    <w:p>
      <w:pPr>
        <w:ind w:left="120" w:right="140" w:firstLine="440"/>
        <w:spacing w:after="0" w:line="270" w:lineRule="auto"/>
        <w:rPr>
          <w:sz w:val="20"/>
          <w:szCs w:val="20"/>
          <w:color w:val="auto"/>
        </w:rPr>
      </w:pPr>
      <w:r>
        <w:rPr>
          <w:rFonts w:ascii="Arial" w:cs="Arial" w:eastAsia="Arial" w:hAnsi="Arial"/>
          <w:sz w:val="17"/>
          <w:szCs w:val="17"/>
          <w:color w:val="auto"/>
        </w:rPr>
        <w:t>The Notes are not secured by any of our assets or any of the assets of our subsidiaries. As a result, the Notes are effectively subordinated, or junior, to any secured indebtedness or other obligations we or our subsidiaries have currently incurred and may incur in the future (or any indebtedness that is initially unsecured that we later secure)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June 30, 2023, we had approximately $1,050.8 million aggregate principal amount of outstanding indebtedness under the Revolving Credit Facility. The Revolving Credit Facility is secured by a perfected first-priority security interest in substantially all the portfolio investments held by us and each guarantor party thereto; the indebtedness thereunder is therefore effectively senior to the Notes to the extent of the value of such assets.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Notes are structurally subordinated to the indebtedness and other liabilities of our subsidiaries.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Notes are obligations exclusively of TSLX and not of any of our subsidiaries. None of our subsidiaries is a guarantor of the Notes and the Notes are not required to be guaranteed by any subsidiaries we may acquire or create in the future. Except to the extent we are a creditor with recognized claims against our subsidiaries, all claims of creditors (including trade creditors) and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are structurally subordinated, or junior, to all existing and future indebtedness and other obligations (including trade payables) incurred by any of our subsidiaries, financing vehicles or similar facilities and any subsidiaries, financing vehicles or similar facilities that we may in the future acquire or establish. Our subsidiaries may incur substantial additional indebtedness in the future, all of which would be structurally senior to the Notes.</w:t>
      </w:r>
    </w:p>
    <w:p>
      <w:pPr>
        <w:spacing w:after="0" w:line="293"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Our current indebtedness could adversely affect our business, financial condition and results of operations and our ability to meet our payment obligations under the Notes and our other debt.</w:t>
      </w:r>
    </w:p>
    <w:p>
      <w:pPr>
        <w:spacing w:after="0" w:line="6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As of June 30, 2023 our total consolidated indebtedness was approximately $1,698.3 million aggregate principal amount outstanding, of which approximately $1,050.8 million was secured indebtedness at the TSLX level and none of which was indebtedness of our subsidiaries, and approximately $647.5 million aggregate principal amount was unsecured indebtedness.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use of debt could have significant consequences on our future operations, including:</w:t>
      </w:r>
    </w:p>
    <w:p>
      <w:pPr>
        <w:spacing w:after="0" w:line="131" w:lineRule="exact"/>
        <w:rPr>
          <w:sz w:val="20"/>
          <w:szCs w:val="20"/>
          <w:color w:val="auto"/>
        </w:rPr>
      </w:pPr>
    </w:p>
    <w:p>
      <w:pPr>
        <w:ind w:left="1100" w:hanging="433"/>
        <w:spacing w:after="0"/>
        <w:tabs>
          <w:tab w:leader="none" w:pos="110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making it more difficult for us to meet our payment and other obligations under the Notes and our other outstanding indebtedness;</w:t>
      </w:r>
    </w:p>
    <w:p>
      <w:pPr>
        <w:spacing w:after="0" w:line="142" w:lineRule="exact"/>
        <w:rPr>
          <w:rFonts w:ascii="Arial" w:cs="Arial" w:eastAsia="Arial" w:hAnsi="Arial"/>
          <w:sz w:val="17"/>
          <w:szCs w:val="17"/>
          <w:color w:val="auto"/>
        </w:rPr>
      </w:pPr>
    </w:p>
    <w:p>
      <w:pPr>
        <w:ind w:left="1100" w:right="340" w:hanging="433"/>
        <w:spacing w:after="0" w:line="277"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resulting in an event of default if we fail to comply with the financial and other restrictive covenants contained in our debt agreements, which event of default could result in substantially all of our debt becoming immediately due and payable;</w:t>
      </w:r>
    </w:p>
    <w:p>
      <w:pPr>
        <w:spacing w:after="0" w:line="75"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reducing the availability of our cash flow to fund investments, acquisitions and other general corporate purposes, and limiting our ability to obtain additional financing for these purposes;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40"/>
          </w:cols>
          <w:pgMar w:left="320" w:top="702"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1100" w:hanging="4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subjecting us to the risk of increased sensitivity to interest rate increases on our indebtedness with variable interest rates; and</w:t>
      </w:r>
    </w:p>
    <w:p>
      <w:pPr>
        <w:spacing w:after="0" w:line="130" w:lineRule="exact"/>
        <w:rPr>
          <w:rFonts w:ascii="Arial" w:cs="Arial" w:eastAsia="Arial" w:hAnsi="Arial"/>
          <w:sz w:val="18"/>
          <w:szCs w:val="18"/>
          <w:color w:val="auto"/>
        </w:rPr>
      </w:pPr>
    </w:p>
    <w:p>
      <w:pPr>
        <w:ind w:left="1100" w:right="40" w:hanging="433"/>
        <w:spacing w:after="0" w:line="27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and increasing our vulnerability to, changes in our business, the industry in which we operate and the general economy.</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Any of the above-listed factors could have an adverse effect on our business, financial condition and results of operations and our ability to meet our payment obligations under the Notes and our other debt.</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Our ability to meet our payment and other obligations under our debt instruments depends on our ability to generate significant cash flow in the future. This, to some extent, is subject to general economic, financial, competitive, legislative and regulatory factors as well as other factors that are beyond our control.</w:t>
      </w:r>
    </w:p>
    <w:p>
      <w:pPr>
        <w:spacing w:after="0" w:line="184"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Revolving Credit Facility or otherwise in an amount sufficient to enable us to pay our indebtedness, including the Notes, or to fund our other liquidity needs. We may need to refinance all or a portion of our indebtedness, including the Notes,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 including our payment obligations under the Notes.</w:t>
      </w:r>
    </w:p>
    <w:p>
      <w:pPr>
        <w:spacing w:after="0" w:line="274"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A downgrade, suspension or withdrawal of the credit rating assigned by a rating agency to us or the Notes, if any, or change in the debt markets could cause the liquidity or market value of the Notes to decline significantly.</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credit ratings are an assessment by rating agencies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 Notes are rated by Moody’s Investor Service, or Moody’s, S&amp;P Global Ratings, or S&amp;P, and Fitch Ratings, or Fitch. There can be no assurance that their respective credit ratings will remain for any given period of time or that such credit ratings will not be lowered or withdrawn entirely by Moody’s, S&amp;P or Fitch if in any of their respective judgments future circumstances relating to the basis of the credit rating, such as adverse changes in our company, so warrant. The conditions of the financial markets and prevailing interest rates have fluctuated in the past and are likely to fluctuate in the future.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indenture governing the Notes contains limited protection for holders of the Notes.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indenture governing the Notes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do not place any restrictions on our or our subsidiaries’ ability to:</w:t>
      </w:r>
    </w:p>
    <w:p>
      <w:pPr>
        <w:spacing w:after="0" w:line="92" w:lineRule="exact"/>
        <w:rPr>
          <w:sz w:val="20"/>
          <w:szCs w:val="20"/>
          <w:color w:val="auto"/>
        </w:rPr>
      </w:pPr>
    </w:p>
    <w:p>
      <w:pPr>
        <w:ind w:left="1100" w:right="320" w:hanging="433"/>
        <w:spacing w:after="0" w:line="287" w:lineRule="auto"/>
        <w:tabs>
          <w:tab w:leader="none" w:pos="11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issue securities or otherwise incur additional indebtedness or other obligations, including (1) any indebtedness or other obligations that would be pari passu, or equal, in right of payment to the Notes, (2) any indebtedness or other obligations that would be secured and therefore rank effectively senior in right of payment to the Notes to the extent of the value of the assets securing such indebtedness,</w:t>
      </w:r>
    </w:p>
    <w:p>
      <w:pPr>
        <w:spacing w:after="0" w:line="2" w:lineRule="exact"/>
        <w:rPr>
          <w:rFonts w:ascii="Arial" w:cs="Arial" w:eastAsia="Arial" w:hAnsi="Arial"/>
          <w:sz w:val="16"/>
          <w:szCs w:val="16"/>
          <w:color w:val="auto"/>
        </w:rPr>
      </w:pPr>
    </w:p>
    <w:p>
      <w:pPr>
        <w:ind w:left="1100" w:right="20"/>
        <w:spacing w:after="0" w:line="252" w:lineRule="auto"/>
        <w:rPr>
          <w:rFonts w:ascii="Arial" w:cs="Arial" w:eastAsia="Arial" w:hAnsi="Arial"/>
          <w:sz w:val="16"/>
          <w:szCs w:val="16"/>
          <w:color w:val="auto"/>
        </w:rPr>
      </w:pPr>
      <w:r>
        <w:rPr>
          <w:rFonts w:ascii="Arial" w:cs="Arial" w:eastAsia="Arial" w:hAnsi="Arial"/>
          <w:sz w:val="18"/>
          <w:szCs w:val="18"/>
          <w:color w:val="auto"/>
        </w:rPr>
        <w:t>(3) indebtedness or other obligations of ours that are guaranteed by one or more of our subsidiaries and which therefore are structurally senior to the Notes and (4) indebtedness or obligations (including trade payables) incurred by our subsidiaries, financing vehicles or similar facilities that would be senior to our equity interests in those entities and therefore rank structurally senior to the Notes with respect to the assets of those subsidiaries, in each case other than an incurrence of indebtedness or other obligations that would cause a violation of Section 18(a)(1)(A) as modified by Section 61(a) of the 1940 Act or any successor provisions, but giving effect, in either case, to any exemptive relief granted to us by the SEC;</w:t>
      </w:r>
    </w:p>
    <w:p>
      <w:pPr>
        <w:spacing w:after="0" w:line="99" w:lineRule="exact"/>
        <w:rPr>
          <w:rFonts w:ascii="Arial" w:cs="Arial" w:eastAsia="Arial" w:hAnsi="Arial"/>
          <w:sz w:val="16"/>
          <w:szCs w:val="16"/>
          <w:color w:val="auto"/>
        </w:rPr>
      </w:pPr>
    </w:p>
    <w:p>
      <w:pPr>
        <w:ind w:left="1100" w:right="340" w:hanging="433"/>
        <w:spacing w:after="0" w:line="277"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ranking junior in right of payment to the Notes;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sell assets (other than certain limited restrictions on our ability to consolidate, merge or sell all or substantially all of our assets);</w:t>
      </w:r>
    </w:p>
    <w:p>
      <w:pPr>
        <w:spacing w:after="0" w:line="142" w:lineRule="exact"/>
        <w:rPr>
          <w:rFonts w:ascii="Arial" w:cs="Arial" w:eastAsia="Arial" w:hAnsi="Arial"/>
          <w:sz w:val="17"/>
          <w:szCs w:val="17"/>
          <w:color w:val="auto"/>
        </w:rPr>
      </w:pPr>
    </w:p>
    <w:p>
      <w:pPr>
        <w:ind w:left="1100" w:hanging="433"/>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40"/>
          </w:cols>
          <w:pgMar w:left="320" w:top="702"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Certain of our current debt instruments include more protections for their holders than the indenture and the Notes. In addition, 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optional redemption provision may materially adversely affect your return on the Notes.</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The Notes are redeemable in whole or in part upon certain conditions at any time or from time to time at our option. We may choose to redeem the Notes at times when prevailing interest rates are lower than the interest rate paid on the Notes. In this circumstance, you may not be able to reinvest the redemption proceeds in a comparable security at an effective interest rate as high as that of the Notes being redeemed.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default on our obligations to pay our other indebtedness, we may not be able to make payments on the Notes.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Any default under the agreements governing our indebtedness, including a default under our Revolving Credit Facility or under the 2024 Notes or 2026 Notes, or under other indebtedness to which we may be a party, that is not waived by the required lenders or holders and the remedies sought by the holders of such indebtedness could make us unable to pay principal, premium, if any, and interest on the Notes and substantially decrease the market value of the Notes.</w:t>
      </w:r>
    </w:p>
    <w:p>
      <w:pPr>
        <w:spacing w:after="0" w:line="18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Revolving Credit Facility or other debt we may incur in the future could elect to terminate their commitments, cease making further loans and institute foreclosure proceedings against our assets, and we could be forced into bankruptcy or liquidation.</w:t>
      </w:r>
    </w:p>
    <w:p>
      <w:pPr>
        <w:spacing w:after="0" w:line="19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If our operating performance declines, we may in the future need to seek to obtain waivers from the required lenders or holders under the agreements governing our indebtedness, or other indebtedness that we may incur in the future, to avoid being in default. If we breach our covenants under the agreements governing our indebtedness and seek a waiver, we may not be able to obtain a waiver from the required lenders or holders. If this occurs, we would be in default and our lenders or debt holders could exercise their rights as described above, and we could be forced into bankruptcy or liquidation.</w:t>
      </w:r>
    </w:p>
    <w:p>
      <w:pPr>
        <w:spacing w:after="0" w:line="18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If we are unable to repay debt, lenders having secured obligations, including the lenders under our Revolving Credit Facility, could proceed against the collateral securing the debt. Because our Revolving Credit Facility, 2024 Notes and 2026 Notes have, the indenture will have, and any future debt will likely have, customary cross-default provisions, if the indebtedness thereunder, hereunder or under any future credit facility is accelerated, we may be unable to repay or finance the amounts due. See “Description of Notes” in this prospectus supplement and “Description of Our Debt Securities” in the accompanying prospectus.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repurchase the Notes upon a Change of Control Repurchase Event.</w:t>
      </w:r>
    </w:p>
    <w:p>
      <w:pPr>
        <w:spacing w:after="0" w:line="117"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Upon the occurrence of a Change of Control Repurchase Event, as defined in the indenture that governs the Notes, as supplemented, subject to certain conditions, we will be required to offer to repurchase all outstanding Notes at 100% of their principal amount, plus accrued and unpaid interest. The source of funds for that purchase of Notes will be our available cash or cash generated from our operations or other potential sources, including borrowings, investment repayments, sales of assets or sales of equity. We cannot assure you that sufficient funds from such sources will be available at the time of any Change of Control Repurchase Event to make required repurchases of Notes tendered. The terms of the Revolving Credit Facility provide that certain change of control events will constitute an event of default thereunder entitling the lenders to accelerate any indebtedness outstanding under the credit facility at that time and to terminate the credit facility. In addition, the indentures governing our 2024 Notes and 2026 Notes each contain a provision that would require us to offer to purchase the respective 2024 Notes or 2026 Notes upon the occurrence of a fundamental change.</w:t>
      </w:r>
    </w:p>
    <w:p>
      <w:pPr>
        <w:spacing w:after="0" w:line="196"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Any failure to comply with these provisions would constitute an event of default under each of the other agreements governing our indebtedness, including the indenture. Our future debt instruments also may contain similar restrictions and provisions. If the holders of the Notes exercise their right to require us to repurchase all the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“Description of Notes—Offer to Repurchase Upon a Change of Control Repurchase Event.”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702" w:right="459" w:bottom="1091"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cannot assure that an active trading market will be maintained for the Notes.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Notes are a new issue of debt securities and there currently is no trading market for the Notes. We do not intend to apply for listing of the Notes on any securities exchange or for quotation of the Notes on any automated dealer quotation system. If no active trading market develops, you may not be able to resell your Notes at their fair market value or at all. If the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Certain of the underwriters have advised us that they currently intend to make a market in the Notes but they are not obligated to do so. The underwriters may discontinue any market-making in the Notes at any time at their sole discretion. In addition, any market-making activity will be subject to limits imposed by law. Accordingly, we cannot assure you that a liquid trading market will be maintained for the Notes, that you will be able to sell your Notes at a particular time or that the price you receive when you sell will be favorable. To the extent an active trading market is not maintained, the liquidity and trading price for the Notes may be harmed. Accordingly, you may be required to bear the financial risk of an investment in the Notes for an indefinite period of time.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702"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We estimate that the net proceeds we will receive from the sale of $300 million aggregate principal amount of Notes in this offering will be approximately $294.1 million, after deducting the underwriting discounts and commissions and estimated offering expenses payable by us.</w:t>
      </w:r>
    </w:p>
    <w:p>
      <w:pPr>
        <w:spacing w:after="0" w:line="124"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We intend to use 100% of the net proceeds of this offering to pay down a portion of the outstanding indebtedness on the Revolving Credit Facility on or about the date of the closing of this offering. As of June 30, 2023, aggregate commitments under the facility were $1.710 billion. However, through reborrowing under the Revolving Credit Facility, we intend to make new investments in accordance with our investment objective and strategies described in this prospectus supplement and the accompanying prospectus. The stated maturity date of the Revolving Credit Facility is June 12, 2028 with respect to $1.465 billion of commitments, January 31, 2025 for $25.0 million of commitments, February 4, 2026 for $50.0 million of commitments and April 23, 2027 with respect to $170.0 million of commitments. As of June 30, 2023, amounts drawn under the facility bear interest at either the applicable reference rate plus an applicable credit spread adjustment, plus a margin of either 1.75% or 1.875%, or the base rate plus a margin of either</w:t>
      </w:r>
    </w:p>
    <w:p>
      <w:pPr>
        <w:spacing w:after="0" w:line="2"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0.75% or 0.875%. See “Management’s Discussion and Analysis of Financial Condition and Results of Operations—Financial Condition, Liquidity and Capital Resources—Revolving Credit Facility” in Part II, Item 2 of our 2Q 2023 Quarterly Report.</w:t>
      </w:r>
    </w:p>
    <w:p>
      <w:pPr>
        <w:spacing w:after="0" w:line="18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702"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Information about our senior securities is shown in the following table as of the end of each fiscal year ended December 31 since we commenced operations and as of June 30, 2023. The report of our independent registered public accounting firm, KPMG LLP, on the senior securities table as of December 31, 2022 is attached as an exhibit to the registration statement of which this prospectus supplement and the accompanying prospectus are a part. This information about our senior securities should be read in conjunction with our consolidated financial statements and related notes thereto and “Management’s Discussion and Analysis of Financial Condition and Results of Operations” included in our 2022 Annual Report, our Q1 2023 Quarterly Report and our Q2 2023 Quarterly Report.</w:t>
      </w:r>
    </w:p>
    <w:p>
      <w:pPr>
        <w:spacing w:after="0" w:line="19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Total Amount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8"/>
              </w:rPr>
              <w:t>Involuntary</w:t>
            </w: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0"/>
              <w:spacing w:after="0" w:line="149" w:lineRule="exact"/>
              <w:rPr>
                <w:sz w:val="20"/>
                <w:szCs w:val="20"/>
                <w:color w:val="auto"/>
              </w:rPr>
            </w:pPr>
            <w:r>
              <w:rPr>
                <w:rFonts w:ascii="Arial" w:cs="Arial" w:eastAsia="Arial" w:hAnsi="Arial"/>
                <w:sz w:val="14"/>
                <w:szCs w:val="14"/>
                <w:b w:val="1"/>
                <w:bCs w:val="1"/>
                <w:color w:val="auto"/>
                <w:w w:val="94"/>
              </w:rPr>
              <w:t>Treasury</w:t>
            </w:r>
          </w:p>
        </w:tc>
        <w:tc>
          <w:tcPr>
            <w:tcW w:w="144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w w:val="88"/>
              </w:rPr>
              <w:t>Asset Coverage</w:t>
            </w:r>
          </w:p>
        </w:tc>
        <w:tc>
          <w:tcPr>
            <w:tcW w:w="50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Liquidating</w:t>
            </w: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7"/>
              </w:rPr>
              <w:t>Average Market</w:t>
            </w:r>
          </w:p>
        </w:tc>
        <w:tc>
          <w:tcPr>
            <w:tcW w:w="0" w:type="dxa"/>
            <w:vAlign w:val="bottom"/>
          </w:tcPr>
          <w:p>
            <w:pPr>
              <w:spacing w:after="0"/>
              <w:rPr>
                <w:sz w:val="1"/>
                <w:szCs w:val="1"/>
                <w:color w:val="auto"/>
              </w:rPr>
            </w:pPr>
          </w:p>
        </w:tc>
      </w:tr>
      <w:tr>
        <w:trPr>
          <w:trHeight w:val="148"/>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Class and Year/Period</w:t>
            </w:r>
          </w:p>
        </w:tc>
        <w:tc>
          <w:tcPr>
            <w:tcW w:w="6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Securities(1)</w:t>
            </w:r>
          </w:p>
        </w:tc>
        <w:tc>
          <w:tcPr>
            <w:tcW w:w="144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Preference</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2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auto"/>
                <w:w w:val="95"/>
              </w:rPr>
              <w:t>Per Unit(2)</w:t>
            </w:r>
          </w:p>
        </w:tc>
        <w:tc>
          <w:tcPr>
            <w:tcW w:w="500" w:type="dxa"/>
            <w:vAlign w:val="bottom"/>
          </w:tcPr>
          <w:p>
            <w:pPr>
              <w:spacing w:after="0"/>
              <w:rPr>
                <w:sz w:val="14"/>
                <w:szCs w:val="1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Per Unit(3)</w:t>
            </w:r>
          </w:p>
        </w:tc>
        <w:tc>
          <w:tcPr>
            <w:tcW w:w="11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4"/>
              </w:rPr>
              <w:t>Value Per Unit(4)</w:t>
            </w: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Revolving Credit Facilities</w:t>
            </w:r>
          </w:p>
        </w:tc>
        <w:tc>
          <w:tcPr>
            <w:tcW w:w="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2023 (as of June 30, 2023 Unaudited)</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1,050.8</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1,860.9</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2022</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1,885.7</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2021</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316.4</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2,053.6</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2,045.4</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2019</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495.7</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2,004.1</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2,705.2</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2017</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486.8</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2,355.3</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2,376.6</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2015</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540.3</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2,257.3</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3,110.3</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2013</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432.3</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2,329.5</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2,445.9</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2011</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155.0</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2,116.7</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Convertible Senior Notes due 2019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2023 (as of June 30, 2023 Unaudited)</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2021</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2019</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2,705.2</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2017</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113.7</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2,355.3</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2,376.6</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2015</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112.5</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2,257.3</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3,110.3</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b w:val="1"/>
                <w:bCs w:val="1"/>
                <w:color w:val="auto"/>
              </w:rPr>
              <w:t>Convertible Senior Notes due 2022</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2023 (as of June 30, 2023 Unaudited)</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2022</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2,053.6</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2020</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142.5</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2,045.4</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2,004.1</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2018</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171.7</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2,705.2</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2,355.3</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b w:val="1"/>
                <w:bCs w:val="1"/>
                <w:color w:val="auto"/>
              </w:rPr>
              <w:t>2023 Notes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2023 (as of June 30, 2023 Unaudited)</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2022</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150.0</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1,885.7</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2,053.6</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2020</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150.0</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2,045.4</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2,004.1</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2018</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150.0</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2,705.2</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2024 Notes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2023 (as of June 30, 2023 Unaudited)</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347.0</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1,860.9</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2022</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1,885.7</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2021</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346.4</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2,053.6</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2,045.4</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2019</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297.2</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2,004.1</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2026 Notes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2023 (as of June 30, 2023 Unaudited)</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298.7</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1,860.9</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2022</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1,885.7</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December 31, 2021</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298.1</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2,053.6</w:t>
            </w:r>
          </w:p>
        </w:tc>
        <w:tc>
          <w:tcPr>
            <w:tcW w:w="500" w:type="dxa"/>
            <w:vAlign w:val="bottom"/>
          </w:tcPr>
          <w:p>
            <w:pPr>
              <w:spacing w:after="0"/>
              <w:rPr>
                <w:sz w:val="20"/>
                <w:szCs w:val="20"/>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50"/>
        </w:trPr>
        <w:tc>
          <w:tcPr>
            <w:tcW w:w="4320" w:type="dxa"/>
            <w:vAlign w:val="bottom"/>
          </w:tcPr>
          <w:p>
            <w:pPr>
              <w:spacing w:after="0"/>
              <w:rPr>
                <w:sz w:val="24"/>
                <w:szCs w:val="24"/>
                <w:color w:val="auto"/>
              </w:rPr>
            </w:pPr>
          </w:p>
        </w:tc>
        <w:tc>
          <w:tcPr>
            <w:tcW w:w="1520" w:type="dxa"/>
            <w:vAlign w:val="bottom"/>
            <w:gridSpan w:val="3"/>
          </w:tcPr>
          <w:p>
            <w:pPr>
              <w:jc w:val="right"/>
              <w:ind w:right="510"/>
              <w:spacing w:after="0"/>
              <w:rPr>
                <w:sz w:val="20"/>
                <w:szCs w:val="20"/>
                <w:color w:val="auto"/>
              </w:rPr>
            </w:pPr>
            <w:r>
              <w:rPr>
                <w:rFonts w:ascii="Arial" w:cs="Arial" w:eastAsia="Arial" w:hAnsi="Arial"/>
                <w:sz w:val="18"/>
                <w:szCs w:val="18"/>
                <w:color w:val="auto"/>
              </w:rPr>
              <w:t>S-13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702" w:right="479" w:bottom="100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560" w:right="260" w:hanging="444"/>
        <w:spacing w:after="0" w:line="258"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carrying value, excluding the impact of deferred financing costs, at the end of the period presented.</w:t>
      </w:r>
    </w:p>
    <w:p>
      <w:pPr>
        <w:spacing w:after="0" w:line="1" w:lineRule="exact"/>
        <w:rPr>
          <w:rFonts w:ascii="Arial" w:cs="Arial" w:eastAsia="Arial" w:hAnsi="Arial"/>
          <w:sz w:val="18"/>
          <w:szCs w:val="18"/>
          <w:color w:val="auto"/>
        </w:rPr>
      </w:pPr>
    </w:p>
    <w:p>
      <w:pPr>
        <w:ind w:left="560" w:right="320" w:hanging="444"/>
        <w:spacing w:after="0" w:line="250"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560" w:hanging="444"/>
        <w:spacing w:after="0" w:line="265" w:lineRule="auto"/>
        <w:tabs>
          <w:tab w:leader="none" w:pos="5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560" w:hanging="444"/>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00"/>
          </w:cols>
          <w:pgMar w:left="320" w:top="702" w:right="4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following table sets forth our consolidated capitalization at June 30, 2023. You should read this table together with “Use of Proceeds” described in this prospectus supplement and our most recent balance sheet included in our 2023 2Q Quarterly Report incorporated by reference in this prospectus supplement.</w:t>
      </w:r>
    </w:p>
    <w:p>
      <w:pPr>
        <w:spacing w:after="0" w:line="216"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320" w:type="dxa"/>
            <w:vAlign w:val="bottom"/>
            <w:gridSpan w:val="4"/>
          </w:tcPr>
          <w:p>
            <w:pPr>
              <w:ind w:left="280"/>
              <w:spacing w:after="0"/>
              <w:rPr>
                <w:sz w:val="20"/>
                <w:szCs w:val="20"/>
                <w:color w:val="auto"/>
              </w:rPr>
            </w:pPr>
            <w:r>
              <w:rPr>
                <w:rFonts w:ascii="Arial" w:cs="Arial" w:eastAsia="Arial" w:hAnsi="Arial"/>
                <w:sz w:val="14"/>
                <w:szCs w:val="14"/>
                <w:b w:val="1"/>
                <w:bCs w:val="1"/>
                <w:color w:val="auto"/>
                <w:w w:val="96"/>
              </w:rPr>
              <w:t>As of June 30, 2023 (unaudited)</w:t>
            </w: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6"/>
              </w:rPr>
              <w:t>(Amounts in thousands, except share and per share amounts)</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25,855</w:t>
            </w: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Debt</w:t>
            </w:r>
            <w:r>
              <w:rPr>
                <w:rFonts w:ascii="Arial" w:cs="Arial" w:eastAsia="Arial" w:hAnsi="Arial"/>
                <w:sz w:val="22"/>
                <w:szCs w:val="22"/>
                <w:b w:val="1"/>
                <w:bCs w:val="1"/>
                <w:color w:val="auto"/>
                <w:vertAlign w:val="superscript"/>
              </w:rPr>
              <w:t>(1)</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1,050,784</w:t>
            </w: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2024 Notes</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347,500</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2026 Notes</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1,698,284</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Preferred stock, $0.01 par value; 100,000,000 shares authorized; no</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and outstanding</w:t>
            </w:r>
          </w:p>
        </w:tc>
        <w:tc>
          <w:tcPr>
            <w:tcW w:w="9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2"/>
        </w:trPr>
        <w:tc>
          <w:tcPr>
            <w:tcW w:w="5160" w:type="dxa"/>
            <w:vAlign w:val="bottom"/>
          </w:tcPr>
          <w:p>
            <w:pPr>
              <w:spacing w:after="0" w:line="201" w:lineRule="exact"/>
              <w:rPr>
                <w:sz w:val="20"/>
                <w:szCs w:val="20"/>
                <w:color w:val="auto"/>
              </w:rPr>
            </w:pPr>
            <w:r>
              <w:rPr>
                <w:rFonts w:ascii="Arial" w:cs="Arial" w:eastAsia="Arial" w:hAnsi="Arial"/>
                <w:sz w:val="18"/>
                <w:szCs w:val="18"/>
                <w:color w:val="auto"/>
                <w:w w:val="99"/>
              </w:rPr>
              <w:t>Common stock, $0.01 par value; 400,000,000 shares authorized;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87,905,481 shares issued and 87,241,231 shares outstanding</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0"/>
                <w:szCs w:val="20"/>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1,395,409</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Treasury stock at cost, 664,250 shares</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(10,459)</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Distributable earnings</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74,700</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9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1,460,529</w:t>
            </w: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9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3,184,668</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5460" w:right="3560" w:hanging="5344"/>
        <w:spacing w:after="0" w:line="449" w:lineRule="auto"/>
        <w:tabs>
          <w:tab w:leader="none" w:pos="56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above table reflects the principal amount of indebtedness outstanding as of June 30, 2023. S-15</w:t>
      </w:r>
    </w:p>
    <w:p>
      <w:pPr>
        <w:sectPr>
          <w:pgSz w:w="11900" w:h="16838" w:orient="portrait"/>
          <w:cols w:equalWidth="0" w:num="1">
            <w:col w:w="10920"/>
          </w:cols>
          <w:pgMar w:left="320" w:top="702" w:right="6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following description of the particular terms of the 6.950% Notes due 2028 supplements and, to the extent inconsistent therewith, replaces the description of the general terms and provisions of the debt securities set forth in the accompanying prospectus.</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will issue the Notes under a base indenture dated as of January 22, 2018, between us and Computershare Trust Company, N.A., as successor to Wells Fargo Bank, National Association, as trustee (the “trustee”), as supplemented by a separate supplemental indenture, dated as of the settlement date for the Notes (the “fourth supplemental indenture”). As used in this section, all references to the indenture mean the base indenture as supplemented by the fourth supplemental indenture. The terms of the Notes include those expressly set forth in the indenture and those made part of the indenture by reference to the Trust Indenture Act of 1939, as amended, or the TIA.</w:t>
      </w:r>
    </w:p>
    <w:p>
      <w:pPr>
        <w:spacing w:after="0" w:line="176"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w:t>
      </w:r>
    </w:p>
    <w:p>
      <w:pPr>
        <w:spacing w:after="0" w:line="165"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For purposes of this description, references to “we,” “our” and “us” refer only to TSLX and not to any of its current or future subsidiaries and references to “subsidiaries” refer only to our consolidated subsidiaries and exclude any investments held by TSLX in the ordinary course of business which are not, under GAAP, consolidated on the financial statements of TSLX and its subsidiaries.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w:t>
      </w:r>
    </w:p>
    <w:p>
      <w:pPr>
        <w:spacing w:after="0" w:line="131" w:lineRule="exact"/>
        <w:rPr>
          <w:sz w:val="20"/>
          <w:szCs w:val="20"/>
          <w:color w:val="auto"/>
        </w:rPr>
      </w:pPr>
    </w:p>
    <w:p>
      <w:pPr>
        <w:ind w:left="1100" w:hanging="433"/>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be our direct, general unsecured, senior obligations;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be issued in an aggregate principal amount of $300 million;</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mature on August 14, 2028, unless earlier redeemed or repurchased, as discussed below;</w:t>
      </w:r>
    </w:p>
    <w:p>
      <w:pPr>
        <w:spacing w:after="0" w:line="130" w:lineRule="exact"/>
        <w:rPr>
          <w:rFonts w:ascii="Arial" w:cs="Arial" w:eastAsia="Arial" w:hAnsi="Arial"/>
          <w:sz w:val="18"/>
          <w:szCs w:val="18"/>
          <w:color w:val="auto"/>
        </w:rPr>
      </w:pPr>
    </w:p>
    <w:p>
      <w:pPr>
        <w:ind w:left="1100" w:right="320" w:hanging="433"/>
        <w:spacing w:after="0" w:line="277"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bear cash interest from August 14, 2023 at an annual rate of 6.950% payable semi-annually on February 14 and August 14 of each year, beginning on February 14, 2024;</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be subject to redemption at our option as described under “—Optional Redemption;”</w:t>
      </w:r>
    </w:p>
    <w:p>
      <w:pPr>
        <w:spacing w:after="0" w:line="130" w:lineRule="exact"/>
        <w:rPr>
          <w:rFonts w:ascii="Arial" w:cs="Arial" w:eastAsia="Arial" w:hAnsi="Arial"/>
          <w:sz w:val="18"/>
          <w:szCs w:val="18"/>
          <w:color w:val="auto"/>
        </w:rPr>
      </w:pPr>
    </w:p>
    <w:p>
      <w:pPr>
        <w:ind w:left="1100" w:hanging="433"/>
        <w:spacing w:after="0" w:line="286" w:lineRule="auto"/>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will be subject to repurchase by us at the option of the holders following a Change of Control Repurchase Event (as defined below under “—Offer to Repurchase Upon a Change of Control Repurchase Event”), at a repurchase price equal to 100% of the principal amount of the Notes to be repurchased,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and unpaid interest to, but excluding, the date of repurchase;</w:t>
      </w:r>
    </w:p>
    <w:p>
      <w:pPr>
        <w:spacing w:after="0" w:line="70" w:lineRule="exact"/>
        <w:rPr>
          <w:rFonts w:ascii="Arial" w:cs="Arial" w:eastAsia="Arial" w:hAnsi="Arial"/>
          <w:sz w:val="17"/>
          <w:szCs w:val="17"/>
          <w:color w:val="auto"/>
        </w:rPr>
      </w:pPr>
    </w:p>
    <w:p>
      <w:pPr>
        <w:ind w:left="1100" w:hanging="433"/>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be issued in denominations of $2,000 and integral multiples of $1,000 in excess thereof; and</w:t>
      </w:r>
    </w:p>
    <w:p>
      <w:pPr>
        <w:spacing w:after="0" w:line="130" w:lineRule="exact"/>
        <w:rPr>
          <w:rFonts w:ascii="Arial" w:cs="Arial" w:eastAsia="Arial" w:hAnsi="Arial"/>
          <w:sz w:val="18"/>
          <w:szCs w:val="18"/>
          <w:color w:val="auto"/>
        </w:rPr>
      </w:pPr>
    </w:p>
    <w:p>
      <w:pPr>
        <w:ind w:left="1100" w:right="240" w:hanging="433"/>
        <w:spacing w:after="0" w:line="277"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be represented by one or more registered Notes in global form, but in certain limited circumstances may be represented by Notes in definitive form. See “—Book-Entry, Settlement and Clearance.”</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indenture does not limit the amount of debt that may be issued by us or our subsidiaries under the indenture or otherwise. The indenture does not contain any financial covenants and does not restrict us from paying dividends or issuing or repurchasing our other securities. Other than restrictions described under “—Offer to Repurchase Upon a Change of Control Repurchase Event” and “—Merger, Consolidation or Sale of Assets” below,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w:t>
      </w:r>
    </w:p>
    <w:p>
      <w:pPr>
        <w:spacing w:after="0" w:line="192"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 xml:space="preserve">We may, without the consent of the holders, issue further additional Notes under the indenture with the same terms (except for the issue date, public offering price and, if applicable, the initial interest payment date) and with the same CUSIP numbers as the Notes in an unlimited aggregate principal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additional Notes must either be issued in a “qualified reopening” for U.S. federal income tax purposes, with less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of original issue discount, or otherwise be part of the same issue as the Notes for U.S. federal income tax purposes.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intend to list the Notes on any securities exchange or any automated dealer quotation system.</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Payments on the Notes; Paying Agent and Registrar; Transfer and Exchange</w:t>
      </w:r>
    </w:p>
    <w:p>
      <w:pPr>
        <w:spacing w:after="0" w:line="121"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We will pay the principal of, and interest on, the Notes in global form registered in the name of or held by DTC or its nominee in immediately available funds to DTC or its nominee, as the case may be, as the registered holder of such Global Note (as defined below).</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702"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 xml:space="preserve">Payment of principal of (and premium, if any) and any such interest on the Notes will be made at the corporate trust office of the paying agent, which initially shall be the trustee in such coin or currency of the United States of America as at the time of payment is legal tender for payment of public and private debts; </w:t>
      </w:r>
      <w:r>
        <w:rPr>
          <w:rFonts w:ascii="Arial" w:cs="Arial" w:eastAsia="Arial" w:hAnsi="Arial"/>
          <w:sz w:val="17"/>
          <w:szCs w:val="17"/>
          <w:i w:val="1"/>
          <w:iCs w:val="1"/>
          <w:color w:val="auto"/>
        </w:rPr>
        <w:t>provided</w:t>
      </w:r>
      <w:r>
        <w:rPr>
          <w:rFonts w:ascii="Arial" w:cs="Arial" w:eastAsia="Arial" w:hAnsi="Arial"/>
          <w:sz w:val="17"/>
          <w:szCs w:val="17"/>
          <w:color w:val="auto"/>
        </w:rPr>
        <w:t>, however, that, in the case of notes that are not in global form, at our option payment of interest may be made by check mailed to the address of the person entitled thereto as such address shall appear in the security register.</w:t>
      </w:r>
    </w:p>
    <w:p>
      <w:pPr>
        <w:spacing w:after="0" w:line="17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 holder of Notes may transfer or exchange Notes at the office of the registrar in accordance with the indenture. A holder may be required, among other things, to furnish appropriate endorsements and transfer documents. No service charge will be imposed by us, the trustee or the registrar for any registration of transfer or exchange of Notes, but we may require a holder to pay a sum sufficient to cover any transfer tax or other similar governmental charge required by law or permitted by the indenture. The transferor of any Note shall provide or cause to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registered holder of a Note will be treated as its owner for all purposes.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w:t>
      </w:r>
    </w:p>
    <w:p>
      <w:pPr>
        <w:spacing w:after="0" w:line="121"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Notes bear cash interest at a rate of 6.950% per year until maturity. Interest on the Notes will accrue from August 14, 2023 or from the most recent date on which interest has been paid or duly provided for. Interest is payable semiannually in arrears on February 14 and August 14 of each year, beginning on February 14, 2024.</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Interest will be paid to the person in whose name a Note is registered at 5:00 p.m. New York City time (the “close of business”) on January 31 or July 31 (whether or not a business day), as the case may be, immediately preceding the relevant interest payment date. Interest on the Notes will be computed on the basis of a 360-day year composed of twelve 30-day months.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any interest payment date, redemption date, the maturity date or any earlier required repurchase date upon a Change of Control Repurchase Event (defined below) of a Note falls on a day that is not a business day, the required payment will be made on the next succeeding business day and no interest on such payment will accrue in respect of the delay. The term “business day” means, with respect to any Note, any day other than a Saturday, a Sunday or a day on which banking institutions in New York or the city in which the corporate trust office is located are authorized or obligated by law or executive order to close.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are our direct, general unsecured obligations that rank:</w:t>
      </w:r>
    </w:p>
    <w:p>
      <w:pPr>
        <w:spacing w:after="0" w:line="131" w:lineRule="exact"/>
        <w:rPr>
          <w:sz w:val="20"/>
          <w:szCs w:val="20"/>
          <w:color w:val="auto"/>
        </w:rPr>
      </w:pPr>
    </w:p>
    <w:p>
      <w:pPr>
        <w:ind w:left="1100" w:right="560" w:hanging="433"/>
        <w:spacing w:after="0" w:line="277"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senior in right of payment to all of our future indebtedness or other obligations that are expressly subordinated, or junior, in right of payment to the Notes;</w:t>
      </w:r>
    </w:p>
    <w:p>
      <w:pPr>
        <w:spacing w:after="0" w:line="75" w:lineRule="exact"/>
        <w:rPr>
          <w:rFonts w:ascii="Arial" w:cs="Arial" w:eastAsia="Arial" w:hAnsi="Arial"/>
          <w:sz w:val="18"/>
          <w:szCs w:val="18"/>
          <w:color w:val="auto"/>
        </w:rPr>
      </w:pPr>
    </w:p>
    <w:p>
      <w:pPr>
        <w:ind w:left="1100" w:right="160" w:hanging="433"/>
        <w:spacing w:after="0" w:line="259"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pari passu, or equal, in right of payment with all of our existing and future indebtedness or other obligations that are not so subordinated, or junior, including, without limitation, as of June 30, 2023, approximately $347.5 million aggregate principal amount of outstanding indebtedness under our 2024 Notes and approximately $300.0 million aggregate principal amount of outstanding indebtedness under our 2026 Notes;</w:t>
      </w:r>
    </w:p>
    <w:p>
      <w:pPr>
        <w:spacing w:after="0" w:line="92" w:lineRule="exact"/>
        <w:rPr>
          <w:rFonts w:ascii="Arial" w:cs="Arial" w:eastAsia="Arial" w:hAnsi="Arial"/>
          <w:sz w:val="18"/>
          <w:szCs w:val="18"/>
          <w:color w:val="auto"/>
        </w:rPr>
      </w:pPr>
    </w:p>
    <w:p>
      <w:pPr>
        <w:ind w:left="1100" w:right="60" w:hanging="433"/>
        <w:spacing w:after="0" w:line="311" w:lineRule="auto"/>
        <w:tabs>
          <w:tab w:leader="none" w:pos="11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effectively subordinated, or junior, to any of our secured indebtedness or other obligations (including unsecured indebtedness that we later secure) to the extent of the value of the assets securing such indebtedness, including, without limitation, approximately $1,050.8 million aggregate principal amount of outstanding indebtedness as of June 30, 2023 under the Revolving Credit Facility; and</w:t>
      </w:r>
    </w:p>
    <w:p>
      <w:pPr>
        <w:spacing w:after="0" w:line="54" w:lineRule="exact"/>
        <w:rPr>
          <w:rFonts w:ascii="Arial" w:cs="Arial" w:eastAsia="Arial" w:hAnsi="Arial"/>
          <w:sz w:val="16"/>
          <w:szCs w:val="16"/>
          <w:color w:val="auto"/>
        </w:rPr>
      </w:pPr>
    </w:p>
    <w:p>
      <w:pPr>
        <w:ind w:left="1100" w:right="40" w:hanging="433"/>
        <w:spacing w:after="0" w:line="277"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structurally subordinated, or junior, to all existing and future indebtedness and other obligations (including trade payables) incurred by our subsidiaries, financing vehicles or similar facilities.</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As of June 30, 2023, our total consolidated indebtedness was approximately $1,698.3 million aggregate principal amount outstanding, of which approximately $1,050.8 million was secured indebtedness at the TSLX level and none of which was indebtedness of our subsidiaries. After giving effect to the issuance of the Notes, and assuming the net proceeds therefrom are used to repay outstanding borrowings under the Revolving Credit Facility, our total consolidated indebtedness would have been approximately $1,704.2 million aggregate principal amount outstanding as of June 30, 2023. See “Capitalization.”</w:t>
      </w:r>
    </w:p>
    <w:p>
      <w:pPr>
        <w:spacing w:after="0" w:line="18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In the event of our bankruptcy, liquidation, reorganization or other winding up, our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702"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jc w:val="both"/>
        <w:ind w:left="120" w:right="320" w:firstLine="440"/>
        <w:spacing w:after="0" w:line="286" w:lineRule="auto"/>
        <w:rPr>
          <w:sz w:val="20"/>
          <w:szCs w:val="20"/>
          <w:color w:val="auto"/>
        </w:rPr>
      </w:pPr>
      <w:r>
        <w:rPr>
          <w:rFonts w:ascii="Arial" w:cs="Arial" w:eastAsia="Arial" w:hAnsi="Arial"/>
          <w:sz w:val="17"/>
          <w:szCs w:val="17"/>
          <w:color w:val="auto"/>
        </w:rPr>
        <w:t>Any exercise of our option to redeem the Notes will be done in compliance with the 1940 Act. Prior to July 14, 2028 (one month prior to their maturity date) (the “Par Call Date”), we may redeem the Notes at our option, in whole or in part, at any time and from time to time, at a redemption price (expressed as a percentage of principal amount and rounded to three decimal places) equal to the greater of:</w:t>
      </w:r>
    </w:p>
    <w:p>
      <w:pPr>
        <w:spacing w:after="0" w:line="57" w:lineRule="exact"/>
        <w:rPr>
          <w:sz w:val="20"/>
          <w:szCs w:val="20"/>
          <w:color w:val="auto"/>
        </w:rPr>
      </w:pPr>
    </w:p>
    <w:p>
      <w:pPr>
        <w:ind w:left="1100" w:right="180" w:firstLine="7"/>
        <w:spacing w:after="0" w:line="286" w:lineRule="auto"/>
        <w:tabs>
          <w:tab w:leader="none" w:pos="13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45 basis points less (b) interest accrued to the date of redemption, and</w:t>
      </w:r>
    </w:p>
    <w:p>
      <w:pPr>
        <w:spacing w:after="0" w:line="165" w:lineRule="exact"/>
        <w:rPr>
          <w:rFonts w:ascii="Arial" w:cs="Arial" w:eastAsia="Arial" w:hAnsi="Arial"/>
          <w:sz w:val="17"/>
          <w:szCs w:val="17"/>
          <w:color w:val="auto"/>
        </w:rPr>
      </w:pPr>
    </w:p>
    <w:p>
      <w:pPr>
        <w:ind w:left="1360" w:hanging="253"/>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plus, in either case, accrued and unpaid interest thereon to the redemption date.</w:t>
      </w:r>
    </w:p>
    <w:p>
      <w:pPr>
        <w:spacing w:after="0" w:line="225"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On or after the Par Call Date, we may redeem the Notes, in whole or in part, at any time and from time to time, at a redemption price equal to 100% of the principal amount of the Notes being redeemed plus accrued and unpaid interest thereon to the redemption date.</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“Treasury Rate” means, with respect to any redemption date, the yield determined by us in accordance with the following two paragraphs.</w:t>
      </w:r>
    </w:p>
    <w:p>
      <w:pPr>
        <w:spacing w:after="0" w:line="23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7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7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Our actions and determinations in determining the redemption price shall be conclusive and binding for all purposes, absent manifest error. The trustee will not be responsible or liable for determining, confirming, or verifying the redemption price.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00"/>
          </w:cols>
          <w:pgMar w:left="320" w:top="702" w:right="4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 Any exercise of our option to redeem the Notes will be done in compliance with the 1940 Act.</w:t>
      </w:r>
    </w:p>
    <w:p>
      <w:pPr>
        <w:spacing w:after="0" w:line="184"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In the case of a partial redemption, selection of the Notes for redemption will be made pro rata, by lot or by such other method as the Trustee deems appropriate and fair with the prior written consent of the Company.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Euroclear or Clearstream (or another depositary), the redemption of the Notes shall be done in accordance with the policies and procedures of the depositary.</w:t>
      </w:r>
    </w:p>
    <w:p>
      <w:pPr>
        <w:spacing w:after="0" w:line="178"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Unless we default in payment of the redemption price, on and after the redemption date interest will cease to accrue on the Notes or portions thereof called for redemption.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Offer to Repurchase Upon a Change of Control Repurchase Event</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If a Change of Control Repurchase Event occurs, unless we have exercised our right to redeem the Notes in full, we will make an offer to each holder of Notes to repurchase all or any part (in minimum denominations of $2,000 and integral multiples of $1,000 principal amount thereabove)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our option, prior to any Change of Control, but after the public announcement of the Change of Control, we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w:t>
      </w:r>
    </w:p>
    <w:p>
      <w:pPr>
        <w:spacing w:after="0" w:line="17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On the Change of Control Repurchase Event payment date, subject to extension if necessary to comply with the provisions of the 1940 Act, we will, to the extent lawful:</w:t>
      </w:r>
    </w:p>
    <w:p>
      <w:pPr>
        <w:spacing w:after="0" w:line="76" w:lineRule="exact"/>
        <w:rPr>
          <w:sz w:val="20"/>
          <w:szCs w:val="20"/>
          <w:color w:val="auto"/>
        </w:rPr>
      </w:pPr>
    </w:p>
    <w:p>
      <w:pPr>
        <w:ind w:left="1100" w:hanging="544"/>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our offer;</w:t>
      </w:r>
    </w:p>
    <w:p>
      <w:pPr>
        <w:spacing w:after="0" w:line="130" w:lineRule="exact"/>
        <w:rPr>
          <w:rFonts w:ascii="Arial" w:cs="Arial" w:eastAsia="Arial" w:hAnsi="Arial"/>
          <w:sz w:val="18"/>
          <w:szCs w:val="18"/>
          <w:color w:val="auto"/>
        </w:rPr>
      </w:pPr>
    </w:p>
    <w:p>
      <w:pPr>
        <w:ind w:left="1100" w:right="600" w:hanging="544"/>
        <w:spacing w:after="0" w:line="277" w:lineRule="auto"/>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aggregate purchase price in respect of all Notes or portions of Notes properly tendered; and</w:t>
      </w:r>
    </w:p>
    <w:p>
      <w:pPr>
        <w:spacing w:after="0" w:line="75" w:lineRule="exact"/>
        <w:rPr>
          <w:rFonts w:ascii="Arial" w:cs="Arial" w:eastAsia="Arial" w:hAnsi="Arial"/>
          <w:sz w:val="18"/>
          <w:szCs w:val="18"/>
          <w:color w:val="auto"/>
        </w:rPr>
      </w:pPr>
    </w:p>
    <w:p>
      <w:pPr>
        <w:ind w:left="1100" w:right="540" w:hanging="544"/>
        <w:spacing w:after="0" w:line="277" w:lineRule="auto"/>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being purchased by us.</w:t>
      </w:r>
    </w:p>
    <w:p>
      <w:pPr>
        <w:spacing w:after="0" w:line="170"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new Note will be in a minimum principal amount of $2,000 or an integral multiple of $1,000 in excess thereof.</w:t>
      </w:r>
    </w:p>
    <w:p>
      <w:pPr>
        <w:spacing w:after="0" w:line="14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w:t>
      </w:r>
    </w:p>
    <w:p>
      <w:pPr>
        <w:spacing w:after="0" w:line="18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The terms of our credit facility provide that certain change of control events will constitute an event of default thereunder entitling the lenders to accelerate any indebtedness outstanding under the credit facility at that time and to terminate the credit facility. In addition, the indentures governing the 2024 Notes and 2026 Notes each contains a provision that would require us to offer to purchase the respective 2024 Notes or 2026 Notes upon the occurrence of a fundamental change. A failure to purchase any tendered 2024 Notes or 2026 Notes would constitute an event of default under the applicable indenture, which would, in turn, constitute a default under our credit facility and the indenture. See “Management’s Discussion and Analysis of Financial Condition and Results of Operations—Financial Condition, Liquidity and Capital Resources” in our Q2 2023 Quarterly Report, which is incorporated by reference herein,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702"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for a general discussion of our indebtedness. Our future debt instruments may contain similar restrictions and provisions. If the holders of the Notes exercise their right to require us to repurchase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“Risk Factors—Risks Relating to the Notes—We may not be able to repurchase the Notes upon a Change of Control Repurchase Event.”</w:t>
      </w:r>
    </w:p>
    <w:p>
      <w:pPr>
        <w:spacing w:after="0" w:line="16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definition of “Change of Control” includes a phrase relating to the direct or indirect sale,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our assets and the assets of our subsidiaries taken as a whole to another person or group may be uncertain.</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the Notes:</w:t>
      </w:r>
    </w:p>
    <w:p>
      <w:pPr>
        <w:spacing w:after="0" w:line="22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 xml:space="preserve">“Below Investment Grade Rating Event” means the Notes are downgraded below Investment Grade by all three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either of the Rating Agencies);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us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 of Control” means the occurrence of any of the following:</w:t>
      </w:r>
    </w:p>
    <w:p>
      <w:pPr>
        <w:spacing w:after="0" w:line="131" w:lineRule="exact"/>
        <w:rPr>
          <w:sz w:val="20"/>
          <w:szCs w:val="20"/>
          <w:color w:val="auto"/>
        </w:rPr>
      </w:pPr>
    </w:p>
    <w:p>
      <w:pPr>
        <w:ind w:left="1100" w:right="20" w:hanging="544"/>
        <w:spacing w:after="0" w:line="257"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direct or indirect sale, lease, transfer, conveyance or other disposition (other than by way of merger or consolidation) in one or a series of related transactions, of all or substantially all of the assets of TSLX and its Controlled Subsidiaries taken as a whole to any “person” or “group” (as those terms are used in Section 13(d)(3) of the Exchange Act), other than to any Permitted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 pledge of assets pursuant to any secured debt instrument of TSLX or its Controlled Subsidiaries shall not be deemed to be any such sale, lease, transfer, conveyance or disposition;</w:t>
      </w:r>
    </w:p>
    <w:p>
      <w:pPr>
        <w:spacing w:after="0" w:line="93" w:lineRule="exact"/>
        <w:rPr>
          <w:rFonts w:ascii="Arial" w:cs="Arial" w:eastAsia="Arial" w:hAnsi="Arial"/>
          <w:sz w:val="18"/>
          <w:szCs w:val="18"/>
          <w:color w:val="auto"/>
        </w:rPr>
      </w:pPr>
    </w:p>
    <w:p>
      <w:pPr>
        <w:jc w:val="both"/>
        <w:ind w:left="1100" w:right="120" w:hanging="544"/>
        <w:spacing w:after="0" w:line="279" w:lineRule="auto"/>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TSLX, measured by voting power rather than number of shares; or</w:t>
      </w:r>
    </w:p>
    <w:p>
      <w:pPr>
        <w:spacing w:after="0" w:line="76" w:lineRule="exact"/>
        <w:rPr>
          <w:rFonts w:ascii="Arial" w:cs="Arial" w:eastAsia="Arial" w:hAnsi="Arial"/>
          <w:sz w:val="17"/>
          <w:szCs w:val="17"/>
          <w:color w:val="auto"/>
        </w:rPr>
      </w:pPr>
    </w:p>
    <w:p>
      <w:pPr>
        <w:ind w:left="1100" w:hanging="544"/>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approval by TSLX’s stockholders of any plan or proposal relating to the liquidation or dissolution of TSLX.</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 of Control Repurchase Event” means the occurrence of a Change of Control and a Below Investment Grade Rating Event.</w:t>
      </w:r>
    </w:p>
    <w:p>
      <w:pPr>
        <w:spacing w:after="0" w:line="225"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“Controlled Subsidiary” means any subsidiary of TSLX, 50% or more of the outstanding equity interests of which are owned by TSLX and its direct or indirect subsidiaries and of which TSLX possesses, directly or indirectly, the power to direct or cause the direction of the management or policies, whether through the ownership of voting equity interests, by agreement or otherwise.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“Fitch” means Fitch Ratings, Inc., also known as Fitch Ratings, or any successor thereto.</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“Investment Grade” means a rating of BBB- or better by Fitch (or its equivalent under any successor rating categories of Fitch), BBB- or better by S&amp;P (or its equivalent under any successor rating categories of S&amp;P) and Baa3 or better by Moody’s (or its equivalent under any successor rating categories of Moody’s) (or, in each case, if such Rating Agency ceases to rate the Notes for reasons outside of our control, the equivalent investment grade credit rating from any Rating Agency selected by us as a replacement Rating Agency).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“Moody’s” means Moody’s Investor Service, or any successor thereto.</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“Permitted Holders” means (i) us, (ii) one or more of our Controlled Subsidiaries and (iii) Sixth Street Specialty Lending Advisers, LLC or any affiliate of Sixth Street Specialty Lending Advisers, LLC that is organized under the laws of a jurisdiction located in the United States of America and in the business of managing or advising clients.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“Rating Agency” means:</w:t>
      </w:r>
    </w:p>
    <w:p>
      <w:pPr>
        <w:spacing w:after="0" w:line="131" w:lineRule="exact"/>
        <w:rPr>
          <w:sz w:val="20"/>
          <w:szCs w:val="20"/>
          <w:color w:val="auto"/>
        </w:rPr>
      </w:pPr>
    </w:p>
    <w:p>
      <w:pPr>
        <w:ind w:left="1100" w:hanging="544"/>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of Fitch, Moody’s and S&amp;P; and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00"/>
          </w:cols>
          <w:pgMar w:left="320" w:top="702" w:right="4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1100" w:right="40" w:hanging="544"/>
        <w:spacing w:after="0" w:line="263"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any of Fitch, Moody’s or S&amp;P ceases to rate the Notes or fails to make a rating of the Notes publicly available for reasons outside of our control, a “nationally recognized statistical rating organization” as defined in Section (3)(a)(62) of the Exchange Act selected by us as a replacement agency for Fitch, Moody’s or S&amp;P, or all three, as the case may be.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“S&amp;P” means S&amp;P Global Ratings or any successor thereto.</w:t>
      </w:r>
    </w:p>
    <w:p>
      <w:pPr>
        <w:spacing w:after="0" w:line="225" w:lineRule="exact"/>
        <w:rPr>
          <w:sz w:val="20"/>
          <w:szCs w:val="20"/>
          <w:color w:val="auto"/>
        </w:rPr>
      </w:pPr>
    </w:p>
    <w:p>
      <w:pPr>
        <w:ind w:left="120" w:right="360" w:firstLine="440"/>
        <w:spacing w:after="0" w:line="311" w:lineRule="auto"/>
        <w:rPr>
          <w:sz w:val="20"/>
          <w:szCs w:val="20"/>
          <w:color w:val="auto"/>
        </w:rPr>
      </w:pPr>
      <w:r>
        <w:rPr>
          <w:rFonts w:ascii="Arial" w:cs="Arial" w:eastAsia="Arial" w:hAnsi="Arial"/>
          <w:sz w:val="16"/>
          <w:szCs w:val="16"/>
          <w:color w:val="auto"/>
        </w:rPr>
        <w:t>“Voting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In addition to the covenants described in the base indenture, the following covenants shall apply to the Notes. To the extent of any conflict or inconsistency between the base indenture and the following covenants, the following covenants shall govern: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indenture provides that we will not merge or consolidate with or into any other person (other than a merger of a wholly owned subsidiary into us), or sell, transfer, lease, convey or otherwise dispose of all or substantially all our property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 pledge of assets pursuant to any secured debt instrument of TSLX or its Controlled Subsidiaries shall not be deemed to be any such sale, transfer, lease, conveyance or disposition) in any one transaction or series of related transactions unless:</w:t>
      </w:r>
    </w:p>
    <w:p>
      <w:pPr>
        <w:spacing w:after="0" w:line="92" w:lineRule="exact"/>
        <w:rPr>
          <w:sz w:val="20"/>
          <w:szCs w:val="20"/>
          <w:color w:val="auto"/>
        </w:rPr>
      </w:pPr>
    </w:p>
    <w:p>
      <w:pPr>
        <w:ind w:left="1100" w:right="60" w:hanging="433"/>
        <w:spacing w:after="0" w:line="263"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w:t>
      </w:r>
    </w:p>
    <w:p>
      <w:pPr>
        <w:spacing w:after="0" w:line="89" w:lineRule="exact"/>
        <w:rPr>
          <w:rFonts w:ascii="Arial" w:cs="Arial" w:eastAsia="Arial" w:hAnsi="Arial"/>
          <w:sz w:val="18"/>
          <w:szCs w:val="18"/>
          <w:color w:val="auto"/>
        </w:rPr>
      </w:pPr>
    </w:p>
    <w:p>
      <w:pPr>
        <w:ind w:left="1100" w:hanging="433"/>
        <w:spacing w:after="0" w:line="259"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us;</w:t>
      </w:r>
    </w:p>
    <w:p>
      <w:pPr>
        <w:spacing w:after="0" w:line="92" w:lineRule="exact"/>
        <w:rPr>
          <w:rFonts w:ascii="Arial" w:cs="Arial" w:eastAsia="Arial" w:hAnsi="Arial"/>
          <w:sz w:val="18"/>
          <w:szCs w:val="18"/>
          <w:color w:val="auto"/>
        </w:rPr>
      </w:pPr>
    </w:p>
    <w:p>
      <w:pPr>
        <w:ind w:left="1100" w:right="140" w:hanging="433"/>
        <w:spacing w:after="0" w:line="277"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or series of related transactions, no default or event of default shall have occurred and be continuing; and</w:t>
      </w:r>
    </w:p>
    <w:p>
      <w:pPr>
        <w:spacing w:after="0" w:line="75" w:lineRule="exact"/>
        <w:rPr>
          <w:rFonts w:ascii="Arial" w:cs="Arial" w:eastAsia="Arial" w:hAnsi="Arial"/>
          <w:sz w:val="18"/>
          <w:szCs w:val="18"/>
          <w:color w:val="auto"/>
        </w:rPr>
      </w:pPr>
    </w:p>
    <w:p>
      <w:pPr>
        <w:ind w:left="1100" w:hanging="433"/>
        <w:spacing w:after="0" w:line="259"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 and that such supplemental indenture is valid, binding and enforceable against the successor company.</w:t>
      </w:r>
    </w:p>
    <w:p>
      <w:pPr>
        <w:spacing w:after="0" w:line="18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w:t>
      </w:r>
    </w:p>
    <w:p>
      <w:pPr>
        <w:spacing w:after="0" w:line="184" w:lineRule="exact"/>
        <w:rPr>
          <w:sz w:val="20"/>
          <w:szCs w:val="20"/>
          <w:color w:val="auto"/>
        </w:rPr>
      </w:pPr>
    </w:p>
    <w:p>
      <w:pPr>
        <w:ind w:left="120" w:right="260" w:firstLine="440"/>
        <w:spacing w:after="0" w:line="293" w:lineRule="auto"/>
        <w:rPr>
          <w:sz w:val="20"/>
          <w:szCs w:val="20"/>
          <w:color w:val="auto"/>
        </w:rPr>
      </w:pPr>
      <w:r>
        <w:rPr>
          <w:rFonts w:ascii="Arial" w:cs="Arial" w:eastAsia="Arial" w:hAnsi="Arial"/>
          <w:sz w:val="16"/>
          <w:szCs w:val="16"/>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spacing w:after="0" w:line="164" w:lineRule="exact"/>
        <w:rPr>
          <w:sz w:val="20"/>
          <w:szCs w:val="20"/>
          <w:color w:val="auto"/>
        </w:rPr>
      </w:pPr>
    </w:p>
    <w:p>
      <w:pPr>
        <w:jc w:val="both"/>
        <w:ind w:left="120" w:right="300" w:firstLine="440"/>
        <w:spacing w:after="0" w:line="311" w:lineRule="auto"/>
        <w:rPr>
          <w:sz w:val="20"/>
          <w:szCs w:val="20"/>
          <w:color w:val="auto"/>
        </w:rPr>
      </w:pPr>
      <w:r>
        <w:rPr>
          <w:rFonts w:ascii="Arial" w:cs="Arial" w:eastAsia="Arial" w:hAnsi="Arial"/>
          <w:sz w:val="16"/>
          <w:szCs w:val="16"/>
          <w:color w:val="auto"/>
        </w:rPr>
        <w:t>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Covenants</w:t>
      </w:r>
    </w:p>
    <w:p>
      <w:pPr>
        <w:spacing w:after="0" w:line="131" w:lineRule="exact"/>
        <w:rPr>
          <w:sz w:val="20"/>
          <w:szCs w:val="20"/>
          <w:color w:val="auto"/>
        </w:rPr>
      </w:pPr>
    </w:p>
    <w:p>
      <w:pPr>
        <w:ind w:left="1100" w:right="300" w:hanging="433"/>
        <w:spacing w:after="0" w:line="263" w:lineRule="auto"/>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agree that for the period of time during which the Notes are outstanding, we will not violate, whether or not we are subject thereto, Section 18(a)(1)(A) as modified by Section 61(a) of the 1940 Act or any successor provisions, but giving effect, in either case, to any exemptive relief granted to us by the SEC.</w:t>
      </w:r>
    </w:p>
    <w:p>
      <w:pPr>
        <w:spacing w:after="0" w:line="89" w:lineRule="exact"/>
        <w:rPr>
          <w:rFonts w:ascii="Arial" w:cs="Arial" w:eastAsia="Arial" w:hAnsi="Arial"/>
          <w:sz w:val="18"/>
          <w:szCs w:val="18"/>
          <w:color w:val="auto"/>
        </w:rPr>
      </w:pPr>
    </w:p>
    <w:p>
      <w:pPr>
        <w:ind w:left="1100" w:right="60" w:hanging="433"/>
        <w:spacing w:after="0" w:line="257" w:lineRule="auto"/>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00"/>
          </w:cols>
          <w:pgMar w:left="320" w:top="702" w:right="479" w:bottom="1118"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of the following is an event of default:</w:t>
      </w:r>
    </w:p>
    <w:p>
      <w:pPr>
        <w:spacing w:after="0" w:line="131" w:lineRule="exact"/>
        <w:rPr>
          <w:sz w:val="20"/>
          <w:szCs w:val="20"/>
          <w:color w:val="auto"/>
        </w:rPr>
      </w:pPr>
    </w:p>
    <w:p>
      <w:pPr>
        <w:ind w:left="1100" w:hanging="544"/>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default in the payment of any interest upon any Note when due and payable and the default continues for a period of 30 days;</w:t>
      </w:r>
    </w:p>
    <w:p>
      <w:pPr>
        <w:spacing w:after="0" w:line="130" w:lineRule="exact"/>
        <w:rPr>
          <w:rFonts w:ascii="Arial" w:cs="Arial" w:eastAsia="Arial" w:hAnsi="Arial"/>
          <w:sz w:val="18"/>
          <w:szCs w:val="18"/>
          <w:color w:val="auto"/>
        </w:rPr>
      </w:pPr>
    </w:p>
    <w:p>
      <w:pPr>
        <w:ind w:left="1100" w:right="340" w:hanging="544"/>
        <w:spacing w:after="0" w:line="277"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Note when it becomes due and payable at its maturity, including upon any redemption date or required repurchase date;</w:t>
      </w:r>
    </w:p>
    <w:p>
      <w:pPr>
        <w:spacing w:after="0" w:line="75" w:lineRule="exact"/>
        <w:rPr>
          <w:rFonts w:ascii="Arial" w:cs="Arial" w:eastAsia="Arial" w:hAnsi="Arial"/>
          <w:sz w:val="18"/>
          <w:szCs w:val="18"/>
          <w:color w:val="auto"/>
        </w:rPr>
      </w:pPr>
    </w:p>
    <w:p>
      <w:pPr>
        <w:ind w:left="1100" w:right="40" w:hanging="544"/>
        <w:spacing w:after="0" w:line="263"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failure for 60 consecutive days after written notice from the trustee or the holders of at least 25% in principal amount of the Notes then outstanding to us and the trustee, as applicable, has been received to comply with any of our other agreements contained in the Notes or indenture;</w:t>
      </w:r>
    </w:p>
    <w:p>
      <w:pPr>
        <w:spacing w:after="0" w:line="89" w:lineRule="exact"/>
        <w:rPr>
          <w:rFonts w:ascii="Arial" w:cs="Arial" w:eastAsia="Arial" w:hAnsi="Arial"/>
          <w:sz w:val="18"/>
          <w:szCs w:val="18"/>
          <w:color w:val="auto"/>
        </w:rPr>
      </w:pPr>
    </w:p>
    <w:p>
      <w:pPr>
        <w:ind w:left="1100" w:right="320" w:hanging="544"/>
        <w:spacing w:after="0" w:line="291" w:lineRule="auto"/>
        <w:tabs>
          <w:tab w:leader="none" w:pos="11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default by us or any of our significant subsidiaries, as defined in Article 1, Rule 1-02 of Regulation S-X under the Exchange Act (but excluding any subsidiary which is (a) a non-recourse or limited recourse subsidiary, (b) a bankruptcy remote special purpose vehicle or</w:t>
      </w:r>
    </w:p>
    <w:p>
      <w:pPr>
        <w:ind w:left="1100" w:right="40"/>
        <w:spacing w:after="0" w:line="268" w:lineRule="auto"/>
        <w:rPr>
          <w:rFonts w:ascii="Arial" w:cs="Arial" w:eastAsia="Arial" w:hAnsi="Arial"/>
          <w:sz w:val="16"/>
          <w:szCs w:val="16"/>
          <w:color w:val="auto"/>
        </w:rPr>
      </w:pPr>
      <w:r>
        <w:rPr>
          <w:rFonts w:ascii="Arial" w:cs="Arial" w:eastAsia="Arial" w:hAnsi="Arial"/>
          <w:sz w:val="17"/>
          <w:szCs w:val="17"/>
          <w:color w:val="auto"/>
        </w:rPr>
        <w:t>(c) is not consolidated with TSLX for purposes of GAAP), with respect to any mortgage, agreement or other instrument under which there may be outstanding, or by which there may be secured or evidenced, any indebtedness for money borrowed in excess of $50 million in the aggregate of us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Notes then outstanding;</w:t>
      </w:r>
    </w:p>
    <w:p>
      <w:pPr>
        <w:spacing w:after="0" w:line="88" w:lineRule="exact"/>
        <w:rPr>
          <w:rFonts w:ascii="Arial" w:cs="Arial" w:eastAsia="Arial" w:hAnsi="Arial"/>
          <w:sz w:val="16"/>
          <w:szCs w:val="16"/>
          <w:color w:val="auto"/>
        </w:rPr>
      </w:pPr>
    </w:p>
    <w:p>
      <w:pPr>
        <w:ind w:left="1100" w:right="80" w:hanging="544"/>
        <w:spacing w:after="0" w:line="311" w:lineRule="auto"/>
        <w:tabs>
          <w:tab w:leader="none" w:pos="11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and</w:t>
      </w:r>
    </w:p>
    <w:p>
      <w:pPr>
        <w:spacing w:after="0" w:line="54" w:lineRule="exact"/>
        <w:rPr>
          <w:rFonts w:ascii="Arial" w:cs="Arial" w:eastAsia="Arial" w:hAnsi="Arial"/>
          <w:sz w:val="16"/>
          <w:szCs w:val="16"/>
          <w:color w:val="auto"/>
        </w:rPr>
      </w:pPr>
    </w:p>
    <w:p>
      <w:pPr>
        <w:ind w:left="1100" w:right="400" w:hanging="544"/>
        <w:spacing w:after="0" w:line="277"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involving us occur and remain undischarged or unstayed for a period of 90 days.</w:t>
      </w:r>
    </w:p>
    <w:p>
      <w:pPr>
        <w:spacing w:after="0" w:line="170"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If an event of default occurs and is continuing and a responsible officer of the Trustee has received written notice or has actual knowledge thereof,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shall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At any time after a declaration of acceleration with respect to the Notes has been made and before a judgment or decree for payment of the money due has been obtained by the trustee, the holders of a majority in principal amount of the outstanding Notes, by written notice to us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 nonpayment of the principal of (or premium, if any, on) or interest on such Notes that have become due solely by such declaration of acceleration, have been cured or waived. No such rescission will affect any subsequent default or impair any right consequent thereon.</w:t>
      </w:r>
    </w:p>
    <w:p>
      <w:pPr>
        <w:spacing w:after="0" w:line="18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No holder of Notes will have any right to institute any proceeding, judicial or otherwise, with respect to the indenture, or for the appointment of a receiver or trustee, or for any other remedy under the indenture, unless:</w:t>
      </w:r>
    </w:p>
    <w:p>
      <w:pPr>
        <w:spacing w:after="0" w:line="76" w:lineRule="exact"/>
        <w:rPr>
          <w:sz w:val="20"/>
          <w:szCs w:val="20"/>
          <w:color w:val="auto"/>
        </w:rPr>
      </w:pPr>
    </w:p>
    <w:p>
      <w:pPr>
        <w:ind w:left="1100" w:hanging="544"/>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 of a continuing event of default with respect to the Notes;</w:t>
      </w:r>
    </w:p>
    <w:p>
      <w:pPr>
        <w:spacing w:after="0" w:line="130" w:lineRule="exact"/>
        <w:rPr>
          <w:rFonts w:ascii="Arial" w:cs="Arial" w:eastAsia="Arial" w:hAnsi="Arial"/>
          <w:sz w:val="18"/>
          <w:szCs w:val="18"/>
          <w:color w:val="auto"/>
        </w:rPr>
      </w:pPr>
    </w:p>
    <w:p>
      <w:pPr>
        <w:ind w:left="1100" w:right="360" w:hanging="544"/>
        <w:spacing w:after="0" w:line="277"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Notes shall have made written request to the trustee to institute proceedings in respect of such event of default;</w:t>
      </w:r>
    </w:p>
    <w:p>
      <w:pPr>
        <w:spacing w:after="0" w:line="75" w:lineRule="exact"/>
        <w:rPr>
          <w:rFonts w:ascii="Arial" w:cs="Arial" w:eastAsia="Arial" w:hAnsi="Arial"/>
          <w:sz w:val="18"/>
          <w:szCs w:val="18"/>
          <w:color w:val="auto"/>
        </w:rPr>
      </w:pPr>
    </w:p>
    <w:p>
      <w:pPr>
        <w:ind w:left="1100" w:right="100" w:hanging="544"/>
        <w:spacing w:after="0" w:line="277"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security or indemnity satisfactory to the trustee against the costs, expenses and liabilities to be incurred in compliance with such request;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40"/>
          </w:cols>
          <w:pgMar w:left="320" w:top="702" w:right="4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1100" w:right="20" w:hanging="544"/>
        <w:spacing w:after="0" w:line="277"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security or indemnity has failed to institute any such proceeding; and</w:t>
      </w:r>
    </w:p>
    <w:p>
      <w:pPr>
        <w:spacing w:after="0" w:line="75" w:lineRule="exact"/>
        <w:rPr>
          <w:rFonts w:ascii="Arial" w:cs="Arial" w:eastAsia="Arial" w:hAnsi="Arial"/>
          <w:sz w:val="18"/>
          <w:szCs w:val="18"/>
          <w:color w:val="auto"/>
        </w:rPr>
      </w:pPr>
    </w:p>
    <w:p>
      <w:pPr>
        <w:ind w:left="1100" w:right="140" w:hanging="544"/>
        <w:spacing w:after="0" w:line="277"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Notes.</w:t>
      </w:r>
    </w:p>
    <w:p>
      <w:pPr>
        <w:spacing w:after="0" w:line="170" w:lineRule="exact"/>
        <w:rPr>
          <w:sz w:val="20"/>
          <w:szCs w:val="20"/>
          <w:color w:val="auto"/>
        </w:rPr>
      </w:pPr>
    </w:p>
    <w:p>
      <w:pPr>
        <w:jc w:val="both"/>
        <w:ind w:left="120" w:right="100" w:firstLine="440"/>
        <w:spacing w:after="0" w:line="279" w:lineRule="auto"/>
        <w:rPr>
          <w:sz w:val="20"/>
          <w:szCs w:val="20"/>
          <w:color w:val="auto"/>
        </w:rPr>
      </w:pPr>
      <w:r>
        <w:rPr>
          <w:rFonts w:ascii="Arial" w:cs="Arial" w:eastAsia="Arial" w:hAnsi="Arial"/>
          <w:sz w:val="17"/>
          <w:szCs w:val="17"/>
          <w:color w:val="auto"/>
        </w:rPr>
        <w:t>Notwithstanding any other provision in the indenture, the holder of any Note shall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17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 xml:space="preserve">The trustee shall be under no obligation to exercise any of the rights or powers vested in it by the indenture at the request or direction of any of the holders of the Notes unless such holders shall have offered to the trustee security or indemnity satisfactory to the trustee against the costs, expenses and liabilities which might be incurred by it in compliance with such request or direction. Subject to the foregoing, the holders of a majority in principal amount of the outstanding Notes shall have the right to direct the time, method and place of conducting any proceeding for any remedy available to the trustee or exercising any trust or power conferred on the trustee with respect to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direction shall not be in conflict with any rule of law or with this indenture, (ii) the trustee may take any other action deemed proper by the trustee that is not inconsistent with such direction and (iii) 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w:t>
      </w:r>
    </w:p>
    <w:p>
      <w:pPr>
        <w:spacing w:after="0" w:line="18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Note, or (ii) in respect of a covenant or provision of the indenture which cannot be modified or amended without the consent of the holder of each outstanding Note affected. Upon any such waiver, such default shall cease to exist, and any event of default arising therefrom shall be deemed to have been cured, for every purpose, but no such waiver shall extend to any subsequent or other default or event of default or impair any right consequent thereto.</w:t>
      </w:r>
    </w:p>
    <w:p>
      <w:pPr>
        <w:spacing w:after="0" w:line="19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are required to deliver to the trustee, within 120 days after the end of each fiscal year, an officers’ certificate stating that to the knowledge of the signers whether we are in default in the performance of any of the terms, provisions or conditions of the indenture.</w:t>
      </w:r>
    </w:p>
    <w:p>
      <w:pPr>
        <w:spacing w:after="0" w:line="170"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 xml:space="preserve">Within 90 days after the occurrence of any default under the indenture with respect to the Notes, the trustee shall transmit notice of such default actually known to a responsible officer of the trustee, unless such default shall have been cured or waived; </w:t>
      </w:r>
      <w:r>
        <w:rPr>
          <w:rFonts w:ascii="Arial" w:cs="Arial" w:eastAsia="Arial" w:hAnsi="Arial"/>
          <w:sz w:val="16"/>
          <w:szCs w:val="16"/>
          <w:i w:val="1"/>
          <w:iCs w:val="1"/>
          <w:color w:val="auto"/>
        </w:rPr>
        <w:t>provided</w:t>
      </w:r>
      <w:r>
        <w:rPr>
          <w:rFonts w:ascii="Arial" w:cs="Arial" w:eastAsia="Arial" w:hAnsi="Arial"/>
          <w:sz w:val="16"/>
          <w:szCs w:val="16"/>
          <w:color w:val="auto"/>
        </w:rPr>
        <w:t>, however, that, except in the case of a default in the payment of the principal of (or premium, if any, on) or interest, if any, on any Note, the trustee shall be protected in withholding such notice if and so long as it in good faith determines that withholding of such notice is in the interest of the holders of the Notes.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may satisfy and discharge our obligations under the indenture by delivering to the securities registrar for cancellation all outstanding Notes or by depositing with the trustee or delivering to the holders, as applicable, after the Notes have become due and payable, or otherwise, moneys sufficient to pay all of the outstanding Notes and paying all other sums payable under the indenture by us. Such discharge is subject to terms contained in the indenture.</w:t>
      </w:r>
    </w:p>
    <w:p>
      <w:pPr>
        <w:spacing w:after="0" w:line="187"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7"/>
          <w:szCs w:val="17"/>
          <w:color w:val="auto"/>
        </w:rPr>
        <w:t>In addition, the Notes are subject to defeasance and covenant defeasance, in each case, in accordance with the terms of the indenture.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stating that (a) we have received from, or there has been published by, the Internal Revenue Service (the “IRS”) a ruling, or (b) since the date of execution of the Indenture, there has been a change in the applicable U.S. federal income tax law, in either case to the effect that, and based thereon, the holders of the Notes and any coupons appertaining thereto will not recognize income, gain or loss for U.S. federal income tax purposes as a result of such defeasance and will be subject to U.S. federal income tax on the same amounts, in the same manner and at the same times as would have been the case if such defeasance had not occurred, we can legally release ourselves from all payment and other obligations on the Notes. Covenant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to the effect that the holders of the Notes and any coupons appertaining thereto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we will be released from some of the restrictive covenants in the indenture.</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702"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Trustee</w:t>
      </w:r>
    </w:p>
    <w:p>
      <w:pPr>
        <w:spacing w:after="0" w:line="121"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Computershare Trust Company, N.A., as successor to Wells Fargo Bank, National Association, is the trustee, security registrar and paying agent. Computershare Trust Company, N.A., as successor to Wells Fargo Bank, National Association, in each of its capacities, including without limitation as trustee, security registrar and paying agent, assumes no responsibility (or liability) for the accuracy, correctness, adequacy, or completeness of the information concerning us or our affiliates or any other party contained in this prospectus supplement and accompanying prospectus or the related documents or for any failure by us or any other party to disclose events that may have occurred and may affect the significance or accuracy of such information, or for any information provided to it by us, including but not limited to settlement amounts and any other information. Neither the trustee nor any paying agent shall be responsible for determining whether any Change of Control or Below Investment Grade Rating Event has occurred and whether any Change of Control offer with respect to the Notes is required.</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maintain banking relationships in the ordinary course of business with the trustee and its affiliates.</w:t>
      </w:r>
    </w:p>
    <w:p>
      <w:pPr>
        <w:spacing w:after="0" w:line="225"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“corporate trust office” means the corporate trust office of the Trustee, at which at any particular time its corporate trust business with respect to the Indenture shall be administered, which office is currently located at Computershare Trust Company, N.A., 1505 Energy Park Drive, St. Paul, MN 55108.</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any act or provision of any present or future law or regulation or governmental authority, natural disaster, strikes, work stoppages, accidents, acts of war or terrorism, civil or military disturbances, nuclear or natural catastrophes or acts of God, labor dispute, disease, epidemic or pandemic, quarantine, national emergency and interruptions, loss or malfunctions of utilities, communications or computer (software and hardware) services, communications system failure, malware or ransomware or other unavailability of the Federal Reserve Bank wire or facsimile or telex system or other funds transfer system or other wire or communication facility or unavailability of any securities clearing system; it being understood that the Trustee shall use reasonable efforts that are consistent with accepted practices in the banking industry to resume performance as soon as practicable under the circumstances.”</w:t>
      </w:r>
    </w:p>
    <w:p>
      <w:pPr>
        <w:spacing w:after="0" w:line="17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Each of the trustee, security registrar, and paying agent will be entitled to those certain rights, privileges, immunities, indemnities, limitations of liability, and protections, as more fully set forth in the indenture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indenture provides that it and the Notes shall be governed by and construed in accordance with the laws of the State of New York, without regard to principles of conflicts of laws that would cause the application of laws of another jurisdiction.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Settlement and Clearance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Notes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Notes will be initially issued in the form of one or more registered Notes in global form, without interest coupons (the “Global Notes”). Upon issuance, each of the Global Notes will be deposited with the trustee as custodian for DTC and registered in the name of Cede &amp; Co., as nominee of DTC.</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Ownership of beneficial interests in a Global Note will be limited to persons who have accounts with DTC (“DTC participants”) or persons who hold interests through DTC participants. We expect that under procedures established by DTC:</w:t>
      </w:r>
    </w:p>
    <w:p>
      <w:pPr>
        <w:spacing w:after="0" w:line="76" w:lineRule="exact"/>
        <w:rPr>
          <w:sz w:val="20"/>
          <w:szCs w:val="20"/>
          <w:color w:val="auto"/>
        </w:rPr>
      </w:pPr>
    </w:p>
    <w:p>
      <w:pPr>
        <w:ind w:left="1100" w:right="80" w:hanging="433"/>
        <w:spacing w:after="0" w:line="277" w:lineRule="auto"/>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deposit of a Global Note with DTC’s custodian, DTC will credit portions of the principal amount of the Global Note to the accounts of the DTC participants designated by the underwriters; and</w:t>
      </w:r>
    </w:p>
    <w:p>
      <w:pPr>
        <w:spacing w:after="0" w:line="75" w:lineRule="exact"/>
        <w:rPr>
          <w:rFonts w:ascii="Arial" w:cs="Arial" w:eastAsia="Arial" w:hAnsi="Arial"/>
          <w:sz w:val="18"/>
          <w:szCs w:val="18"/>
          <w:color w:val="auto"/>
        </w:rPr>
      </w:pPr>
    </w:p>
    <w:p>
      <w:pPr>
        <w:ind w:left="1100" w:right="200" w:hanging="433"/>
        <w:spacing w:after="0" w:line="263" w:lineRule="auto"/>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Beneficial interests in Global Notes may not be exchanged for Notes in physical, certificated form except in the limited circumstances described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Book-Entry Procedures for Global Notes</w:t>
      </w:r>
    </w:p>
    <w:p>
      <w:pPr>
        <w:spacing w:after="0" w:line="11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(in any of its capacities) nor the underwriters are responsible for those operations or procedures.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00"/>
          </w:cols>
          <w:pgMar w:left="320" w:top="702" w:right="4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1100" w:hanging="433"/>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92" w:lineRule="exact"/>
        <w:rPr>
          <w:sz w:val="20"/>
          <w:szCs w:val="20"/>
          <w:color w:val="auto"/>
        </w:rPr>
      </w:pPr>
    </w:p>
    <w:p>
      <w:pPr>
        <w:ind w:left="120" w:right="580" w:firstLine="440"/>
        <w:spacing w:after="0" w:line="342" w:lineRule="auto"/>
        <w:rPr>
          <w:sz w:val="20"/>
          <w:szCs w:val="20"/>
          <w:color w:val="auto"/>
        </w:rPr>
      </w:pPr>
      <w:r>
        <w:rPr>
          <w:rFonts w:ascii="Arial" w:cs="Arial" w:eastAsia="Arial" w:hAnsi="Arial"/>
          <w:sz w:val="16"/>
          <w:szCs w:val="16"/>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29" w:lineRule="exact"/>
        <w:rPr>
          <w:sz w:val="20"/>
          <w:szCs w:val="20"/>
          <w:color w:val="auto"/>
        </w:rPr>
      </w:pPr>
    </w:p>
    <w:p>
      <w:pPr>
        <w:ind w:left="1100" w:hanging="433"/>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130" w:lineRule="exact"/>
        <w:rPr>
          <w:rFonts w:ascii="Arial" w:cs="Arial" w:eastAsia="Arial" w:hAnsi="Arial"/>
          <w:sz w:val="18"/>
          <w:szCs w:val="18"/>
          <w:color w:val="auto"/>
        </w:rPr>
      </w:pPr>
    </w:p>
    <w:p>
      <w:pPr>
        <w:ind w:left="1100" w:right="140" w:hanging="433"/>
        <w:spacing w:after="0" w:line="277" w:lineRule="auto"/>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receiving notices or the giving of any direction, instruction or approval to the trustee under the indenture.</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184"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Payments of principal and interest with respect to the Notes represented by a Global Note will be made by the trustee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87" w:lineRule="exact"/>
        <w:rPr>
          <w:sz w:val="20"/>
          <w:szCs w:val="20"/>
          <w:color w:val="auto"/>
        </w:rPr>
      </w:pPr>
    </w:p>
    <w:p>
      <w:pPr>
        <w:ind w:left="120" w:right="400" w:firstLine="440"/>
        <w:spacing w:after="0" w:line="308" w:lineRule="auto"/>
        <w:rPr>
          <w:sz w:val="20"/>
          <w:szCs w:val="20"/>
          <w:color w:val="auto"/>
        </w:rPr>
      </w:pPr>
      <w:r>
        <w:rPr>
          <w:rFonts w:ascii="Arial" w:cs="Arial" w:eastAsia="Arial" w:hAnsi="Arial"/>
          <w:sz w:val="17"/>
          <w:szCs w:val="17"/>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46"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7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of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20"/>
          </w:cols>
          <w:pgMar w:left="320" w:top="702"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Notes in physical, certificated form will be issued and delivered to each person that DTC identifies as a beneficial owner of the related Notes only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w:t>
      </w:r>
    </w:p>
    <w:p>
      <w:pPr>
        <w:spacing w:after="0" w:line="116" w:lineRule="exact"/>
        <w:rPr>
          <w:sz w:val="20"/>
          <w:szCs w:val="20"/>
          <w:color w:val="auto"/>
        </w:rPr>
      </w:pPr>
    </w:p>
    <w:p>
      <w:pPr>
        <w:ind w:left="1100" w:right="120" w:hanging="433"/>
        <w:spacing w:after="0" w:line="277"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DTC ceases to be registered as a clearing agency under the Exchange Act and a successor depositary is not appointed within 90 days; or</w:t>
      </w:r>
    </w:p>
    <w:p>
      <w:pPr>
        <w:spacing w:after="0" w:line="153" w:lineRule="exact"/>
        <w:rPr>
          <w:rFonts w:ascii="Arial" w:cs="Arial" w:eastAsia="Arial" w:hAnsi="Arial"/>
          <w:sz w:val="16"/>
          <w:szCs w:val="16"/>
          <w:color w:val="auto"/>
        </w:rPr>
      </w:pPr>
    </w:p>
    <w:p>
      <w:pPr>
        <w:ind w:left="1100" w:right="80" w:hanging="433"/>
        <w:spacing w:after="0" w:line="277"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event of default with respect to the Notes has occurred and is continuing and such beneficial owner requests that its Notes be issued in physical, certificated form.</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connection with any proposed exchange of a certificated Note for a Global Note, there shall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060"/>
          </w:cols>
          <w:pgMar w:left="320" w:top="702" w:right="5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following discussion is a summary of the material U.S. federal income tax considerations that are likely to be relevant to the purchase, ownership and disposition of the Notes. This summary does not purport to be a comprehensive description of all of the tax considerations that may be relevant to a decision to purchase Notes by any particular investor. Thus, for example, this summary deals only with beneficial owners (referred to in this summary as “holders”) of Notes that hold their Notes as capital assets and acquired Notes upon their original issuance at their original issue price, which is the first price at which a substantial amount of the Notes is sold for money to the public (not including bond houses, brokers or similar persons or organizations acting in the capacity of underwriters, placement agents or wholesalers). Additionally, we have not described tax consequences that may be relevant to certain types of holders that are subject to special treatment under U.S. federal income tax laws, including:</w:t>
      </w:r>
    </w:p>
    <w:p>
      <w:pPr>
        <w:spacing w:after="0" w:line="72" w:lineRule="exact"/>
        <w:rPr>
          <w:sz w:val="20"/>
          <w:szCs w:val="20"/>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trusts;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entities taxed as partnerships or partners therein;</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persons holding Notes as part of a “straddle”, “hedge”, “conversion transaction,” “synthetic security” or other integrated investment;</w:t>
      </w:r>
    </w:p>
    <w:p>
      <w:pPr>
        <w:spacing w:after="0" w:line="142" w:lineRule="exact"/>
        <w:rPr>
          <w:rFonts w:ascii="Arial" w:cs="Arial" w:eastAsia="Arial" w:hAnsi="Arial"/>
          <w:sz w:val="17"/>
          <w:szCs w:val="17"/>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persons who hold our stock or Notes on behalf of another person as a nominee;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Nonresident alien individuals present in the United States for more than 182 days in a taxable year; or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 Holders (as defined below) who have a “functional currency” other than the U.S. dollar.</w:t>
      </w:r>
    </w:p>
    <w:p>
      <w:pPr>
        <w:spacing w:after="0" w:line="22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Finally, this summary does not address other U.S. federal tax consequences (such as estate and gift tax consequences, the Medicare tax on net investment income and the alternative minimum tax, consequences arising under special timing rules prescribed under section 451(b) of the Code) or any state, local or non-U.S. tax consequences.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discussion below is based upon the provisions of the Code,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holders in light of their personal circumstances.</w:t>
      </w:r>
    </w:p>
    <w:p>
      <w:pPr>
        <w:spacing w:after="0" w:line="187"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For purposes of this discussion, the term “U.S. Holder” means a beneficial owner of a Note that is, for U.S. federal income tax purposes, an individual who is a citizen or resident of the United States or a domestic corporation or otherwise subject to U.S. federal income tax on a net income basis in respect of the Notes. The term “non-U.S. Holder” means a beneficial owner of a Note that is not a U.S. Holder. If a partnership (including an entity or arrangement treated as a partnership for U.S. federal income tax purposes) holds any Notes, the U.S. federal income tax treatment of a partner of the partnership generally will depend upon the status of the partner, the activities of the partnership and certain determinations made at the partner level. Partnerships holding Notes, and persons holding interests in such partnerships, should each consult their own tax advisors as to the consequences of investing in the Notes in their individual circumstances.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Consequences to U.S. Holders of Notes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of Stated Interest</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 xml:space="preserve">Stated interest on the Notes will generally be includible in the income of a U.S. Holder as ordinary income at the time the interest is received or accrued in accordance with the U.S. Holder’s method of accounting for U.S. federal income tax purposes. It is anticipated, and this discussion assumes, that the Notes will be issued with less than the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of original issue discount (within the meaning of the applicable Treasury regulations). If, however, the Notes are issued for an amount less than the principal amount and the difference is not less than such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a U.S. Holder will be required to include the difference in income as original issue discount in accordance with a “constant-yield method” before the receipt of cash attributable to such income, regardless of the U.S. Holder’s regular method of accounting for U.S. federal income tax purposes. A U.S. Holder is urged to consult its own tax advisor in the event the Notes are issued with original issue discount.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320" w:top="702"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Exchange, Retirement or Other Taxable Disposition of Notes</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 U.S. Holder will generally recognize taxable gain or loss upon the sale, exchange, retirement or other taxable disposition of a Note equal to the difference between the amount received for the Note (less amounts attributable to accrued but unpaid stated interest, which will be taxable as a payment of such accrued interest) and the U.S. Holder’s tax basis in the Note. A U.S. Holder’s tax basis in a Note generally will be equal to the amount paid for the Note. Any gain or loss recognized on a taxable disposition of the Note will generally constitute capital gain or loss. A non-corporate U.S. Holder who has held the Note for more than one year generally will be eligible for reduced rates of taxation on long-term capital gain. The ability to deduct capital losses is limited.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Consequences to Non-U.S. Holders of Notes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of Stated Interest</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Subject to the discussion of backup withholding and FATCA below, a non-U.S. Holder will not be subject to U.S. federal withholding tax or income tax in respect of stated interest on the Notes provided that:</w:t>
      </w:r>
    </w:p>
    <w:p>
      <w:pPr>
        <w:spacing w:after="0" w:line="76" w:lineRule="exact"/>
        <w:rPr>
          <w:sz w:val="20"/>
          <w:szCs w:val="20"/>
          <w:color w:val="auto"/>
        </w:rPr>
      </w:pPr>
    </w:p>
    <w:p>
      <w:pPr>
        <w:ind w:left="1100" w:right="240" w:hanging="433"/>
        <w:spacing w:after="0" w:line="277"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non-U.S. Holder does not actually or constructively own 10% or more of the total combined voting power of all classes of our stock that are entitled to vote within the meaning of Section 871(h)(3) of the Code;</w:t>
      </w:r>
    </w:p>
    <w:p>
      <w:pPr>
        <w:spacing w:after="0" w:line="75" w:lineRule="exact"/>
        <w:rPr>
          <w:rFonts w:ascii="Arial" w:cs="Arial" w:eastAsia="Arial" w:hAnsi="Arial"/>
          <w:sz w:val="18"/>
          <w:szCs w:val="18"/>
          <w:color w:val="auto"/>
        </w:rPr>
      </w:pPr>
    </w:p>
    <w:p>
      <w:pPr>
        <w:ind w:left="1100" w:right="620" w:hanging="433"/>
        <w:spacing w:after="0" w:line="277"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non-U.S. Holder is not a controlled foreign corporation that is related to us (actually or constructively) through sufficient stock ownership; and</w:t>
      </w:r>
    </w:p>
    <w:p>
      <w:pPr>
        <w:spacing w:after="0" w:line="75" w:lineRule="exact"/>
        <w:rPr>
          <w:rFonts w:ascii="Arial" w:cs="Arial" w:eastAsia="Arial" w:hAnsi="Arial"/>
          <w:sz w:val="18"/>
          <w:szCs w:val="18"/>
          <w:color w:val="auto"/>
        </w:rPr>
      </w:pPr>
    </w:p>
    <w:p>
      <w:pPr>
        <w:ind w:left="1100" w:right="20" w:hanging="433"/>
        <w:spacing w:after="0" w:line="259"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non-U.S. Holder provides its name and address, and certifies, under penalties of perjury, that it is not a U.S. person (which certification may be made on an IRS Form W-8BEN or IRS Form W-8BEN-E (or successor form, in each case)) or the Non-U.S. Holder holds the Notes through certain foreign intermediaries or certain foreign partnerships, and satisfies the certification requirements of applicable Treasury Regulations.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Exchange or Retirement of Notes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Subject to the discussion below under “</w:t>
      </w:r>
      <w:r>
        <w:rPr>
          <w:rFonts w:ascii="Arial" w:cs="Arial" w:eastAsia="Arial" w:hAnsi="Arial"/>
          <w:sz w:val="16"/>
          <w:szCs w:val="16"/>
          <w:i w:val="1"/>
          <w:iCs w:val="1"/>
          <w:color w:val="auto"/>
        </w:rPr>
        <w:t>Information Reporting and Backup Withholding</w:t>
      </w:r>
      <w:r>
        <w:rPr>
          <w:rFonts w:ascii="Arial" w:cs="Arial" w:eastAsia="Arial" w:hAnsi="Arial"/>
          <w:sz w:val="16"/>
          <w:szCs w:val="16"/>
          <w:color w:val="auto"/>
        </w:rPr>
        <w:t>,” a Non-U.S. Holder generally will not be subject to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federal income tax on gain recognized on a sale, exchange or retirement of Notes.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Information returns will be filed with the IRS in connection with payments on the Notes made to, and the proceeds of dispositions of Notes effected by, certain U.S. taxpayers. In addition, certain U.S. taxpayers may be subject to backup withholding tax in respect of such payments if they do not provide their taxpayer identification numbers to the person from whom they receive payments. Non-U.S. taxpayers may be required to comply with applicable certification procedures to establish that they are not U.S. taxpayers in order to avoid the application of such information reporting requirements and backup withholding. Any amounts withheld under the backup withholding rules from a payment to a U.S. or Non-U.S. taxpayer generally would be allowed as a refund or a credit against such Holder’s U.S. federal income tax provided the required information is timely furnished to the IRS.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Under certain circumstances, the Foreign Account Tax Compliance provisions of the United States Hiring Incentives to Restore Employment Act (“FATCA”) will impose a withholding tax of 30% on payments of interest on the Notes made to certain foreign entities unless various information reporting requirements are satisfied. Specifically, a 30% withholding tax may be imposed on interest on the Notes paid to a “foreign financial institution” or a “nonfinancial foreign entity” (each as defined in the Code), unless such entity is FATCA compliant. In order to be treated as FATCA compliant, an entity must provide certain documentation (usually an IRS Form W-8BEN or W-8BEN-E) containing information about its identity, its FATCA status, and if required, its direct and indirect U.S. owners. An intergovernmental agreement between the United States and an applicable foreign country, or future Treasury Regulations or other guidance, may modify these requirements. Accordingly, the entity through which the Notes are held will affect the determination of whether such withholding is required.</w:t>
      </w:r>
    </w:p>
    <w:p>
      <w:pPr>
        <w:spacing w:after="0" w:line="178" w:lineRule="exact"/>
        <w:rPr>
          <w:sz w:val="20"/>
          <w:szCs w:val="20"/>
          <w:color w:val="auto"/>
        </w:rPr>
      </w:pPr>
    </w:p>
    <w:p>
      <w:pPr>
        <w:ind w:left="120" w:right="260" w:firstLine="440"/>
        <w:spacing w:after="0" w:line="291" w:lineRule="auto"/>
        <w:rPr>
          <w:sz w:val="20"/>
          <w:szCs w:val="20"/>
          <w:color w:val="auto"/>
        </w:rPr>
      </w:pPr>
      <w:r>
        <w:rPr>
          <w:rFonts w:ascii="Arial" w:cs="Arial" w:eastAsia="Arial" w:hAnsi="Arial"/>
          <w:sz w:val="16"/>
          <w:szCs w:val="16"/>
          <w:color w:val="auto"/>
        </w:rPr>
        <w:t>Under the applicable Treasury Regulations, withholding under FATCA generally applies to payments of interest on the Notes from their date of issuance. The FATCA withholding tax will apply to all withholdable payments without regard to whether the beneficial owner of the payment would otherwise be entitled to an exemption from imposition of withholding tax pursuant to an applicable tax treaty with the United States or U.S. domestic law. If payment of this withholding tax is made, holders that are otherwise eligible for an exemption from, or reduction of, U.S. federal withholding taxes with respect to such interest or proceeds will be required to seek a credit or refund from the IRS to obtain the benefit of such exemption or reduction, if any. We will not pay additional amounts to holders of the Notes in respect of any amounts withheld. Prospective holders should consult their own tax advisors regarding the potential application of withholding under FATCA to their investment in the Notes.</w:t>
      </w:r>
    </w:p>
    <w:p>
      <w:pPr>
        <w:spacing w:after="0" w:line="274"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Investors should consult their own tax advisors with respect to the particular tax consequences of an investment in the Notes in their individual circumstances, including the possible effect of any pending legislation or proposed regulations.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20"/>
          </w:cols>
          <w:pgMar w:left="320" w:top="702"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BofA Securities, Inc. is acting as representative of each of the underwriters named below. Subject to the terms and conditions set forth in an underwriting agreement among us and the underwriters, we have agreed to sell to the underwriters, and each of the underwriters has agreed, severally and not jointly, to purchase from us, the aggregate principal amount of Notes set forth opposite its name below.</w:t>
      </w:r>
    </w:p>
    <w:p>
      <w:pPr>
        <w:spacing w:after="0" w:line="174" w:lineRule="exact"/>
        <w:rPr>
          <w:sz w:val="20"/>
          <w:szCs w:val="20"/>
          <w:color w:val="auto"/>
        </w:rPr>
      </w:pPr>
    </w:p>
    <w:tbl>
      <w:tblPr>
        <w:tblLayout w:type="fixed"/>
        <w:tblInd w:w="1880" w:type="dxa"/>
        <w:tblCellMar>
          <w:top w:w="0" w:type="dxa"/>
          <w:left w:w="0" w:type="dxa"/>
          <w:bottom w:w="0" w:type="dxa"/>
          <w:right w:w="0" w:type="dxa"/>
        </w:tblCellMar>
      </w:tblPr>
      <w:tr>
        <w:trPr>
          <w:trHeight w:val="181"/>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Underwriter</w:t>
            </w:r>
          </w:p>
        </w:tc>
        <w:tc>
          <w:tcPr>
            <w:tcW w:w="5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8"/>
              </w:rPr>
              <w:t>Principal Amount</w:t>
            </w:r>
          </w:p>
        </w:tc>
      </w:tr>
      <w:tr>
        <w:trPr>
          <w:trHeight w:val="20"/>
        </w:trPr>
        <w:tc>
          <w:tcPr>
            <w:tcW w:w="6300" w:type="dxa"/>
            <w:vAlign w:val="bottom"/>
            <w:tcBorders>
              <w:bottom w:val="single" w:sz="8" w:color="CCEEFF"/>
            </w:tcBorders>
            <w:gridSpan w:val="2"/>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97"/>
        </w:trPr>
        <w:tc>
          <w:tcPr>
            <w:tcW w:w="63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BofA Securities, Inc.</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43,500,000</w:t>
            </w:r>
          </w:p>
        </w:tc>
        <w:tc>
          <w:tcPr>
            <w:tcW w:w="40" w:type="dxa"/>
            <w:vAlign w:val="bottom"/>
            <w:shd w:val="clear" w:color="auto" w:fill="CCEEFF"/>
          </w:tcPr>
          <w:p>
            <w:pPr>
              <w:spacing w:after="0"/>
              <w:rPr>
                <w:sz w:val="17"/>
                <w:szCs w:val="17"/>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43,500,000</w:t>
            </w:r>
          </w:p>
        </w:tc>
        <w:tc>
          <w:tcPr>
            <w:tcW w:w="40" w:type="dxa"/>
            <w:vAlign w:val="bottom"/>
          </w:tcPr>
          <w:p>
            <w:pPr>
              <w:spacing w:after="0"/>
              <w:rPr>
                <w:sz w:val="18"/>
                <w:szCs w:val="18"/>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SMBC Nikko Securities America, Inc.</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43,500,000</w:t>
            </w:r>
          </w:p>
        </w:tc>
        <w:tc>
          <w:tcPr>
            <w:tcW w:w="40" w:type="dxa"/>
            <w:vAlign w:val="bottom"/>
            <w:shd w:val="clear" w:color="auto" w:fill="CCEEFF"/>
          </w:tcPr>
          <w:p>
            <w:pPr>
              <w:spacing w:after="0"/>
              <w:rPr>
                <w:sz w:val="18"/>
                <w:szCs w:val="18"/>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22,500,000</w:t>
            </w:r>
          </w:p>
        </w:tc>
        <w:tc>
          <w:tcPr>
            <w:tcW w:w="40" w:type="dxa"/>
            <w:vAlign w:val="bottom"/>
          </w:tcPr>
          <w:p>
            <w:pPr>
              <w:spacing w:after="0"/>
              <w:rPr>
                <w:sz w:val="18"/>
                <w:szCs w:val="18"/>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22,500,000</w:t>
            </w:r>
          </w:p>
        </w:tc>
        <w:tc>
          <w:tcPr>
            <w:tcW w:w="40" w:type="dxa"/>
            <w:vAlign w:val="bottom"/>
            <w:shd w:val="clear" w:color="auto" w:fill="CCEEFF"/>
          </w:tcPr>
          <w:p>
            <w:pPr>
              <w:spacing w:after="0"/>
              <w:rPr>
                <w:sz w:val="18"/>
                <w:szCs w:val="18"/>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22,500,000</w:t>
            </w:r>
          </w:p>
        </w:tc>
        <w:tc>
          <w:tcPr>
            <w:tcW w:w="40" w:type="dxa"/>
            <w:vAlign w:val="bottom"/>
          </w:tcPr>
          <w:p>
            <w:pPr>
              <w:spacing w:after="0"/>
              <w:rPr>
                <w:sz w:val="18"/>
                <w:szCs w:val="18"/>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12,000,000</w:t>
            </w:r>
          </w:p>
        </w:tc>
        <w:tc>
          <w:tcPr>
            <w:tcW w:w="40" w:type="dxa"/>
            <w:vAlign w:val="bottom"/>
            <w:shd w:val="clear" w:color="auto" w:fill="CCEEFF"/>
          </w:tcPr>
          <w:p>
            <w:pPr>
              <w:spacing w:after="0"/>
              <w:rPr>
                <w:sz w:val="18"/>
                <w:szCs w:val="18"/>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HSBC Securities (USA) Inc.</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12,000,000</w:t>
            </w:r>
          </w:p>
        </w:tc>
        <w:tc>
          <w:tcPr>
            <w:tcW w:w="40" w:type="dxa"/>
            <w:vAlign w:val="bottom"/>
          </w:tcPr>
          <w:p>
            <w:pPr>
              <w:spacing w:after="0"/>
              <w:rPr>
                <w:sz w:val="18"/>
                <w:szCs w:val="18"/>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12,000,000</w:t>
            </w:r>
          </w:p>
        </w:tc>
        <w:tc>
          <w:tcPr>
            <w:tcW w:w="40" w:type="dxa"/>
            <w:vAlign w:val="bottom"/>
            <w:shd w:val="clear" w:color="auto" w:fill="CCEEFF"/>
          </w:tcPr>
          <w:p>
            <w:pPr>
              <w:spacing w:after="0"/>
              <w:rPr>
                <w:sz w:val="18"/>
                <w:szCs w:val="18"/>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MUFG Securities Americas Inc.</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12,000,000</w:t>
            </w:r>
          </w:p>
        </w:tc>
        <w:tc>
          <w:tcPr>
            <w:tcW w:w="40" w:type="dxa"/>
            <w:vAlign w:val="bottom"/>
          </w:tcPr>
          <w:p>
            <w:pPr>
              <w:spacing w:after="0"/>
              <w:rPr>
                <w:sz w:val="18"/>
                <w:szCs w:val="18"/>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Truist Securities, Inc.</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12,000,000</w:t>
            </w:r>
          </w:p>
        </w:tc>
        <w:tc>
          <w:tcPr>
            <w:tcW w:w="40" w:type="dxa"/>
            <w:vAlign w:val="bottom"/>
            <w:shd w:val="clear" w:color="auto" w:fill="CCEEFF"/>
          </w:tcPr>
          <w:p>
            <w:pPr>
              <w:spacing w:after="0"/>
              <w:rPr>
                <w:sz w:val="18"/>
                <w:szCs w:val="18"/>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12,000,000</w:t>
            </w:r>
          </w:p>
        </w:tc>
        <w:tc>
          <w:tcPr>
            <w:tcW w:w="40" w:type="dxa"/>
            <w:vAlign w:val="bottom"/>
          </w:tcPr>
          <w:p>
            <w:pPr>
              <w:spacing w:after="0"/>
              <w:rPr>
                <w:sz w:val="18"/>
                <w:szCs w:val="18"/>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Keefe, Bruyette &amp; Woods, Inc.</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40" w:type="dxa"/>
            <w:vAlign w:val="bottom"/>
            <w:shd w:val="clear" w:color="auto" w:fill="CCEEFF"/>
          </w:tcPr>
          <w:p>
            <w:pPr>
              <w:spacing w:after="0"/>
              <w:rPr>
                <w:sz w:val="18"/>
                <w:szCs w:val="18"/>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Oppenheimer &amp; Co. Inc.</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6,000,000</w:t>
            </w:r>
          </w:p>
        </w:tc>
        <w:tc>
          <w:tcPr>
            <w:tcW w:w="40" w:type="dxa"/>
            <w:vAlign w:val="bottom"/>
          </w:tcPr>
          <w:p>
            <w:pPr>
              <w:spacing w:after="0"/>
              <w:rPr>
                <w:sz w:val="18"/>
                <w:szCs w:val="18"/>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Riley Securities, Inc.</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40" w:type="dxa"/>
            <w:vAlign w:val="bottom"/>
            <w:shd w:val="clear" w:color="auto" w:fill="CCEEFF"/>
          </w:tcPr>
          <w:p>
            <w:pPr>
              <w:spacing w:after="0"/>
              <w:rPr>
                <w:sz w:val="18"/>
                <w:szCs w:val="18"/>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Hovde Group, LLC</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3,000,000</w:t>
            </w:r>
          </w:p>
        </w:tc>
        <w:tc>
          <w:tcPr>
            <w:tcW w:w="40" w:type="dxa"/>
            <w:vAlign w:val="bottom"/>
          </w:tcPr>
          <w:p>
            <w:pPr>
              <w:spacing w:after="0"/>
              <w:rPr>
                <w:sz w:val="18"/>
                <w:szCs w:val="18"/>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ICBC Standard Bank Plc</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40" w:type="dxa"/>
            <w:vAlign w:val="bottom"/>
            <w:shd w:val="clear" w:color="auto" w:fill="CCEEFF"/>
          </w:tcPr>
          <w:p>
            <w:pPr>
              <w:spacing w:after="0"/>
              <w:rPr>
                <w:sz w:val="18"/>
                <w:szCs w:val="18"/>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Citizens JMP Securities, LLC</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3,000,000</w:t>
            </w:r>
          </w:p>
        </w:tc>
        <w:tc>
          <w:tcPr>
            <w:tcW w:w="40" w:type="dxa"/>
            <w:vAlign w:val="bottom"/>
          </w:tcPr>
          <w:p>
            <w:pPr>
              <w:spacing w:after="0"/>
              <w:rPr>
                <w:sz w:val="18"/>
                <w:szCs w:val="18"/>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Ladenburg Thalmann &amp; Co. Inc.</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40" w:type="dxa"/>
            <w:vAlign w:val="bottom"/>
            <w:shd w:val="clear" w:color="auto" w:fill="CCEEFF"/>
          </w:tcPr>
          <w:p>
            <w:pPr>
              <w:spacing w:after="0"/>
              <w:rPr>
                <w:sz w:val="18"/>
                <w:szCs w:val="18"/>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Raymond James &amp; Associates, Inc.</w:t>
            </w: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c>
          <w:tcPr>
            <w:tcW w:w="40" w:type="dxa"/>
            <w:vAlign w:val="bottom"/>
          </w:tcPr>
          <w:p>
            <w:pPr>
              <w:spacing w:after="0"/>
              <w:rPr>
                <w:sz w:val="19"/>
                <w:szCs w:val="19"/>
                <w:color w:val="auto"/>
              </w:rPr>
            </w:pPr>
          </w:p>
        </w:tc>
      </w:tr>
      <w:tr>
        <w:trPr>
          <w:trHeight w:val="216"/>
        </w:trPr>
        <w:tc>
          <w:tcPr>
            <w:tcW w:w="78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300,000,000</w:t>
            </w:r>
          </w:p>
        </w:tc>
        <w:tc>
          <w:tcPr>
            <w:tcW w:w="40" w:type="dxa"/>
            <w:vAlign w:val="bottom"/>
            <w:shd w:val="clear" w:color="auto" w:fill="CCEEFF"/>
          </w:tcPr>
          <w:p>
            <w:pPr>
              <w:spacing w:after="0"/>
              <w:rPr>
                <w:sz w:val="18"/>
                <w:szCs w:val="18"/>
                <w:color w:val="auto"/>
              </w:rPr>
            </w:pPr>
          </w:p>
        </w:tc>
      </w:tr>
      <w:tr>
        <w:trPr>
          <w:trHeight w:val="20"/>
        </w:trPr>
        <w:tc>
          <w:tcPr>
            <w:tcW w:w="7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(the “Securities Act”), or to contribute to payments the underwriters may be required to make in respect of those liabilities.</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following table shows the per Note and total underwriting discounts and commissions that we are to pay to the underwriters in connection with this offering.</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Per Note</w:t>
            </w:r>
          </w:p>
        </w:tc>
        <w:tc>
          <w:tcPr>
            <w:tcW w:w="100" w:type="dxa"/>
            <w:vAlign w:val="bottom"/>
          </w:tcPr>
          <w:p>
            <w:pPr>
              <w:spacing w:after="0"/>
              <w:rPr>
                <w:sz w:val="14"/>
                <w:szCs w:val="14"/>
                <w:color w:val="auto"/>
              </w:rPr>
            </w:pPr>
          </w:p>
        </w:tc>
        <w:tc>
          <w:tcPr>
            <w:tcW w:w="940" w:type="dxa"/>
            <w:vAlign w:val="bottom"/>
          </w:tcPr>
          <w:p>
            <w:pPr>
              <w:jc w:val="right"/>
              <w:ind w:right="2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6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99.403%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298,209,000</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Underwriting discount (sales load)</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98.403%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295,209,000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underwriters propose to offer some of the Notes to the public at the public offering price set forth on the cover page of this prospectus supplement and some of the Notes to certain other Financial Industry Regulatory Authority, or FINRA, members at the public offering price less a concession not in excess of 0.600% of the aggregate principal amount of the Notes. The underwriters may allow, and the dealers may reallow, a discount not in excess of 0.400% of the aggregate principal amount of the Notes. After the initial offering of the Notes to the public, the public offering price and such concessions may be changed. No such change shall change the amount of proceeds to be received by us as set forth on the cover page of this prospectus supplement.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expenses of the offering, not including the underwriting discount, are estimated at $1.1 million and are payable by us.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Subject to certain exceptions, we have agreed not to directly or indirectly, offer, pledge, sell, contract to sell, grant any option for the sale of or otherwise transfer or dispose of any debt securities issued or guaranteed by us or any securities convertible into or exercisable or exchangeable for debt securities issued or guaranteed by us or file any registration statement under the Securities Act with respect to any of the foregoing through the closing date without first obtaining the written consent of the representative. This consent may be given at any time without public notice.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00"/>
          </w:cols>
          <w:pgMar w:left="320" w:top="702" w:right="479" w:bottom="416"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Notes are a new issue of securities with no established trading market. The Notes will not be listed on any securities exchange or quoted on any automated dealer quotation system.</w:t>
      </w:r>
    </w:p>
    <w:p>
      <w:pPr>
        <w:spacing w:after="0" w:line="17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We have been advised by certain of the underwriters that they currently intend to make a market in the Notes after completion of the offering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connection with the offering, the underwriters may purchase and sell Notes in the open market. These transactions may include over-allotment, covering transactions and stabilizing transactions. Over-allotment involves sales of Notes in excess of the aggregate principal amount of Notes to be purchased by the underwriters in the offering, which creates a short position for the underwriters. Covering transactions involve purchases of the Notes in the open market after the distribution has been completed in order to cover short positions. Stabilizing transactions consist of certain bids or purchases of Notes made for the purpose of preventing or retarding a decline in the market price of the Notes while the offering is in progress.</w:t>
      </w:r>
    </w:p>
    <w:p>
      <w:pPr>
        <w:spacing w:after="0" w:line="16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underwriters also may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Any of these activities may cause the price of the Notes to be higher than the price that otherwise would exist in the open market in the absence of such transactions. These transactions may be effected in the over-the-counter market or otherwise and, if commenced, may be discontinued at any time without any notice relating thereto.</w:t>
      </w:r>
    </w:p>
    <w:p>
      <w:pPr>
        <w:spacing w:after="0" w:line="184"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 will engage in these transactions or that these transactions, once commenced, will not be discontinued without notice.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valuation services and other financial and non-financial activities and services. Certain of the underwriters and their respective affiliates have provided, currently provide, and may in the future provide, a variety of these services to us and to persons and entities with relationships with us, for which they received or will receive customary fees and expenses. Certain of the underwriters and their affiliates were underwriters in connection with our IPO and our subsequent debt and equity offerings, for which they received customary fees. Additionally, affiliates of certain underwriters are lenders under the Revolving Credit Facility.</w:t>
      </w:r>
    </w:p>
    <w:p>
      <w:pPr>
        <w:spacing w:after="0" w:line="19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or instruments (directly, as collateral securing other obligations or otherwise) or persons and entities with relationships with us. Certain of the underwriters and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8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intend to use the net proceeds of this offering to pay down a portion of the outstanding indebtedness under the Revolving Credit Facility. 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w:t>
      </w:r>
    </w:p>
    <w:p>
      <w:pPr>
        <w:spacing w:after="0" w:line="18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Certain funds or accounts managed by affiliates of the Adviser may purchase Notes in the transaction through the underwriters at the public offering price.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20"/>
          </w:cols>
          <w:pgMar w:left="320" w:top="702"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Settlement</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expect that delivery of the Notes will be made to investors on or about August 14, 2023, which will be the fifth business day following the date hereof. Under Rule 15c6-1 under the Exchange Act, trades in the secondary market are required to settle in two business days, unless the parties to any such trade expressly agree otherwise. Accordingly, purchasers who wish to trade Notes on the date hereof or the next succeeding two business days will be required by virtue of the fact that the Notes initially settle in T+5, to specify an alternate settlement arrangement at the time of any such trade to prevent a failed settlement. Purchasers of the Notes who wish to trade the Notes on the date hereof or the next succeeding two business days should consult their advisors.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Business Addresses</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principal business address of BofA Securities, Inc. is One Bryant Park, New York, NY 10036. The principal business address of J.P. Morgan Securities LLC is 383 Madison Avenue, New York, New York 10179. The principal business address of SMBC Nikko Securities America, Inc. is 277 Park Avenue, New York, New York 10172.</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Jurisdictions</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Notes offered by this prospectus supplement in any jurisdiction where action for that purpose is required. The Notes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Notes offered by this prospectus supplement in any jurisdiction in which such an offer or a solicitation is unlawful.</w:t>
      </w:r>
    </w:p>
    <w:p>
      <w:pPr>
        <w:spacing w:after="0" w:line="19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16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(8) of Article 2 of Regulation (EU) 2017/565 as it forms part of domestic law by virtue of the European Union (Withdrawal) Act 2018 (“EUWA”); or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600/2014 as it forms part of domestic law by virtue of the EUWA; or (iii) not a qualified investor as defined in Regulation (EU) 2017/1129 as it forms part of domestic law by virtue of the EUWA (the “UK Prospectus Regulation”). Consequently no key information document required by Regulation (EU) 1286/2014 as it forms part of domestic law by virtue of the EUWA (the “UK PRIIPs Regulation”) for offering or selling the Notes or otherwise making them available to retail investors in the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40"/>
          </w:cols>
          <w:pgMar w:left="320" w:top="702" w:right="4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UK Prospectus Regulation and the FSMA from the requirement to publish a prospectus for offers of Notes. This prospectus supplement is not a prospectus for the purposes of the UK Prospectus Regulation or the FSMA.</w:t>
      </w:r>
    </w:p>
    <w:p>
      <w:pPr>
        <w:spacing w:after="0" w:line="17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70"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This prospectus supplement relates to an Exempt Offer in accordance with the Offered Securities Rules of the Dubai Financial Services Authority, or DFSA. This prospectus supplement is intended for distribution only to persons in the in the Dubai International Financial Centre, or DIFC of a type specified in the Offered Securities Rules of the DFSA. It must not be delivered to, or relied on by, any other person in the DIFC. The DFSA has no responsibility for reviewing or verifying any documents in connection with Exempt Offers. The DFSA has not approved this prospectus supplement nor taken steps to verify the information set forth herein and has no responsibility for the prospectus supplement. The Notes to which this prospectus supplement relates may be illiquid 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The Notes have not been offered or sold and will not be offered or sold in Hong Kong, by means of any document, other than (a) to “professional investors” as defined in the Securities and Futures Ordinance (Cap. 571 of the Laws of Hong Kong) (“Securities and Futures Ordinance”) and any rules made thereunder; or (b) in other circumstances which do not result in the document being a “prospectus” as defined in the Companies (Winding Up and Miscellaneous Provisions) Ordinance (Cap. 32 of the Laws of Hong Kong) (“Companies (Winding Up and Miscellaneous Provisions) Ordinance”) or which do not constitute an offer to the public within the meaning of the Companies (Winding Up and Miscellaneous Provisions) Ordinance. No advertisement, invitation or document relating to the Notes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Securities and Futures Ordinance and any rules made thereunder.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prospectus supplement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prospectus supplement or on the merits of the Notes and any representation to the contrary is an offence.</w:t>
      </w:r>
    </w:p>
    <w:p>
      <w:pPr>
        <w:spacing w:after="0" w:line="183" w:lineRule="exact"/>
        <w:rPr>
          <w:sz w:val="20"/>
          <w:szCs w:val="20"/>
          <w:color w:val="auto"/>
        </w:rPr>
      </w:pPr>
    </w:p>
    <w:p>
      <w:pPr>
        <w:ind w:left="120" w:right="240" w:firstLine="440"/>
        <w:spacing w:after="0" w:line="281" w:lineRule="auto"/>
        <w:rPr>
          <w:sz w:val="20"/>
          <w:szCs w:val="20"/>
          <w:color w:val="auto"/>
        </w:rPr>
      </w:pPr>
      <w:r>
        <w:rPr>
          <w:rFonts w:ascii="Arial" w:cs="Arial" w:eastAsia="Arial" w:hAnsi="Arial"/>
          <w:sz w:val="17"/>
          <w:szCs w:val="17"/>
          <w:b w:val="1"/>
          <w:bCs w:val="1"/>
          <w:color w:val="auto"/>
        </w:rPr>
        <w:t xml:space="preserve">Canadian investors are advised that this prospectus supplement has been prepared in reliance on section 3A.3 of National Instrument 33-105 </w:t>
      </w:r>
      <w:r>
        <w:rPr>
          <w:rFonts w:ascii="Arial" w:cs="Arial" w:eastAsia="Arial" w:hAnsi="Arial"/>
          <w:sz w:val="17"/>
          <w:szCs w:val="17"/>
          <w:b w:val="1"/>
          <w:bCs w:val="1"/>
          <w:i w:val="1"/>
          <w:iCs w:val="1"/>
          <w:color w:val="auto"/>
        </w:rPr>
        <w:t>Underwriting Conflicts</w:t>
      </w:r>
      <w:r>
        <w:rPr>
          <w:rFonts w:ascii="Arial" w:cs="Arial" w:eastAsia="Arial" w:hAnsi="Arial"/>
          <w:sz w:val="17"/>
          <w:szCs w:val="17"/>
          <w:b w:val="1"/>
          <w:bCs w:val="1"/>
          <w:color w:val="auto"/>
        </w:rPr>
        <w:t xml:space="preserve"> (“NI 33-105”). Pursuant to section 3A.3 of NI 33-105, the Company and the underwriters in the offering are exempt from the requirement to provide Canadian investors with certain conflicts of interest disclosure pertaining to “connected issuer” and/or “related issuer” relationships as would otherwise be required pursuant to subsection 2.1(1) of NI 33-105.</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40"/>
          </w:cols>
          <w:pgMar w:left="320" w:top="702" w:right="4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offer and sale of the Notes in Canada is being made on a private placement basis only and is exempt from the requirement that the company prepares and files a prospectus under applicable Canadian securities laws. Any resale of Notes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117"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 xml:space="preserve">Each Canadian investor who purchases the Notes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(ii) an “accredited investor” as such term is defined in section 1.1 of National Instrument 45-106 </w:t>
      </w:r>
      <w:r>
        <w:rPr>
          <w:rFonts w:ascii="Arial" w:cs="Arial" w:eastAsia="Arial" w:hAnsi="Arial"/>
          <w:sz w:val="16"/>
          <w:szCs w:val="16"/>
          <w:i w:val="1"/>
          <w:iCs w:val="1"/>
          <w:color w:val="auto"/>
        </w:rPr>
        <w:t xml:space="preserve">Prospectus Exemptions </w:t>
      </w:r>
      <w:r>
        <w:rPr>
          <w:rFonts w:ascii="Arial" w:cs="Arial" w:eastAsia="Arial" w:hAnsi="Arial"/>
          <w:sz w:val="16"/>
          <w:szCs w:val="16"/>
          <w:color w:val="auto"/>
        </w:rPr>
        <w:t>or, in Ontario, as such term is defined in section 73.3(1) of the</w:t>
      </w:r>
      <w:r>
        <w:rPr>
          <w:rFonts w:ascii="Arial" w:cs="Arial" w:eastAsia="Arial" w:hAnsi="Arial"/>
          <w:sz w:val="16"/>
          <w:szCs w:val="16"/>
          <w:i w:val="1"/>
          <w:iCs w:val="1"/>
          <w:color w:val="auto"/>
        </w:rPr>
        <w:t xml:space="preserve"> Securities Act </w:t>
      </w:r>
      <w:r>
        <w:rPr>
          <w:rFonts w:ascii="Arial" w:cs="Arial" w:eastAsia="Arial" w:hAnsi="Arial"/>
          <w:sz w:val="16"/>
          <w:szCs w:val="16"/>
          <w:color w:val="auto"/>
        </w:rPr>
        <w:t>(Ontario); and (iii) a “permitted client” as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 is defined in section 1.1 of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Any discussion of taxation and related matters contained in this prospectus supplement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Rights of Action for Damages or Rescission</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 xml:space="preserve">Securities legislation in certain of the Canadian jurisdictions provides certain purchasers of securities pursuant to an offering memorandum (such as this prospectus supplement), including where the distribution involves an “eligible foreign security” as such term is defined in Ontario Securities Commission Rule 45-501 </w:t>
      </w:r>
      <w:r>
        <w:rPr>
          <w:rFonts w:ascii="Arial" w:cs="Arial" w:eastAsia="Arial" w:hAnsi="Arial"/>
          <w:sz w:val="18"/>
          <w:szCs w:val="18"/>
          <w:i w:val="1"/>
          <w:iCs w:val="1"/>
          <w:color w:val="auto"/>
        </w:rPr>
        <w:t>Ontario Prospectus and Registration Exemptions</w:t>
      </w:r>
      <w:r>
        <w:rPr>
          <w:rFonts w:ascii="Arial" w:cs="Arial" w:eastAsia="Arial" w:hAnsi="Arial"/>
          <w:sz w:val="18"/>
          <w:szCs w:val="18"/>
          <w:color w:val="auto"/>
        </w:rPr>
        <w:t xml:space="preserve"> and in Multilateral Instrument 45-107 </w:t>
      </w:r>
      <w:r>
        <w:rPr>
          <w:rFonts w:ascii="Arial" w:cs="Arial" w:eastAsia="Arial" w:hAnsi="Arial"/>
          <w:sz w:val="18"/>
          <w:szCs w:val="18"/>
          <w:i w:val="1"/>
          <w:iCs w:val="1"/>
          <w:color w:val="auto"/>
        </w:rPr>
        <w:t>Listing Representation and Statutory</w:t>
      </w:r>
      <w:r>
        <w:rPr>
          <w:rFonts w:ascii="Arial" w:cs="Arial" w:eastAsia="Arial" w:hAnsi="Arial"/>
          <w:sz w:val="18"/>
          <w:szCs w:val="18"/>
          <w:color w:val="auto"/>
        </w:rPr>
        <w:t xml:space="preserve"> </w:t>
      </w:r>
      <w:r>
        <w:rPr>
          <w:rFonts w:ascii="Arial" w:cs="Arial" w:eastAsia="Arial" w:hAnsi="Arial"/>
          <w:sz w:val="18"/>
          <w:szCs w:val="18"/>
          <w:i w:val="1"/>
          <w:iCs w:val="1"/>
          <w:color w:val="auto"/>
        </w:rPr>
        <w:t>Rights of Action Disclosure Exemptions</w:t>
      </w:r>
      <w:r>
        <w:rPr>
          <w:rFonts w:ascii="Arial" w:cs="Arial" w:eastAsia="Arial" w:hAnsi="Arial"/>
          <w:sz w:val="18"/>
          <w:szCs w:val="18"/>
          <w:color w:val="auto"/>
        </w:rPr>
        <w:t>, as applicable, with a remedy for damages or rescission, or both, in addition to any other rights they may have at</w:t>
      </w:r>
      <w:r>
        <w:rPr>
          <w:rFonts w:ascii="Arial" w:cs="Arial" w:eastAsia="Arial" w:hAnsi="Arial"/>
          <w:sz w:val="18"/>
          <w:szCs w:val="18"/>
          <w:i w:val="1"/>
          <w:iCs w:val="1"/>
          <w:color w:val="auto"/>
        </w:rPr>
        <w:t xml:space="preserve"> </w:t>
      </w:r>
      <w:r>
        <w:rPr>
          <w:rFonts w:ascii="Arial" w:cs="Arial" w:eastAsia="Arial" w:hAnsi="Arial"/>
          <w:sz w:val="18"/>
          <w:szCs w:val="18"/>
          <w:color w:val="auto"/>
        </w:rPr>
        <w:t>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3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Language of Documents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Arial" w:cs="Arial" w:eastAsia="Arial" w:hAnsi="Arial"/>
          <w:sz w:val="17"/>
          <w:szCs w:val="17"/>
          <w:i w:val="1"/>
          <w:iCs w:val="1"/>
          <w:color w:val="auto"/>
        </w:rPr>
        <w:t>Par la réception de ce document, chaque investisseur canadien confirme par les présentes qu’il a expressément exigé que tous</w:t>
      </w:r>
      <w:r>
        <w:rPr>
          <w:rFonts w:ascii="Arial" w:cs="Arial" w:eastAsia="Arial" w:hAnsi="Arial"/>
          <w:sz w:val="17"/>
          <w:szCs w:val="17"/>
          <w:color w:val="auto"/>
        </w:rPr>
        <w:t xml:space="preserve"> </w:t>
      </w:r>
      <w:r>
        <w:rPr>
          <w:rFonts w:ascii="Arial" w:cs="Arial" w:eastAsia="Arial" w:hAnsi="Arial"/>
          <w:sz w:val="17"/>
          <w:szCs w:val="17"/>
          <w:i w:val="1"/>
          <w:iCs w:val="1"/>
          <w:color w:val="auto"/>
        </w:rPr>
        <w:t>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Certain legal matters in connection with the offering will be passed upon for us by Cleary Gottlieb Steen &amp; Hamilton LLP, New York, New York. In addition, Proskauer Rose LLP and Morris, Nichols, Arsht &amp; Tunnell LLP will pass on certain legal matters for us. Cleary Gottlieb Steen &amp; Hamilton LLP and Proskauer Rose LLP also represent the Adviser. Certain legal matters in connection with the offering will be passed upon for the underwriters by Ropes &amp; Gray LLP.</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20"/>
          </w:cols>
          <w:pgMar w:left="320" w:top="702"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prospectus supplement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from the date we file that document. Any reports filed by us with the SEC before the date that any offering of any securities by means of this prospectus supplement and the accompanying prospectus is terminated will automatically update and, where applicable, supersede any information contained in this prospectus supplement or incorporated by reference in this prospectus supplement. This prospectus supplement incorporates by reference the documents listed below:</w:t>
      </w:r>
    </w:p>
    <w:p>
      <w:pPr>
        <w:spacing w:after="0" w:line="100" w:lineRule="exact"/>
        <w:rPr>
          <w:sz w:val="20"/>
          <w:szCs w:val="20"/>
          <w:color w:val="auto"/>
        </w:rPr>
      </w:pPr>
    </w:p>
    <w:p>
      <w:pPr>
        <w:ind w:left="1100" w:right="520" w:hanging="433"/>
        <w:spacing w:after="0" w:line="277"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2">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2022, filed with the SEC on February 16, 2023 (the “2022 Annual Report”);</w:t>
      </w:r>
    </w:p>
    <w:p>
      <w:pPr>
        <w:spacing w:after="0" w:line="75" w:lineRule="exact"/>
        <w:rPr>
          <w:rFonts w:ascii="Arial" w:cs="Arial" w:eastAsia="Arial" w:hAnsi="Arial"/>
          <w:sz w:val="18"/>
          <w:szCs w:val="18"/>
          <w:color w:val="auto"/>
        </w:rPr>
      </w:pPr>
    </w:p>
    <w:p>
      <w:pPr>
        <w:ind w:left="1100" w:right="300" w:hanging="433"/>
        <w:spacing w:after="0" w:line="263" w:lineRule="auto"/>
        <w:tabs>
          <w:tab w:leader="none" w:pos="1100" w:val="left"/>
        </w:tabs>
        <w:numPr>
          <w:ilvl w:val="0"/>
          <w:numId w:val="28"/>
        </w:numPr>
        <w:rPr>
          <w:rFonts w:ascii="Arial" w:cs="Arial" w:eastAsia="Arial" w:hAnsi="Arial"/>
          <w:sz w:val="18"/>
          <w:szCs w:val="18"/>
          <w:color w:val="0000EE"/>
        </w:rPr>
      </w:pPr>
      <w:r>
        <w:rPr>
          <w:rFonts w:ascii="Arial" w:cs="Arial" w:eastAsia="Arial" w:hAnsi="Arial"/>
          <w:sz w:val="18"/>
          <w:szCs w:val="18"/>
          <w:color w:val="auto"/>
        </w:rPr>
        <w:t xml:space="preserve">our Quarterly Report on Form 10-Q for the three months ended March 31, 2023, filed with the SEC on </w:t>
      </w:r>
      <w:hyperlink r:id="rId53">
        <w:r>
          <w:rPr>
            <w:rFonts w:ascii="Arial" w:cs="Arial" w:eastAsia="Arial" w:hAnsi="Arial"/>
            <w:sz w:val="18"/>
            <w:szCs w:val="18"/>
            <w:u w:val="single" w:color="auto"/>
            <w:color w:val="0000EE"/>
          </w:rPr>
          <w:t>May 8,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(the “1Q 2023 </w:t>
      </w:r>
      <w:hyperlink r:id="rId54">
        <w:r>
          <w:rPr>
            <w:rFonts w:ascii="Arial" w:cs="Arial" w:eastAsia="Arial" w:hAnsi="Arial"/>
            <w:sz w:val="18"/>
            <w:szCs w:val="18"/>
            <w:color w:val="auto"/>
          </w:rPr>
          <w:t xml:space="preserve">Quarterly Report”) and our Quarterly Report on Form 10-Q for the three months ended June 30, 2023, filed with the SEC on </w:t>
        </w:r>
        <w:r>
          <w:rPr>
            <w:rFonts w:ascii="Arial" w:cs="Arial" w:eastAsia="Arial" w:hAnsi="Arial"/>
            <w:sz w:val="18"/>
            <w:szCs w:val="18"/>
            <w:u w:val="single" w:color="auto"/>
            <w:color w:val="0000EE"/>
          </w:rPr>
          <w:t>August 3,</w:t>
        </w:r>
      </w:hyperlink>
      <w:r>
        <w:rPr>
          <w:rFonts w:ascii="Arial" w:cs="Arial" w:eastAsia="Arial" w:hAnsi="Arial"/>
          <w:sz w:val="18"/>
          <w:szCs w:val="18"/>
          <w:color w:val="auto"/>
        </w:rPr>
        <w:t xml:space="preserve"> </w:t>
      </w:r>
      <w:hyperlink r:id="rId54">
        <w:r>
          <w:rPr>
            <w:rFonts w:ascii="Arial" w:cs="Arial" w:eastAsia="Arial" w:hAnsi="Arial"/>
            <w:sz w:val="18"/>
            <w:szCs w:val="18"/>
            <w:u w:val="single" w:color="auto"/>
            <w:color w:val="0000EE"/>
          </w:rPr>
          <w:t>2023</w:t>
        </w:r>
        <w:r>
          <w:rPr>
            <w:rFonts w:ascii="Arial" w:cs="Arial" w:eastAsia="Arial" w:hAnsi="Arial"/>
            <w:sz w:val="18"/>
            <w:szCs w:val="18"/>
            <w:color w:val="0000EE"/>
          </w:rPr>
          <w:t xml:space="preserve"> </w:t>
        </w:r>
        <w:r>
          <w:rPr>
            <w:rFonts w:ascii="Arial" w:cs="Arial" w:eastAsia="Arial" w:hAnsi="Arial"/>
            <w:sz w:val="18"/>
            <w:szCs w:val="18"/>
            <w:color w:val="000000"/>
          </w:rPr>
          <w:t>(the “2Q 2023 Quarterly Report”);</w:t>
        </w:r>
      </w:hyperlink>
    </w:p>
    <w:p>
      <w:pPr>
        <w:spacing w:after="0" w:line="89" w:lineRule="exact"/>
        <w:rPr>
          <w:rFonts w:ascii="Arial" w:cs="Arial" w:eastAsia="Arial" w:hAnsi="Arial"/>
          <w:sz w:val="18"/>
          <w:szCs w:val="18"/>
          <w:color w:val="0000EE"/>
        </w:rPr>
      </w:pPr>
    </w:p>
    <w:p>
      <w:pPr>
        <w:ind w:left="1100" w:right="240" w:hanging="433"/>
        <w:spacing w:after="0" w:line="277" w:lineRule="auto"/>
        <w:tabs>
          <w:tab w:leader="none" w:pos="1100" w:val="left"/>
        </w:tabs>
        <w:numPr>
          <w:ilvl w:val="0"/>
          <w:numId w:val="28"/>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55">
        <w:r>
          <w:rPr>
            <w:rFonts w:ascii="Arial" w:cs="Arial" w:eastAsia="Arial" w:hAnsi="Arial"/>
            <w:sz w:val="18"/>
            <w:szCs w:val="18"/>
            <w:u w:val="single" w:color="auto"/>
            <w:color w:val="0000EE"/>
          </w:rPr>
          <w:t>May 15, 2023</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EE"/>
          </w:rPr>
          <w:t>May 25, 2023</w:t>
        </w:r>
      </w:hyperlink>
      <w:r>
        <w:rPr>
          <w:rFonts w:ascii="Arial" w:cs="Arial" w:eastAsia="Arial" w:hAnsi="Arial"/>
          <w:sz w:val="18"/>
          <w:szCs w:val="18"/>
          <w:color w:val="auto"/>
        </w:rPr>
        <w:t xml:space="preserve">, </w:t>
      </w:r>
      <w:hyperlink r:id="rId57">
        <w:r>
          <w:rPr>
            <w:rFonts w:ascii="Arial" w:cs="Arial" w:eastAsia="Arial" w:hAnsi="Arial"/>
            <w:sz w:val="18"/>
            <w:szCs w:val="18"/>
            <w:u w:val="single" w:color="auto"/>
            <w:color w:val="0000EE"/>
          </w:rPr>
          <w:t>June 12, 2023</w:t>
        </w:r>
      </w:hyperlink>
      <w:r>
        <w:rPr>
          <w:rFonts w:ascii="Arial" w:cs="Arial" w:eastAsia="Arial" w:hAnsi="Arial"/>
          <w:sz w:val="18"/>
          <w:szCs w:val="18"/>
          <w:color w:val="auto"/>
        </w:rPr>
        <w:t xml:space="preserve">, </w:t>
      </w:r>
      <w:hyperlink r:id="rId58">
        <w:r>
          <w:rPr>
            <w:rFonts w:ascii="Arial" w:cs="Arial" w:eastAsia="Arial" w:hAnsi="Arial"/>
            <w:sz w:val="18"/>
            <w:szCs w:val="18"/>
            <w:u w:val="single" w:color="auto"/>
            <w:color w:val="0000EE"/>
          </w:rPr>
          <w:t>June 13, 2023</w:t>
        </w:r>
      </w:hyperlink>
      <w:r>
        <w:rPr>
          <w:rFonts w:ascii="Arial" w:cs="Arial" w:eastAsia="Arial" w:hAnsi="Arial"/>
          <w:sz w:val="18"/>
          <w:szCs w:val="18"/>
          <w:color w:val="auto"/>
        </w:rPr>
        <w:t xml:space="preserve">, </w:t>
      </w:r>
      <w:hyperlink r:id="rId59">
        <w:r>
          <w:rPr>
            <w:rFonts w:ascii="Arial" w:cs="Arial" w:eastAsia="Arial" w:hAnsi="Arial"/>
            <w:sz w:val="18"/>
            <w:szCs w:val="18"/>
            <w:u w:val="single" w:color="auto"/>
            <w:color w:val="0000EE"/>
          </w:rPr>
          <w:t>July 14,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60">
        <w:r>
          <w:rPr>
            <w:rFonts w:ascii="Arial" w:cs="Arial" w:eastAsia="Arial" w:hAnsi="Arial"/>
            <w:sz w:val="18"/>
            <w:szCs w:val="18"/>
            <w:u w:val="single" w:color="auto"/>
            <w:color w:val="0000EE"/>
          </w:rPr>
          <w:t>July 17, 2023</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75" w:lineRule="exact"/>
        <w:rPr>
          <w:rFonts w:ascii="Arial" w:cs="Arial" w:eastAsia="Arial" w:hAnsi="Arial"/>
          <w:sz w:val="18"/>
          <w:szCs w:val="18"/>
          <w:color w:val="0000EE"/>
        </w:rPr>
      </w:pPr>
    </w:p>
    <w:p>
      <w:pPr>
        <w:ind w:left="1100" w:right="80" w:hanging="433"/>
        <w:spacing w:after="0" w:line="263"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the Annual Report on </w:t>
      </w:r>
      <w:hyperlink r:id="rId52">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December 31, 2022, filed with the SEC on February 16, 2023 from our </w:t>
      </w:r>
      <w:hyperlink r:id="rId61">
        <w:r>
          <w:rPr>
            <w:rFonts w:ascii="Arial" w:cs="Arial" w:eastAsia="Arial" w:hAnsi="Arial"/>
            <w:sz w:val="18"/>
            <w:szCs w:val="18"/>
            <w:u w:val="single" w:color="auto"/>
            <w:color w:val="0000EE"/>
          </w:rPr>
          <w:t>Definitive Proxy Statement on 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relating to our 2023 Annual Meeting of Stockholders, filed with the SEC on April 13, 2023.</w:t>
      </w:r>
    </w:p>
    <w:p>
      <w:pPr>
        <w:spacing w:after="0" w:line="184" w:lineRule="exact"/>
        <w:rPr>
          <w:rFonts w:ascii="Arial" w:cs="Arial" w:eastAsia="Arial" w:hAnsi="Arial"/>
          <w:sz w:val="18"/>
          <w:szCs w:val="18"/>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incorporate by reference into this prospectus supplement additional documents that we may file with the SEC under Sections 13(a), 13(c), 14 or 15(d) of the Securities Exchange Act of 1934, as amended, or the Exchange Act, until all of the securities offered by this prospectus supplement and the accompanying prospectus have been sold or we otherwise terminate the offering of these securities; provided, however, the information “furnished” under Item 2.02 or Item 7.01 of Form 8-K or other information “furnished” to the SEC which is not deemed filed is not incorporated by reference in this prospectus supplement and any accompanying prospectus. Information that we file with the SEC will automatically update and may supersede information in this prospectus supplement, the accompanying prospectus and information previously filed with the SEC.</w:t>
      </w:r>
    </w:p>
    <w:p>
      <w:pPr>
        <w:spacing w:after="0" w:line="164" w:lineRule="exact"/>
        <w:rPr>
          <w:rFonts w:ascii="Arial" w:cs="Arial" w:eastAsia="Arial" w:hAnsi="Arial"/>
          <w:sz w:val="18"/>
          <w:szCs w:val="18"/>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will provide without charge to each person, including any beneficial owner, to whom a copy of this prospectus supplement is delivered, upon written request of any such person, a copy of any or all of the documents that has been or may be incorporated by reference into this prospectus supplement (excluding certain exhibits to the documents) at no cost. Any such request may be made by contacting us in writing at the following address:</w:t>
      </w:r>
    </w:p>
    <w:p>
      <w:pPr>
        <w:spacing w:after="0" w:line="14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Sixth Street Specialty Lending, Inc.</w:t>
      </w:r>
    </w:p>
    <w:p>
      <w:pPr>
        <w:spacing w:after="0" w:line="2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888 7th Avenue, 41st Floor</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New York, NY 10106</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Attention: TSLXInvestor Relations</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Email: IRTSLX@sixthstreet.com.</w:t>
      </w:r>
    </w:p>
    <w:p>
      <w:pPr>
        <w:spacing w:after="0" w:line="211" w:lineRule="exact"/>
        <w:rPr>
          <w:rFonts w:ascii="Arial" w:cs="Arial" w:eastAsia="Arial" w:hAnsi="Arial"/>
          <w:sz w:val="18"/>
          <w:szCs w:val="18"/>
          <w:color w:val="auto"/>
        </w:rPr>
      </w:pPr>
    </w:p>
    <w:p>
      <w:pPr>
        <w:ind w:left="120" w:firstLine="440"/>
        <w:spacing w:after="0" w:line="257" w:lineRule="auto"/>
        <w:rPr>
          <w:sz w:val="20"/>
          <w:szCs w:val="20"/>
          <w:color w:val="auto"/>
        </w:rPr>
      </w:pPr>
      <w:r>
        <w:rPr>
          <w:rFonts w:ascii="Arial" w:cs="Arial" w:eastAsia="Arial" w:hAnsi="Arial"/>
          <w:sz w:val="18"/>
          <w:szCs w:val="18"/>
          <w:color w:val="auto"/>
        </w:rPr>
        <w:t>You should rely only on the information incorporated by reference or provided in this prospectus supplement or accompanying prospectus.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supplement or in the documents incorporated by reference is accurate as of any date other than the date on the front of this prospectus supplement or those documents.</w:t>
      </w:r>
    </w:p>
    <w:p>
      <w:pPr>
        <w:spacing w:after="0" w:line="120"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20"/>
          </w:cols>
          <w:pgMar w:left="320" w:top="702"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74865" cy="68580"/>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68580</wp:posOffset>
            </wp:positionV>
            <wp:extent cx="1722755" cy="514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72275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Sixth Street Specialty Lending, Inc.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Subscription Rights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122555</wp:posOffset>
            </wp:positionV>
            <wp:extent cx="1474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0" w:lineRule="exact"/>
        <w:rPr>
          <w:sz w:val="20"/>
          <w:szCs w:val="20"/>
          <w:color w:val="auto"/>
        </w:rPr>
      </w:pPr>
    </w:p>
    <w:p>
      <w:pPr>
        <w:ind w:right="60" w:firstLine="330"/>
        <w:spacing w:after="0" w:line="226" w:lineRule="auto"/>
        <w:rPr>
          <w:sz w:val="20"/>
          <w:szCs w:val="20"/>
          <w:color w:val="auto"/>
        </w:rPr>
      </w:pPr>
      <w:r>
        <w:rPr>
          <w:rFonts w:ascii="Arial" w:cs="Arial" w:eastAsia="Arial" w:hAnsi="Arial"/>
          <w:sz w:val="13"/>
          <w:szCs w:val="13"/>
          <w:color w:val="auto"/>
        </w:rPr>
        <w:t>We are a specialty finance company focused on lending to middle-market companies that has elected to be regulated as a business development company under the Investment Company Act of 1940.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EBITDA, which we believe is a useful proxy for cash flow, of $10 million to $250 million, although we may invest in larger or smaller companies on occasion</w:t>
      </w:r>
    </w:p>
    <w:p>
      <w:pPr>
        <w:spacing w:after="0" w:line="58" w:lineRule="exact"/>
        <w:rPr>
          <w:sz w:val="20"/>
          <w:szCs w:val="20"/>
          <w:color w:val="auto"/>
        </w:rPr>
      </w:pPr>
    </w:p>
    <w:p>
      <w:pPr>
        <w:jc w:val="both"/>
        <w:ind w:right="40" w:firstLine="330"/>
        <w:spacing w:after="0" w:line="236" w:lineRule="auto"/>
        <w:rPr>
          <w:sz w:val="20"/>
          <w:szCs w:val="20"/>
          <w:color w:val="auto"/>
        </w:rPr>
      </w:pPr>
      <w:r>
        <w:rPr>
          <w:rFonts w:ascii="Arial" w:cs="Arial" w:eastAsia="Arial" w:hAnsi="Arial"/>
          <w:sz w:val="13"/>
          <w:szCs w:val="13"/>
          <w:color w:val="auto"/>
        </w:rPr>
        <w:t>As of September 30, 2022 , our investment portfolio consisted of investments in 118 portfolio investments with an aggregate fair value of $2,806.1 million. We intend to continue to pursue an investment strategy focused primarily on direct origination of loans to middle-market companies domiciled in the United States.</w:t>
      </w:r>
    </w:p>
    <w:p>
      <w:pPr>
        <w:spacing w:after="0" w:line="43" w:lineRule="exact"/>
        <w:rPr>
          <w:sz w:val="20"/>
          <w:szCs w:val="20"/>
          <w:color w:val="auto"/>
        </w:rPr>
      </w:pPr>
    </w:p>
    <w:p>
      <w:pPr>
        <w:jc w:val="both"/>
        <w:ind w:right="60" w:firstLine="330"/>
        <w:spacing w:after="0" w:line="230" w:lineRule="auto"/>
        <w:rPr>
          <w:sz w:val="20"/>
          <w:szCs w:val="20"/>
          <w:color w:val="auto"/>
        </w:rPr>
      </w:pPr>
      <w:r>
        <w:rPr>
          <w:rFonts w:ascii="Arial" w:cs="Arial" w:eastAsia="Arial" w:hAnsi="Arial"/>
          <w:sz w:val="13"/>
          <w:szCs w:val="13"/>
          <w:color w:val="auto"/>
        </w:rPr>
        <w:t>We are an externally-managed, closed-end, non-diversified management investment company. Sixth Street Specialty Lending Advisers, LLC, or the Adviser, acts as our investment adviser and administrator. Our investment decisions are made by our Investment Review Committee, which includes senior personnel of our Adviser and Sixth Street Partners, LLC or “Sixth Street.” Sixth Street is a global investment business with over $60 billion of assets under management as of September 30,2022.</w:t>
      </w:r>
    </w:p>
    <w:p>
      <w:pPr>
        <w:spacing w:after="0" w:line="43" w:lineRule="exact"/>
        <w:rPr>
          <w:sz w:val="20"/>
          <w:szCs w:val="20"/>
          <w:color w:val="auto"/>
        </w:rPr>
      </w:pPr>
    </w:p>
    <w:p>
      <w:pPr>
        <w:ind w:right="160" w:firstLine="330"/>
        <w:spacing w:after="0" w:line="247" w:lineRule="auto"/>
        <w:rPr>
          <w:sz w:val="20"/>
          <w:szCs w:val="20"/>
          <w:color w:val="auto"/>
        </w:rPr>
      </w:pPr>
      <w:r>
        <w:rPr>
          <w:rFonts w:ascii="Arial" w:cs="Arial" w:eastAsia="Arial" w:hAnsi="Arial"/>
          <w:sz w:val="12"/>
          <w:szCs w:val="12"/>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53" w:lineRule="exact"/>
        <w:rPr>
          <w:sz w:val="20"/>
          <w:szCs w:val="20"/>
          <w:color w:val="auto"/>
        </w:rPr>
      </w:pPr>
    </w:p>
    <w:p>
      <w:pPr>
        <w:jc w:val="both"/>
        <w:ind w:right="240" w:firstLine="330"/>
        <w:spacing w:after="0" w:line="230" w:lineRule="auto"/>
        <w:rPr>
          <w:sz w:val="20"/>
          <w:szCs w:val="20"/>
          <w:color w:val="auto"/>
        </w:rPr>
      </w:pPr>
      <w:r>
        <w:rPr>
          <w:rFonts w:ascii="Arial" w:cs="Arial" w:eastAsia="Arial" w:hAnsi="Arial"/>
          <w:sz w:val="13"/>
          <w:szCs w:val="13"/>
          <w:color w:val="auto"/>
        </w:rPr>
        <w:t>Substantially all of our debt investments have variable interest rates that reset periodically based on interest rate benchmarks such as the London Interbank Offered Rate, the Euro Interbank Offered Rate, the Secured Overnight Financing Rate, the Sterling Overnight Interbank Average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43" w:lineRule="exact"/>
        <w:rPr>
          <w:sz w:val="20"/>
          <w:szCs w:val="20"/>
          <w:color w:val="auto"/>
        </w:rPr>
      </w:pPr>
    </w:p>
    <w:p>
      <w:pPr>
        <w:jc w:val="both"/>
        <w:ind w:right="20" w:firstLine="330"/>
        <w:spacing w:after="0" w:line="328" w:lineRule="auto"/>
        <w:rPr>
          <w:sz w:val="20"/>
          <w:szCs w:val="20"/>
          <w:color w:val="auto"/>
        </w:rPr>
      </w:pPr>
      <w:r>
        <w:rPr>
          <w:rFonts w:ascii="Arial" w:cs="Arial" w:eastAsia="Arial" w:hAnsi="Arial"/>
          <w:sz w:val="10"/>
          <w:szCs w:val="10"/>
          <w:color w:val="auto"/>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w:t>
      </w:r>
    </w:p>
    <w:p>
      <w:pPr>
        <w:spacing w:after="0" w:line="1" w:lineRule="exact"/>
        <w:rPr>
          <w:sz w:val="20"/>
          <w:szCs w:val="20"/>
          <w:color w:val="auto"/>
        </w:rPr>
      </w:pPr>
    </w:p>
    <w:p>
      <w:pPr>
        <w:ind w:right="100" w:firstLine="330"/>
        <w:spacing w:after="0" w:line="328" w:lineRule="auto"/>
        <w:rPr>
          <w:sz w:val="20"/>
          <w:szCs w:val="20"/>
          <w:color w:val="auto"/>
        </w:rPr>
      </w:pPr>
      <w:r>
        <w:rPr>
          <w:rFonts w:ascii="Arial" w:cs="Arial" w:eastAsia="Arial" w:hAnsi="Arial"/>
          <w:sz w:val="10"/>
          <w:szCs w:val="10"/>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w:t>
      </w:r>
    </w:p>
    <w:p>
      <w:pPr>
        <w:spacing w:after="0" w:line="15" w:lineRule="exact"/>
        <w:rPr>
          <w:sz w:val="20"/>
          <w:szCs w:val="20"/>
          <w:color w:val="auto"/>
        </w:rPr>
      </w:pPr>
    </w:p>
    <w:p>
      <w:pPr>
        <w:ind w:right="40" w:firstLine="330"/>
        <w:spacing w:after="0" w:line="247" w:lineRule="auto"/>
        <w:rPr>
          <w:sz w:val="20"/>
          <w:szCs w:val="20"/>
          <w:color w:val="auto"/>
        </w:rPr>
      </w:pPr>
      <w:r>
        <w:rPr>
          <w:rFonts w:ascii="Arial" w:cs="Arial" w:eastAsia="Arial" w:hAnsi="Arial"/>
          <w:sz w:val="12"/>
          <w:szCs w:val="12"/>
          <w:color w:val="auto"/>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will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0"/>
          <w:szCs w:val="10"/>
          <w:color w:val="auto"/>
        </w:rPr>
        <w:t>Our common stock is traded on the New York Stock Exchange, or NYSE, under the symbol “TSLX.” On January 12, 2023, the last reported sales price of our common stock on the NYSE was $18.94 per share.</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The net asset value per share of our common stock at September 30, 2022 (the last date prior to the date of this prospectus for which we reported net asset value) was $16.36.</w:t>
      </w:r>
    </w:p>
    <w:p>
      <w:pPr>
        <w:spacing w:after="0" w:line="35" w:lineRule="exact"/>
        <w:rPr>
          <w:sz w:val="20"/>
          <w:szCs w:val="20"/>
          <w:color w:val="auto"/>
        </w:rPr>
      </w:pPr>
    </w:p>
    <w:p>
      <w:pPr>
        <w:ind w:right="260" w:firstLine="440"/>
        <w:spacing w:after="0" w:line="258" w:lineRule="auto"/>
        <w:rPr>
          <w:sz w:val="20"/>
          <w:szCs w:val="20"/>
          <w:color w:val="auto"/>
        </w:rPr>
      </w:pPr>
      <w:r>
        <w:rPr>
          <w:rFonts w:ascii="Arial" w:cs="Arial" w:eastAsia="Arial" w:hAnsi="Arial"/>
          <w:sz w:val="13"/>
          <w:szCs w:val="13"/>
          <w:b w:val="1"/>
          <w:bCs w:val="1"/>
          <w:color w:val="auto"/>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r>
        <w:rPr>
          <w:rFonts w:ascii="Arial" w:cs="Arial" w:eastAsia="Arial" w:hAnsi="Arial"/>
          <w:sz w:val="13"/>
          <w:szCs w:val="13"/>
          <w:b w:val="1"/>
          <w:bCs w:val="1"/>
          <w:u w:val="single" w:color="auto"/>
          <w:color w:val="0000EE"/>
        </w:rPr>
        <w:t>Risk Factors</w:t>
      </w:r>
      <w:r>
        <w:rPr>
          <w:rFonts w:ascii="Arial" w:cs="Arial" w:eastAsia="Arial" w:hAnsi="Arial"/>
          <w:sz w:val="13"/>
          <w:szCs w:val="13"/>
          <w:b w:val="1"/>
          <w:bCs w:val="1"/>
          <w:color w:val="auto"/>
        </w:rPr>
        <w:t>” beginning on page 22 of this prospectus and in the documents incorporated by reference herein.</w:t>
      </w:r>
    </w:p>
    <w:p>
      <w:pPr>
        <w:spacing w:after="0" w:line="37"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This prospectus may not be used to consummate sales of our securities unless accompanied by a prospectus supplement.</w:t>
      </w:r>
    </w:p>
    <w:p>
      <w:pPr>
        <w:spacing w:after="0" w:line="57" w:lineRule="exact"/>
        <w:rPr>
          <w:sz w:val="20"/>
          <w:szCs w:val="20"/>
          <w:color w:val="auto"/>
        </w:rPr>
      </w:pPr>
    </w:p>
    <w:p>
      <w:pPr>
        <w:ind w:firstLine="330"/>
        <w:spacing w:after="0" w:line="300" w:lineRule="auto"/>
        <w:rPr>
          <w:sz w:val="20"/>
          <w:szCs w:val="20"/>
          <w:color w:val="auto"/>
        </w:rPr>
      </w:pPr>
      <w:r>
        <w:rPr>
          <w:rFonts w:ascii="Arial" w:cs="Arial" w:eastAsia="Arial" w:hAnsi="Arial"/>
          <w:sz w:val="10"/>
          <w:szCs w:val="10"/>
          <w:color w:val="auto"/>
        </w:rPr>
        <w:t>Please read this prospectus and any accompanying prospectus supplements, including any information incorporated by reference herein or therein, before investing and keep such documents for future reference. This prospectus and any accompanying prospectus supplements,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888 7th Avenue, 41st Floor, New York, NY 10106, Attention: TSLX Investor Relations, by emailing us at IRTSLX@sixthstreet.com or visiting our website at https://sixthstreetspecialtylending.gcs-web.com/. Information on our website is not incorporated into or a part of this prospectus or any prospectus supplement. The Securities and Exchange Commission also maintains a website at http://www.sec.gov that contains this information.</w:t>
      </w:r>
    </w:p>
    <w:p>
      <w:pPr>
        <w:spacing w:after="0" w:line="11" w:lineRule="exact"/>
        <w:rPr>
          <w:sz w:val="20"/>
          <w:szCs w:val="20"/>
          <w:color w:val="auto"/>
        </w:rPr>
      </w:pPr>
    </w:p>
    <w:p>
      <w:pPr>
        <w:ind w:right="40" w:firstLine="330"/>
        <w:spacing w:after="0"/>
        <w:rPr>
          <w:sz w:val="20"/>
          <w:szCs w:val="20"/>
          <w:color w:val="auto"/>
        </w:rPr>
      </w:pPr>
      <w:r>
        <w:rPr>
          <w:rFonts w:ascii="Arial" w:cs="Arial" w:eastAsia="Arial" w:hAnsi="Arial"/>
          <w:sz w:val="13"/>
          <w:szCs w:val="13"/>
          <w:b w:val="1"/>
          <w:bCs w:val="1"/>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113030</wp:posOffset>
            </wp:positionV>
            <wp:extent cx="1474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date of this prospectus is January 13, 2023</w:t>
      </w:r>
    </w:p>
    <w:p>
      <w:pPr>
        <w:sectPr>
          <w:pgSz w:w="11900" w:h="16838" w:orient="portrait"/>
          <w:cols w:equalWidth="0" w:num="1">
            <w:col w:w="11000"/>
          </w:cols>
          <w:pgMar w:left="440" w:top="513" w:right="4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60" w:type="dxa"/>
            <w:vAlign w:val="bottom"/>
            <w:gridSpan w:val="6"/>
          </w:tcPr>
          <w:p>
            <w:pPr>
              <w:ind w:left="18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0"/>
                <w:szCs w:val="20"/>
                <w:color w:val="auto"/>
              </w:rPr>
            </w:pPr>
          </w:p>
        </w:tc>
      </w:tr>
      <w:tr>
        <w:trPr>
          <w:trHeight w:val="418"/>
        </w:trPr>
        <w:tc>
          <w:tcPr>
            <w:tcW w:w="222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2"/>
              </w:rPr>
              <w:t>ABOUT THIS PROSPECTUS</w:t>
            </w:r>
          </w:p>
        </w:tc>
        <w:tc>
          <w:tcPr>
            <w:tcW w:w="6400" w:type="dxa"/>
            <w:vAlign w:val="bottom"/>
            <w:gridSpan w:val="16"/>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196"/>
        </w:trPr>
        <w:tc>
          <w:tcPr>
            <w:tcW w:w="9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7"/>
              </w:rPr>
              <w:t>SUMMARY</w:t>
            </w:r>
          </w:p>
        </w:tc>
        <w:tc>
          <w:tcPr>
            <w:tcW w:w="7700" w:type="dxa"/>
            <w:vAlign w:val="bottom"/>
            <w:gridSpan w:val="2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28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3"/>
              </w:rPr>
              <w:t>THE OFFERING</w:t>
            </w:r>
          </w:p>
        </w:tc>
        <w:tc>
          <w:tcPr>
            <w:tcW w:w="7340" w:type="dxa"/>
            <w:vAlign w:val="bottom"/>
            <w:gridSpan w:val="2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7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1"/>
              </w:rPr>
              <w:t>FEES AND EXPENSES</w:t>
            </w:r>
          </w:p>
        </w:tc>
        <w:tc>
          <w:tcPr>
            <w:tcW w:w="6840" w:type="dxa"/>
            <w:vAlign w:val="bottom"/>
            <w:gridSpan w:val="1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8620" w:type="dxa"/>
            <w:vAlign w:val="bottom"/>
            <w:gridSpan w:val="26"/>
          </w:tcPr>
          <w:p>
            <w:pPr>
              <w:spacing w:after="0" w:line="196" w:lineRule="exact"/>
              <w:rPr>
                <w:sz w:val="20"/>
                <w:szCs w:val="20"/>
                <w:color w:val="auto"/>
              </w:rPr>
            </w:pPr>
            <w:r>
              <w:rPr>
                <w:rFonts w:ascii="Arial" w:cs="Arial" w:eastAsia="Arial" w:hAnsi="Arial"/>
                <w:sz w:val="18"/>
                <w:szCs w:val="18"/>
                <w:color w:val="0000EE"/>
              </w:rPr>
              <w:t>RISK FACTORS</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26"/>
          </w:tcPr>
          <w:p>
            <w:pPr>
              <w:spacing w:after="0" w:line="196" w:lineRule="exact"/>
              <w:rPr>
                <w:sz w:val="20"/>
                <w:szCs w:val="20"/>
                <w:color w:val="auto"/>
              </w:rPr>
            </w:pPr>
            <w:r>
              <w:rPr>
                <w:rFonts w:ascii="Arial" w:cs="Arial" w:eastAsia="Arial" w:hAnsi="Arial"/>
                <w:sz w:val="18"/>
                <w:szCs w:val="18"/>
                <w:color w:val="0000EE"/>
              </w:rPr>
              <w:t>SPECIAL NOTE REGARDING FORWARD-LOOKING STATEMENTS</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58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USE OF PROCEEDS</w:t>
            </w:r>
          </w:p>
        </w:tc>
        <w:tc>
          <w:tcPr>
            <w:tcW w:w="3740" w:type="dxa"/>
            <w:vAlign w:val="bottom"/>
            <w:tcBorders>
              <w:top w:val="single" w:sz="8" w:color="0000EE"/>
            </w:tcBorders>
            <w:gridSpan w:val="18"/>
          </w:tcPr>
          <w:p>
            <w:pPr>
              <w:spacing w:after="0"/>
              <w:rPr>
                <w:sz w:val="17"/>
                <w:szCs w:val="17"/>
                <w:color w:val="auto"/>
              </w:rPr>
            </w:pPr>
          </w:p>
        </w:tc>
        <w:tc>
          <w:tcPr>
            <w:tcW w:w="330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8620" w:type="dxa"/>
            <w:vAlign w:val="bottom"/>
            <w:gridSpan w:val="26"/>
          </w:tcPr>
          <w:p>
            <w:pPr>
              <w:spacing w:after="0" w:line="196" w:lineRule="exact"/>
              <w:rPr>
                <w:sz w:val="20"/>
                <w:szCs w:val="20"/>
                <w:color w:val="auto"/>
              </w:rPr>
            </w:pPr>
            <w:r>
              <w:rPr>
                <w:rFonts w:ascii="Arial" w:cs="Arial" w:eastAsia="Arial" w:hAnsi="Arial"/>
                <w:sz w:val="18"/>
                <w:szCs w:val="18"/>
                <w:color w:val="0000EE"/>
              </w:rPr>
              <w:t>PRICE RANGE OF COMMON STOCK AND DISTRIBUTIONS</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72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3"/>
              </w:rPr>
              <w:t>SENIOR SECURITIES</w:t>
            </w:r>
          </w:p>
        </w:tc>
        <w:tc>
          <w:tcPr>
            <w:tcW w:w="3060" w:type="dxa"/>
            <w:vAlign w:val="bottom"/>
            <w:tcBorders>
              <w:top w:val="single" w:sz="8" w:color="0000EE"/>
            </w:tcBorders>
            <w:gridSpan w:val="15"/>
          </w:tcPr>
          <w:p>
            <w:pPr>
              <w:spacing w:after="0"/>
              <w:rPr>
                <w:sz w:val="17"/>
                <w:szCs w:val="17"/>
                <w:color w:val="auto"/>
              </w:rPr>
            </w:pPr>
          </w:p>
        </w:tc>
        <w:tc>
          <w:tcPr>
            <w:tcW w:w="384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8620" w:type="dxa"/>
            <w:vAlign w:val="bottom"/>
            <w:gridSpan w:val="26"/>
          </w:tcPr>
          <w:p>
            <w:pPr>
              <w:spacing w:after="0" w:line="196" w:lineRule="exact"/>
              <w:rPr>
                <w:sz w:val="20"/>
                <w:szCs w:val="20"/>
                <w:color w:val="auto"/>
              </w:rPr>
            </w:pPr>
            <w:r>
              <w:rPr>
                <w:rFonts w:ascii="Arial" w:cs="Arial" w:eastAsia="Arial" w:hAnsi="Arial"/>
                <w:sz w:val="18"/>
                <w:szCs w:val="18"/>
                <w:color w:val="0000EE"/>
              </w:rPr>
              <w:t>PORTFOLIO COMPANIES</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76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26"/>
          </w:tcPr>
          <w:p>
            <w:pPr>
              <w:spacing w:after="0" w:line="196" w:lineRule="exact"/>
              <w:rPr>
                <w:sz w:val="20"/>
                <w:szCs w:val="20"/>
                <w:color w:val="auto"/>
              </w:rPr>
            </w:pPr>
            <w:r>
              <w:rPr>
                <w:rFonts w:ascii="Arial" w:cs="Arial" w:eastAsia="Arial" w:hAnsi="Arial"/>
                <w:sz w:val="18"/>
                <w:szCs w:val="18"/>
                <w:color w:val="0000EE"/>
              </w:rPr>
              <w:t>DETERMINATION OF NET ASSET VALUE</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76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462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95"/>
              </w:rPr>
              <w:t>SALES OF COMMON STOCK BELOW NET ASSET VALUE</w:t>
            </w:r>
          </w:p>
        </w:tc>
        <w:tc>
          <w:tcPr>
            <w:tcW w:w="400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282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8"/>
              </w:rPr>
              <w:t>DIVIDEND REINVESTMENT PLAN</w:t>
            </w:r>
          </w:p>
        </w:tc>
        <w:tc>
          <w:tcPr>
            <w:tcW w:w="5800" w:type="dxa"/>
            <w:vAlign w:val="bottom"/>
            <w:gridSpan w:val="1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8620" w:type="dxa"/>
            <w:vAlign w:val="bottom"/>
            <w:gridSpan w:val="26"/>
          </w:tcPr>
          <w:p>
            <w:pPr>
              <w:spacing w:after="0" w:line="196" w:lineRule="exact"/>
              <w:rPr>
                <w:sz w:val="20"/>
                <w:szCs w:val="20"/>
                <w:color w:val="auto"/>
              </w:rPr>
            </w:pPr>
            <w:r>
              <w:rPr>
                <w:rFonts w:ascii="Arial" w:cs="Arial" w:eastAsia="Arial" w:hAnsi="Arial"/>
                <w:sz w:val="18"/>
                <w:szCs w:val="18"/>
                <w:color w:val="0000EE"/>
              </w:rPr>
              <w:t>MATERIAL U.S. FEDERAL INCOME TAX CONSIDERATIONS</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2940" w:type="dxa"/>
            <w:vAlign w:val="bottom"/>
            <w:tcBorders>
              <w:top w:val="single" w:sz="8" w:color="0000EE"/>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3"/>
              </w:rPr>
              <w:t>DESCRIPTION OF OUR SECURITIES</w:t>
            </w:r>
          </w:p>
        </w:tc>
        <w:tc>
          <w:tcPr>
            <w:tcW w:w="1900" w:type="dxa"/>
            <w:vAlign w:val="bottom"/>
            <w:tcBorders>
              <w:top w:val="single" w:sz="8" w:color="0000EE"/>
            </w:tcBorders>
            <w:gridSpan w:val="9"/>
          </w:tcPr>
          <w:p>
            <w:pPr>
              <w:spacing w:after="0"/>
              <w:rPr>
                <w:sz w:val="17"/>
                <w:szCs w:val="17"/>
                <w:color w:val="auto"/>
              </w:rPr>
            </w:pPr>
          </w:p>
        </w:tc>
        <w:tc>
          <w:tcPr>
            <w:tcW w:w="378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8620" w:type="dxa"/>
            <w:vAlign w:val="bottom"/>
            <w:gridSpan w:val="26"/>
          </w:tcPr>
          <w:p>
            <w:pPr>
              <w:spacing w:after="0" w:line="196" w:lineRule="exact"/>
              <w:rPr>
                <w:sz w:val="20"/>
                <w:szCs w:val="20"/>
                <w:color w:val="auto"/>
              </w:rPr>
            </w:pPr>
            <w:r>
              <w:rPr>
                <w:rFonts w:ascii="Arial" w:cs="Arial" w:eastAsia="Arial" w:hAnsi="Arial"/>
                <w:sz w:val="18"/>
                <w:szCs w:val="18"/>
                <w:color w:val="0000EE"/>
              </w:rPr>
              <w:t>DESCRIPTION OF OUR CAPITAL STOCK</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76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26"/>
          </w:tcPr>
          <w:p>
            <w:pPr>
              <w:spacing w:after="0" w:line="196" w:lineRule="exact"/>
              <w:rPr>
                <w:sz w:val="20"/>
                <w:szCs w:val="20"/>
                <w:color w:val="auto"/>
              </w:rPr>
            </w:pPr>
            <w:r>
              <w:rPr>
                <w:rFonts w:ascii="Arial" w:cs="Arial" w:eastAsia="Arial" w:hAnsi="Arial"/>
                <w:sz w:val="18"/>
                <w:szCs w:val="18"/>
                <w:color w:val="0000EE"/>
              </w:rPr>
              <w:t>DESCRIPTION OF OUR PREFERRED STOCK</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
        </w:trPr>
        <w:tc>
          <w:tcPr>
            <w:tcW w:w="76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26"/>
          </w:tcPr>
          <w:p>
            <w:pPr>
              <w:spacing w:after="0" w:line="196" w:lineRule="exact"/>
              <w:rPr>
                <w:sz w:val="20"/>
                <w:szCs w:val="20"/>
                <w:color w:val="auto"/>
              </w:rPr>
            </w:pPr>
            <w:r>
              <w:rPr>
                <w:rFonts w:ascii="Arial" w:cs="Arial" w:eastAsia="Arial" w:hAnsi="Arial"/>
                <w:sz w:val="18"/>
                <w:szCs w:val="18"/>
                <w:color w:val="0000EE"/>
              </w:rPr>
              <w:t>DESCRIPTION OF OUR SUBSCRIPTION RIGHTS</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2900" w:type="dxa"/>
            <w:vAlign w:val="bottom"/>
            <w:tcBorders>
              <w:top w:val="single" w:sz="8" w:color="0000EE"/>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4"/>
              </w:rPr>
              <w:t>DESCRIPTION OF OUR WARRANTS</w:t>
            </w:r>
          </w:p>
        </w:tc>
        <w:tc>
          <w:tcPr>
            <w:tcW w:w="980" w:type="dxa"/>
            <w:vAlign w:val="bottom"/>
            <w:tcBorders>
              <w:top w:val="single" w:sz="8" w:color="0000EE"/>
            </w:tcBorders>
            <w:gridSpan w:val="5"/>
          </w:tcPr>
          <w:p>
            <w:pPr>
              <w:spacing w:after="0"/>
              <w:rPr>
                <w:sz w:val="17"/>
                <w:szCs w:val="17"/>
                <w:color w:val="auto"/>
              </w:rPr>
            </w:pPr>
          </w:p>
        </w:tc>
        <w:tc>
          <w:tcPr>
            <w:tcW w:w="474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8620" w:type="dxa"/>
            <w:vAlign w:val="bottom"/>
            <w:gridSpan w:val="26"/>
          </w:tcPr>
          <w:p>
            <w:pPr>
              <w:spacing w:after="0" w:line="196" w:lineRule="exact"/>
              <w:rPr>
                <w:sz w:val="20"/>
                <w:szCs w:val="20"/>
                <w:color w:val="auto"/>
              </w:rPr>
            </w:pPr>
            <w:r>
              <w:rPr>
                <w:rFonts w:ascii="Arial" w:cs="Arial" w:eastAsia="Arial" w:hAnsi="Arial"/>
                <w:sz w:val="18"/>
                <w:szCs w:val="18"/>
                <w:color w:val="0000EE"/>
              </w:rPr>
              <w:t>DESCRIPTION OF OUR DEBT SECURITIES</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76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6200" w:type="dxa"/>
            <w:vAlign w:val="bottom"/>
            <w:tcBorders>
              <w:bottom w:val="single" w:sz="8" w:color="0000EE"/>
            </w:tcBorders>
            <w:gridSpan w:val="25"/>
          </w:tcPr>
          <w:p>
            <w:pPr>
              <w:spacing w:after="0" w:line="196" w:lineRule="exact"/>
              <w:rPr>
                <w:sz w:val="20"/>
                <w:szCs w:val="20"/>
                <w:color w:val="auto"/>
              </w:rPr>
            </w:pPr>
            <w:r>
              <w:rPr>
                <w:rFonts w:ascii="Arial" w:cs="Arial" w:eastAsia="Arial" w:hAnsi="Arial"/>
                <w:sz w:val="18"/>
                <w:szCs w:val="18"/>
                <w:color w:val="0000EE"/>
                <w:w w:val="96"/>
              </w:rPr>
              <w:t>CUSTODIAN, TRANSFER AND DIVIDEND PAYING AGENT AND REGISTRAR</w:t>
            </w:r>
          </w:p>
        </w:tc>
        <w:tc>
          <w:tcPr>
            <w:tcW w:w="242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436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5"/>
              </w:rPr>
              <w:t>BROKERAGE ALLOCATION AND OTHER PRACTICES</w:t>
            </w:r>
          </w:p>
        </w:tc>
        <w:tc>
          <w:tcPr>
            <w:tcW w:w="426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8620" w:type="dxa"/>
            <w:vAlign w:val="bottom"/>
            <w:gridSpan w:val="26"/>
          </w:tcPr>
          <w:p>
            <w:pPr>
              <w:spacing w:after="0" w:line="196" w:lineRule="exact"/>
              <w:rPr>
                <w:sz w:val="20"/>
                <w:szCs w:val="20"/>
                <w:color w:val="auto"/>
              </w:rPr>
            </w:pPr>
            <w:r>
              <w:rPr>
                <w:rFonts w:ascii="Arial" w:cs="Arial" w:eastAsia="Arial" w:hAnsi="Arial"/>
                <w:sz w:val="18"/>
                <w:szCs w:val="18"/>
                <w:color w:val="0000EE"/>
              </w:rPr>
              <w:t>PLAN OF DISTRIBUTION</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204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LEGAL MATTERS</w:t>
            </w:r>
          </w:p>
        </w:tc>
        <w:tc>
          <w:tcPr>
            <w:tcW w:w="6580" w:type="dxa"/>
            <w:vAlign w:val="bottom"/>
            <w:gridSpan w:val="1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196"/>
        </w:trPr>
        <w:tc>
          <w:tcPr>
            <w:tcW w:w="144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EXPERTS</w:t>
            </w:r>
          </w:p>
        </w:tc>
        <w:tc>
          <w:tcPr>
            <w:tcW w:w="7180" w:type="dxa"/>
            <w:vAlign w:val="bottom"/>
            <w:gridSpan w:val="21"/>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20"/>
        </w:trPr>
        <w:tc>
          <w:tcPr>
            <w:tcW w:w="760" w:type="dxa"/>
            <w:vAlign w:val="bottom"/>
            <w:shd w:val="clear" w:color="auto" w:fill="0000EE"/>
          </w:tcPr>
          <w:p>
            <w:pPr>
              <w:spacing w:after="0" w:line="20" w:lineRule="exact"/>
              <w:rPr>
                <w:sz w:val="1"/>
                <w:szCs w:val="1"/>
                <w:color w:val="auto"/>
              </w:rPr>
            </w:pPr>
          </w:p>
        </w:tc>
        <w:tc>
          <w:tcPr>
            <w:tcW w:w="1500" w:type="dxa"/>
            <w:vAlign w:val="bottom"/>
            <w:gridSpan w:val="10"/>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26"/>
          </w:tcPr>
          <w:p>
            <w:pPr>
              <w:spacing w:after="0" w:line="196" w:lineRule="exact"/>
              <w:rPr>
                <w:sz w:val="20"/>
                <w:szCs w:val="20"/>
                <w:color w:val="auto"/>
              </w:rPr>
            </w:pPr>
            <w:r>
              <w:rPr>
                <w:rFonts w:ascii="Arial" w:cs="Arial" w:eastAsia="Arial" w:hAnsi="Arial"/>
                <w:sz w:val="18"/>
                <w:szCs w:val="18"/>
                <w:color w:val="0000EE"/>
              </w:rPr>
              <w:t>AVAILABLE INFORMATION</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20"/>
        </w:trPr>
        <w:tc>
          <w:tcPr>
            <w:tcW w:w="2260" w:type="dxa"/>
            <w:vAlign w:val="bottom"/>
            <w:gridSpan w:val="11"/>
            <w:shd w:val="clear" w:color="auto" w:fill="0000EE"/>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402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4"/>
              </w:rPr>
              <w:t>INFORMATION INCORPORATED BY REFERENCE</w:t>
            </w:r>
          </w:p>
        </w:tc>
        <w:tc>
          <w:tcPr>
            <w:tcW w:w="460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ind w:firstLine="440"/>
        <w:spacing w:after="0" w:line="291" w:lineRule="auto"/>
        <w:rPr>
          <w:sz w:val="20"/>
          <w:szCs w:val="20"/>
          <w:color w:val="auto"/>
        </w:rPr>
      </w:pPr>
      <w:r>
        <w:rPr>
          <w:rFonts w:ascii="Arial" w:cs="Arial" w:eastAsia="Arial" w:hAnsi="Arial"/>
          <w:sz w:val="16"/>
          <w:szCs w:val="16"/>
          <w:color w:val="auto"/>
        </w:rPr>
        <w:t>We have not authorized any dealer, salesman or other person to give any information or to make any representation other than those contained in this prospectus, any prospectus supplement to this prospectus or any information that we have incorporated by reference herein or therein.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only as of the dates on their respective covers unless the information specifically indicates that another date applies. Our business, financial condition, results of operations and prospects may have changed since then. We will update these documents to reflect material changes only as required by law.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20"/>
          </w:cols>
          <w:pgMar w:left="440" w:top="513" w:right="43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ABOUT THIS PROSPECTUS</w:t>
      </w:r>
    </w:p>
    <w:p>
      <w:pPr>
        <w:spacing w:after="0" w:line="229"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This prospectus is part of an automatic shelf registration statement that we filed with the U.S. Securities and Exchange Commission, or SEC, as a “well-known seasoned issuer” as defined in Rule 405 under the Securities Act of 1933, as amended (the “Securities Act”). Under the shelf registration process, which constitutes a delayed offering in reliance on Rule 415 under the Securities Act, we may offer, from time to time, in one or more offerings of our common stock, preferred stock, debt securities, subscription rights to purchase shares of our common stock, or warrants representing rights to purchase shares of our common stock, preferred stock or debt securities, on terms to be determined at the time of the offering.</w:t>
      </w:r>
    </w:p>
    <w:p>
      <w:pPr>
        <w:spacing w:after="0" w:line="16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w:t>
      </w:r>
    </w:p>
    <w:p>
      <w:pPr>
        <w:spacing w:after="0" w:line="187"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Please read this prospectus and the accompanying prospectus supplement, including any information incorporated herein or therein by reference, before you make an investment decision. You should also read the documents we have referred you to in “Available Information” and “Information Incorporated by Reference” below for information on our company and our consolidated financial statements.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513" w:right="49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007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74865" cy="6007100"/>
                    </a:xfrm>
                    <a:prstGeom prst="rect">
                      <a:avLst/>
                    </a:prstGeom>
                    <a:noFill/>
                  </pic:spPr>
                </pic:pic>
              </a:graphicData>
            </a:graphic>
          </wp:anchor>
        </w:drawing>
        <w:t>SUMMARY</w:t>
      </w:r>
    </w:p>
    <w:p>
      <w:pPr>
        <w:spacing w:after="0" w:line="229" w:lineRule="exact"/>
        <w:rPr>
          <w:sz w:val="20"/>
          <w:szCs w:val="20"/>
          <w:color w:val="auto"/>
        </w:rPr>
      </w:pPr>
    </w:p>
    <w:p>
      <w:pPr>
        <w:ind w:right="20" w:firstLine="426"/>
        <w:spacing w:after="0" w:line="257" w:lineRule="auto"/>
        <w:rPr>
          <w:sz w:val="20"/>
          <w:szCs w:val="20"/>
          <w:color w:val="auto"/>
        </w:rPr>
      </w:pPr>
      <w:r>
        <w:rPr>
          <w:rFonts w:ascii="Arial" w:cs="Arial" w:eastAsia="Arial" w:hAnsi="Arial"/>
          <w:sz w:val="18"/>
          <w:szCs w:val="18"/>
          <w:color w:val="auto"/>
        </w:rPr>
        <w:t>This summary highlights some of the information in this prospectus. It is not complete and may not contain all of the information that you may want to consider. You should read this entire prospectus and any accompanying prospectus supplement, including any information incorporated herein or therein by reference, carefully. In particular, you should read the more detailed information set forth under “Risk Factors” and the consolidated financial statements and the related notes included elsewhere in this prospectus and any accompanying prospectus supplement or incorporated by reference herein or therein.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used in the prospectus, except where the context suggests otherwise, references to:</w:t>
      </w:r>
    </w:p>
    <w:p>
      <w:pPr>
        <w:spacing w:after="0" w:line="131" w:lineRule="exact"/>
        <w:rPr>
          <w:sz w:val="20"/>
          <w:szCs w:val="20"/>
          <w:color w:val="auto"/>
        </w:rPr>
      </w:pPr>
    </w:p>
    <w:p>
      <w:pPr>
        <w:ind w:left="960" w:right="160" w:hanging="433"/>
        <w:spacing w:after="0" w:line="27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“TSLX,” “Sixth Street Specialty Lending,” “we,” “us,” “our,” the “Company,” and the “Registrant” refer to Sixth Street Specialty Lending, Inc., a Delaware corporation, and its consolidated subsidiaries;</w:t>
      </w:r>
    </w:p>
    <w:p>
      <w:pPr>
        <w:spacing w:after="0" w:line="75" w:lineRule="exact"/>
        <w:rPr>
          <w:rFonts w:ascii="Arial" w:cs="Arial" w:eastAsia="Arial" w:hAnsi="Arial"/>
          <w:sz w:val="18"/>
          <w:szCs w:val="18"/>
          <w:color w:val="auto"/>
        </w:rPr>
      </w:pPr>
    </w:p>
    <w:p>
      <w:pPr>
        <w:ind w:left="960" w:right="160" w:hanging="433"/>
        <w:spacing w:after="0" w:line="263"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the consolidated subsidiaries of Sixth Street Specialty Lending, Inc. refers to TC Lending, LLC, Sixth Street SL SPV, LLC and Sixth Street SL Holding, LLC, each a Delaware limited liability company, and Sixth Street Specialty Lending Sub, LLC, a Cayman Islands limited liability company;</w:t>
      </w:r>
    </w:p>
    <w:p>
      <w:pPr>
        <w:spacing w:after="0" w:line="89" w:lineRule="exact"/>
        <w:rPr>
          <w:rFonts w:ascii="Arial" w:cs="Arial" w:eastAsia="Arial" w:hAnsi="Arial"/>
          <w:sz w:val="18"/>
          <w:szCs w:val="18"/>
          <w:color w:val="auto"/>
        </w:rPr>
      </w:pPr>
    </w:p>
    <w:p>
      <w:pPr>
        <w:ind w:left="960" w:hanging="433"/>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“Adviser” refers to Sixth Street Specialty Lending Advisers, LLC, a Delaware limited liability company; and</w:t>
      </w:r>
    </w:p>
    <w:p>
      <w:pPr>
        <w:spacing w:after="0" w:line="130" w:lineRule="exact"/>
        <w:rPr>
          <w:rFonts w:ascii="Arial" w:cs="Arial" w:eastAsia="Arial" w:hAnsi="Arial"/>
          <w:sz w:val="18"/>
          <w:szCs w:val="18"/>
          <w:color w:val="auto"/>
        </w:rPr>
      </w:pPr>
    </w:p>
    <w:p>
      <w:pPr>
        <w:ind w:left="960" w:hanging="433"/>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“Sixth Street” refers to Sixth Street Partners, LLC.</w:t>
      </w:r>
    </w:p>
    <w:p>
      <w:pPr>
        <w:spacing w:after="0" w:line="225" w:lineRule="exact"/>
        <w:rPr>
          <w:sz w:val="20"/>
          <w:szCs w:val="20"/>
          <w:color w:val="auto"/>
        </w:rPr>
      </w:pPr>
    </w:p>
    <w:p>
      <w:pPr>
        <w:ind w:right="60" w:firstLine="426"/>
        <w:spacing w:after="0" w:line="263" w:lineRule="auto"/>
        <w:rPr>
          <w:sz w:val="20"/>
          <w:szCs w:val="20"/>
          <w:color w:val="auto"/>
        </w:rPr>
      </w:pPr>
      <w:r>
        <w:rPr>
          <w:rFonts w:ascii="Arial" w:cs="Arial" w:eastAsia="Arial" w:hAnsi="Arial"/>
          <w:sz w:val="18"/>
          <w:szCs w:val="18"/>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Sixth Street Specialty Lending</w:t>
      </w:r>
    </w:p>
    <w:p>
      <w:pPr>
        <w:spacing w:after="0" w:line="121" w:lineRule="exact"/>
        <w:rPr>
          <w:sz w:val="20"/>
          <w:szCs w:val="20"/>
          <w:color w:val="auto"/>
        </w:rPr>
      </w:pPr>
    </w:p>
    <w:p>
      <w:pPr>
        <w:ind w:firstLine="426"/>
        <w:spacing w:after="0" w:line="269"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September 30, 2022, we have originated approximately $23.9 billion aggregate principal amount of investments and retained approximately $9.0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September 30, 2022 our core portfolio companies, which excludes certain investments that fall outside of our typical borrower profile and represent 87.3% of our total investments based on fair value, had weighted average annual revenue of $149.4 million and weighted average annual EBITDA of $43.8 million.</w:t>
      </w:r>
    </w:p>
    <w:p>
      <w:pPr>
        <w:spacing w:after="0" w:line="185" w:lineRule="exact"/>
        <w:rPr>
          <w:sz w:val="20"/>
          <w:szCs w:val="20"/>
          <w:color w:val="auto"/>
        </w:rPr>
      </w:pPr>
    </w:p>
    <w:p>
      <w:pPr>
        <w:ind w:right="380" w:firstLine="426"/>
        <w:spacing w:after="0" w:line="308"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146" w:lineRule="exact"/>
        <w:rPr>
          <w:sz w:val="20"/>
          <w:szCs w:val="20"/>
          <w:color w:val="auto"/>
        </w:rPr>
      </w:pPr>
    </w:p>
    <w:p>
      <w:pPr>
        <w:ind w:right="120" w:firstLine="426"/>
        <w:spacing w:after="0" w:line="342" w:lineRule="auto"/>
        <w:rPr>
          <w:sz w:val="20"/>
          <w:szCs w:val="20"/>
          <w:color w:val="auto"/>
        </w:rPr>
      </w:pPr>
      <w:r>
        <w:rPr>
          <w:rFonts w:ascii="Arial" w:cs="Arial" w:eastAsia="Arial" w:hAnsi="Arial"/>
          <w:sz w:val="16"/>
          <w:szCs w:val="16"/>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620"/>
          </w:cols>
          <w:pgMar w:left="620" w:top="688" w:right="6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3157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174865" cy="6315710"/>
                    </a:xfrm>
                    <a:prstGeom prst="rect">
                      <a:avLst/>
                    </a:prstGeom>
                    <a:noFill/>
                  </pic:spPr>
                </pic:pic>
              </a:graphicData>
            </a:graphic>
          </wp:anchor>
        </w:drawing>
        <w:t>Investment Portfolio</w:t>
      </w:r>
    </w:p>
    <w:p>
      <w:pPr>
        <w:spacing w:after="0" w:line="121" w:lineRule="exact"/>
        <w:rPr>
          <w:sz w:val="20"/>
          <w:szCs w:val="20"/>
          <w:color w:val="auto"/>
        </w:rPr>
      </w:pPr>
    </w:p>
    <w:p>
      <w:pPr>
        <w:ind w:right="20" w:firstLine="426"/>
        <w:spacing w:after="0" w:line="293"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64" w:lineRule="exact"/>
        <w:rPr>
          <w:sz w:val="20"/>
          <w:szCs w:val="20"/>
          <w:color w:val="auto"/>
        </w:rPr>
      </w:pPr>
    </w:p>
    <w:p>
      <w:pPr>
        <w:ind w:firstLine="426"/>
        <w:spacing w:after="0" w:line="259" w:lineRule="auto"/>
        <w:rPr>
          <w:sz w:val="20"/>
          <w:szCs w:val="20"/>
          <w:color w:val="auto"/>
        </w:rPr>
      </w:pPr>
      <w:r>
        <w:rPr>
          <w:rFonts w:ascii="Arial" w:cs="Arial" w:eastAsia="Arial" w:hAnsi="Arial"/>
          <w:sz w:val="18"/>
          <w:szCs w:val="18"/>
          <w:color w:val="auto"/>
        </w:rPr>
        <w:t>As of September 30, 2022, based on fair value our portfolio consisted of 90.4% first-lien debt investments, 1.5% second-lien debt investments, 0.4% mezzanine debt investments, and 7.7% equity and other investments. As of September 30, 2022, 98.9% of our debt investments based on fair value bore interest at floating rates, with 100.0% of these subject to interest rate floors, which we believe helps act as a portfolio-wide hedge against inflation.</w:t>
      </w:r>
    </w:p>
    <w:p>
      <w:pPr>
        <w:spacing w:after="0" w:line="187" w:lineRule="exact"/>
        <w:rPr>
          <w:sz w:val="20"/>
          <w:szCs w:val="20"/>
          <w:color w:val="auto"/>
        </w:rPr>
      </w:pPr>
    </w:p>
    <w:p>
      <w:pPr>
        <w:jc w:val="both"/>
        <w:ind w:right="220" w:firstLine="426"/>
        <w:spacing w:after="0" w:line="286" w:lineRule="auto"/>
        <w:rPr>
          <w:sz w:val="20"/>
          <w:szCs w:val="20"/>
          <w:color w:val="auto"/>
        </w:rPr>
      </w:pPr>
      <w:r>
        <w:rPr>
          <w:rFonts w:ascii="Arial" w:cs="Arial" w:eastAsia="Arial" w:hAnsi="Arial"/>
          <w:sz w:val="17"/>
          <w:szCs w:val="17"/>
          <w:color w:val="auto"/>
        </w:rPr>
        <w:t>As of September 30, 2022, we had investments in 118 portfolio companies with an aggregate fair value of $2,806.1 million. For the three months ended September 30, 2022, the principal amount of new investments funded was $274.4 million in twenty-five new portfolio companies and six existing portfolio companies. For this period, we had $15.8 million aggregate principal amount in exits and repayments.</w:t>
      </w:r>
    </w:p>
    <w:p>
      <w:pPr>
        <w:spacing w:after="0" w:line="165" w:lineRule="exact"/>
        <w:rPr>
          <w:sz w:val="20"/>
          <w:szCs w:val="20"/>
          <w:color w:val="auto"/>
        </w:rPr>
      </w:pPr>
    </w:p>
    <w:p>
      <w:pPr>
        <w:jc w:val="both"/>
        <w:ind w:right="340" w:firstLine="426"/>
        <w:spacing w:after="0" w:line="311" w:lineRule="auto"/>
        <w:rPr>
          <w:sz w:val="20"/>
          <w:szCs w:val="20"/>
          <w:color w:val="auto"/>
        </w:rPr>
      </w:pPr>
      <w:r>
        <w:rPr>
          <w:rFonts w:ascii="Arial" w:cs="Arial" w:eastAsia="Arial" w:hAnsi="Arial"/>
          <w:sz w:val="16"/>
          <w:szCs w:val="16"/>
          <w:color w:val="auto"/>
        </w:rPr>
        <w:t>As of December 31, 2021, we had investments in 72 portfolio companies with an aggregate fair value of $2,521.6 million. For the three months ended September 30, 2021, the principal amount of new investments funded was $65.4 million in one new portfolio company and four existing portfolio companies. For this period, we had $283.7 million aggregate principal amount in exits and repayments.</w:t>
      </w:r>
    </w:p>
    <w:p>
      <w:pPr>
        <w:spacing w:after="0" w:line="149" w:lineRule="exact"/>
        <w:rPr>
          <w:sz w:val="20"/>
          <w:szCs w:val="20"/>
          <w:color w:val="auto"/>
        </w:rPr>
      </w:pPr>
    </w:p>
    <w:p>
      <w:pPr>
        <w:ind w:firstLine="426"/>
        <w:spacing w:after="0" w:line="296" w:lineRule="auto"/>
        <w:rPr>
          <w:sz w:val="20"/>
          <w:szCs w:val="20"/>
          <w:color w:val="auto"/>
        </w:rPr>
      </w:pPr>
      <w:r>
        <w:rPr>
          <w:rFonts w:ascii="Arial" w:cs="Arial" w:eastAsia="Arial" w:hAnsi="Arial"/>
          <w:sz w:val="16"/>
          <w:szCs w:val="16"/>
          <w:color w:val="auto"/>
        </w:rPr>
        <w:t>As of September 30, 2022, the largest single investment based on fair value represented 3.1% of our total investment portfolio. As of September 30, 2022, the average investment size in each of our portfolio companies was approximately $23.8 million based on fair value. Portfolio companies includes investments in structured products including each series of collateralized loan obligation as a portfolio company investment. When excluding investments in structured products the average investment in our remaining portfolio companies was approximately $36.7 million as of September 30, 2022. As of September 30, 2022, the largest industry represented 14.0% of our total portfolio based on fair value.</w:t>
      </w:r>
    </w:p>
    <w:p>
      <w:pPr>
        <w:spacing w:after="0" w:line="161" w:lineRule="exact"/>
        <w:rPr>
          <w:sz w:val="20"/>
          <w:szCs w:val="20"/>
          <w:color w:val="auto"/>
        </w:rPr>
      </w:pPr>
    </w:p>
    <w:p>
      <w:pPr>
        <w:ind w:right="60" w:firstLine="426"/>
        <w:spacing w:after="0" w:line="293" w:lineRule="auto"/>
        <w:rPr>
          <w:sz w:val="20"/>
          <w:szCs w:val="20"/>
          <w:color w:val="auto"/>
        </w:rPr>
      </w:pPr>
      <w:r>
        <w:rPr>
          <w:rFonts w:ascii="Arial" w:cs="Arial" w:eastAsia="Arial" w:hAnsi="Arial"/>
          <w:sz w:val="16"/>
          <w:szCs w:val="16"/>
          <w:color w:val="auto"/>
        </w:rPr>
        <w:t>Since we began investing in 2011 through September 30, 2022, weighted by capital invested, our exited investments have generated an average realized gross internal rate of return to us of 17.8% (based on total capital invested of $6.4 billion and total proceeds from these exited investments of $8.0 billion). Ninety-one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 Item 2 of our Quarterly Report on Form 10-Q for the three months ended September 30, 2022, which is incorporated by reference in this prospectus.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right="60" w:firstLine="426"/>
        <w:spacing w:after="0" w:line="277" w:lineRule="auto"/>
        <w:rPr>
          <w:sz w:val="20"/>
          <w:szCs w:val="20"/>
          <w:color w:val="auto"/>
        </w:rPr>
      </w:pPr>
      <w:r>
        <w:rPr>
          <w:rFonts w:ascii="Arial" w:cs="Arial" w:eastAsia="Arial" w:hAnsi="Arial"/>
          <w:sz w:val="18"/>
          <w:szCs w:val="18"/>
          <w:color w:val="auto"/>
        </w:rPr>
        <w:t>Sixth Street Specialty Lending, Inc. is a Delaware corporation formed on July 21, 2010. Sixth Street Specialty Lending Advisers, LLC is our external manager.</w:t>
      </w:r>
    </w:p>
    <w:p>
      <w:pPr>
        <w:spacing w:after="0" w:line="170" w:lineRule="exact"/>
        <w:rPr>
          <w:sz w:val="20"/>
          <w:szCs w:val="20"/>
          <w:color w:val="auto"/>
        </w:rPr>
      </w:pPr>
    </w:p>
    <w:p>
      <w:pPr>
        <w:ind w:firstLine="426"/>
        <w:spacing w:after="0" w:line="259"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Annual Report on Form 10-K for the year ended December 31, 2021 (the “2021 Annual Report”) for more information on these requirements.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00"/>
          </w:cols>
          <w:pgMar w:left="620" w:top="688" w:right="6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0413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174865" cy="6041390"/>
                    </a:xfrm>
                    <a:prstGeom prst="rect">
                      <a:avLst/>
                    </a:prstGeom>
                    <a:noFill/>
                  </pic:spPr>
                </pic:pic>
              </a:graphicData>
            </a:graphic>
          </wp:anchor>
        </w:drawing>
        <w:t>About Our Adviser</w:t>
      </w:r>
    </w:p>
    <w:p>
      <w:pPr>
        <w:spacing w:after="0" w:line="121" w:lineRule="exact"/>
        <w:rPr>
          <w:sz w:val="20"/>
          <w:szCs w:val="20"/>
          <w:color w:val="auto"/>
        </w:rPr>
      </w:pPr>
    </w:p>
    <w:p>
      <w:pPr>
        <w:ind w:right="420" w:firstLine="426"/>
        <w:spacing w:after="0" w:line="263"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Securities and Exchange Commission (the “SEC”) under the Investment Advisers Act of 1940, as amended, or the Advisers Act.</w:t>
      </w:r>
    </w:p>
    <w:p>
      <w:pPr>
        <w:spacing w:after="0" w:line="184" w:lineRule="exact"/>
        <w:rPr>
          <w:sz w:val="20"/>
          <w:szCs w:val="20"/>
          <w:color w:val="auto"/>
        </w:rPr>
      </w:pPr>
    </w:p>
    <w:p>
      <w:pPr>
        <w:ind w:right="60" w:firstLine="426"/>
        <w:spacing w:after="0" w:line="257"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Partners, LLC or “Sixth Street.”</w:t>
      </w:r>
    </w:p>
    <w:p>
      <w:pPr>
        <w:spacing w:after="0" w:line="188" w:lineRule="exact"/>
        <w:rPr>
          <w:sz w:val="20"/>
          <w:szCs w:val="20"/>
          <w:color w:val="auto"/>
        </w:rPr>
      </w:pPr>
    </w:p>
    <w:p>
      <w:pPr>
        <w:ind w:right="40" w:firstLine="426"/>
        <w:spacing w:after="0" w:line="269" w:lineRule="auto"/>
        <w:rPr>
          <w:sz w:val="20"/>
          <w:szCs w:val="20"/>
          <w:color w:val="auto"/>
        </w:rPr>
      </w:pPr>
      <w:r>
        <w:rPr>
          <w:rFonts w:ascii="Arial" w:cs="Arial" w:eastAsia="Arial" w:hAnsi="Arial"/>
          <w:sz w:val="17"/>
          <w:szCs w:val="17"/>
          <w:color w:val="auto"/>
        </w:rPr>
        <w:t>Sixth Street is a global investment business with approximately $60 billion of assets under management as of September 30, 2022. Sixth Street’s core platforms include Sixth Street Specialty Lending,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460 investment and operating professionals. As of September 30, 2022, forty-one (41) of these personnel are dedicated to our business, including thirty-three (33) investment professionals.</w:t>
      </w:r>
    </w:p>
    <w:p>
      <w:pPr>
        <w:spacing w:after="0" w:line="182" w:lineRule="exact"/>
        <w:rPr>
          <w:sz w:val="20"/>
          <w:szCs w:val="20"/>
          <w:color w:val="auto"/>
        </w:rPr>
      </w:pPr>
    </w:p>
    <w:p>
      <w:pPr>
        <w:ind w:firstLine="426"/>
        <w:spacing w:after="0" w:line="293" w:lineRule="auto"/>
        <w:rPr>
          <w:sz w:val="20"/>
          <w:szCs w:val="20"/>
          <w:color w:val="auto"/>
        </w:rPr>
      </w:pPr>
      <w:r>
        <w:rPr>
          <w:rFonts w:ascii="Arial" w:cs="Arial" w:eastAsia="Arial" w:hAnsi="Arial"/>
          <w:sz w:val="16"/>
          <w:szCs w:val="16"/>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64" w:lineRule="exact"/>
        <w:rPr>
          <w:sz w:val="20"/>
          <w:szCs w:val="20"/>
          <w:color w:val="auto"/>
        </w:rPr>
      </w:pPr>
    </w:p>
    <w:p>
      <w:pPr>
        <w:ind w:right="40" w:firstLine="426"/>
        <w:spacing w:after="0" w:line="275" w:lineRule="auto"/>
        <w:rPr>
          <w:sz w:val="20"/>
          <w:szCs w:val="20"/>
          <w:color w:val="auto"/>
        </w:rPr>
      </w:pPr>
      <w:r>
        <w:rPr>
          <w:rFonts w:ascii="Arial" w:cs="Arial" w:eastAsia="Arial" w:hAnsi="Arial"/>
          <w:sz w:val="17"/>
          <w:szCs w:val="17"/>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Our Administrator</w:t>
      </w:r>
    </w:p>
    <w:p>
      <w:pPr>
        <w:spacing w:after="0" w:line="121" w:lineRule="exact"/>
        <w:rPr>
          <w:sz w:val="20"/>
          <w:szCs w:val="20"/>
          <w:color w:val="auto"/>
        </w:rPr>
      </w:pPr>
    </w:p>
    <w:p>
      <w:pPr>
        <w:jc w:val="both"/>
        <w:ind w:right="200" w:firstLine="426"/>
        <w:spacing w:after="0" w:line="311" w:lineRule="auto"/>
        <w:rPr>
          <w:sz w:val="20"/>
          <w:szCs w:val="20"/>
          <w:color w:val="auto"/>
        </w:rPr>
      </w:pPr>
      <w:r>
        <w:rPr>
          <w:rFonts w:ascii="Arial" w:cs="Arial" w:eastAsia="Arial" w:hAnsi="Arial"/>
          <w:sz w:val="16"/>
          <w:szCs w:val="16"/>
          <w:color w:val="auto"/>
        </w:rPr>
        <w:t>On March 15, 2011, we entered into the Administration Agreement with our Adviser (the “Administration Agreement”). Under the terms of the Administration Agreement, the Adviser acts as our administrator and provides administrative services to us. These services include providing office space, equipment and office services, maintaining financial records, preparing reports to stockholders and reports filed with the SEC, and</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60"/>
          </w:cols>
          <w:pgMar w:left="620" w:top="688" w:right="619" w:bottom="1440" w:gutter="0" w:footer="0" w:header="0"/>
        </w:sectPr>
      </w:pPr>
    </w:p>
    <w:bookmarkStart w:id="43" w:name="page44"/>
    <w:bookmarkEnd w:id="43"/>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9728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74865" cy="5972810"/>
                    </a:xfrm>
                    <a:prstGeom prst="rect">
                      <a:avLst/>
                    </a:prstGeom>
                    <a:noFill/>
                  </pic:spPr>
                </pic:pic>
              </a:graphicData>
            </a:graphic>
          </wp:anchor>
        </w:drawing>
        <w:t>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for certain expenses incurred by any such affiliates or third parties for work done on our behalf.</w:t>
      </w:r>
    </w:p>
    <w:p>
      <w:pPr>
        <w:spacing w:after="0" w:line="187" w:lineRule="exact"/>
        <w:rPr>
          <w:sz w:val="20"/>
          <w:szCs w:val="20"/>
          <w:color w:val="auto"/>
        </w:rPr>
      </w:pPr>
    </w:p>
    <w:p>
      <w:pPr>
        <w:ind w:firstLine="426"/>
        <w:spacing w:after="0" w:line="263" w:lineRule="auto"/>
        <w:rPr>
          <w:sz w:val="20"/>
          <w:szCs w:val="20"/>
          <w:color w:val="auto"/>
        </w:rPr>
      </w:pPr>
      <w:r>
        <w:rPr>
          <w:rFonts w:ascii="Arial" w:cs="Arial" w:eastAsia="Arial" w:hAnsi="Arial"/>
          <w:sz w:val="18"/>
          <w:szCs w:val="18"/>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84" w:lineRule="exact"/>
        <w:rPr>
          <w:sz w:val="20"/>
          <w:szCs w:val="20"/>
          <w:color w:val="auto"/>
        </w:rPr>
      </w:pPr>
    </w:p>
    <w:p>
      <w:pPr>
        <w:ind w:right="100" w:firstLine="426"/>
        <w:spacing w:after="0" w:line="263" w:lineRule="auto"/>
        <w:rPr>
          <w:sz w:val="20"/>
          <w:szCs w:val="20"/>
          <w:color w:val="auto"/>
        </w:rPr>
      </w:pPr>
      <w:r>
        <w:rPr>
          <w:rFonts w:ascii="Arial" w:cs="Arial" w:eastAsia="Arial" w:hAnsi="Arial"/>
          <w:sz w:val="18"/>
          <w:szCs w:val="18"/>
          <w:color w:val="auto"/>
        </w:rPr>
        <w:t>In November 2022, the Board renewed the Administration Agreement. Unless earlier terminated as described below, the Administration Agreement will remain in effect until November 2023, and may be extended subject to required approvals. The Administration Agreement may be terminated by either party without penalty on 60 days’ written notice to the other party.</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See the section entitled “Administration Agreement” in Note 3 to our consolidated financial statements in our 3Q 2022 Quarterly Report.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right="80" w:firstLine="426"/>
        <w:spacing w:after="0" w:line="308" w:lineRule="auto"/>
        <w:rPr>
          <w:sz w:val="20"/>
          <w:szCs w:val="20"/>
          <w:color w:val="auto"/>
        </w:rPr>
      </w:pPr>
      <w:r>
        <w:rPr>
          <w:rFonts w:ascii="Arial" w:cs="Arial" w:eastAsia="Arial" w:hAnsi="Arial"/>
          <w:sz w:val="17"/>
          <w:szCs w:val="17"/>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46" w:lineRule="exact"/>
        <w:rPr>
          <w:sz w:val="20"/>
          <w:szCs w:val="20"/>
          <w:color w:val="auto"/>
        </w:rPr>
      </w:pPr>
    </w:p>
    <w:p>
      <w:pPr>
        <w:ind w:right="180" w:firstLine="426"/>
        <w:spacing w:after="0" w:line="270" w:lineRule="auto"/>
        <w:rPr>
          <w:sz w:val="20"/>
          <w:szCs w:val="20"/>
          <w:color w:val="auto"/>
        </w:rPr>
      </w:pPr>
      <w:r>
        <w:rPr>
          <w:rFonts w:ascii="Arial" w:cs="Arial" w:eastAsia="Arial" w:hAnsi="Arial"/>
          <w:sz w:val="17"/>
          <w:szCs w:val="17"/>
          <w:i w:val="1"/>
          <w:iCs w:val="1"/>
          <w:color w:val="auto"/>
        </w:rPr>
        <w:t>Limited availability of capital for middle-market companies</w:t>
      </w:r>
      <w:r>
        <w:rPr>
          <w:rFonts w:ascii="Arial" w:cs="Arial" w:eastAsia="Arial" w:hAnsi="Arial"/>
          <w:sz w:val="17"/>
          <w:szCs w:val="17"/>
          <w:color w:val="auto"/>
        </w:rPr>
        <w:t>. We believe that certain structural changes in the market have reduced the</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regulations imposed by the Federal Reserve, the Office of the Comptroller of the Currency and the Federal Deposit Insurance Corporation, or FDIC, significantly increase capital and liquidity requirements for banks, decreasing their capacity to hold non-investment grade leveraged loans on their balance sheets. We believe these factors reduce the capacity of traditional lenders to serve this market segment and, as a result, increase the cost of borrowing for middle-market companies.</w:t>
      </w:r>
    </w:p>
    <w:p>
      <w:pPr>
        <w:spacing w:after="0" w:line="181" w:lineRule="exact"/>
        <w:rPr>
          <w:sz w:val="20"/>
          <w:szCs w:val="20"/>
          <w:color w:val="auto"/>
        </w:rPr>
      </w:pPr>
    </w:p>
    <w:p>
      <w:pPr>
        <w:ind w:right="80" w:firstLine="426"/>
        <w:spacing w:after="0" w:line="257" w:lineRule="auto"/>
        <w:rPr>
          <w:sz w:val="20"/>
          <w:szCs w:val="20"/>
          <w:color w:val="auto"/>
        </w:rPr>
      </w:pPr>
      <w:r>
        <w:rPr>
          <w:rFonts w:ascii="Arial" w:cs="Arial" w:eastAsia="Arial" w:hAnsi="Arial"/>
          <w:sz w:val="18"/>
          <w:szCs w:val="18"/>
          <w:i w:val="1"/>
          <w:iCs w:val="1"/>
          <w:color w:val="auto"/>
        </w:rPr>
        <w:t>Strong demand for debt capital</w:t>
      </w:r>
      <w:r>
        <w:rPr>
          <w:rFonts w:ascii="Arial" w:cs="Arial" w:eastAsia="Arial" w:hAnsi="Arial"/>
          <w:sz w:val="18"/>
          <w:szCs w:val="18"/>
          <w:color w:val="auto"/>
        </w:rPr>
        <w:t>. We believe middle-market companies will continue to require access to debt capital to refinance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debt, support growth and finance acquisitions. In addition, we believe the large amount of uninvested capital held by funds of private equity firms, estimated by Preqin Ltd., an alternative assets industry data and research company, at over $2.4 trillion as of December 1, 2022, will continue to drive deal activity. We expect that private equity firms will continue to pursue acquisitions and to seek to leverage their equity investments with secured loans provided by companies such as ours.</w:t>
      </w:r>
    </w:p>
    <w:p>
      <w:pPr>
        <w:spacing w:after="0" w:line="188" w:lineRule="exact"/>
        <w:rPr>
          <w:sz w:val="20"/>
          <w:szCs w:val="20"/>
          <w:color w:val="auto"/>
        </w:rPr>
      </w:pPr>
    </w:p>
    <w:p>
      <w:pPr>
        <w:ind w:right="80" w:firstLine="426"/>
        <w:spacing w:after="0" w:line="257" w:lineRule="auto"/>
        <w:rPr>
          <w:sz w:val="20"/>
          <w:szCs w:val="20"/>
          <w:color w:val="auto"/>
        </w:rPr>
      </w:pPr>
      <w:r>
        <w:rPr>
          <w:rFonts w:ascii="Arial" w:cs="Arial" w:eastAsia="Arial" w:hAnsi="Arial"/>
          <w:sz w:val="18"/>
          <w:szCs w:val="18"/>
          <w:i w:val="1"/>
          <w:iCs w:val="1"/>
          <w:color w:val="auto"/>
        </w:rPr>
        <w:t>Attractive investment dynamics</w:t>
      </w:r>
      <w:r>
        <w:rPr>
          <w:rFonts w:ascii="Arial" w:cs="Arial" w:eastAsia="Arial" w:hAnsi="Arial"/>
          <w:sz w:val="18"/>
          <w:szCs w:val="18"/>
          <w:color w:val="auto"/>
        </w:rPr>
        <w:t>. An imbalance between the supply of, and demand for, middle-market debt capital creates attractive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20"/>
          </w:cols>
          <w:pgMar w:left="620" w:top="692" w:right="659" w:bottom="1440" w:gutter="0" w:footer="0" w:header="0"/>
        </w:sectPr>
      </w:pPr>
    </w:p>
    <w:bookmarkStart w:id="44" w:name="page45"/>
    <w:bookmarkEnd w:id="44"/>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3239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74865" cy="6323965"/>
                    </a:xfrm>
                    <a:prstGeom prst="rect">
                      <a:avLst/>
                    </a:prstGeom>
                    <a:noFill/>
                  </pic:spPr>
                </pic:pic>
              </a:graphicData>
            </a:graphic>
          </wp:anchor>
        </w:drawing>
        <w:t>historical middle-market default rates have been lower, and recovery rates have been higher, as compared to the larger market capitalization, broadly distributed market, leading to lower cumulative losses.</w:t>
      </w:r>
    </w:p>
    <w:p>
      <w:pPr>
        <w:spacing w:after="0" w:line="170" w:lineRule="exact"/>
        <w:rPr>
          <w:sz w:val="20"/>
          <w:szCs w:val="20"/>
          <w:color w:val="auto"/>
        </w:rPr>
      </w:pPr>
    </w:p>
    <w:p>
      <w:pPr>
        <w:ind w:right="200" w:firstLine="426"/>
        <w:spacing w:after="0" w:line="275" w:lineRule="auto"/>
        <w:rPr>
          <w:sz w:val="20"/>
          <w:szCs w:val="20"/>
          <w:color w:val="auto"/>
        </w:rPr>
      </w:pPr>
      <w:r>
        <w:rPr>
          <w:rFonts w:ascii="Arial" w:cs="Arial" w:eastAsia="Arial" w:hAnsi="Arial"/>
          <w:sz w:val="17"/>
          <w:szCs w:val="17"/>
          <w:i w:val="1"/>
          <w:iCs w:val="1"/>
          <w:color w:val="auto"/>
        </w:rPr>
        <w:t>Conservative capital structures</w:t>
      </w:r>
      <w:r>
        <w:rPr>
          <w:rFonts w:ascii="Arial" w:cs="Arial" w:eastAsia="Arial" w:hAnsi="Arial"/>
          <w:sz w:val="17"/>
          <w:szCs w:val="17"/>
          <w:color w:val="auto"/>
        </w:rPr>
        <w:t>. Following the credit crisis, which we define broadly as occurring between mid-2007 and mid-2009,</w:t>
      </w:r>
      <w:r>
        <w:rPr>
          <w:rFonts w:ascii="Arial" w:cs="Arial" w:eastAsia="Arial" w:hAnsi="Arial"/>
          <w:sz w:val="17"/>
          <w:szCs w:val="17"/>
          <w:i w:val="1"/>
          <w:iCs w:val="1"/>
          <w:color w:val="auto"/>
        </w:rPr>
        <w:t xml:space="preserve"> </w:t>
      </w:r>
      <w:r>
        <w:rPr>
          <w:rFonts w:ascii="Arial" w:cs="Arial" w:eastAsia="Arial" w:hAnsi="Arial"/>
          <w:sz w:val="17"/>
          <w:szCs w:val="17"/>
          <w:color w:val="auto"/>
        </w:rPr>
        <w:t>borrowers 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76" w:lineRule="exact"/>
        <w:rPr>
          <w:sz w:val="20"/>
          <w:szCs w:val="20"/>
          <w:color w:val="auto"/>
        </w:rPr>
      </w:pPr>
    </w:p>
    <w:p>
      <w:pPr>
        <w:ind w:right="20" w:firstLine="426"/>
        <w:spacing w:after="0" w:line="279" w:lineRule="auto"/>
        <w:rPr>
          <w:sz w:val="20"/>
          <w:szCs w:val="20"/>
          <w:color w:val="auto"/>
        </w:rPr>
      </w:pPr>
      <w:r>
        <w:rPr>
          <w:rFonts w:ascii="Arial" w:cs="Arial" w:eastAsia="Arial" w:hAnsi="Arial"/>
          <w:sz w:val="17"/>
          <w:szCs w:val="17"/>
          <w:i w:val="1"/>
          <w:iCs w:val="1"/>
          <w:color w:val="auto"/>
        </w:rPr>
        <w:t>Specialized lending requirements</w:t>
      </w:r>
      <w:r>
        <w:rPr>
          <w:rFonts w:ascii="Arial" w:cs="Arial" w:eastAsia="Arial" w:hAnsi="Arial"/>
          <w:sz w:val="17"/>
          <w:szCs w:val="17"/>
          <w:color w:val="auto"/>
        </w:rPr>
        <w:t>. Lending to middle-market companies requires specialized due diligence and underwriting capabilities, as</w:t>
      </w:r>
      <w:r>
        <w:rPr>
          <w:rFonts w:ascii="Arial" w:cs="Arial" w:eastAsia="Arial" w:hAnsi="Arial"/>
          <w:sz w:val="17"/>
          <w:szCs w:val="17"/>
          <w:i w:val="1"/>
          <w:iCs w:val="1"/>
          <w:color w:val="auto"/>
        </w:rPr>
        <w:t xml:space="preserve"> </w:t>
      </w:r>
      <w:r>
        <w:rPr>
          <w:rFonts w:ascii="Arial" w:cs="Arial" w:eastAsia="Arial" w:hAnsi="Arial"/>
          <w:sz w:val="17"/>
          <w:szCs w:val="17"/>
          <w:color w:val="auto"/>
        </w:rPr>
        <w:t>well as extensive ongoing monitoring. Middle-market lending also is generally more labor-intensive than lending to larger companies due to smaller investment sizes and the lack of publicly available information on these companies. We believe the experience and resources of our Adviser and Sixth Street position us more strongly than many capital providers to lend to middle-market companies.</w:t>
      </w:r>
    </w:p>
    <w:p>
      <w:pPr>
        <w:spacing w:after="0" w:line="171" w:lineRule="exact"/>
        <w:rPr>
          <w:sz w:val="20"/>
          <w:szCs w:val="20"/>
          <w:color w:val="auto"/>
        </w:rPr>
      </w:pPr>
    </w:p>
    <w:p>
      <w:pPr>
        <w:ind w:right="100" w:firstLine="426"/>
        <w:spacing w:after="0" w:line="259" w:lineRule="auto"/>
        <w:rPr>
          <w:sz w:val="20"/>
          <w:szCs w:val="20"/>
          <w:color w:val="auto"/>
        </w:rPr>
      </w:pPr>
      <w:r>
        <w:rPr>
          <w:rFonts w:ascii="Arial" w:cs="Arial" w:eastAsia="Arial" w:hAnsi="Arial"/>
          <w:sz w:val="18"/>
          <w:szCs w:val="18"/>
          <w:i w:val="1"/>
          <w:iCs w:val="1"/>
          <w:color w:val="auto"/>
        </w:rPr>
        <w:t>Desirability of partnering with BDCs</w:t>
      </w:r>
      <w:r>
        <w:rPr>
          <w:rFonts w:ascii="Arial" w:cs="Arial" w:eastAsia="Arial" w:hAnsi="Arial"/>
          <w:sz w:val="18"/>
          <w:szCs w:val="18"/>
          <w:color w:val="auto"/>
        </w:rPr>
        <w:t>. We believe middle-market companies see advantages in raising capital from BDCs. BDCs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121" w:lineRule="exact"/>
        <w:rPr>
          <w:sz w:val="20"/>
          <w:szCs w:val="20"/>
          <w:color w:val="auto"/>
        </w:rPr>
      </w:pPr>
    </w:p>
    <w:p>
      <w:pPr>
        <w:ind w:firstLine="426"/>
        <w:spacing w:after="0" w:line="275" w:lineRule="auto"/>
        <w:rPr>
          <w:sz w:val="20"/>
          <w:szCs w:val="20"/>
          <w:color w:val="auto"/>
        </w:rPr>
      </w:pPr>
      <w:r>
        <w:rPr>
          <w:rFonts w:ascii="Arial" w:cs="Arial" w:eastAsia="Arial" w:hAnsi="Arial"/>
          <w:sz w:val="17"/>
          <w:szCs w:val="17"/>
          <w:i w:val="1"/>
          <w:iCs w:val="1"/>
          <w:color w:val="auto"/>
        </w:rPr>
        <w:t>Leading platform and access to proprietary deal flow</w:t>
      </w:r>
      <w:r>
        <w:rPr>
          <w:rFonts w:ascii="Arial" w:cs="Arial" w:eastAsia="Arial" w:hAnsi="Arial"/>
          <w:sz w:val="17"/>
          <w:szCs w:val="17"/>
          <w:color w:val="auto"/>
        </w:rPr>
        <w:t>. The substantial majority of our investments are not intermediated and are originated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the assistance of investment banks or other traditional Wall Street sources. Our Adviser has a dedicated team of 33 investment professionals responsible for originating, underwriting, executing and managing the assets of our direct lending transactions. This team is responsible for sourcing and executing opportunities directly, while leveraging the resources and expertise of the Sixth Street platform. The senior members of our Investment Team have over 360 years of collective experience as commercial dealmakers.</w:t>
      </w:r>
    </w:p>
    <w:p>
      <w:pPr>
        <w:spacing w:after="0" w:line="176" w:lineRule="exact"/>
        <w:rPr>
          <w:sz w:val="20"/>
          <w:szCs w:val="20"/>
          <w:color w:val="auto"/>
        </w:rPr>
      </w:pPr>
    </w:p>
    <w:p>
      <w:pPr>
        <w:ind w:right="240" w:firstLine="426"/>
        <w:spacing w:after="0" w:line="257" w:lineRule="auto"/>
        <w:rPr>
          <w:sz w:val="20"/>
          <w:szCs w:val="20"/>
          <w:color w:val="auto"/>
        </w:rPr>
      </w:pPr>
      <w:r>
        <w:rPr>
          <w:rFonts w:ascii="Arial" w:cs="Arial" w:eastAsia="Arial" w:hAnsi="Arial"/>
          <w:sz w:val="18"/>
          <w:szCs w:val="18"/>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88" w:lineRule="exact"/>
        <w:rPr>
          <w:sz w:val="20"/>
          <w:szCs w:val="20"/>
          <w:color w:val="auto"/>
        </w:rPr>
      </w:pPr>
    </w:p>
    <w:p>
      <w:pPr>
        <w:ind w:firstLine="426"/>
        <w:spacing w:after="0" w:line="263" w:lineRule="auto"/>
        <w:rPr>
          <w:sz w:val="20"/>
          <w:szCs w:val="20"/>
          <w:color w:val="auto"/>
        </w:rPr>
      </w:pPr>
      <w:r>
        <w:rPr>
          <w:rFonts w:ascii="Arial" w:cs="Arial" w:eastAsia="Arial" w:hAnsi="Arial"/>
          <w:sz w:val="18"/>
          <w:szCs w:val="18"/>
          <w:color w:val="auto"/>
        </w:rPr>
        <w:t>In addition, our Adviser draws upon the resources of Sixth Street in underwriting transactions, performing due diligence, managing assets and optimizing our operations as a public company. Access to Sixth Street resources complements our Adviser’s view of markets and provides insight into important cyclical patterns.</w:t>
      </w:r>
    </w:p>
    <w:p>
      <w:pPr>
        <w:spacing w:after="0" w:line="184" w:lineRule="exact"/>
        <w:rPr>
          <w:sz w:val="20"/>
          <w:szCs w:val="20"/>
          <w:color w:val="auto"/>
        </w:rPr>
      </w:pPr>
    </w:p>
    <w:p>
      <w:pPr>
        <w:jc w:val="both"/>
        <w:ind w:right="360" w:firstLine="426"/>
        <w:spacing w:after="0" w:line="259" w:lineRule="auto"/>
        <w:rPr>
          <w:sz w:val="20"/>
          <w:szCs w:val="20"/>
          <w:color w:val="auto"/>
        </w:rPr>
      </w:pPr>
      <w:r>
        <w:rPr>
          <w:rFonts w:ascii="Arial" w:cs="Arial" w:eastAsia="Arial" w:hAnsi="Arial"/>
          <w:sz w:val="18"/>
          <w:szCs w:val="18"/>
          <w:i w:val="1"/>
          <w:iCs w:val="1"/>
          <w:color w:val="auto"/>
        </w:rPr>
        <w:t>Disciplined investment and underwriting process</w:t>
      </w:r>
      <w:r>
        <w:rPr>
          <w:rFonts w:ascii="Arial" w:cs="Arial" w:eastAsia="Arial" w:hAnsi="Arial"/>
          <w:sz w:val="18"/>
          <w:szCs w:val="18"/>
          <w:color w:val="auto"/>
        </w:rPr>
        <w:t>. Through our Adviser, we seek to achieve the highest risk-adjusted returns available as</w:t>
      </w:r>
      <w:r>
        <w:rPr>
          <w:rFonts w:ascii="Arial" w:cs="Arial" w:eastAsia="Arial" w:hAnsi="Arial"/>
          <w:sz w:val="18"/>
          <w:szCs w:val="18"/>
          <w:i w:val="1"/>
          <w:iCs w:val="1"/>
          <w:color w:val="auto"/>
        </w:rPr>
        <w:t xml:space="preserve"> </w:t>
      </w:r>
      <w:r>
        <w:rPr>
          <w:rFonts w:ascii="Arial" w:cs="Arial" w:eastAsia="Arial" w:hAnsi="Arial"/>
          <w:sz w:val="18"/>
          <w:szCs w:val="18"/>
          <w:color w:val="auto"/>
        </w:rPr>
        <w:t>opposed to 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92" w:lineRule="exact"/>
        <w:rPr>
          <w:sz w:val="20"/>
          <w:szCs w:val="20"/>
          <w:color w:val="auto"/>
        </w:rPr>
      </w:pPr>
    </w:p>
    <w:p>
      <w:pPr>
        <w:ind w:left="960" w:right="320" w:hanging="433"/>
        <w:spacing w:after="0" w:line="277"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Sixth Street allow us to determine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market opportunities and identify relative value.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640"/>
          </w:cols>
          <w:pgMar w:left="620" w:top="692" w:right="639" w:bottom="1440" w:gutter="0" w:footer="0" w:header="0"/>
        </w:sectPr>
      </w:pPr>
    </w:p>
    <w:bookmarkStart w:id="45" w:name="page46"/>
    <w:bookmarkEnd w:id="45"/>
    <w:p>
      <w:pPr>
        <w:ind w:left="960" w:right="160" w:hanging="433"/>
        <w:spacing w:after="0" w:line="275" w:lineRule="auto"/>
        <w:tabs>
          <w:tab w:leader="none" w:pos="96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1614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74865" cy="6161405"/>
                    </a:xfrm>
                    <a:prstGeom prst="rect">
                      <a:avLst/>
                    </a:prstGeom>
                    <a:noFill/>
                  </pic:spPr>
                </pic:pic>
              </a:graphicData>
            </a:graphic>
          </wp:anchor>
        </w:drawing>
        <w:t>Risk pricing</w:t>
      </w:r>
      <w:r>
        <w:rPr>
          <w:rFonts w:ascii="Arial" w:cs="Arial" w:eastAsia="Arial" w:hAnsi="Arial"/>
          <w:sz w:val="17"/>
          <w:szCs w:val="17"/>
          <w:color w:val="auto"/>
        </w:rPr>
        <w:t>. The risk profile of our portfolio evolves across credit cycles as credit tightens and loosens. During periods when risk</w:t>
      </w:r>
      <w:r>
        <w:rPr>
          <w:rFonts w:ascii="Arial" w:cs="Arial" w:eastAsia="Arial" w:hAnsi="Arial"/>
          <w:sz w:val="17"/>
          <w:szCs w:val="17"/>
          <w:i w:val="1"/>
          <w:iCs w:val="1"/>
          <w:color w:val="auto"/>
        </w:rPr>
        <w:t xml:space="preserve"> </w:t>
      </w:r>
      <w:r>
        <w:rPr>
          <w:rFonts w:ascii="Arial" w:cs="Arial" w:eastAsia="Arial" w:hAnsi="Arial"/>
          <w:sz w:val="17"/>
          <w:szCs w:val="17"/>
          <w:color w:val="auto"/>
        </w:rPr>
        <w:t>premiums 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81" w:lineRule="exact"/>
        <w:rPr>
          <w:rFonts w:ascii="Arial" w:cs="Arial" w:eastAsia="Arial" w:hAnsi="Arial"/>
          <w:sz w:val="17"/>
          <w:szCs w:val="17"/>
          <w:color w:val="auto"/>
        </w:rPr>
      </w:pPr>
    </w:p>
    <w:p>
      <w:pPr>
        <w:ind w:left="960" w:right="320" w:hanging="433"/>
        <w:spacing w:after="0" w:line="277"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w:t>
      </w:r>
      <w:r>
        <w:rPr>
          <w:rFonts w:ascii="Arial" w:cs="Arial" w:eastAsia="Arial" w:hAnsi="Arial"/>
          <w:sz w:val="18"/>
          <w:szCs w:val="18"/>
          <w:i w:val="1"/>
          <w:iCs w:val="1"/>
          <w:color w:val="auto"/>
        </w:rPr>
        <w:t xml:space="preserve"> </w:t>
      </w:r>
      <w:r>
        <w:rPr>
          <w:rFonts w:ascii="Arial" w:cs="Arial" w:eastAsia="Arial" w:hAnsi="Arial"/>
          <w:sz w:val="18"/>
          <w:szCs w:val="18"/>
          <w:color w:val="auto"/>
        </w:rPr>
        <w:t>four-tiered investment framework:</w:t>
      </w:r>
    </w:p>
    <w:p>
      <w:pPr>
        <w:spacing w:after="0" w:line="75" w:lineRule="exact"/>
        <w:rPr>
          <w:rFonts w:ascii="Arial" w:cs="Arial" w:eastAsia="Arial" w:hAnsi="Arial"/>
          <w:sz w:val="18"/>
          <w:szCs w:val="18"/>
          <w:color w:val="auto"/>
        </w:rPr>
      </w:pPr>
    </w:p>
    <w:p>
      <w:pPr>
        <w:ind w:left="1380" w:right="100" w:hanging="320"/>
        <w:spacing w:after="0" w:line="255" w:lineRule="auto"/>
        <w:tabs>
          <w:tab w:leader="none" w:pos="1380"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Business and sector selection</w:t>
      </w:r>
      <w:r>
        <w:rPr>
          <w:rFonts w:ascii="Arial" w:cs="Arial" w:eastAsia="Arial" w:hAnsi="Arial"/>
          <w:sz w:val="18"/>
          <w:szCs w:val="18"/>
          <w:color w:val="auto"/>
        </w:rPr>
        <w:t>. We focus on companies with enterprise value between $50 million and $1 billion. When</w:t>
      </w:r>
      <w:r>
        <w:rPr>
          <w:rFonts w:ascii="Arial" w:cs="Arial" w:eastAsia="Arial" w:hAnsi="Arial"/>
          <w:sz w:val="18"/>
          <w:szCs w:val="18"/>
          <w:i w:val="1"/>
          <w:iCs w:val="1"/>
          <w:color w:val="auto"/>
        </w:rPr>
        <w:t xml:space="preserve"> </w:t>
      </w:r>
      <w:r>
        <w:rPr>
          <w:rFonts w:ascii="Arial" w:cs="Arial" w:eastAsia="Arial" w:hAnsi="Arial"/>
          <w:sz w:val="18"/>
          <w:szCs w:val="18"/>
          <w:color w:val="auto"/>
        </w:rPr>
        <w:t>reviewing 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97" w:lineRule="exact"/>
        <w:rPr>
          <w:rFonts w:ascii="Arial" w:cs="Arial" w:eastAsia="Arial" w:hAnsi="Arial"/>
          <w:sz w:val="18"/>
          <w:szCs w:val="18"/>
          <w:color w:val="auto"/>
        </w:rPr>
      </w:pPr>
    </w:p>
    <w:p>
      <w:pPr>
        <w:ind w:left="1380" w:right="80" w:hanging="320"/>
        <w:spacing w:after="0" w:line="273" w:lineRule="auto"/>
        <w:tabs>
          <w:tab w:leader="none" w:pos="1380" w:val="left"/>
        </w:tabs>
        <w:numPr>
          <w:ilvl w:val="1"/>
          <w:numId w:val="31"/>
        </w:numPr>
        <w:rPr>
          <w:rFonts w:ascii="Arial" w:cs="Arial" w:eastAsia="Arial" w:hAnsi="Arial"/>
          <w:sz w:val="17"/>
          <w:szCs w:val="17"/>
          <w:color w:val="auto"/>
        </w:rPr>
      </w:pPr>
      <w:r>
        <w:rPr>
          <w:rFonts w:ascii="Arial" w:cs="Arial" w:eastAsia="Arial" w:hAnsi="Arial"/>
          <w:sz w:val="17"/>
          <w:szCs w:val="17"/>
          <w:i w:val="1"/>
          <w:iCs w:val="1"/>
          <w:color w:val="auto"/>
        </w:rPr>
        <w:t>Investment structuring</w:t>
      </w:r>
      <w:r>
        <w:rPr>
          <w:rFonts w:ascii="Arial" w:cs="Arial" w:eastAsia="Arial" w:hAnsi="Arial"/>
          <w:sz w:val="17"/>
          <w:szCs w:val="17"/>
          <w:color w:val="auto"/>
        </w:rPr>
        <w:t>. We focus on investing at the top of the capital structure and protecting that position. We carefully</w:t>
      </w:r>
      <w:r>
        <w:rPr>
          <w:rFonts w:ascii="Arial" w:cs="Arial" w:eastAsia="Arial" w:hAnsi="Arial"/>
          <w:sz w:val="17"/>
          <w:szCs w:val="17"/>
          <w:i w:val="1"/>
          <w:iCs w:val="1"/>
          <w:color w:val="auto"/>
        </w:rPr>
        <w:t xml:space="preserve"> </w:t>
      </w:r>
      <w:r>
        <w:rPr>
          <w:rFonts w:ascii="Arial" w:cs="Arial" w:eastAsia="Arial" w:hAnsi="Arial"/>
          <w:sz w:val="17"/>
          <w:szCs w:val="17"/>
          <w:color w:val="auto"/>
        </w:rPr>
        <w:t>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83" w:lineRule="exact"/>
        <w:rPr>
          <w:rFonts w:ascii="Arial" w:cs="Arial" w:eastAsia="Arial" w:hAnsi="Arial"/>
          <w:sz w:val="17"/>
          <w:szCs w:val="17"/>
          <w:color w:val="auto"/>
        </w:rPr>
      </w:pPr>
    </w:p>
    <w:p>
      <w:pPr>
        <w:ind w:left="1380" w:right="120" w:hanging="320"/>
        <w:spacing w:after="0" w:line="259" w:lineRule="auto"/>
        <w:tabs>
          <w:tab w:leader="none" w:pos="1380"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Deal dynamics</w:t>
      </w:r>
      <w:r>
        <w:rPr>
          <w:rFonts w:ascii="Arial" w:cs="Arial" w:eastAsia="Arial" w:hAnsi="Arial"/>
          <w:sz w:val="18"/>
          <w:szCs w:val="18"/>
          <w:color w:val="auto"/>
        </w:rPr>
        <w:t>. We focus on, among other deal dynamics, direct origination of investments, where we identify and lead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92" w:lineRule="exact"/>
        <w:rPr>
          <w:rFonts w:ascii="Arial" w:cs="Arial" w:eastAsia="Arial" w:hAnsi="Arial"/>
          <w:sz w:val="18"/>
          <w:szCs w:val="18"/>
          <w:color w:val="auto"/>
        </w:rPr>
      </w:pPr>
    </w:p>
    <w:p>
      <w:pPr>
        <w:jc w:val="both"/>
        <w:ind w:left="1380" w:right="80" w:hanging="320"/>
        <w:spacing w:after="0" w:line="263" w:lineRule="auto"/>
        <w:tabs>
          <w:tab w:leader="none" w:pos="1380"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Risk Mitigation</w:t>
      </w:r>
      <w:r>
        <w:rPr>
          <w:rFonts w:ascii="Arial" w:cs="Arial" w:eastAsia="Arial" w:hAnsi="Arial"/>
          <w:sz w:val="18"/>
          <w:szCs w:val="18"/>
          <w:color w:val="auto"/>
        </w:rPr>
        <w:t>. We seek to mitigate non-credit-related risk on our returns in several ways, including call protection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to protect future payment income. In addition, most of our investments are floating rate in nature, which we believe helps act as a portfolio-wide hedge against inflation.</w:t>
      </w:r>
    </w:p>
    <w:p>
      <w:pPr>
        <w:spacing w:after="0" w:line="89" w:lineRule="exact"/>
        <w:rPr>
          <w:rFonts w:ascii="Arial" w:cs="Arial" w:eastAsia="Arial" w:hAnsi="Arial"/>
          <w:sz w:val="18"/>
          <w:szCs w:val="18"/>
          <w:color w:val="auto"/>
        </w:rPr>
      </w:pPr>
    </w:p>
    <w:p>
      <w:pPr>
        <w:ind w:left="960" w:right="160" w:hanging="433"/>
        <w:spacing w:after="0" w:line="263"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w:t>
      </w:r>
      <w:r>
        <w:rPr>
          <w:rFonts w:ascii="Arial" w:cs="Arial" w:eastAsia="Arial" w:hAnsi="Arial"/>
          <w:sz w:val="18"/>
          <w:szCs w:val="18"/>
          <w:i w:val="1"/>
          <w:iCs w:val="1"/>
          <w:color w:val="auto"/>
        </w:rPr>
        <w:t xml:space="preserve"> </w:t>
      </w:r>
      <w:r>
        <w:rPr>
          <w:rFonts w:ascii="Arial" w:cs="Arial" w:eastAsia="Arial" w:hAnsi="Arial"/>
          <w:sz w:val="18"/>
          <w:szCs w:val="18"/>
          <w:color w:val="auto"/>
        </w:rPr>
        <w:t>of proactively identifying sector and operational issues and carefully managing risks. The information gathered on market trends through this process also informs our underwriting for new loans.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tailor investments rather than focusing only on driving investment volume.</w:t>
      </w:r>
    </w:p>
    <w:p>
      <w:pPr>
        <w:spacing w:after="0" w:line="225" w:lineRule="exact"/>
        <w:rPr>
          <w:sz w:val="20"/>
          <w:szCs w:val="20"/>
          <w:color w:val="auto"/>
        </w:rPr>
      </w:pPr>
    </w:p>
    <w:p>
      <w:pPr>
        <w:ind w:firstLine="426"/>
        <w:spacing w:after="0" w:line="254" w:lineRule="auto"/>
        <w:rPr>
          <w:sz w:val="20"/>
          <w:szCs w:val="20"/>
          <w:color w:val="auto"/>
        </w:rPr>
      </w:pPr>
      <w:r>
        <w:rPr>
          <w:rFonts w:ascii="Arial" w:cs="Arial" w:eastAsia="Arial" w:hAnsi="Arial"/>
          <w:sz w:val="18"/>
          <w:szCs w:val="18"/>
          <w:i w:val="1"/>
          <w:iCs w:val="1"/>
          <w:color w:val="auto"/>
        </w:rPr>
        <w:t xml:space="preserve">Carefully constructed, existing portfolio consisting of predominantly senior, floating rate loans across a broad range of industries and borrowers. </w:t>
      </w:r>
      <w:r>
        <w:rPr>
          <w:rFonts w:ascii="Arial" w:cs="Arial" w:eastAsia="Arial" w:hAnsi="Arial"/>
          <w:sz w:val="18"/>
          <w:szCs w:val="18"/>
          <w:color w:val="auto"/>
        </w:rPr>
        <w:t>Since we began investing in July 2011, we have originated more than $23.9 billion aggregate principal amount of investments. As of</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we had a portfolio of investments in 118 portfolio investments with an aggregate fair value of $2,806.1 million that we believe exhibits strong credit quality and broad industry composition. As of September 30, 2022, 98.9% of our debt investments based on fair value bore interest at floating rates, with 100.0% of these subject to interest rate floors, and 90.4% of the fair value of our portfolio was invested in first-lien debt investments. We believe this portfolio will allow us to generate meaningful investment income, and consequently dividend income, for our stockholders.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640"/>
          </w:cols>
          <w:pgMar w:left="620" w:top="692" w:right="639" w:bottom="1440" w:gutter="0" w:footer="0" w:header="0"/>
        </w:sectPr>
      </w:pPr>
    </w:p>
    <w:bookmarkStart w:id="46" w:name="page47"/>
    <w:bookmarkEnd w:id="46"/>
    <w:p>
      <w:pPr>
        <w:ind w:firstLine="426"/>
        <w:spacing w:after="0" w:line="28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5352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35295"/>
                    </a:xfrm>
                    <a:prstGeom prst="rect">
                      <a:avLst/>
                    </a:prstGeom>
                    <a:noFill/>
                  </pic:spPr>
                </pic:pic>
              </a:graphicData>
            </a:graphic>
          </wp:anchor>
        </w:drawing>
        <w:t>Experienced management team</w:t>
      </w:r>
      <w:r>
        <w:rPr>
          <w:rFonts w:ascii="Arial" w:cs="Arial" w:eastAsia="Arial" w:hAnsi="Arial"/>
          <w:sz w:val="16"/>
          <w:szCs w:val="16"/>
          <w:color w:val="auto"/>
        </w:rPr>
        <w:t>. The Adviser has a highly experienced management team consisting of seven Sixth Street Partners and eight</w:t>
      </w:r>
      <w:r>
        <w:rPr>
          <w:rFonts w:ascii="Arial" w:cs="Arial" w:eastAsia="Arial" w:hAnsi="Arial"/>
          <w:sz w:val="16"/>
          <w:szCs w:val="16"/>
          <w:i w:val="1"/>
          <w:iCs w:val="1"/>
          <w:color w:val="auto"/>
        </w:rPr>
        <w:t xml:space="preserve"> </w:t>
      </w:r>
      <w:r>
        <w:rPr>
          <w:rFonts w:ascii="Arial" w:cs="Arial" w:eastAsia="Arial" w:hAnsi="Arial"/>
          <w:sz w:val="16"/>
          <w:szCs w:val="16"/>
          <w:color w:val="auto"/>
        </w:rPr>
        <w:t>Sixth Street Managing Directors, with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and Bo Stanley, who brings expertise in the software, payment systems, data infrastructure and business services sectors.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68" w:lineRule="exact"/>
        <w:rPr>
          <w:sz w:val="20"/>
          <w:szCs w:val="20"/>
          <w:color w:val="auto"/>
        </w:rPr>
      </w:pPr>
    </w:p>
    <w:p>
      <w:pPr>
        <w:jc w:val="both"/>
        <w:ind w:right="380" w:firstLine="426"/>
        <w:spacing w:after="0" w:line="263"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for our investment professionals is based on our returns, as opposed to transaction volume, which we believe fosters a focus on credit quality when originating investments.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right="120" w:firstLine="426"/>
        <w:spacing w:after="0" w:line="342" w:lineRule="auto"/>
        <w:rPr>
          <w:sz w:val="20"/>
          <w:szCs w:val="20"/>
          <w:color w:val="auto"/>
        </w:rPr>
      </w:pPr>
      <w:r>
        <w:rPr>
          <w:rFonts w:ascii="Arial" w:cs="Arial" w:eastAsia="Arial" w:hAnsi="Arial"/>
          <w:sz w:val="16"/>
          <w:szCs w:val="16"/>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a BDC, we are required to comply with numerous regulatory requirements:</w:t>
      </w:r>
    </w:p>
    <w:p>
      <w:pPr>
        <w:spacing w:after="0" w:line="131" w:lineRule="exact"/>
        <w:rPr>
          <w:sz w:val="20"/>
          <w:szCs w:val="20"/>
          <w:color w:val="auto"/>
        </w:rPr>
      </w:pPr>
    </w:p>
    <w:p>
      <w:pPr>
        <w:ind w:left="960" w:hanging="433"/>
        <w:spacing w:after="0" w:line="293" w:lineRule="auto"/>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Leverage</w:t>
      </w:r>
      <w:r>
        <w:rPr>
          <w:rFonts w:ascii="Arial" w:cs="Arial" w:eastAsia="Arial" w:hAnsi="Arial"/>
          <w:sz w:val="16"/>
          <w:szCs w:val="16"/>
          <w:color w:val="auto"/>
        </w:rPr>
        <w:t>. Regulations under the 1940 Act limit our ability to use borrowing, also known as leverage, in significant respects.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1940 Act, with certain limitations, we are allowed to borrow amounts such that our asset coverage, as defined in the 1940 Act, is at least 150% after such borrowing. 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See “Regulation as a Business Development Company” in Part I, Item 1 of our 2021 Annual Report.</w:t>
      </w:r>
    </w:p>
    <w:p>
      <w:pPr>
        <w:spacing w:after="0" w:line="69" w:lineRule="exact"/>
        <w:rPr>
          <w:rFonts w:ascii="Arial" w:cs="Arial" w:eastAsia="Arial" w:hAnsi="Arial"/>
          <w:sz w:val="16"/>
          <w:szCs w:val="16"/>
          <w:color w:val="auto"/>
        </w:rPr>
      </w:pPr>
    </w:p>
    <w:p>
      <w:pPr>
        <w:ind w:left="960" w:right="200" w:hanging="433"/>
        <w:spacing w:after="0" w:line="311" w:lineRule="auto"/>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Investment Allocation</w:t>
      </w:r>
      <w:r>
        <w:rPr>
          <w:rFonts w:ascii="Arial" w:cs="Arial" w:eastAsia="Arial" w:hAnsi="Arial"/>
          <w:sz w:val="16"/>
          <w:szCs w:val="16"/>
          <w:color w:val="auto"/>
        </w:rPr>
        <w:t>. As a BDC, we are required to invest at least 70% of our total assets in qualifying assets, which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securities of “eligible portfolio companies,” cash, cash equivalents, U.S. government securities and high-quality debt instruments maturing in one year or less from the time of investment. “Eligible portfolio companies” are defined in the 1940 Act as:</w:t>
      </w:r>
    </w:p>
    <w:p>
      <w:pPr>
        <w:spacing w:after="0" w:line="54" w:lineRule="exact"/>
        <w:rPr>
          <w:rFonts w:ascii="Arial" w:cs="Arial" w:eastAsia="Arial" w:hAnsi="Arial"/>
          <w:sz w:val="16"/>
          <w:szCs w:val="16"/>
          <w:color w:val="auto"/>
        </w:rPr>
      </w:pPr>
    </w:p>
    <w:p>
      <w:pPr>
        <w:ind w:left="1380" w:hanging="320"/>
        <w:spacing w:after="0"/>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private domestic operating companies;</w:t>
      </w:r>
    </w:p>
    <w:p>
      <w:pPr>
        <w:spacing w:after="0" w:line="130" w:lineRule="exact"/>
        <w:rPr>
          <w:rFonts w:ascii="Arial" w:cs="Arial" w:eastAsia="Arial" w:hAnsi="Arial"/>
          <w:sz w:val="18"/>
          <w:szCs w:val="18"/>
          <w:color w:val="auto"/>
        </w:rPr>
      </w:pPr>
    </w:p>
    <w:p>
      <w:pPr>
        <w:ind w:left="1380" w:right="280" w:hanging="320"/>
        <w:spacing w:after="0" w:line="263" w:lineRule="auto"/>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public domestic operating companies whose securities are not listed on a national securities exchange (e.g., the NYSE Amex Equities and The NASDAQ Global Market) or registered under the Securities Exchange Act of 1934, as amended, or the Exchange Act; and</w:t>
      </w:r>
    </w:p>
    <w:p>
      <w:pPr>
        <w:spacing w:after="0" w:line="89" w:lineRule="exact"/>
        <w:rPr>
          <w:rFonts w:ascii="Arial" w:cs="Arial" w:eastAsia="Arial" w:hAnsi="Arial"/>
          <w:sz w:val="18"/>
          <w:szCs w:val="18"/>
          <w:color w:val="auto"/>
        </w:rPr>
      </w:pPr>
    </w:p>
    <w:p>
      <w:pPr>
        <w:ind w:left="1380" w:hanging="320"/>
        <w:spacing w:after="0"/>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public domestic operating companies having a market capitalization of less than $250 million.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640"/>
          </w:cols>
          <w:pgMar w:left="620" w:top="692" w:right="639" w:bottom="1440" w:gutter="0" w:footer="0" w:header="0"/>
        </w:sectPr>
      </w:pPr>
    </w:p>
    <w:bookmarkStart w:id="47" w:name="page48"/>
    <w:bookmarkEnd w:id="47"/>
    <w:p>
      <w:pPr>
        <w:ind w:right="240" w:firstLine="42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7753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74865" cy="5775325"/>
                    </a:xfrm>
                    <a:prstGeom prst="rect">
                      <a:avLst/>
                    </a:prstGeom>
                    <a:noFill/>
                  </pic:spPr>
                </pic:pic>
              </a:graphicData>
            </a:graphic>
          </wp:anchor>
        </w:drawing>
        <w:t>Public domestic operating companies whose securities are quoted on the over-the-counter bulletin board and through OTC Markets Group, Inc. are not listed on a national securities exchange and, as a result, are eligible portfolio companies.</w:t>
      </w:r>
    </w:p>
    <w:p>
      <w:pPr>
        <w:spacing w:after="0" w:line="76" w:lineRule="exact"/>
        <w:rPr>
          <w:sz w:val="20"/>
          <w:szCs w:val="20"/>
          <w:color w:val="auto"/>
        </w:rPr>
      </w:pPr>
    </w:p>
    <w:p>
      <w:pPr>
        <w:ind w:left="960" w:right="100" w:hanging="433"/>
        <w:spacing w:after="0" w:line="263"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RIC Status</w:t>
      </w:r>
      <w:r>
        <w:rPr>
          <w:rFonts w:ascii="Arial" w:cs="Arial" w:eastAsia="Arial" w:hAnsi="Arial"/>
          <w:sz w:val="18"/>
          <w:szCs w:val="18"/>
          <w:color w:val="auto"/>
        </w:rPr>
        <w:t>. We have elected to be treated as a RIC for U.S. federal income tax purposes. To maintain our status as a RIC and to avoid</w:t>
      </w:r>
      <w:r>
        <w:rPr>
          <w:rFonts w:ascii="Arial" w:cs="Arial" w:eastAsia="Arial" w:hAnsi="Arial"/>
          <w:sz w:val="18"/>
          <w:szCs w:val="18"/>
          <w:i w:val="1"/>
          <w:iCs w:val="1"/>
          <w:color w:val="auto"/>
        </w:rPr>
        <w:t xml:space="preserve"> </w:t>
      </w:r>
      <w:r>
        <w:rPr>
          <w:rFonts w:ascii="Arial" w:cs="Arial" w:eastAsia="Arial" w:hAnsi="Arial"/>
          <w:sz w:val="18"/>
          <w:szCs w:val="18"/>
          <w:color w:val="auto"/>
        </w:rPr>
        <w:t>having our earnings subject to corporate-level U.S. federal income taxation, we must satisfy certain source of income, asset diversification and distribution requirements.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“Material U.S. Federal Income Tax Considerations.”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Leverage</w:t>
      </w:r>
    </w:p>
    <w:p>
      <w:pPr>
        <w:spacing w:after="0" w:line="121" w:lineRule="exact"/>
        <w:rPr>
          <w:sz w:val="20"/>
          <w:szCs w:val="20"/>
          <w:color w:val="auto"/>
        </w:rPr>
      </w:pPr>
    </w:p>
    <w:p>
      <w:pPr>
        <w:ind w:right="160" w:firstLine="426"/>
        <w:spacing w:after="0" w:line="259" w:lineRule="auto"/>
        <w:rPr>
          <w:sz w:val="20"/>
          <w:szCs w:val="20"/>
          <w:color w:val="auto"/>
        </w:rPr>
      </w:pPr>
      <w:r>
        <w:rPr>
          <w:rFonts w:ascii="Arial" w:cs="Arial" w:eastAsia="Arial" w:hAnsi="Arial"/>
          <w:sz w:val="18"/>
          <w:szCs w:val="18"/>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October 8, 2018, our stockholders approved the application of the minimum asset coverage ratio of 150% to us, as set forth in</w:t>
      </w:r>
    </w:p>
    <w:p>
      <w:pPr>
        <w:spacing w:after="0" w:line="3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55" w:lineRule="exact"/>
        <w:rPr>
          <w:sz w:val="20"/>
          <w:szCs w:val="20"/>
          <w:color w:val="auto"/>
        </w:rPr>
      </w:pPr>
    </w:p>
    <w:p>
      <w:pPr>
        <w:ind w:right="40" w:firstLine="426"/>
        <w:spacing w:after="0" w:line="291" w:lineRule="auto"/>
        <w:rPr>
          <w:sz w:val="20"/>
          <w:szCs w:val="20"/>
          <w:color w:val="auto"/>
        </w:rPr>
      </w:pPr>
      <w:r>
        <w:rPr>
          <w:rFonts w:ascii="Arial" w:cs="Arial" w:eastAsia="Arial" w:hAnsi="Arial"/>
          <w:sz w:val="16"/>
          <w:szCs w:val="16"/>
          <w:color w:val="auto"/>
        </w:rPr>
        <w:t>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For the three and nine months ended September 30, 2022, Management Fees of $0.2 million have been waived pursuant to the Leverage Waiver. For the three and nine months ended September 30, 2021, Management Fees of $0.1 million and $0.2 million have been waived pursuant to the Leverage Waiver.</w:t>
      </w:r>
    </w:p>
    <w:p>
      <w:pPr>
        <w:spacing w:after="0" w:line="166" w:lineRule="exact"/>
        <w:rPr>
          <w:sz w:val="20"/>
          <w:szCs w:val="20"/>
          <w:color w:val="auto"/>
        </w:rPr>
      </w:pPr>
    </w:p>
    <w:p>
      <w:pPr>
        <w:jc w:val="both"/>
        <w:ind w:right="80" w:firstLine="426"/>
        <w:spacing w:after="0" w:line="273" w:lineRule="auto"/>
        <w:rPr>
          <w:sz w:val="20"/>
          <w:szCs w:val="20"/>
          <w:color w:val="auto"/>
        </w:rPr>
      </w:pPr>
      <w:r>
        <w:rPr>
          <w:rFonts w:ascii="Arial" w:cs="Arial" w:eastAsia="Arial" w:hAnsi="Arial"/>
          <w:sz w:val="17"/>
          <w:szCs w:val="17"/>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78" w:lineRule="exact"/>
        <w:rPr>
          <w:sz w:val="20"/>
          <w:szCs w:val="20"/>
          <w:color w:val="auto"/>
        </w:rPr>
      </w:pPr>
    </w:p>
    <w:p>
      <w:pPr>
        <w:ind w:firstLine="426"/>
        <w:spacing w:after="0" w:line="279" w:lineRule="auto"/>
        <w:rPr>
          <w:sz w:val="20"/>
          <w:szCs w:val="20"/>
          <w:color w:val="auto"/>
        </w:rPr>
      </w:pPr>
      <w:r>
        <w:rPr>
          <w:rFonts w:ascii="Arial" w:cs="Arial" w:eastAsia="Arial" w:hAnsi="Arial"/>
          <w:sz w:val="17"/>
          <w:szCs w:val="17"/>
          <w:color w:val="auto"/>
        </w:rPr>
        <w:t>See “Business—General—Our Company”; and “Business—General—Regulation as a Business Development Company” in Part I, Item 1 of our 2021 Annual Report, as well as “Risk Factors—Legislation allows us to incur additional leverage,” “Risk Factors—We borrow money, which magnifies the potential for gain or loss and increases the risk of investing in us” and “Risk Factors—Risks Regulations governing our operation as a BDC affect our ability to, and the way in which we, raise additional capital” in Part II, Item 1A of our 3Q 2022 Quarterly Report.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660"/>
          </w:cols>
          <w:pgMar w:left="620" w:top="692" w:right="61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629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74865" cy="5629910"/>
                    </a:xfrm>
                    <a:prstGeom prst="rect">
                      <a:avLst/>
                    </a:prstGeom>
                    <a:noFill/>
                  </pic:spPr>
                </pic:pic>
              </a:graphicData>
            </a:graphic>
          </wp:anchor>
        </w:drawing>
        <w:t>Conflicts of Interests</w:t>
      </w:r>
    </w:p>
    <w:p>
      <w:pPr>
        <w:spacing w:after="0" w:line="121" w:lineRule="exact"/>
        <w:rPr>
          <w:sz w:val="20"/>
          <w:szCs w:val="20"/>
          <w:color w:val="auto"/>
        </w:rPr>
      </w:pPr>
    </w:p>
    <w:p>
      <w:pPr>
        <w:ind w:firstLine="426"/>
        <w:spacing w:after="0" w:line="286" w:lineRule="auto"/>
        <w:rPr>
          <w:sz w:val="20"/>
          <w:szCs w:val="20"/>
          <w:color w:val="auto"/>
        </w:rPr>
      </w:pPr>
      <w:r>
        <w:rPr>
          <w:rFonts w:ascii="Arial" w:cs="Arial" w:eastAsia="Arial" w:hAnsi="Arial"/>
          <w:sz w:val="16"/>
          <w:szCs w:val="16"/>
          <w:color w:val="auto"/>
        </w:rPr>
        <w:t>Certain members of the Adviser’s senior management and the Investment Review Committee are and will continue to be active in other investment funds affiliated with Sixth Street and its affiliates that pursue investment opportunities that could overlap with those pursued by us. However, the Adviser and its affiliates intend to allocate investment opportunities in a fair and equitable manner in accordance with their allocation principles and are obligated to refer any investments to us, by means of our Adviser, that fit within certain criteria that our Board may establish from time to time (such criteria, the “Board Established Criteria”). If no Board Established Criteria are in effect, then we will be notified of all such potential investment opportunities that fall within our current investment objective and principal investment strategies. The Adviser will determine whether it would be permissible, advisable or otherwise appropriate for us to pursue a particular investment opportunity referred to us for inclusion in our portfolio. For example, certain investment opportunities which otherwise fit within our investment strategies and objectives and any Board Established Criteria may not be suitable for us if they would cause us to violate asset coverage or concentration limitations imposed by the 1940 Act, the Code or the Amended Order (as defined below),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referred to us to be appropriate, it will determine an appropriate size for our investment. If the aggregate interest in an investment opportunity across Sixth Street funds or investment vehicles, including us, exceeds the size of the opportunity, the Adviser would allocate to us our pro-rata share of the investment opportunity based on the size of each respective participating Sixth Street funds’ or investment vehicles’ demand for such opportunity.</w:t>
      </w:r>
    </w:p>
    <w:p>
      <w:pPr>
        <w:spacing w:after="0" w:line="167" w:lineRule="exact"/>
        <w:rPr>
          <w:sz w:val="20"/>
          <w:szCs w:val="20"/>
          <w:color w:val="auto"/>
        </w:rPr>
      </w:pPr>
    </w:p>
    <w:p>
      <w:pPr>
        <w:ind w:firstLine="426"/>
        <w:spacing w:after="0" w:line="269" w:lineRule="auto"/>
        <w:rPr>
          <w:sz w:val="20"/>
          <w:szCs w:val="20"/>
          <w:color w:val="auto"/>
        </w:rPr>
      </w:pPr>
      <w:r>
        <w:rPr>
          <w:rFonts w:ascii="Arial" w:cs="Arial" w:eastAsia="Arial" w:hAnsi="Arial"/>
          <w:sz w:val="17"/>
          <w:szCs w:val="17"/>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Sixth Street funds or investment vehicles, in which case the scope or size of opportunities otherwise available to us may be adversely affected or reduced. In the event that an investment opportunity falls outside of our Board Established Criteria and Sixth Street is not required to, and otherwise determines not to, direct these investment opportunities to an affiliated fund, we may be permitted to take them. The decision to allocate an opportunity as between us and other Sixth Street vehicles will take into account various factors that Sixth Street and our Adviser deem appropriate.</w:t>
      </w:r>
    </w:p>
    <w:p>
      <w:pPr>
        <w:spacing w:after="0" w:line="185" w:lineRule="exact"/>
        <w:rPr>
          <w:sz w:val="20"/>
          <w:szCs w:val="20"/>
          <w:color w:val="auto"/>
        </w:rPr>
      </w:pPr>
    </w:p>
    <w:p>
      <w:pPr>
        <w:ind w:right="100" w:firstLine="426"/>
        <w:spacing w:after="0" w:line="272" w:lineRule="auto"/>
        <w:rPr>
          <w:sz w:val="20"/>
          <w:szCs w:val="20"/>
          <w:color w:val="auto"/>
        </w:rPr>
      </w:pPr>
      <w:r>
        <w:rPr>
          <w:rFonts w:ascii="Arial" w:cs="Arial" w:eastAsia="Arial" w:hAnsi="Arial"/>
          <w:sz w:val="17"/>
          <w:szCs w:val="17"/>
          <w:color w:val="auto"/>
        </w:rPr>
        <w:t>Our ability to pursue investment opportunities other than those that meet our Board Established Criteria is subject to the allocation decisions by Sixth Street senior professionals. Such opportunities may be required to be offered to, or may be otherwise suitable for, other Sixth Street funds or investment vehicles. As a result, the Adviser and its affiliates may face conflicts in allocating investment opportunities between us and those other entities. It is possible that we may not be given the opportunity to participate in certain investments made by Sixth Street vehicles that would otherwise be suitable for us if the investment falls outside of our Board Established Criteria. Sixth Street has organized separate investment vehicles, aimed specifically at middle-market loan originations and may in the future organize vehicles aimed at other loan origination opportunities outside our primary focus (for example, based on opportunity size or geography).</w:t>
      </w:r>
    </w:p>
    <w:p>
      <w:pPr>
        <w:spacing w:after="0" w:line="177" w:lineRule="exact"/>
        <w:rPr>
          <w:sz w:val="20"/>
          <w:szCs w:val="20"/>
          <w:color w:val="auto"/>
        </w:rPr>
      </w:pPr>
    </w:p>
    <w:p>
      <w:pPr>
        <w:ind w:right="120" w:firstLine="426"/>
        <w:spacing w:after="0" w:line="308" w:lineRule="auto"/>
        <w:rPr>
          <w:sz w:val="20"/>
          <w:szCs w:val="20"/>
          <w:color w:val="auto"/>
        </w:rPr>
      </w:pPr>
      <w:r>
        <w:rPr>
          <w:rFonts w:ascii="Arial" w:cs="Arial" w:eastAsia="Arial" w:hAnsi="Arial"/>
          <w:sz w:val="17"/>
          <w:szCs w:val="17"/>
          <w:color w:val="auto"/>
        </w:rPr>
        <w:t>See “Certain Relationships and Related Party Transactions” in our Definitive Proxy Statement on Schedule 14A relating to our 2022 Annual Meeting of Stockholders filed with the SEC on April 13, 2022, and such section is incorporated by reference in this prospectus.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640"/>
          </w:cols>
          <w:pgMar w:left="620" w:top="688" w:right="6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70440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174865" cy="7044055"/>
                    </a:xfrm>
                    <a:prstGeom prst="rect">
                      <a:avLst/>
                    </a:prstGeom>
                    <a:noFill/>
                  </pic:spPr>
                </pic:pic>
              </a:graphicData>
            </a:graphic>
          </wp:anchor>
        </w:drawing>
        <w:t>Exemptive Order</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On December 16, 2014, we were granted an exemptive order from the SEC (the “Prior Order”) that allows us to co-invest, subject to certain conditions and to the extent the size of an investment opportunity exceeds the amount our Adviser has independently determined is appropriate to invest, with certain of our affiliates (including affiliates of Sixth Street).</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January 16, 2020, we filed a further application for co-investment exemptive relief with the SEC to better align our existing co-investment relief with more recent SEC exemptive orders. On August 3, 2022, the SEC granted the new order (the “Amended Order”) in response to our application. The Amended Order superseded the Prior Order, and updated the conditions pursuant to which we could co-invest with certain of our affiliates (including affiliates of Sixth Street) in investment opportunities that fall within our Board Established Criteria.</w:t>
      </w:r>
    </w:p>
    <w:p>
      <w:pPr>
        <w:spacing w:after="0" w:line="171" w:lineRule="exact"/>
        <w:rPr>
          <w:sz w:val="20"/>
          <w:szCs w:val="20"/>
          <w:color w:val="auto"/>
        </w:rPr>
      </w:pPr>
    </w:p>
    <w:p>
      <w:pPr>
        <w:jc w:val="both"/>
        <w:ind w:right="260"/>
        <w:spacing w:after="0" w:line="279" w:lineRule="auto"/>
        <w:rPr>
          <w:sz w:val="20"/>
          <w:szCs w:val="20"/>
          <w:color w:val="auto"/>
        </w:rPr>
      </w:pPr>
      <w:r>
        <w:rPr>
          <w:rFonts w:ascii="Arial" w:cs="Arial" w:eastAsia="Arial" w:hAnsi="Arial"/>
          <w:sz w:val="17"/>
          <w:szCs w:val="17"/>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See “Regulation as a Business Development Company—Transactions with our Affiliates” in our 2021 Annual Report, and such section is incorporated by reference in this prospectus.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See “Certain Relationships and Related Party Transactions—Exemptive Order” in our 2022 Annual Proxy, and such section is incorporated by reference in this prospectus.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121" w:lineRule="exact"/>
        <w:rPr>
          <w:sz w:val="20"/>
          <w:szCs w:val="20"/>
          <w:color w:val="auto"/>
        </w:rPr>
      </w:pPr>
    </w:p>
    <w:p>
      <w:pPr>
        <w:ind w:firstLine="426"/>
        <w:spacing w:after="0" w:line="257" w:lineRule="auto"/>
        <w:rPr>
          <w:sz w:val="20"/>
          <w:szCs w:val="20"/>
          <w:color w:val="auto"/>
        </w:rPr>
      </w:pPr>
      <w:r>
        <w:rPr>
          <w:rFonts w:ascii="Arial" w:cs="Arial" w:eastAsia="Arial" w:hAnsi="Arial"/>
          <w:sz w:val="18"/>
          <w:szCs w:val="18"/>
          <w:color w:val="auto"/>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November 1, 2022. The amount and timing of stock repurchases under the program may vary depending on market conditions, and no assurance can be given that any particular amount of common stock will be repurchased.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right="140" w:firstLine="426"/>
        <w:spacing w:after="0" w:line="257" w:lineRule="auto"/>
        <w:rPr>
          <w:sz w:val="20"/>
          <w:szCs w:val="20"/>
          <w:color w:val="auto"/>
        </w:rPr>
      </w:pPr>
      <w:r>
        <w:rPr>
          <w:rFonts w:ascii="Arial" w:cs="Arial" w:eastAsia="Arial" w:hAnsi="Arial"/>
          <w:sz w:val="18"/>
          <w:szCs w:val="18"/>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in this prospectus, our 2021 Annual Report and our 3Q 2022 Quarterly Report, as well as the other documents that are incorporated by reference in this prospectus or in any prospectus supplement, for a description of these and other risks relating to our business and investments in our securities, including that: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Business and Structure</w:t>
      </w:r>
    </w:p>
    <w:p>
      <w:pPr>
        <w:spacing w:after="0" w:line="131" w:lineRule="exact"/>
        <w:rPr>
          <w:sz w:val="20"/>
          <w:szCs w:val="20"/>
          <w:color w:val="auto"/>
        </w:rPr>
      </w:pPr>
    </w:p>
    <w:p>
      <w:pPr>
        <w:ind w:left="960" w:hanging="433"/>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are dependent upon management personnel of the Adviser, Sixth Street and their affiliates for our future success.</w:t>
      </w:r>
    </w:p>
    <w:p>
      <w:pPr>
        <w:spacing w:after="0" w:line="130" w:lineRule="exact"/>
        <w:rPr>
          <w:rFonts w:ascii="Arial" w:cs="Arial" w:eastAsia="Arial" w:hAnsi="Arial"/>
          <w:sz w:val="18"/>
          <w:szCs w:val="18"/>
          <w:color w:val="auto"/>
        </w:rPr>
      </w:pPr>
    </w:p>
    <w:p>
      <w:pPr>
        <w:ind w:left="960" w:right="20" w:hanging="433"/>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are subject to significant regulations governing our operation as a BDC, which affect our ability to, and the way in which we, raise additional capital. Changes in regulation could adversely affect our business.</w:t>
      </w:r>
    </w:p>
    <w:p>
      <w:pPr>
        <w:spacing w:after="0" w:line="75" w:lineRule="exact"/>
        <w:rPr>
          <w:rFonts w:ascii="Arial" w:cs="Arial" w:eastAsia="Arial" w:hAnsi="Arial"/>
          <w:sz w:val="18"/>
          <w:szCs w:val="18"/>
          <w:color w:val="auto"/>
        </w:rPr>
      </w:pPr>
    </w:p>
    <w:p>
      <w:pPr>
        <w:ind w:left="960" w:hanging="433"/>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borrow money, which magnifies the potential for gain or loss and increases the risk of investing in us.</w:t>
      </w:r>
    </w:p>
    <w:p>
      <w:pPr>
        <w:spacing w:after="0" w:line="130" w:lineRule="exact"/>
        <w:rPr>
          <w:rFonts w:ascii="Arial" w:cs="Arial" w:eastAsia="Arial" w:hAnsi="Arial"/>
          <w:sz w:val="18"/>
          <w:szCs w:val="18"/>
          <w:color w:val="auto"/>
        </w:rPr>
      </w:pPr>
    </w:p>
    <w:p>
      <w:pPr>
        <w:ind w:left="960" w:hanging="433"/>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operate in a highly competitive market for investment opportunities.</w:t>
      </w:r>
    </w:p>
    <w:p>
      <w:pPr>
        <w:spacing w:after="0" w:line="130" w:lineRule="exact"/>
        <w:rPr>
          <w:rFonts w:ascii="Arial" w:cs="Arial" w:eastAsia="Arial" w:hAnsi="Arial"/>
          <w:sz w:val="18"/>
          <w:szCs w:val="18"/>
          <w:color w:val="auto"/>
        </w:rPr>
      </w:pPr>
    </w:p>
    <w:p>
      <w:pPr>
        <w:ind w:left="960" w:right="560" w:hanging="433"/>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we are unable to source investments, access financing or manage future growth effectively, we may be unable to achieve our investment objective.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640"/>
          </w:cols>
          <w:pgMar w:left="620" w:top="688" w:right="639" w:bottom="1440" w:gutter="0" w:footer="0" w:header="0"/>
        </w:sectPr>
      </w:pPr>
    </w:p>
    <w:bookmarkStart w:id="50" w:name="page51"/>
    <w:bookmarkEnd w:id="50"/>
    <w:p>
      <w:pPr>
        <w:ind w:left="960" w:hanging="433"/>
        <w:spacing w:after="0" w:line="277"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7026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74865" cy="7026910"/>
                    </a:xfrm>
                    <a:prstGeom prst="rect">
                      <a:avLst/>
                    </a:prstGeom>
                    <a:noFill/>
                  </pic:spPr>
                </pic:pic>
              </a:graphicData>
            </a:graphic>
          </wp:anchor>
        </w:drawing>
        <w:t>Even in the event the value of your investment declines, the Management Fee and, in certain circumstances, the Incentive Fee will still be payable to the Adviser.</w:t>
      </w:r>
    </w:p>
    <w:p>
      <w:pPr>
        <w:spacing w:after="0" w:line="75" w:lineRule="exact"/>
        <w:rPr>
          <w:rFonts w:ascii="Arial" w:cs="Arial" w:eastAsia="Arial" w:hAnsi="Arial"/>
          <w:sz w:val="18"/>
          <w:szCs w:val="18"/>
          <w:color w:val="auto"/>
        </w:rPr>
      </w:pPr>
    </w:p>
    <w:p>
      <w:pPr>
        <w:ind w:left="960" w:right="140" w:hanging="433"/>
        <w:spacing w:after="0" w:line="277"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75" w:lineRule="exact"/>
        <w:rPr>
          <w:rFonts w:ascii="Arial" w:cs="Arial" w:eastAsia="Arial" w:hAnsi="Arial"/>
          <w:sz w:val="18"/>
          <w:szCs w:val="18"/>
          <w:color w:val="auto"/>
        </w:rPr>
      </w:pPr>
    </w:p>
    <w:p>
      <w:pPr>
        <w:ind w:left="960" w:right="20" w:hanging="433"/>
        <w:spacing w:after="0" w:line="277"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75" w:lineRule="exact"/>
        <w:rPr>
          <w:rFonts w:ascii="Arial" w:cs="Arial" w:eastAsia="Arial" w:hAnsi="Arial"/>
          <w:sz w:val="18"/>
          <w:szCs w:val="18"/>
          <w:color w:val="auto"/>
        </w:rPr>
      </w:pPr>
    </w:p>
    <w:p>
      <w:pPr>
        <w:ind w:left="960" w:hanging="433"/>
        <w:spacing w:after="0" w:line="277"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can be expected to retain some income and capital gains in excess of what is permissible for excise tax purposes and such amounts will be subject to 4% U.S. federal excise tax.</w:t>
      </w:r>
    </w:p>
    <w:p>
      <w:pPr>
        <w:spacing w:after="0" w:line="75" w:lineRule="exact"/>
        <w:rPr>
          <w:rFonts w:ascii="Arial" w:cs="Arial" w:eastAsia="Arial" w:hAnsi="Arial"/>
          <w:sz w:val="18"/>
          <w:szCs w:val="18"/>
          <w:color w:val="auto"/>
        </w:rPr>
      </w:pPr>
    </w:p>
    <w:p>
      <w:pPr>
        <w:ind w:left="960" w:hanging="433"/>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Adviser and its affiliates, officers and employees may face certain conflicts of interest.</w:t>
      </w:r>
    </w:p>
    <w:p>
      <w:pPr>
        <w:spacing w:after="0" w:line="130" w:lineRule="exact"/>
        <w:rPr>
          <w:rFonts w:ascii="Arial" w:cs="Arial" w:eastAsia="Arial" w:hAnsi="Arial"/>
          <w:sz w:val="18"/>
          <w:szCs w:val="18"/>
          <w:color w:val="auto"/>
        </w:rPr>
      </w:pPr>
    </w:p>
    <w:p>
      <w:pPr>
        <w:ind w:left="960" w:hanging="433"/>
        <w:spacing w:after="0" w:line="263"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stockholder approval.</w:t>
      </w:r>
    </w:p>
    <w:p>
      <w:pPr>
        <w:spacing w:after="0" w:line="89" w:lineRule="exact"/>
        <w:rPr>
          <w:rFonts w:ascii="Arial" w:cs="Arial" w:eastAsia="Arial" w:hAnsi="Arial"/>
          <w:sz w:val="18"/>
          <w:szCs w:val="18"/>
          <w:color w:val="auto"/>
        </w:rPr>
      </w:pPr>
    </w:p>
    <w:p>
      <w:pPr>
        <w:ind w:left="960" w:right="160" w:hanging="433"/>
        <w:spacing w:after="0" w:line="342" w:lineRule="auto"/>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29" w:lineRule="exact"/>
        <w:rPr>
          <w:rFonts w:ascii="Arial" w:cs="Arial" w:eastAsia="Arial" w:hAnsi="Arial"/>
          <w:sz w:val="16"/>
          <w:szCs w:val="16"/>
          <w:color w:val="auto"/>
        </w:rPr>
      </w:pPr>
    </w:p>
    <w:p>
      <w:pPr>
        <w:ind w:left="960" w:hanging="433"/>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failure to maintain our status as a BDC would reduce our operating flexibility</w:t>
      </w:r>
    </w:p>
    <w:p>
      <w:pPr>
        <w:spacing w:after="0" w:line="130" w:lineRule="exact"/>
        <w:rPr>
          <w:rFonts w:ascii="Arial" w:cs="Arial" w:eastAsia="Arial" w:hAnsi="Arial"/>
          <w:sz w:val="18"/>
          <w:szCs w:val="18"/>
          <w:color w:val="auto"/>
        </w:rPr>
      </w:pPr>
    </w:p>
    <w:p>
      <w:pPr>
        <w:ind w:left="960" w:hanging="433"/>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incur significant costs as a result of being a publicly traded company</w:t>
      </w:r>
    </w:p>
    <w:p>
      <w:pPr>
        <w:spacing w:after="0" w:line="130" w:lineRule="exact"/>
        <w:rPr>
          <w:rFonts w:ascii="Arial" w:cs="Arial" w:eastAsia="Arial" w:hAnsi="Arial"/>
          <w:sz w:val="18"/>
          <w:szCs w:val="18"/>
          <w:color w:val="auto"/>
        </w:rPr>
      </w:pPr>
    </w:p>
    <w:p>
      <w:pPr>
        <w:ind w:left="960" w:right="500" w:hanging="433"/>
        <w:spacing w:after="0" w:line="277"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Provisions of the General Corporation Law of the State of Delaware and our certificate of incorporation and bylaws could deter takeover attempts and have an adverse effect on the price of our common stock.</w:t>
      </w:r>
    </w:p>
    <w:p>
      <w:pPr>
        <w:spacing w:after="0" w:line="75" w:lineRule="exact"/>
        <w:rPr>
          <w:rFonts w:ascii="Arial" w:cs="Arial" w:eastAsia="Arial" w:hAnsi="Arial"/>
          <w:sz w:val="18"/>
          <w:szCs w:val="18"/>
          <w:color w:val="auto"/>
        </w:rPr>
      </w:pPr>
    </w:p>
    <w:p>
      <w:pPr>
        <w:ind w:left="960" w:hanging="433"/>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investors are limited in their ability to make significant investments in us.</w:t>
      </w:r>
    </w:p>
    <w:p>
      <w:pPr>
        <w:spacing w:after="0" w:line="130" w:lineRule="exact"/>
        <w:rPr>
          <w:rFonts w:ascii="Arial" w:cs="Arial" w:eastAsia="Arial" w:hAnsi="Arial"/>
          <w:sz w:val="18"/>
          <w:szCs w:val="18"/>
          <w:color w:val="auto"/>
        </w:rPr>
      </w:pPr>
    </w:p>
    <w:p>
      <w:pPr>
        <w:ind w:left="960" w:hanging="433"/>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Cybersecurity risks and cyber incidents may adversely affect our business or those of our portfolio companies.</w:t>
      </w:r>
    </w:p>
    <w:p>
      <w:pPr>
        <w:spacing w:after="0" w:line="130" w:lineRule="exact"/>
        <w:rPr>
          <w:rFonts w:ascii="Arial" w:cs="Arial" w:eastAsia="Arial" w:hAnsi="Arial"/>
          <w:sz w:val="18"/>
          <w:szCs w:val="18"/>
          <w:color w:val="auto"/>
        </w:rPr>
      </w:pPr>
    </w:p>
    <w:p>
      <w:pPr>
        <w:ind w:left="960" w:hanging="433"/>
        <w:spacing w:after="0"/>
        <w:tabs>
          <w:tab w:leader="none" w:pos="9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Board may change our investment objective, operating policies and strategies without prior notice or stockholder approval.</w:t>
      </w:r>
    </w:p>
    <w:p>
      <w:pPr>
        <w:spacing w:after="0" w:line="142" w:lineRule="exact"/>
        <w:rPr>
          <w:rFonts w:ascii="Arial" w:cs="Arial" w:eastAsia="Arial" w:hAnsi="Arial"/>
          <w:sz w:val="17"/>
          <w:szCs w:val="17"/>
          <w:color w:val="auto"/>
        </w:rPr>
      </w:pPr>
    </w:p>
    <w:p>
      <w:pPr>
        <w:ind w:left="960" w:right="140" w:hanging="433"/>
        <w:spacing w:after="0" w:line="277"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interest rates of our debt investments to our portfolio companies and our indebtedness that extend beyond 2023 might be subject to change based on recent regulatory changes.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Economic Conditions</w:t>
      </w:r>
    </w:p>
    <w:p>
      <w:pPr>
        <w:spacing w:after="0" w:line="131" w:lineRule="exact"/>
        <w:rPr>
          <w:sz w:val="20"/>
          <w:szCs w:val="20"/>
          <w:color w:val="auto"/>
        </w:rPr>
      </w:pPr>
    </w:p>
    <w:p>
      <w:pPr>
        <w:ind w:left="960" w:right="480" w:hanging="433"/>
        <w:spacing w:after="0" w:line="277"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COVID-19 pandemic has materially and adversely affected, and is likely to continue to materially and adversely affect, our portfolio companies and the results of our operations, including our financial results.</w:t>
      </w:r>
    </w:p>
    <w:p>
      <w:pPr>
        <w:spacing w:after="0" w:line="75" w:lineRule="exact"/>
        <w:rPr>
          <w:rFonts w:ascii="Arial" w:cs="Arial" w:eastAsia="Arial" w:hAnsi="Arial"/>
          <w:sz w:val="18"/>
          <w:szCs w:val="18"/>
          <w:color w:val="auto"/>
        </w:rPr>
      </w:pPr>
    </w:p>
    <w:p>
      <w:pPr>
        <w:ind w:left="960" w:right="40" w:hanging="433"/>
        <w:spacing w:after="0" w:line="277"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current state of the economy and financial markets increases the likelihood of adverse effects on our financial position and results of operations.</w:t>
      </w:r>
    </w:p>
    <w:p>
      <w:pPr>
        <w:spacing w:after="0" w:line="75" w:lineRule="exact"/>
        <w:rPr>
          <w:rFonts w:ascii="Arial" w:cs="Arial" w:eastAsia="Arial" w:hAnsi="Arial"/>
          <w:sz w:val="18"/>
          <w:szCs w:val="18"/>
          <w:color w:val="auto"/>
        </w:rPr>
      </w:pPr>
    </w:p>
    <w:p>
      <w:pPr>
        <w:ind w:left="960" w:right="600" w:hanging="433"/>
        <w:spacing w:after="0" w:line="277"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Uncertainty about financial stability could have a significant adverse effect on our business, results of operations and financial condition.</w:t>
      </w:r>
    </w:p>
    <w:p>
      <w:pPr>
        <w:spacing w:after="0" w:line="75" w:lineRule="exact"/>
        <w:rPr>
          <w:rFonts w:ascii="Arial" w:cs="Arial" w:eastAsia="Arial" w:hAnsi="Arial"/>
          <w:sz w:val="18"/>
          <w:szCs w:val="18"/>
          <w:color w:val="auto"/>
        </w:rPr>
      </w:pPr>
    </w:p>
    <w:p>
      <w:pPr>
        <w:ind w:left="960" w:hanging="433"/>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Economic recessions or downturns could impair our portfolio companies and harm our operating results.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Portfolio Company Investments</w:t>
      </w:r>
    </w:p>
    <w:p>
      <w:pPr>
        <w:spacing w:after="0" w:line="131" w:lineRule="exact"/>
        <w:rPr>
          <w:sz w:val="20"/>
          <w:szCs w:val="20"/>
          <w:color w:val="auto"/>
        </w:rPr>
      </w:pPr>
    </w:p>
    <w:p>
      <w:pPr>
        <w:ind w:left="960" w:hanging="433"/>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investments are very risky and highly speculative.</w:t>
      </w:r>
    </w:p>
    <w:p>
      <w:pPr>
        <w:spacing w:after="0" w:line="130" w:lineRule="exact"/>
        <w:rPr>
          <w:rFonts w:ascii="Arial" w:cs="Arial" w:eastAsia="Arial" w:hAnsi="Arial"/>
          <w:sz w:val="18"/>
          <w:szCs w:val="18"/>
          <w:color w:val="auto"/>
        </w:rPr>
      </w:pPr>
    </w:p>
    <w:p>
      <w:pPr>
        <w:ind w:left="960" w:right="160" w:hanging="433"/>
        <w:spacing w:after="0" w:line="277"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value of most of our portfolio securities will not have a readily available market price and we value these securities at fair value as determined in good faith by our Board, which valuation is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640"/>
          </w:cols>
          <w:pgMar w:left="620" w:top="692" w:right="639" w:bottom="1440" w:gutter="0" w:footer="0" w:header="0"/>
        </w:sectPr>
      </w:pPr>
    </w:p>
    <w:bookmarkStart w:id="51" w:name="page52"/>
    <w:bookmarkEnd w:id="51"/>
    <w:p>
      <w:pPr>
        <w:ind w:left="433"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6325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174865" cy="6632575"/>
                    </a:xfrm>
                    <a:prstGeom prst="rect">
                      <a:avLst/>
                    </a:prstGeom>
                    <a:noFill/>
                  </pic:spPr>
                </pic:pic>
              </a:graphicData>
            </a:graphic>
          </wp:anchor>
        </w:drawing>
        <w:t>inherently subjective, may not reflect what we may actually realize for the sale of the investment and could result in a conflict of interest with the Adviser.</w:t>
      </w:r>
    </w:p>
    <w:p>
      <w:pPr>
        <w:spacing w:after="0" w:line="76" w:lineRule="exact"/>
        <w:rPr>
          <w:sz w:val="20"/>
          <w:szCs w:val="20"/>
          <w:color w:val="auto"/>
        </w:rPr>
      </w:pPr>
    </w:p>
    <w:p>
      <w:pPr>
        <w:ind w:left="433" w:hanging="433"/>
        <w:spacing w:after="0"/>
        <w:tabs>
          <w:tab w:leader="none" w:pos="43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130" w:lineRule="exact"/>
        <w:rPr>
          <w:rFonts w:ascii="Arial" w:cs="Arial" w:eastAsia="Arial" w:hAnsi="Arial"/>
          <w:sz w:val="18"/>
          <w:szCs w:val="18"/>
          <w:color w:val="auto"/>
        </w:rPr>
      </w:pPr>
    </w:p>
    <w:p>
      <w:pPr>
        <w:ind w:left="433" w:hanging="433"/>
        <w:spacing w:after="0"/>
        <w:tabs>
          <w:tab w:leader="none" w:pos="433"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portfolio may be focused on a limited number of portfolio companies or industries, which will subject us to a risk of</w:t>
      </w:r>
    </w:p>
    <w:p>
      <w:pPr>
        <w:spacing w:after="0" w:line="130" w:lineRule="exact"/>
        <w:rPr>
          <w:rFonts w:ascii="Arial" w:cs="Arial" w:eastAsia="Arial" w:hAnsi="Arial"/>
          <w:sz w:val="18"/>
          <w:szCs w:val="18"/>
          <w:color w:val="auto"/>
        </w:rPr>
      </w:pPr>
    </w:p>
    <w:p>
      <w:pPr>
        <w:ind w:left="433" w:right="320" w:hanging="433"/>
        <w:spacing w:after="0" w:line="277" w:lineRule="auto"/>
        <w:tabs>
          <w:tab w:leader="none" w:pos="433"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significant loss if any of these companies defaults on its obligations under any of its debt instruments or if there is a downturn in a particular industry.</w:t>
      </w:r>
    </w:p>
    <w:p>
      <w:pPr>
        <w:spacing w:after="0" w:line="75" w:lineRule="exact"/>
        <w:rPr>
          <w:rFonts w:ascii="Arial" w:cs="Arial" w:eastAsia="Arial" w:hAnsi="Arial"/>
          <w:sz w:val="18"/>
          <w:szCs w:val="18"/>
          <w:color w:val="auto"/>
        </w:rPr>
      </w:pPr>
    </w:p>
    <w:p>
      <w:pPr>
        <w:ind w:left="433" w:hanging="433"/>
        <w:spacing w:after="0"/>
        <w:tabs>
          <w:tab w:leader="none" w:pos="433"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securitize certain of our investments, which may subject us to certain structured financing risks.</w:t>
      </w:r>
    </w:p>
    <w:p>
      <w:pPr>
        <w:spacing w:after="0" w:line="130" w:lineRule="exact"/>
        <w:rPr>
          <w:rFonts w:ascii="Arial" w:cs="Arial" w:eastAsia="Arial" w:hAnsi="Arial"/>
          <w:sz w:val="18"/>
          <w:szCs w:val="18"/>
          <w:color w:val="auto"/>
        </w:rPr>
      </w:pPr>
    </w:p>
    <w:p>
      <w:pPr>
        <w:ind w:left="433" w:hanging="433"/>
        <w:spacing w:after="0" w:line="263" w:lineRule="auto"/>
        <w:tabs>
          <w:tab w:leader="none" w:pos="433"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89" w:lineRule="exact"/>
        <w:rPr>
          <w:rFonts w:ascii="Arial" w:cs="Arial" w:eastAsia="Arial" w:hAnsi="Arial"/>
          <w:sz w:val="18"/>
          <w:szCs w:val="18"/>
          <w:color w:val="auto"/>
        </w:rPr>
      </w:pPr>
    </w:p>
    <w:p>
      <w:pPr>
        <w:ind w:left="433" w:hanging="433"/>
        <w:spacing w:after="0"/>
        <w:tabs>
          <w:tab w:leader="none" w:pos="433"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are exposed to risks associated with changes in interest rates.</w:t>
      </w:r>
    </w:p>
    <w:p>
      <w:pPr>
        <w:spacing w:after="0" w:line="130" w:lineRule="exact"/>
        <w:rPr>
          <w:rFonts w:ascii="Arial" w:cs="Arial" w:eastAsia="Arial" w:hAnsi="Arial"/>
          <w:sz w:val="18"/>
          <w:szCs w:val="18"/>
          <w:color w:val="auto"/>
        </w:rPr>
      </w:pPr>
    </w:p>
    <w:p>
      <w:pPr>
        <w:ind w:left="433" w:hanging="433"/>
        <w:spacing w:after="0"/>
        <w:tabs>
          <w:tab w:leader="none" w:pos="433"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be able to realize expected returns on our invested capital.</w:t>
      </w:r>
    </w:p>
    <w:p>
      <w:pPr>
        <w:spacing w:after="0" w:line="130" w:lineRule="exact"/>
        <w:rPr>
          <w:rFonts w:ascii="Arial" w:cs="Arial" w:eastAsia="Arial" w:hAnsi="Arial"/>
          <w:sz w:val="18"/>
          <w:szCs w:val="18"/>
          <w:color w:val="auto"/>
        </w:rPr>
      </w:pPr>
    </w:p>
    <w:p>
      <w:pPr>
        <w:ind w:left="433" w:right="80" w:hanging="433"/>
        <w:spacing w:after="0" w:line="277" w:lineRule="auto"/>
        <w:tabs>
          <w:tab w:leader="none" w:pos="433" w:val="left"/>
        </w:tabs>
        <w:numPr>
          <w:ilvl w:val="0"/>
          <w:numId w:val="38"/>
        </w:numPr>
        <w:rPr>
          <w:rFonts w:ascii="Arial" w:cs="Arial" w:eastAsia="Arial" w:hAnsi="Arial"/>
          <w:sz w:val="18"/>
          <w:szCs w:val="18"/>
          <w:color w:val="auto"/>
        </w:rPr>
      </w:pPr>
      <w:r>
        <w:rPr>
          <w:rFonts w:ascii="Arial" w:cs="Arial" w:eastAsia="Arial" w:hAnsi="Arial"/>
          <w:sz w:val="18"/>
          <w:szCs w:val="18"/>
          <w:color w:val="auto"/>
        </w:rPr>
        <w:t>By originating loans to companies that are experiencing significant financial or business difficulties, we may be exposed to distressed lending risks.</w:t>
      </w:r>
    </w:p>
    <w:p>
      <w:pPr>
        <w:spacing w:after="0" w:line="75" w:lineRule="exact"/>
        <w:rPr>
          <w:rFonts w:ascii="Arial" w:cs="Arial" w:eastAsia="Arial" w:hAnsi="Arial"/>
          <w:sz w:val="18"/>
          <w:szCs w:val="18"/>
          <w:color w:val="auto"/>
        </w:rPr>
      </w:pPr>
    </w:p>
    <w:p>
      <w:pPr>
        <w:ind w:left="433" w:hanging="433"/>
        <w:spacing w:after="0" w:line="277" w:lineRule="auto"/>
        <w:tabs>
          <w:tab w:leader="none" w:pos="433"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portfolio companies in some cases may incur debt or issue equity securities that rank equally with, or senior to, our investments in those companies.</w:t>
      </w:r>
    </w:p>
    <w:p>
      <w:pPr>
        <w:spacing w:after="0" w:line="75" w:lineRule="exact"/>
        <w:rPr>
          <w:rFonts w:ascii="Arial" w:cs="Arial" w:eastAsia="Arial" w:hAnsi="Arial"/>
          <w:sz w:val="18"/>
          <w:szCs w:val="18"/>
          <w:color w:val="auto"/>
        </w:rPr>
      </w:pPr>
    </w:p>
    <w:p>
      <w:pPr>
        <w:ind w:left="433" w:hanging="433"/>
        <w:spacing w:after="0"/>
        <w:tabs>
          <w:tab w:leader="none" w:pos="433"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be exposed to special risks associated with bankruptcy cases.</w:t>
      </w:r>
    </w:p>
    <w:p>
      <w:pPr>
        <w:spacing w:after="0" w:line="130" w:lineRule="exact"/>
        <w:rPr>
          <w:rFonts w:ascii="Arial" w:cs="Arial" w:eastAsia="Arial" w:hAnsi="Arial"/>
          <w:sz w:val="18"/>
          <w:szCs w:val="18"/>
          <w:color w:val="auto"/>
        </w:rPr>
      </w:pPr>
    </w:p>
    <w:p>
      <w:pPr>
        <w:ind w:left="433" w:hanging="433"/>
        <w:spacing w:after="0"/>
        <w:tabs>
          <w:tab w:leader="none" w:pos="433"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failure to make follow-on investments in our portfolio companies could impair the value of our investments.</w:t>
      </w:r>
    </w:p>
    <w:p>
      <w:pPr>
        <w:spacing w:after="0" w:line="130" w:lineRule="exact"/>
        <w:rPr>
          <w:rFonts w:ascii="Arial" w:cs="Arial" w:eastAsia="Arial" w:hAnsi="Arial"/>
          <w:sz w:val="18"/>
          <w:szCs w:val="18"/>
          <w:color w:val="auto"/>
        </w:rPr>
      </w:pPr>
    </w:p>
    <w:p>
      <w:pPr>
        <w:ind w:left="433" w:hanging="433"/>
        <w:spacing w:after="0"/>
        <w:tabs>
          <w:tab w:leader="none" w:pos="433"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enter into transactions with our affiliates is restricted.</w:t>
      </w:r>
    </w:p>
    <w:p>
      <w:pPr>
        <w:spacing w:after="0" w:line="130" w:lineRule="exact"/>
        <w:rPr>
          <w:rFonts w:ascii="Arial" w:cs="Arial" w:eastAsia="Arial" w:hAnsi="Arial"/>
          <w:sz w:val="18"/>
          <w:szCs w:val="18"/>
          <w:color w:val="auto"/>
        </w:rPr>
      </w:pPr>
    </w:p>
    <w:p>
      <w:pPr>
        <w:ind w:left="433" w:hanging="433"/>
        <w:spacing w:after="0"/>
        <w:tabs>
          <w:tab w:leader="none" w:pos="433"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acquisitions or strategic investments that we pursue are subject to risks and uncertainties.</w:t>
      </w:r>
    </w:p>
    <w:p>
      <w:pPr>
        <w:spacing w:after="0" w:line="130" w:lineRule="exact"/>
        <w:rPr>
          <w:rFonts w:ascii="Arial" w:cs="Arial" w:eastAsia="Arial" w:hAnsi="Arial"/>
          <w:sz w:val="18"/>
          <w:szCs w:val="18"/>
          <w:color w:val="auto"/>
        </w:rPr>
      </w:pPr>
    </w:p>
    <w:p>
      <w:pPr>
        <w:ind w:left="433" w:right="60" w:hanging="433"/>
        <w:spacing w:after="0" w:line="277" w:lineRule="auto"/>
        <w:tabs>
          <w:tab w:leader="none" w:pos="433"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cannot guarantee that we will be able to obtain various required licenses in U.S. states or in any other jurisdiction where they may be required in the future.</w:t>
      </w:r>
    </w:p>
    <w:p>
      <w:pPr>
        <w:spacing w:after="0" w:line="75" w:lineRule="exact"/>
        <w:rPr>
          <w:rFonts w:ascii="Arial" w:cs="Arial" w:eastAsia="Arial" w:hAnsi="Arial"/>
          <w:sz w:val="18"/>
          <w:szCs w:val="18"/>
          <w:color w:val="auto"/>
        </w:rPr>
      </w:pPr>
    </w:p>
    <w:p>
      <w:pPr>
        <w:ind w:left="433" w:hanging="433"/>
        <w:spacing w:after="0"/>
        <w:tabs>
          <w:tab w:leader="none" w:pos="433"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investments in foreign companies may involve significant risks in addition to the risks inherent in U.S. investments.</w:t>
      </w:r>
    </w:p>
    <w:p>
      <w:pPr>
        <w:spacing w:after="0" w:line="130" w:lineRule="exact"/>
        <w:rPr>
          <w:rFonts w:ascii="Arial" w:cs="Arial" w:eastAsia="Arial" w:hAnsi="Arial"/>
          <w:sz w:val="18"/>
          <w:szCs w:val="18"/>
          <w:color w:val="auto"/>
        </w:rPr>
      </w:pPr>
    </w:p>
    <w:p>
      <w:pPr>
        <w:ind w:left="433" w:hanging="433"/>
        <w:spacing w:after="0"/>
        <w:tabs>
          <w:tab w:leader="none" w:pos="433"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expose ourselves to risks when we engage in hedging transactions.</w:t>
      </w:r>
    </w:p>
    <w:p>
      <w:pPr>
        <w:spacing w:after="0" w:line="130" w:lineRule="exact"/>
        <w:rPr>
          <w:rFonts w:ascii="Arial" w:cs="Arial" w:eastAsia="Arial" w:hAnsi="Arial"/>
          <w:sz w:val="18"/>
          <w:szCs w:val="18"/>
          <w:color w:val="auto"/>
        </w:rPr>
      </w:pPr>
    </w:p>
    <w:p>
      <w:pPr>
        <w:ind w:left="433" w:right="380" w:hanging="433"/>
        <w:spacing w:after="0" w:line="277" w:lineRule="auto"/>
        <w:tabs>
          <w:tab w:leader="none" w:pos="43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new market structure applicable to derivatives imposed by the Dodd-Frank Act may affect our ability to use over-the-counter (“OTC”) derivatives for hedging purposes.</w:t>
      </w:r>
    </w:p>
    <w:p>
      <w:pPr>
        <w:spacing w:after="0" w:line="75" w:lineRule="exact"/>
        <w:rPr>
          <w:rFonts w:ascii="Arial" w:cs="Arial" w:eastAsia="Arial" w:hAnsi="Arial"/>
          <w:sz w:val="18"/>
          <w:szCs w:val="18"/>
          <w:color w:val="auto"/>
        </w:rPr>
      </w:pPr>
    </w:p>
    <w:p>
      <w:pPr>
        <w:ind w:left="433" w:right="280" w:hanging="433"/>
        <w:spacing w:after="0" w:line="277" w:lineRule="auto"/>
        <w:tabs>
          <w:tab w:leader="none" w:pos="433"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we cease to be eligible for an exemption from regulation as a commodity pool operator, our compliance expenses could increase substantially.</w:t>
      </w:r>
    </w:p>
    <w:p>
      <w:pPr>
        <w:spacing w:after="0" w:line="75" w:lineRule="exact"/>
        <w:rPr>
          <w:rFonts w:ascii="Arial" w:cs="Arial" w:eastAsia="Arial" w:hAnsi="Arial"/>
          <w:sz w:val="18"/>
          <w:szCs w:val="18"/>
          <w:color w:val="auto"/>
        </w:rPr>
      </w:pPr>
    </w:p>
    <w:p>
      <w:pPr>
        <w:ind w:left="433" w:hanging="433"/>
        <w:spacing w:after="0"/>
        <w:tabs>
          <w:tab w:leader="none" w:pos="433"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portfolio investments may present special tax issues.</w:t>
      </w:r>
    </w:p>
    <w:p>
      <w:pPr>
        <w:spacing w:after="0" w:line="130" w:lineRule="exact"/>
        <w:rPr>
          <w:rFonts w:ascii="Arial" w:cs="Arial" w:eastAsia="Arial" w:hAnsi="Arial"/>
          <w:sz w:val="18"/>
          <w:szCs w:val="18"/>
          <w:color w:val="auto"/>
        </w:rPr>
      </w:pPr>
    </w:p>
    <w:p>
      <w:pPr>
        <w:ind w:left="433" w:hanging="433"/>
        <w:spacing w:after="0" w:line="259" w:lineRule="auto"/>
        <w:tabs>
          <w:tab w:leader="none" w:pos="433"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92" w:lineRule="exact"/>
        <w:rPr>
          <w:rFonts w:ascii="Arial" w:cs="Arial" w:eastAsia="Arial" w:hAnsi="Arial"/>
          <w:sz w:val="18"/>
          <w:szCs w:val="18"/>
          <w:color w:val="auto"/>
        </w:rPr>
      </w:pPr>
    </w:p>
    <w:p>
      <w:pPr>
        <w:ind w:left="433" w:hanging="433"/>
        <w:spacing w:after="0"/>
        <w:tabs>
          <w:tab w:leader="none" w:pos="433"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There are certain risks associated with holding debt obligations that have original issue discount or payment-in-kind interest.</w:t>
      </w:r>
    </w:p>
    <w:p>
      <w:pPr>
        <w:spacing w:after="0" w:line="345" w:lineRule="exact"/>
        <w:rPr>
          <w:sz w:val="20"/>
          <w:szCs w:val="20"/>
          <w:color w:val="auto"/>
        </w:rPr>
      </w:pPr>
    </w:p>
    <w:p>
      <w:pPr>
        <w:ind w:left="471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113"/>
          </w:cols>
          <w:pgMar w:left="1147" w:top="692" w:right="6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36410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174865" cy="3641090"/>
                    </a:xfrm>
                    <a:prstGeom prst="rect">
                      <a:avLst/>
                    </a:prstGeom>
                    <a:noFill/>
                  </pic:spPr>
                </pic:pic>
              </a:graphicData>
            </a:graphic>
          </wp:anchor>
        </w:drawing>
        <w:t>Risks Related to Our Securities</w:t>
      </w:r>
    </w:p>
    <w:p>
      <w:pPr>
        <w:spacing w:after="0" w:line="131" w:lineRule="exact"/>
        <w:rPr>
          <w:sz w:val="20"/>
          <w:szCs w:val="20"/>
          <w:color w:val="auto"/>
        </w:rPr>
      </w:pPr>
    </w:p>
    <w:p>
      <w:pPr>
        <w:ind w:left="960" w:hanging="433"/>
        <w:spacing w:after="0"/>
        <w:tabs>
          <w:tab w:leader="none" w:pos="9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There is a risk that investors in our common stock may not receive dividends or that our dividends may not grow over time.</w:t>
      </w:r>
    </w:p>
    <w:p>
      <w:pPr>
        <w:spacing w:after="0" w:line="142" w:lineRule="exact"/>
        <w:rPr>
          <w:rFonts w:ascii="Arial" w:cs="Arial" w:eastAsia="Arial" w:hAnsi="Arial"/>
          <w:sz w:val="17"/>
          <w:szCs w:val="17"/>
          <w:color w:val="auto"/>
        </w:rPr>
      </w:pPr>
    </w:p>
    <w:p>
      <w:pPr>
        <w:ind w:left="960" w:hanging="433"/>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Investing in our securities may involve a high degree of risk.</w:t>
      </w:r>
    </w:p>
    <w:p>
      <w:pPr>
        <w:spacing w:after="0" w:line="130" w:lineRule="exact"/>
        <w:rPr>
          <w:rFonts w:ascii="Arial" w:cs="Arial" w:eastAsia="Arial" w:hAnsi="Arial"/>
          <w:sz w:val="18"/>
          <w:szCs w:val="18"/>
          <w:color w:val="auto"/>
        </w:rPr>
      </w:pPr>
    </w:p>
    <w:p>
      <w:pPr>
        <w:ind w:left="960" w:hanging="433"/>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market price of our common stock may fluctuate significantly and could decline.</w:t>
      </w:r>
    </w:p>
    <w:p>
      <w:pPr>
        <w:spacing w:after="0" w:line="130" w:lineRule="exact"/>
        <w:rPr>
          <w:rFonts w:ascii="Arial" w:cs="Arial" w:eastAsia="Arial" w:hAnsi="Arial"/>
          <w:sz w:val="18"/>
          <w:szCs w:val="18"/>
          <w:color w:val="auto"/>
        </w:rPr>
      </w:pPr>
    </w:p>
    <w:p>
      <w:pPr>
        <w:ind w:left="960" w:hanging="433"/>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stockholders will experience dilution in their ownership percentage if they opt out of our dividend reinvestment plan.</w:t>
      </w:r>
    </w:p>
    <w:p>
      <w:pPr>
        <w:spacing w:after="0" w:line="130" w:lineRule="exact"/>
        <w:rPr>
          <w:rFonts w:ascii="Arial" w:cs="Arial" w:eastAsia="Arial" w:hAnsi="Arial"/>
          <w:sz w:val="18"/>
          <w:szCs w:val="18"/>
          <w:color w:val="auto"/>
        </w:rPr>
      </w:pPr>
    </w:p>
    <w:p>
      <w:pPr>
        <w:ind w:left="960" w:right="40" w:hanging="433"/>
        <w:spacing w:after="0" w:line="277"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Purchases of our common stock by us under the Company 10b5-1 Plan may result in dilution to our net asset value per share and the price of our common stock being higher than the price that otherwise might exist in the open market.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Risk Factors</w:t>
      </w:r>
    </w:p>
    <w:p>
      <w:pPr>
        <w:spacing w:after="0" w:line="131" w:lineRule="exact"/>
        <w:rPr>
          <w:sz w:val="20"/>
          <w:szCs w:val="20"/>
          <w:color w:val="auto"/>
        </w:rPr>
      </w:pPr>
    </w:p>
    <w:p>
      <w:pPr>
        <w:ind w:left="960" w:right="180" w:hanging="433"/>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are highly dependent on information systems and systems failures could significantly disrupt our business, which may, in turn, negatively affect the market price of our common stock and our ability to pay dividend.</w:t>
      </w:r>
    </w:p>
    <w:p>
      <w:pPr>
        <w:spacing w:after="0" w:line="75" w:lineRule="exact"/>
        <w:rPr>
          <w:rFonts w:ascii="Arial" w:cs="Arial" w:eastAsia="Arial" w:hAnsi="Arial"/>
          <w:sz w:val="18"/>
          <w:szCs w:val="18"/>
          <w:color w:val="auto"/>
        </w:rPr>
      </w:pPr>
    </w:p>
    <w:p>
      <w:pPr>
        <w:ind w:left="960" w:hanging="433"/>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laws or regulations governing our operations may adversely affect our business.</w:t>
      </w:r>
    </w:p>
    <w:p>
      <w:pPr>
        <w:spacing w:after="0" w:line="130" w:lineRule="exact"/>
        <w:rPr>
          <w:rFonts w:ascii="Arial" w:cs="Arial" w:eastAsia="Arial" w:hAnsi="Arial"/>
          <w:sz w:val="18"/>
          <w:szCs w:val="18"/>
          <w:color w:val="auto"/>
        </w:rPr>
      </w:pPr>
    </w:p>
    <w:p>
      <w:pPr>
        <w:ind w:left="960" w:hanging="433"/>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effect of global climate change may impact the operations of our portfolio companies.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firstLine="426"/>
        <w:spacing w:after="0" w:line="263" w:lineRule="auto"/>
        <w:rPr>
          <w:sz w:val="20"/>
          <w:szCs w:val="20"/>
          <w:color w:val="auto"/>
        </w:rPr>
      </w:pPr>
      <w:r>
        <w:rPr>
          <w:rFonts w:ascii="Arial" w:cs="Arial" w:eastAsia="Arial" w:hAnsi="Arial"/>
          <w:sz w:val="18"/>
          <w:szCs w:val="18"/>
          <w:color w:val="auto"/>
        </w:rPr>
        <w:t>Our principal executive offices are located at 2100 McKinney Avenue, Suite 1500, Dallas, TX 75201 and our telephone number is (469) 621-3001. Our corporate website is located at https://sixthstreetspecialtylending.com. Information on our website is not incorporated into or a part of this prospectus.</w:t>
      </w:r>
    </w:p>
    <w:p>
      <w:pPr>
        <w:spacing w:after="0" w:line="2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20"/>
          </w:cols>
          <w:pgMar w:left="620" w:top="692" w:right="75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9213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174865" cy="5921375"/>
                    </a:xfrm>
                    <a:prstGeom prst="rect">
                      <a:avLst/>
                    </a:prstGeom>
                    <a:noFill/>
                  </pic:spPr>
                </pic:pic>
              </a:graphicData>
            </a:graphic>
          </wp:anchor>
        </w:drawing>
        <w:t>THE OFFERING</w:t>
      </w:r>
    </w:p>
    <w:p>
      <w:pPr>
        <w:spacing w:after="0" w:line="229" w:lineRule="exact"/>
        <w:rPr>
          <w:sz w:val="20"/>
          <w:szCs w:val="20"/>
          <w:color w:val="auto"/>
        </w:rPr>
      </w:pPr>
    </w:p>
    <w:p>
      <w:pPr>
        <w:ind w:left="180" w:right="220" w:firstLine="426"/>
        <w:spacing w:after="0" w:line="284" w:lineRule="auto"/>
        <w:rPr>
          <w:sz w:val="20"/>
          <w:szCs w:val="20"/>
          <w:color w:val="auto"/>
        </w:rPr>
      </w:pPr>
      <w:r>
        <w:rPr>
          <w:rFonts w:ascii="Arial" w:cs="Arial" w:eastAsia="Arial" w:hAnsi="Arial"/>
          <w:sz w:val="16"/>
          <w:szCs w:val="16"/>
          <w:color w:val="auto"/>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w:t>
      </w:r>
    </w:p>
    <w:p>
      <w:pPr>
        <w:spacing w:after="0" w:line="4" w:lineRule="exact"/>
        <w:rPr>
          <w:sz w:val="20"/>
          <w:szCs w:val="20"/>
          <w:color w:val="auto"/>
        </w:rPr>
      </w:pPr>
    </w:p>
    <w:p>
      <w:pPr>
        <w:ind w:left="180" w:right="180" w:hanging="6"/>
        <w:spacing w:after="0" w:line="277" w:lineRule="auto"/>
        <w:tabs>
          <w:tab w:leader="none" w:pos="435" w:val="left"/>
        </w:tabs>
        <w:numPr>
          <w:ilvl w:val="0"/>
          <w:numId w:val="41"/>
        </w:numPr>
        <w:rPr>
          <w:rFonts w:ascii="Arial" w:cs="Arial" w:eastAsia="Arial" w:hAnsi="Arial"/>
          <w:sz w:val="17"/>
          <w:szCs w:val="17"/>
          <w:color w:val="auto"/>
        </w:rPr>
      </w:pPr>
      <w:r>
        <w:rPr>
          <w:rFonts w:ascii="Arial" w:cs="Arial" w:eastAsia="Arial" w:hAnsi="Arial"/>
          <w:sz w:val="17"/>
          <w:szCs w:val="17"/>
          <w:color w:val="auto"/>
        </w:rPr>
        <w:t>with the prior approval of the majority of our outstanding voting securities or (c) under such other circumstances as the SEC may permit. Any such issuance of shares of our common stock at a price per share below the net asset value per share of our common stock may be dilutive to the net asset value of our common stock. See “Risk Factors—Risks Related to Offerings Pursuant to This Prospectus.”</w:t>
      </w:r>
    </w:p>
    <w:p>
      <w:pPr>
        <w:spacing w:after="0" w:line="173" w:lineRule="exact"/>
        <w:rPr>
          <w:sz w:val="20"/>
          <w:szCs w:val="20"/>
          <w:color w:val="auto"/>
        </w:rPr>
      </w:pPr>
    </w:p>
    <w:p>
      <w:pPr>
        <w:ind w:left="180" w:right="280" w:firstLine="426"/>
        <w:spacing w:after="0" w:line="311" w:lineRule="auto"/>
        <w:rPr>
          <w:sz w:val="20"/>
          <w:szCs w:val="20"/>
          <w:color w:val="auto"/>
        </w:rPr>
      </w:pPr>
      <w:r>
        <w:rPr>
          <w:rFonts w:ascii="Arial" w:cs="Arial" w:eastAsia="Arial" w:hAnsi="Arial"/>
          <w:sz w:val="16"/>
          <w:szCs w:val="16"/>
          <w:color w:val="auto"/>
        </w:rPr>
        <w:t>Pursuant to approval granted at a special meeting of stockholders held on May 26, 2022, we are currently permitted to sell or otherwise issue shares of our common stock at a price below our then-current net asset value per share, subject to the approval of our Board and certain other conditions. Such stockholder approval expires on May 26, 2023. We intend to propose the extension of this approval in future years.</w:t>
      </w:r>
    </w:p>
    <w:p>
      <w:pPr>
        <w:spacing w:after="0" w:line="149" w:lineRule="exact"/>
        <w:rPr>
          <w:sz w:val="20"/>
          <w:szCs w:val="20"/>
          <w:color w:val="auto"/>
        </w:rPr>
      </w:pPr>
    </w:p>
    <w:p>
      <w:pPr>
        <w:ind w:left="180" w:right="300" w:firstLine="426"/>
        <w:spacing w:after="0" w:line="293" w:lineRule="auto"/>
        <w:rPr>
          <w:sz w:val="20"/>
          <w:szCs w:val="20"/>
          <w:color w:val="auto"/>
        </w:rPr>
      </w:pPr>
      <w:r>
        <w:rPr>
          <w:rFonts w:ascii="Arial" w:cs="Arial" w:eastAsia="Arial" w:hAnsi="Arial"/>
          <w:sz w:val="16"/>
          <w:szCs w:val="16"/>
          <w:color w:val="auto"/>
        </w:rPr>
        <w:t>We may offer our securities directly to one or more purchasers, including existing stockholders in a rights offering by us, through agents that we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Set forth below is additional information regarding offerings of our securities: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20" w:type="dxa"/>
            <w:vAlign w:val="bottom"/>
          </w:tcPr>
          <w:p>
            <w:pPr>
              <w:ind w:left="180"/>
              <w:spacing w:after="0"/>
              <w:rPr>
                <w:sz w:val="20"/>
                <w:szCs w:val="20"/>
                <w:color w:val="auto"/>
              </w:rPr>
            </w:pPr>
            <w:r>
              <w:rPr>
                <w:rFonts w:ascii="Arial" w:cs="Arial" w:eastAsia="Arial" w:hAnsi="Arial"/>
                <w:sz w:val="18"/>
                <w:szCs w:val="18"/>
                <w:b w:val="1"/>
                <w:bCs w:val="1"/>
                <w:color w:val="auto"/>
              </w:rPr>
              <w:t>Use of Proceeds</w:t>
            </w:r>
          </w:p>
        </w:tc>
        <w:tc>
          <w:tcPr>
            <w:tcW w:w="8000" w:type="dxa"/>
            <w:vAlign w:val="bottom"/>
          </w:tcPr>
          <w:p>
            <w:pPr>
              <w:ind w:left="1200"/>
              <w:spacing w:after="0"/>
              <w:rPr>
                <w:sz w:val="20"/>
                <w:szCs w:val="20"/>
                <w:color w:val="auto"/>
              </w:rPr>
            </w:pPr>
            <w:r>
              <w:rPr>
                <w:rFonts w:ascii="Arial" w:cs="Arial" w:eastAsia="Arial" w:hAnsi="Arial"/>
                <w:sz w:val="18"/>
                <w:szCs w:val="18"/>
                <w:color w:val="auto"/>
                <w:w w:val="94"/>
              </w:rPr>
              <w:t>Unless otherwise specified in a prospectus supplement, we intend to use the net proceeds</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Arial" w:cs="Arial" w:eastAsia="Arial" w:hAnsi="Arial"/>
                <w:sz w:val="18"/>
                <w:szCs w:val="18"/>
                <w:color w:val="auto"/>
                <w:w w:val="95"/>
              </w:rPr>
              <w:t>from the sale of our securities for general corporate purposes, which may include, among</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Arial" w:cs="Arial" w:eastAsia="Arial" w:hAnsi="Arial"/>
                <w:sz w:val="18"/>
                <w:szCs w:val="18"/>
                <w:color w:val="auto"/>
                <w:w w:val="95"/>
              </w:rPr>
              <w:t>other things, investing in portfolio companies in accordance with our investment objective</w:t>
            </w:r>
          </w:p>
        </w:tc>
      </w:tr>
      <w:tr>
        <w:trPr>
          <w:trHeight w:val="230"/>
        </w:trPr>
        <w:tc>
          <w:tcPr>
            <w:tcW w:w="3020" w:type="dxa"/>
            <w:vAlign w:val="bottom"/>
          </w:tcPr>
          <w:p>
            <w:pPr>
              <w:spacing w:after="0"/>
              <w:rPr>
                <w:sz w:val="20"/>
                <w:szCs w:val="20"/>
                <w:color w:val="auto"/>
              </w:rPr>
            </w:pPr>
          </w:p>
        </w:tc>
        <w:tc>
          <w:tcPr>
            <w:tcW w:w="8000" w:type="dxa"/>
            <w:vAlign w:val="bottom"/>
          </w:tcPr>
          <w:p>
            <w:pPr>
              <w:ind w:left="1200"/>
              <w:spacing w:after="0"/>
              <w:rPr>
                <w:sz w:val="20"/>
                <w:szCs w:val="20"/>
                <w:color w:val="auto"/>
              </w:rPr>
            </w:pPr>
            <w:r>
              <w:rPr>
                <w:rFonts w:ascii="Arial" w:cs="Arial" w:eastAsia="Arial" w:hAnsi="Arial"/>
                <w:sz w:val="18"/>
                <w:szCs w:val="18"/>
                <w:color w:val="auto"/>
              </w:rPr>
              <w:t>and repaying indebtedness (which will be subject to reborrowing).</w:t>
            </w:r>
          </w:p>
        </w:tc>
      </w:tr>
      <w:tr>
        <w:trPr>
          <w:trHeight w:val="445"/>
        </w:trPr>
        <w:tc>
          <w:tcPr>
            <w:tcW w:w="3020" w:type="dxa"/>
            <w:vAlign w:val="bottom"/>
          </w:tcPr>
          <w:p>
            <w:pPr>
              <w:spacing w:after="0"/>
              <w:rPr>
                <w:sz w:val="24"/>
                <w:szCs w:val="24"/>
                <w:color w:val="auto"/>
              </w:rPr>
            </w:pPr>
          </w:p>
        </w:tc>
        <w:tc>
          <w:tcPr>
            <w:tcW w:w="8000" w:type="dxa"/>
            <w:vAlign w:val="bottom"/>
          </w:tcPr>
          <w:p>
            <w:pPr>
              <w:ind w:left="1200"/>
              <w:spacing w:after="0"/>
              <w:rPr>
                <w:sz w:val="20"/>
                <w:szCs w:val="20"/>
                <w:color w:val="auto"/>
              </w:rPr>
            </w:pPr>
            <w:r>
              <w:rPr>
                <w:rFonts w:ascii="Arial" w:cs="Arial" w:eastAsia="Arial" w:hAnsi="Arial"/>
                <w:sz w:val="18"/>
                <w:szCs w:val="18"/>
                <w:color w:val="auto"/>
                <w:w w:val="97"/>
              </w:rPr>
              <w:t>Each supplement to this prospectus relating to an offering will more fully identify the use</w:t>
            </w:r>
          </w:p>
        </w:tc>
      </w:tr>
      <w:tr>
        <w:trPr>
          <w:trHeight w:val="230"/>
        </w:trPr>
        <w:tc>
          <w:tcPr>
            <w:tcW w:w="3020" w:type="dxa"/>
            <w:vAlign w:val="bottom"/>
          </w:tcPr>
          <w:p>
            <w:pPr>
              <w:spacing w:after="0"/>
              <w:rPr>
                <w:sz w:val="20"/>
                <w:szCs w:val="20"/>
                <w:color w:val="auto"/>
              </w:rPr>
            </w:pPr>
          </w:p>
        </w:tc>
        <w:tc>
          <w:tcPr>
            <w:tcW w:w="8000" w:type="dxa"/>
            <w:vAlign w:val="bottom"/>
          </w:tcPr>
          <w:p>
            <w:pPr>
              <w:ind w:left="1200"/>
              <w:spacing w:after="0"/>
              <w:rPr>
                <w:sz w:val="20"/>
                <w:szCs w:val="20"/>
                <w:color w:val="auto"/>
              </w:rPr>
            </w:pPr>
            <w:r>
              <w:rPr>
                <w:rFonts w:ascii="Arial" w:cs="Arial" w:eastAsia="Arial" w:hAnsi="Arial"/>
                <w:sz w:val="18"/>
                <w:szCs w:val="18"/>
                <w:color w:val="auto"/>
              </w:rPr>
              <w:t>of the proceeds from such offering. See “Use of Proceeds.”</w:t>
            </w:r>
          </w:p>
        </w:tc>
      </w:tr>
      <w:tr>
        <w:trPr>
          <w:trHeight w:val="459"/>
        </w:trPr>
        <w:tc>
          <w:tcPr>
            <w:tcW w:w="3020" w:type="dxa"/>
            <w:vAlign w:val="bottom"/>
          </w:tcPr>
          <w:p>
            <w:pPr>
              <w:ind w:left="180"/>
              <w:spacing w:after="0"/>
              <w:rPr>
                <w:sz w:val="20"/>
                <w:szCs w:val="20"/>
                <w:color w:val="auto"/>
              </w:rPr>
            </w:pPr>
            <w:r>
              <w:rPr>
                <w:rFonts w:ascii="Arial" w:cs="Arial" w:eastAsia="Arial" w:hAnsi="Arial"/>
                <w:sz w:val="18"/>
                <w:szCs w:val="18"/>
                <w:b w:val="1"/>
                <w:bCs w:val="1"/>
                <w:color w:val="auto"/>
              </w:rPr>
              <w:t>Symbol on the NYSE</w:t>
            </w:r>
          </w:p>
        </w:tc>
        <w:tc>
          <w:tcPr>
            <w:tcW w:w="8000" w:type="dxa"/>
            <w:vAlign w:val="bottom"/>
          </w:tcPr>
          <w:p>
            <w:pPr>
              <w:ind w:left="1200"/>
              <w:spacing w:after="0"/>
              <w:rPr>
                <w:sz w:val="20"/>
                <w:szCs w:val="20"/>
                <w:color w:val="auto"/>
              </w:rPr>
            </w:pPr>
            <w:r>
              <w:rPr>
                <w:rFonts w:ascii="Arial" w:cs="Arial" w:eastAsia="Arial" w:hAnsi="Arial"/>
                <w:sz w:val="18"/>
                <w:szCs w:val="18"/>
                <w:color w:val="auto"/>
              </w:rPr>
              <w:t>“TSLX”</w:t>
            </w:r>
          </w:p>
        </w:tc>
      </w:tr>
      <w:tr>
        <w:trPr>
          <w:trHeight w:val="472"/>
        </w:trPr>
        <w:tc>
          <w:tcPr>
            <w:tcW w:w="3020" w:type="dxa"/>
            <w:vAlign w:val="bottom"/>
          </w:tcPr>
          <w:p>
            <w:pPr>
              <w:ind w:left="180"/>
              <w:spacing w:after="0"/>
              <w:rPr>
                <w:sz w:val="20"/>
                <w:szCs w:val="20"/>
                <w:color w:val="auto"/>
              </w:rPr>
            </w:pPr>
            <w:r>
              <w:rPr>
                <w:rFonts w:ascii="Arial" w:cs="Arial" w:eastAsia="Arial" w:hAnsi="Arial"/>
                <w:sz w:val="18"/>
                <w:szCs w:val="18"/>
                <w:b w:val="1"/>
                <w:bCs w:val="1"/>
                <w:color w:val="auto"/>
              </w:rPr>
              <w:t>Distributions</w:t>
            </w:r>
          </w:p>
        </w:tc>
        <w:tc>
          <w:tcPr>
            <w:tcW w:w="8000" w:type="dxa"/>
            <w:vAlign w:val="bottom"/>
          </w:tcPr>
          <w:p>
            <w:pPr>
              <w:ind w:left="1200"/>
              <w:spacing w:after="0"/>
              <w:rPr>
                <w:sz w:val="20"/>
                <w:szCs w:val="20"/>
                <w:color w:val="auto"/>
              </w:rPr>
            </w:pPr>
            <w:r>
              <w:rPr>
                <w:rFonts w:ascii="Arial" w:cs="Arial" w:eastAsia="Arial" w:hAnsi="Arial"/>
                <w:sz w:val="18"/>
                <w:szCs w:val="18"/>
                <w:color w:val="auto"/>
                <w:w w:val="93"/>
              </w:rPr>
              <w:t>To the extent we have earnings available for distribution, we expect to continue distributing</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Arial" w:cs="Arial" w:eastAsia="Arial" w:hAnsi="Arial"/>
                <w:sz w:val="18"/>
                <w:szCs w:val="18"/>
                <w:color w:val="auto"/>
                <w:w w:val="94"/>
              </w:rPr>
              <w:t>quarterly dividends to our stockholders. The specific tax characteristics of our distributions</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Arial" w:cs="Arial" w:eastAsia="Arial" w:hAnsi="Arial"/>
                <w:sz w:val="18"/>
                <w:szCs w:val="18"/>
                <w:color w:val="auto"/>
              </w:rPr>
              <w:t>will be reported to stockholders after the end of the calendar year. Future quarterly</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Arial" w:cs="Arial" w:eastAsia="Arial" w:hAnsi="Arial"/>
                <w:sz w:val="18"/>
                <w:szCs w:val="18"/>
                <w:color w:val="auto"/>
                <w:w w:val="97"/>
              </w:rPr>
              <w:t>dividends, if any, will be determined by our Board. See “Price Range of Common Stock</w:t>
            </w:r>
          </w:p>
        </w:tc>
      </w:tr>
      <w:tr>
        <w:trPr>
          <w:trHeight w:val="230"/>
        </w:trPr>
        <w:tc>
          <w:tcPr>
            <w:tcW w:w="3020" w:type="dxa"/>
            <w:vAlign w:val="bottom"/>
          </w:tcPr>
          <w:p>
            <w:pPr>
              <w:spacing w:after="0"/>
              <w:rPr>
                <w:sz w:val="20"/>
                <w:szCs w:val="20"/>
                <w:color w:val="auto"/>
              </w:rPr>
            </w:pPr>
          </w:p>
        </w:tc>
        <w:tc>
          <w:tcPr>
            <w:tcW w:w="8000" w:type="dxa"/>
            <w:vAlign w:val="bottom"/>
          </w:tcPr>
          <w:p>
            <w:pPr>
              <w:ind w:left="1200"/>
              <w:spacing w:after="0"/>
              <w:rPr>
                <w:sz w:val="20"/>
                <w:szCs w:val="20"/>
                <w:color w:val="auto"/>
              </w:rPr>
            </w:pPr>
            <w:r>
              <w:rPr>
                <w:rFonts w:ascii="Arial" w:cs="Arial" w:eastAsia="Arial" w:hAnsi="Arial"/>
                <w:sz w:val="18"/>
                <w:szCs w:val="18"/>
                <w:color w:val="auto"/>
              </w:rPr>
              <w:t>and Distributions.”</w:t>
            </w:r>
          </w:p>
        </w:tc>
      </w:tr>
      <w:tr>
        <w:trPr>
          <w:trHeight w:val="159"/>
        </w:trPr>
        <w:tc>
          <w:tcPr>
            <w:tcW w:w="3020" w:type="dxa"/>
            <w:vAlign w:val="bottom"/>
            <w:tcBorders>
              <w:bottom w:val="single" w:sz="8" w:color="auto"/>
            </w:tcBorders>
          </w:tcPr>
          <w:p>
            <w:pPr>
              <w:spacing w:after="0"/>
              <w:rPr>
                <w:sz w:val="13"/>
                <w:szCs w:val="13"/>
                <w:color w:val="auto"/>
              </w:rPr>
            </w:pPr>
          </w:p>
        </w:tc>
        <w:tc>
          <w:tcPr>
            <w:tcW w:w="8000" w:type="dxa"/>
            <w:vAlign w:val="bottom"/>
            <w:tcBorders>
              <w:bottom w:val="single" w:sz="8" w:color="auto"/>
            </w:tcBorders>
          </w:tcPr>
          <w:p>
            <w:pPr>
              <w:spacing w:after="0"/>
              <w:rPr>
                <w:sz w:val="13"/>
                <w:szCs w:val="13"/>
                <w:color w:val="auto"/>
              </w:rPr>
            </w:pPr>
          </w:p>
        </w:tc>
      </w:tr>
      <w:tr>
        <w:trPr>
          <w:trHeight w:val="361"/>
        </w:trPr>
        <w:tc>
          <w:tcPr>
            <w:tcW w:w="3020" w:type="dxa"/>
            <w:vAlign w:val="bottom"/>
          </w:tcPr>
          <w:p>
            <w:pPr>
              <w:spacing w:after="0"/>
              <w:rPr>
                <w:sz w:val="24"/>
                <w:szCs w:val="24"/>
                <w:color w:val="auto"/>
              </w:rPr>
            </w:pPr>
          </w:p>
        </w:tc>
        <w:tc>
          <w:tcPr>
            <w:tcW w:w="8000" w:type="dxa"/>
            <w:vAlign w:val="bottom"/>
          </w:tcPr>
          <w:p>
            <w:pPr>
              <w:ind w:left="240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020"/>
          </w:cols>
          <w:pgMar w:left="440" w:top="688" w:right="439" w:bottom="1440" w:gutter="0" w:footer="0" w:header="0"/>
        </w:sectPr>
      </w:pPr>
    </w:p>
    <w:bookmarkStart w:id="54" w:name="page55"/>
    <w:bookmarkEnd w:id="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80"/>
        </w:trPr>
        <w:tc>
          <w:tcPr>
            <w:tcW w:w="3300" w:type="dxa"/>
            <w:vAlign w:val="bottom"/>
            <w:tcBorders>
              <w:top w:val="single" w:sz="8" w:color="auto"/>
              <w:left w:val="single" w:sz="8" w:color="auto"/>
            </w:tcBorders>
          </w:tcPr>
          <w:p>
            <w:pPr>
              <w:spacing w:after="0"/>
              <w:rPr>
                <w:sz w:val="24"/>
                <w:szCs w:val="24"/>
                <w:color w:val="auto"/>
              </w:rPr>
            </w:pPr>
          </w:p>
        </w:tc>
        <w:tc>
          <w:tcPr>
            <w:tcW w:w="7720" w:type="dxa"/>
            <w:vAlign w:val="bottom"/>
            <w:tcBorders>
              <w:top w:val="single" w:sz="8" w:color="auto"/>
              <w:right w:val="single" w:sz="8" w:color="auto"/>
            </w:tcBorders>
            <w:gridSpan w:val="2"/>
          </w:tcPr>
          <w:p>
            <w:pPr>
              <w:ind w:left="920"/>
              <w:spacing w:after="0"/>
              <w:rPr>
                <w:sz w:val="20"/>
                <w:szCs w:val="20"/>
                <w:color w:val="auto"/>
              </w:rPr>
            </w:pPr>
            <w:r>
              <w:rPr>
                <w:rFonts w:ascii="Arial" w:cs="Arial" w:eastAsia="Arial" w:hAnsi="Arial"/>
                <w:sz w:val="18"/>
                <w:szCs w:val="18"/>
                <w:color w:val="auto"/>
                <w:w w:val="94"/>
              </w:rPr>
              <w:t>To maintain our tax treatment as a RIC, we must make certain distributions. See “Material</w:t>
            </w:r>
          </w:p>
        </w:tc>
      </w:tr>
      <w:tr>
        <w:trPr>
          <w:trHeight w:val="230"/>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3"/>
              </w:rPr>
              <w:t>U.S. Federal Income Tax Considerations—Regulated Investment Company Classification.”</w:t>
            </w:r>
          </w:p>
        </w:tc>
      </w:tr>
      <w:tr>
        <w:trPr>
          <w:trHeight w:val="445"/>
        </w:trPr>
        <w:tc>
          <w:tcPr>
            <w:tcW w:w="33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Anti-Takeover Provisions</w:t>
            </w: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2"/>
              </w:rPr>
              <w:t>Our Board is divided into three classes of directors serving staggered three-year terms. This</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6"/>
              </w:rPr>
              <w:t>structure is intended to provide us with a greater likelihood of continuity of management,</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7"/>
              </w:rPr>
              <w:t>which may be necessary for us to realize the full value of our investments. A staggered</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9"/>
              </w:rPr>
              <w:t>board of directors also may serve to deter hostile takeovers or proxy contests, as may</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rPr>
              <w:t>certain other measures adopted by us. See “Description of Our Capital Stock—Anti-</w:t>
            </w:r>
          </w:p>
        </w:tc>
      </w:tr>
      <w:tr>
        <w:trPr>
          <w:trHeight w:val="230"/>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rPr>
              <w:t>Takeover Provisions.”</w:t>
            </w:r>
          </w:p>
        </w:tc>
      </w:tr>
      <w:tr>
        <w:trPr>
          <w:trHeight w:val="445"/>
        </w:trPr>
        <w:tc>
          <w:tcPr>
            <w:tcW w:w="33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Leverage</w:t>
            </w: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4"/>
              </w:rPr>
              <w:t>As a BDC, we are permitted under the 1940 Act to borrow funds or issue senior securities</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2"/>
              </w:rPr>
              <w:t>to finance a portion of our investments. As a result, we are exposed to the risks of leverage,</w:t>
            </w:r>
          </w:p>
        </w:tc>
      </w:tr>
      <w:tr>
        <w:trPr>
          <w:trHeight w:val="230"/>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rPr>
              <w:t>which may be considered a speculative investment technique.</w:t>
            </w:r>
          </w:p>
        </w:tc>
      </w:tr>
      <w:tr>
        <w:trPr>
          <w:trHeight w:val="445"/>
        </w:trPr>
        <w:tc>
          <w:tcPr>
            <w:tcW w:w="3300" w:type="dxa"/>
            <w:vAlign w:val="bottom"/>
            <w:tcBorders>
              <w:left w:val="single" w:sz="8" w:color="auto"/>
            </w:tcBorders>
          </w:tcPr>
          <w:p>
            <w:pPr>
              <w:spacing w:after="0"/>
              <w:rPr>
                <w:sz w:val="24"/>
                <w:szCs w:val="24"/>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6"/>
              </w:rPr>
              <w:t>Leverage increases the potential for gain and loss on amounts invested and, as a result,</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2"/>
              </w:rPr>
              <w:t>increases the risks associated with investing in our securities. The costs associated with our</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8"/>
              </w:rPr>
              <w:t>borrowings, including any increase in the fees payable to the Adviser, are borne by our</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3"/>
              </w:rPr>
              <w:t>stockholders. Any decision on our part to use borrowings depends upon our assessment of</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rPr>
              <w:t>the attractiveness of available investment opportunities in relation to the costs and</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2"/>
              </w:rPr>
              <w:t>perceived risks of such leverage. See “Regulation as a Business Development Company” in</w:t>
            </w:r>
          </w:p>
        </w:tc>
      </w:tr>
      <w:tr>
        <w:trPr>
          <w:trHeight w:val="230"/>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rPr>
              <w:t>Part I, Item 1 of our 2021 Annual Report.</w:t>
            </w:r>
          </w:p>
        </w:tc>
      </w:tr>
      <w:tr>
        <w:trPr>
          <w:trHeight w:val="445"/>
        </w:trPr>
        <w:tc>
          <w:tcPr>
            <w:tcW w:w="33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Dividend Reinvestment Plan</w:t>
            </w: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5"/>
              </w:rPr>
              <w:t>We have adopted a dividend reinvestment plan for our stockholders, which is an “opt out”</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rPr>
              <w:t>dividend reinvestment plan. Under this plan, if we declare a cash dividend or other</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rPr>
              <w:t>distribution, our stockholders who have not elected to “opt out” of our dividend</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7"/>
              </w:rPr>
              <w:t>reinvestment plan will have their cash distribution automatically reinvested in additional</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6"/>
              </w:rPr>
              <w:t>shares of our common stock, rather than receiving the cash distribution. If a stockholder</w:t>
            </w:r>
          </w:p>
        </w:tc>
      </w:tr>
      <w:tr>
        <w:trPr>
          <w:trHeight w:val="230"/>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rPr>
              <w:t>elects to “opt out,” that stockholder will receive cash dividends or other distributions.</w:t>
            </w:r>
          </w:p>
        </w:tc>
      </w:tr>
      <w:tr>
        <w:trPr>
          <w:trHeight w:val="445"/>
        </w:trPr>
        <w:tc>
          <w:tcPr>
            <w:tcW w:w="33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Taxation</w:t>
            </w: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0"/>
              </w:rPr>
              <w:t>We have elected to be treated as a RIC for U.S. federal income tax purposes. Our status as a</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5"/>
              </w:rPr>
              <w:t>RIC will enable us to deduct qualifying distributions to our stockholders, so that we will be</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5"/>
              </w:rPr>
              <w:t>subject to corporate-level U.S. federal income taxation only in respect of earnings that we</w:t>
            </w:r>
          </w:p>
        </w:tc>
      </w:tr>
      <w:tr>
        <w:trPr>
          <w:trHeight w:val="230"/>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rPr>
              <w:t>retain and do not distribute.</w:t>
            </w:r>
          </w:p>
        </w:tc>
      </w:tr>
      <w:tr>
        <w:trPr>
          <w:trHeight w:val="445"/>
        </w:trPr>
        <w:tc>
          <w:tcPr>
            <w:tcW w:w="3300" w:type="dxa"/>
            <w:vAlign w:val="bottom"/>
            <w:tcBorders>
              <w:left w:val="single" w:sz="8" w:color="auto"/>
            </w:tcBorders>
          </w:tcPr>
          <w:p>
            <w:pPr>
              <w:spacing w:after="0"/>
              <w:rPr>
                <w:sz w:val="24"/>
                <w:szCs w:val="24"/>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5"/>
              </w:rPr>
              <w:t>To maintain our status as a RIC and to avoid being subject to corporate-level U.S. federal</w:t>
            </w:r>
          </w:p>
        </w:tc>
      </w:tr>
      <w:tr>
        <w:trPr>
          <w:trHeight w:val="230"/>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rPr>
              <w:t>income taxation on our earnings, we must, among other things:</w:t>
            </w:r>
          </w:p>
        </w:tc>
      </w:tr>
      <w:tr>
        <w:trPr>
          <w:trHeight w:val="338"/>
        </w:trPr>
        <w:tc>
          <w:tcPr>
            <w:tcW w:w="3300" w:type="dxa"/>
            <w:vAlign w:val="bottom"/>
            <w:tcBorders>
              <w:left w:val="single" w:sz="8" w:color="auto"/>
            </w:tcBorders>
          </w:tcPr>
          <w:p>
            <w:pPr>
              <w:spacing w:after="0"/>
              <w:rPr>
                <w:sz w:val="24"/>
                <w:szCs w:val="24"/>
                <w:color w:val="auto"/>
              </w:rPr>
            </w:pPr>
          </w:p>
        </w:tc>
        <w:tc>
          <w:tcPr>
            <w:tcW w:w="1480" w:type="dxa"/>
            <w:vAlign w:val="bottom"/>
          </w:tcPr>
          <w:p>
            <w:pPr>
              <w:ind w:left="1240"/>
              <w:spacing w:after="0"/>
              <w:rPr>
                <w:sz w:val="20"/>
                <w:szCs w:val="20"/>
                <w:color w:val="auto"/>
              </w:rPr>
            </w:pPr>
            <w:r>
              <w:rPr>
                <w:rFonts w:ascii="Arial" w:cs="Arial" w:eastAsia="Arial" w:hAnsi="Arial"/>
                <w:sz w:val="18"/>
                <w:szCs w:val="18"/>
                <w:color w:val="auto"/>
              </w:rPr>
              <w:t>•</w:t>
            </w:r>
          </w:p>
        </w:tc>
        <w:tc>
          <w:tcPr>
            <w:tcW w:w="6240" w:type="dxa"/>
            <w:vAlign w:val="bottom"/>
            <w:tcBorders>
              <w:right w:val="single" w:sz="8" w:color="auto"/>
            </w:tcBorders>
          </w:tcPr>
          <w:p>
            <w:pPr>
              <w:jc w:val="right"/>
              <w:ind w:right="1290"/>
              <w:spacing w:after="0"/>
              <w:rPr>
                <w:sz w:val="20"/>
                <w:szCs w:val="20"/>
                <w:color w:val="auto"/>
              </w:rPr>
            </w:pPr>
            <w:r>
              <w:rPr>
                <w:rFonts w:ascii="Arial" w:cs="Arial" w:eastAsia="Arial" w:hAnsi="Arial"/>
                <w:sz w:val="18"/>
                <w:szCs w:val="18"/>
                <w:color w:val="auto"/>
                <w:w w:val="93"/>
              </w:rPr>
              <w:t>maintain our election under the 1940 Act to be treated as a BDC;</w:t>
            </w:r>
          </w:p>
        </w:tc>
      </w:tr>
      <w:tr>
        <w:trPr>
          <w:trHeight w:val="159"/>
        </w:trPr>
        <w:tc>
          <w:tcPr>
            <w:tcW w:w="3300" w:type="dxa"/>
            <w:vAlign w:val="bottom"/>
            <w:tcBorders>
              <w:left w:val="single" w:sz="8" w:color="auto"/>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6240" w:type="dxa"/>
            <w:vAlign w:val="bottom"/>
            <w:tcBorders>
              <w:bottom w:val="single" w:sz="8" w:color="auto"/>
              <w:right w:val="single" w:sz="8" w:color="auto"/>
            </w:tcBorders>
          </w:tcPr>
          <w:p>
            <w:pPr>
              <w:spacing w:after="0"/>
              <w:rPr>
                <w:sz w:val="13"/>
                <w:szCs w:val="13"/>
                <w:color w:val="auto"/>
              </w:rPr>
            </w:pPr>
          </w:p>
        </w:tc>
      </w:tr>
      <w:tr>
        <w:trPr>
          <w:trHeight w:val="361"/>
        </w:trPr>
        <w:tc>
          <w:tcPr>
            <w:tcW w:w="3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40" w:type="dxa"/>
            <w:vAlign w:val="bottom"/>
          </w:tcPr>
          <w:p>
            <w:pPr>
              <w:jc w:val="right"/>
              <w:ind w:right="533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020"/>
          </w:cols>
          <w:pgMar w:left="440" w:top="508" w:right="439" w:bottom="1440" w:gutter="0" w:footer="0" w:header="0"/>
        </w:sectPr>
      </w:pPr>
    </w:p>
    <w:bookmarkStart w:id="55" w:name="page56"/>
    <w:bookmarkEnd w:id="55"/>
    <w:p>
      <w:pPr>
        <w:ind w:left="4980" w:right="360" w:hanging="439"/>
        <w:spacing w:after="0" w:line="263" w:lineRule="auto"/>
        <w:tabs>
          <w:tab w:leader="none" w:pos="4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7067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7174865" cy="5706745"/>
                    </a:xfrm>
                    <a:prstGeom prst="rect">
                      <a:avLst/>
                    </a:prstGeom>
                    <a:noFill/>
                  </pic:spPr>
                </pic:pic>
              </a:graphicData>
            </a:graphic>
          </wp:anchor>
        </w:drawing>
        <w:t>•</w:t>
      </w:r>
      <w:r>
        <w:rPr>
          <w:sz w:val="20"/>
          <w:szCs w:val="20"/>
          <w:color w:val="auto"/>
        </w:rPr>
        <w:tab/>
      </w: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89"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maintain diversified holdings.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4"/>
              </w:rPr>
              <w:t>In addition, we must distribute (or be treated as distributing) in each taxable year dividends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4"/>
              </w:rPr>
              <w:t>for tax purposes equal to at least 90% of our investment company taxable income and net</w:t>
            </w:r>
          </w:p>
        </w:tc>
      </w:tr>
      <w:tr>
        <w:trPr>
          <w:trHeight w:val="230"/>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tax-exempt income for that taxable year.</w:t>
            </w:r>
          </w:p>
        </w:tc>
      </w:tr>
      <w:tr>
        <w:trPr>
          <w:trHeight w:val="445"/>
        </w:trPr>
        <w:tc>
          <w:tcPr>
            <w:tcW w:w="3280" w:type="dxa"/>
            <w:vAlign w:val="bottom"/>
          </w:tcPr>
          <w:p>
            <w:pPr>
              <w:spacing w:after="0"/>
              <w:rPr>
                <w:sz w:val="24"/>
                <w:szCs w:val="24"/>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8"/>
              </w:rPr>
              <w:t>As a RIC, we generally will not be subject to corporate-level U.S. federal income tax on</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our investment company taxable income and net capital gains that we distribute to</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5"/>
              </w:rPr>
              <w:t>stockholders. If we fail to distribute our investment company taxable income or net capital</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6"/>
              </w:rPr>
              <w:t>gains on a timely basis, we will be subject to a nondeductible 4% U.S. federal excise tax.</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8"/>
              </w:rPr>
              <w:t>We can be expected to carry forward investment company taxable income in excess of</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6"/>
              </w:rPr>
              <w:t>current year distributions into the next tax year and pay a 4% excise tax on such income.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We elected to retain a portion of income and capital gains for the nine months ended</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1"/>
              </w:rPr>
              <w:t>September 30, 2022. For the three and nine months ended September 30, 2022 we recorded</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4"/>
              </w:rPr>
              <w:t>a net expense of $0.4 million and $1.5 million, respectively, for U.S. federal excise tax and</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9"/>
              </w:rPr>
              <w:t>other taxes. For the three and nine months ended September 30, 2021, the Company</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recorded a net expense of $0.1 million and $0.7 million, respectively, for U.S. federal</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3"/>
              </w:rPr>
              <w:t>excise tax and other taxes and for the calendar years ended December 31, 2021 and 2020</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9"/>
              </w:rPr>
              <w:t>and we recorded a net expense of, $0.4 million and $5.8 million, respectively, for U.S.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4"/>
              </w:rPr>
              <w:t>federal excise tax as a result. Any carryover of investment company taxable income or net</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9"/>
              </w:rPr>
              <w:t>capital gains must be timely declared and distributed as a dividend in the taxable year</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5"/>
              </w:rPr>
              <w:t>following the taxable year in which the income or gains were earned. See “Price Range of</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Common Stock and Distributions” and “Material U.S. Federal Income Tax</w:t>
            </w:r>
          </w:p>
        </w:tc>
      </w:tr>
      <w:tr>
        <w:trPr>
          <w:trHeight w:val="230"/>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Considerations.”</w:t>
            </w:r>
          </w:p>
        </w:tc>
      </w:tr>
      <w:tr>
        <w:trPr>
          <w:trHeight w:val="445"/>
        </w:trPr>
        <w:tc>
          <w:tcPr>
            <w:tcW w:w="3280" w:type="dxa"/>
            <w:vAlign w:val="bottom"/>
          </w:tcPr>
          <w:p>
            <w:pPr>
              <w:spacing w:after="0"/>
              <w:rPr>
                <w:sz w:val="24"/>
                <w:szCs w:val="24"/>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Stockholders who receive dividends and other distributions in the form of shares of</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common stock generally are subject to the same U.S. federal tax consequences as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9"/>
              </w:rPr>
              <w:t>stockholders who elect to receive their distributions in cash; however, since their cash</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8"/>
              </w:rPr>
              <w:t>dividends will be reinvested, those stockholders will not receive cash with which to pay</w:t>
            </w:r>
          </w:p>
        </w:tc>
      </w:tr>
      <w:tr>
        <w:trPr>
          <w:trHeight w:val="230"/>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any applicable taxes on reinvested dividends. See “Dividend Reinvestment Plan.”</w:t>
            </w:r>
          </w:p>
        </w:tc>
      </w:tr>
      <w:tr>
        <w:trPr>
          <w:trHeight w:val="445"/>
        </w:trPr>
        <w:tc>
          <w:tcPr>
            <w:tcW w:w="3280" w:type="dxa"/>
            <w:vAlign w:val="bottom"/>
          </w:tcPr>
          <w:p>
            <w:pPr>
              <w:ind w:left="180"/>
              <w:spacing w:after="0"/>
              <w:rPr>
                <w:sz w:val="20"/>
                <w:szCs w:val="20"/>
                <w:color w:val="auto"/>
              </w:rPr>
            </w:pPr>
            <w:r>
              <w:rPr>
                <w:rFonts w:ascii="Arial" w:cs="Arial" w:eastAsia="Arial" w:hAnsi="Arial"/>
                <w:sz w:val="18"/>
                <w:szCs w:val="18"/>
                <w:b w:val="1"/>
                <w:bCs w:val="1"/>
                <w:color w:val="auto"/>
              </w:rPr>
              <w:t>Management Arrangements</w:t>
            </w:r>
          </w:p>
        </w:tc>
        <w:tc>
          <w:tcPr>
            <w:tcW w:w="7740" w:type="dxa"/>
            <w:vAlign w:val="bottom"/>
          </w:tcPr>
          <w:p>
            <w:pPr>
              <w:ind w:left="940"/>
              <w:spacing w:after="0"/>
              <w:rPr>
                <w:sz w:val="20"/>
                <w:szCs w:val="20"/>
                <w:color w:val="auto"/>
              </w:rPr>
            </w:pPr>
            <w:r>
              <w:rPr>
                <w:rFonts w:ascii="Arial" w:cs="Arial" w:eastAsia="Arial" w:hAnsi="Arial"/>
                <w:sz w:val="18"/>
                <w:szCs w:val="18"/>
                <w:color w:val="auto"/>
                <w:w w:val="94"/>
              </w:rPr>
              <w:t>Our Adviser serves as our investment adviser and our administrator. For more information</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regarding our Adviser and Sixth Street and our contractual arrangements with these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3"/>
              </w:rPr>
              <w:t>companies, see “Management Agreements” in Part I, Item 1 of our 2021 Annual Report and</w:t>
            </w:r>
          </w:p>
        </w:tc>
      </w:tr>
      <w:tr>
        <w:trPr>
          <w:trHeight w:val="230"/>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Note 3 to our consolidated financial statements in our 3Q 2022 Quarterly Report.</w:t>
            </w:r>
          </w:p>
        </w:tc>
      </w:tr>
      <w:tr>
        <w:trPr>
          <w:trHeight w:val="159"/>
        </w:trPr>
        <w:tc>
          <w:tcPr>
            <w:tcW w:w="3280" w:type="dxa"/>
            <w:vAlign w:val="bottom"/>
            <w:tcBorders>
              <w:bottom w:val="single" w:sz="8" w:color="auto"/>
            </w:tcBorders>
          </w:tcPr>
          <w:p>
            <w:pPr>
              <w:spacing w:after="0"/>
              <w:rPr>
                <w:sz w:val="13"/>
                <w:szCs w:val="13"/>
                <w:color w:val="auto"/>
              </w:rPr>
            </w:pPr>
          </w:p>
        </w:tc>
        <w:tc>
          <w:tcPr>
            <w:tcW w:w="7740" w:type="dxa"/>
            <w:vAlign w:val="bottom"/>
            <w:tcBorders>
              <w:bottom w:val="single" w:sz="8" w:color="auto"/>
            </w:tcBorders>
          </w:tcPr>
          <w:p>
            <w:pPr>
              <w:spacing w:after="0"/>
              <w:rPr>
                <w:sz w:val="13"/>
                <w:szCs w:val="13"/>
                <w:color w:val="auto"/>
              </w:rPr>
            </w:pPr>
          </w:p>
        </w:tc>
      </w:tr>
      <w:tr>
        <w:trPr>
          <w:trHeight w:val="361"/>
        </w:trPr>
        <w:tc>
          <w:tcPr>
            <w:tcW w:w="3280" w:type="dxa"/>
            <w:vAlign w:val="bottom"/>
          </w:tcPr>
          <w:p>
            <w:pPr>
              <w:spacing w:after="0"/>
              <w:rPr>
                <w:sz w:val="24"/>
                <w:szCs w:val="24"/>
                <w:color w:val="auto"/>
              </w:rPr>
            </w:pPr>
          </w:p>
        </w:tc>
        <w:tc>
          <w:tcPr>
            <w:tcW w:w="7740" w:type="dxa"/>
            <w:vAlign w:val="bottom"/>
          </w:tcPr>
          <w:p>
            <w:pPr>
              <w:ind w:left="214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020"/>
          </w:cols>
          <w:pgMar w:left="440" w:top="692" w:right="439" w:bottom="1440" w:gutter="0" w:footer="0" w:header="0"/>
        </w:sectPr>
      </w:pPr>
    </w:p>
    <w:bookmarkStart w:id="56" w:name="page57"/>
    <w:bookmarkEnd w:id="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80"/>
        </w:trPr>
        <w:tc>
          <w:tcPr>
            <w:tcW w:w="372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b w:val="1"/>
                <w:bCs w:val="1"/>
                <w:color w:val="auto"/>
              </w:rPr>
              <w:t>Trading at a Discount</w:t>
            </w:r>
          </w:p>
        </w:tc>
        <w:tc>
          <w:tcPr>
            <w:tcW w:w="730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8"/>
                <w:szCs w:val="18"/>
                <w:color w:val="auto"/>
                <w:w w:val="92"/>
              </w:rPr>
              <w:t>Shares of closed-end investment companies, including BDCs, frequently trade at a discount</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4"/>
              </w:rPr>
              <w:t>to their net asset value. We are not generally able to issue and sell our common stock at a</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5"/>
              </w:rPr>
              <w:t>price below our net asset value per share except (a) in connection with a rights offering to</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9"/>
              </w:rPr>
              <w:t>our existing stockholders, (b) with the prior approval of the majority of our outstanding</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6"/>
              </w:rPr>
              <w:t>voting securities or (c) under such other circumstances as the SEC may permit. The risk</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3"/>
              </w:rPr>
              <w:t>that our shares may trade at a discount to our net asset value is separate and distinct from</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8"/>
              </w:rPr>
              <w:t>the risk that our net asset value per share may decline. We cannot predict whether our</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1"/>
              </w:rPr>
              <w:t>shares will trade at a price per share above, at or below net asset value per share. See “Risk</w:t>
            </w:r>
          </w:p>
        </w:tc>
      </w:tr>
      <w:tr>
        <w:trPr>
          <w:trHeight w:val="230"/>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Factors—Risks Related to Offerings Pursuant to This Prospectus.”</w:t>
            </w:r>
          </w:p>
        </w:tc>
      </w:tr>
      <w:tr>
        <w:trPr>
          <w:trHeight w:val="445"/>
        </w:trPr>
        <w:tc>
          <w:tcPr>
            <w:tcW w:w="372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Available Information</w:t>
            </w: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3"/>
              </w:rPr>
              <w:t>We have filed with the SEC a registration statement on Form N-2, of which this prospectus</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is a part, under the Securities Act. This registration statement contains additional</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information about us and the securities being offered by this prospectus. We are also</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7"/>
              </w:rPr>
              <w:t>required to file periodic reports, current reports, proxy statements and other information</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7"/>
              </w:rPr>
              <w:t>with the SEC. This information is available at the SEC’s public reference room at 100 F</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7"/>
              </w:rPr>
              <w:t>Street, N.E., Washington, D.C. 20549 and on the SEC’s website at http://www.sec.gov.</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Information on the operation of the SEC’s public reference room may be obtained by</w:t>
            </w:r>
          </w:p>
        </w:tc>
      </w:tr>
      <w:tr>
        <w:trPr>
          <w:trHeight w:val="230"/>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calling the SEC at 1 (800) SEC-0330.</w:t>
            </w:r>
          </w:p>
        </w:tc>
      </w:tr>
      <w:tr>
        <w:trPr>
          <w:trHeight w:val="445"/>
        </w:trPr>
        <w:tc>
          <w:tcPr>
            <w:tcW w:w="3720" w:type="dxa"/>
            <w:vAlign w:val="bottom"/>
            <w:tcBorders>
              <w:left w:val="single" w:sz="8" w:color="auto"/>
            </w:tcBorders>
          </w:tcPr>
          <w:p>
            <w:pPr>
              <w:spacing w:after="0"/>
              <w:rPr>
                <w:sz w:val="24"/>
                <w:szCs w:val="24"/>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We maintain a website at https://sixthstreetspecialtylending.com and make all of our</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9"/>
              </w:rPr>
              <w:t>periodic and current reports, proxy statements and other information available, free of</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6"/>
              </w:rPr>
              <w:t>charge, on or through our website. Information on our website is not incorporated into or</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4"/>
              </w:rPr>
              <w:t>part of this prospectus. You may also obtain such information free of charge by contacting</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us in writing at 888 7th Avenue, 41st Floor, New York, NY 10106, Attention: TSLX</w:t>
            </w:r>
          </w:p>
        </w:tc>
      </w:tr>
      <w:tr>
        <w:trPr>
          <w:trHeight w:val="230"/>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Investor Relations, or by emailing us at IRTSLX@sixthstreet.com.</w:t>
            </w:r>
          </w:p>
        </w:tc>
      </w:tr>
      <w:tr>
        <w:trPr>
          <w:trHeight w:val="445"/>
        </w:trPr>
        <w:tc>
          <w:tcPr>
            <w:tcW w:w="372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Information Incorporated by Reference</w:t>
            </w: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4"/>
              </w:rPr>
              <w:t>The rules of the SEC allow us to incorporate by reference information into this prospectus.</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2"/>
              </w:rPr>
              <w:t>The information incorporated by reference is considered to be a part of this prospectus, and</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8"/>
              </w:rPr>
              <w:t>information that we file later with the SEC will automatically update and supersede this</w:t>
            </w:r>
          </w:p>
        </w:tc>
      </w:tr>
      <w:tr>
        <w:trPr>
          <w:trHeight w:val="230"/>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information. See “Information Incorporated by Reference” for more information.</w:t>
            </w:r>
          </w:p>
        </w:tc>
      </w:tr>
      <w:tr>
        <w:trPr>
          <w:trHeight w:val="159"/>
        </w:trPr>
        <w:tc>
          <w:tcPr>
            <w:tcW w:w="3720" w:type="dxa"/>
            <w:vAlign w:val="bottom"/>
            <w:tcBorders>
              <w:left w:val="single" w:sz="8" w:color="auto"/>
              <w:bottom w:val="single" w:sz="8" w:color="auto"/>
            </w:tcBorders>
          </w:tcPr>
          <w:p>
            <w:pPr>
              <w:spacing w:after="0"/>
              <w:rPr>
                <w:sz w:val="13"/>
                <w:szCs w:val="13"/>
                <w:color w:val="auto"/>
              </w:rPr>
            </w:pPr>
          </w:p>
        </w:tc>
        <w:tc>
          <w:tcPr>
            <w:tcW w:w="7300" w:type="dxa"/>
            <w:vAlign w:val="bottom"/>
            <w:tcBorders>
              <w:bottom w:val="single" w:sz="8" w:color="auto"/>
              <w:right w:val="single" w:sz="8" w:color="auto"/>
            </w:tcBorders>
          </w:tcPr>
          <w:p>
            <w:pPr>
              <w:spacing w:after="0"/>
              <w:rPr>
                <w:sz w:val="13"/>
                <w:szCs w:val="13"/>
                <w:color w:val="auto"/>
              </w:rPr>
            </w:pPr>
          </w:p>
        </w:tc>
      </w:tr>
      <w:tr>
        <w:trPr>
          <w:trHeight w:val="361"/>
        </w:trPr>
        <w:tc>
          <w:tcPr>
            <w:tcW w:w="3720" w:type="dxa"/>
            <w:vAlign w:val="bottom"/>
          </w:tcPr>
          <w:p>
            <w:pPr>
              <w:spacing w:after="0"/>
              <w:rPr>
                <w:sz w:val="24"/>
                <w:szCs w:val="24"/>
                <w:color w:val="auto"/>
              </w:rPr>
            </w:pPr>
          </w:p>
        </w:tc>
        <w:tc>
          <w:tcPr>
            <w:tcW w:w="7300" w:type="dxa"/>
            <w:vAlign w:val="bottom"/>
          </w:tcPr>
          <w:p>
            <w:pPr>
              <w:ind w:left="170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020"/>
          </w:cols>
          <w:pgMar w:left="440" w:top="508" w:right="439" w:bottom="1440" w:gutter="0" w:footer="0" w:header="0"/>
        </w:sectPr>
      </w:pPr>
    </w:p>
    <w:bookmarkStart w:id="57" w:name="page58"/>
    <w:bookmarkEnd w:id="57"/>
    <w:p>
      <w:pPr>
        <w:jc w:val="center"/>
        <w:ind w:right="-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2814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174865" cy="6281420"/>
                    </a:xfrm>
                    <a:prstGeom prst="rect">
                      <a:avLst/>
                    </a:prstGeom>
                    <a:noFill/>
                  </pic:spPr>
                </pic:pic>
              </a:graphicData>
            </a:graphic>
          </wp:anchor>
        </w:drawing>
        <w:t>FEES AND EXPENSES</w:t>
      </w:r>
    </w:p>
    <w:p>
      <w:pPr>
        <w:spacing w:after="0" w:line="229" w:lineRule="exact"/>
        <w:rPr>
          <w:sz w:val="20"/>
          <w:szCs w:val="20"/>
          <w:color w:val="auto"/>
        </w:rPr>
      </w:pPr>
    </w:p>
    <w:p>
      <w:pPr>
        <w:ind w:left="6" w:right="100" w:firstLine="426"/>
        <w:spacing w:after="0" w:line="289" w:lineRule="auto"/>
        <w:rPr>
          <w:sz w:val="20"/>
          <w:szCs w:val="20"/>
          <w:color w:val="auto"/>
        </w:rPr>
      </w:pPr>
      <w:r>
        <w:rPr>
          <w:rFonts w:ascii="Arial" w:cs="Arial" w:eastAsia="Arial" w:hAnsi="Arial"/>
          <w:sz w:val="16"/>
          <w:szCs w:val="16"/>
          <w:color w:val="auto"/>
        </w:rPr>
        <w:t>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which may be greater or less than shown. Future expenses will depend on many factors, including our use of leverage, which may vary periodically depending on market conditions, our portfolio composition and our Adviser’s assessment of risks and returns. However, our total borrowings are limited under the 1940 Act so that we may not incur any additional leverage if doing so would cause our asset coverage ratio to fall below 150%, as defined in the 1940 Act. Except where the context suggests otherwise, whenever this prospectus contains a reference to fees or expenses paid by “us,” the “Company” or “Sixth Street Specialty Lending, Inc.” or says that “we” will pay fees or expenses, stockholders will indirectly bear these fees or expenses as investors in Sixth Street Specialty Lending, Inc.</w:t>
      </w:r>
    </w:p>
    <w:p>
      <w:pPr>
        <w:spacing w:after="0" w:line="207" w:lineRule="exact"/>
        <w:rPr>
          <w:sz w:val="20"/>
          <w:szCs w:val="20"/>
          <w:color w:val="auto"/>
        </w:rPr>
      </w:pPr>
    </w:p>
    <w:tbl>
      <w:tblPr>
        <w:tblLayout w:type="fixed"/>
        <w:tblInd w:w="6" w:type="dxa"/>
        <w:tblCellMar>
          <w:top w:w="0" w:type="dxa"/>
          <w:left w:w="0" w:type="dxa"/>
          <w:bottom w:w="0" w:type="dxa"/>
          <w:right w:w="0" w:type="dxa"/>
        </w:tblCellMar>
      </w:tblP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222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Sales load</w:t>
            </w:r>
          </w:p>
        </w:tc>
        <w:tc>
          <w:tcPr>
            <w:tcW w:w="2220" w:type="dxa"/>
            <w:vAlign w:val="bottom"/>
          </w:tcPr>
          <w:p>
            <w:pPr>
              <w:ind w:left="1620"/>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 xml:space="preserve"> (1)</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2220" w:type="dxa"/>
            <w:vAlign w:val="bottom"/>
            <w:shd w:val="clear" w:color="auto" w:fill="CCEEFF"/>
          </w:tcPr>
          <w:p>
            <w:pPr>
              <w:ind w:left="1620"/>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 xml:space="preserve"> (2)</w:t>
            </w:r>
          </w:p>
        </w:tc>
      </w:tr>
      <w:tr>
        <w:trPr>
          <w:trHeight w:val="324"/>
        </w:trPr>
        <w:tc>
          <w:tcPr>
            <w:tcW w:w="8440" w:type="dxa"/>
            <w:vAlign w:val="bottom"/>
          </w:tcPr>
          <w:p>
            <w:pPr>
              <w:spacing w:after="0"/>
              <w:rPr>
                <w:sz w:val="20"/>
                <w:szCs w:val="20"/>
                <w:color w:val="auto"/>
              </w:rPr>
            </w:pPr>
            <w:r>
              <w:rPr>
                <w:rFonts w:ascii="Arial" w:cs="Arial" w:eastAsia="Arial" w:hAnsi="Arial"/>
                <w:sz w:val="18"/>
                <w:szCs w:val="18"/>
                <w:color w:val="auto"/>
              </w:rPr>
              <w:t>Dividend reinvestment plan expenses</w:t>
            </w:r>
          </w:p>
        </w:tc>
        <w:tc>
          <w:tcPr>
            <w:tcW w:w="2220" w:type="dxa"/>
            <w:vAlign w:val="bottom"/>
          </w:tcPr>
          <w:p>
            <w:pPr>
              <w:ind w:left="1620"/>
              <w:spacing w:after="0" w:line="32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 xml:space="preserve"> (3)</w:t>
            </w:r>
          </w:p>
        </w:tc>
      </w:tr>
      <w:tr>
        <w:trPr>
          <w:trHeight w:val="216"/>
        </w:trPr>
        <w:tc>
          <w:tcPr>
            <w:tcW w:w="8440" w:type="dxa"/>
            <w:vAlign w:val="bottom"/>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Estimated annual expenses (as a percentage of net assets attributable to common stock)</w:t>
            </w:r>
            <w:r>
              <w:rPr>
                <w:rFonts w:ascii="Arial" w:cs="Arial" w:eastAsia="Arial" w:hAnsi="Arial"/>
                <w:sz w:val="25"/>
                <w:szCs w:val="25"/>
                <w:b w:val="1"/>
                <w:bCs w:val="1"/>
                <w:color w:val="auto"/>
                <w:vertAlign w:val="superscript"/>
              </w:rPr>
              <w:t>(4)</w:t>
            </w:r>
            <w:r>
              <w:rPr>
                <w:rFonts w:ascii="Arial" w:cs="Arial" w:eastAsia="Arial" w:hAnsi="Arial"/>
                <w:sz w:val="17"/>
                <w:szCs w:val="17"/>
                <w:b w:val="1"/>
                <w:bCs w:val="1"/>
                <w:color w:val="auto"/>
              </w:rPr>
              <w:t>:</w:t>
            </w:r>
          </w:p>
        </w:tc>
        <w:tc>
          <w:tcPr>
            <w:tcW w:w="222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Management Fee payable under the Investment Advisory Agreement</w:t>
            </w:r>
          </w:p>
        </w:tc>
        <w:tc>
          <w:tcPr>
            <w:tcW w:w="2220" w:type="dxa"/>
            <w:vAlign w:val="bottom"/>
          </w:tcPr>
          <w:p>
            <w:pPr>
              <w:ind w:left="1540"/>
              <w:spacing w:after="0" w:line="216" w:lineRule="exact"/>
              <w:rPr>
                <w:sz w:val="20"/>
                <w:szCs w:val="20"/>
                <w:color w:val="auto"/>
              </w:rPr>
            </w:pPr>
            <w:r>
              <w:rPr>
                <w:rFonts w:ascii="Arial" w:cs="Arial" w:eastAsia="Arial" w:hAnsi="Arial"/>
                <w:sz w:val="17"/>
                <w:szCs w:val="17"/>
                <w:color w:val="auto"/>
                <w:w w:val="96"/>
              </w:rPr>
              <w:t>2.91%</w:t>
            </w:r>
            <w:r>
              <w:rPr>
                <w:rFonts w:ascii="Arial" w:cs="Arial" w:eastAsia="Arial" w:hAnsi="Arial"/>
                <w:sz w:val="25"/>
                <w:szCs w:val="25"/>
                <w:color w:val="auto"/>
                <w:w w:val="96"/>
                <w:vertAlign w:val="superscript"/>
              </w:rPr>
              <w:t>(5)</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Incentive Fee payable under the Investment Advisory Agreement</w:t>
            </w:r>
          </w:p>
        </w:tc>
        <w:tc>
          <w:tcPr>
            <w:tcW w:w="2220" w:type="dxa"/>
            <w:vAlign w:val="bottom"/>
            <w:shd w:val="clear" w:color="auto" w:fill="CCEEFF"/>
          </w:tcPr>
          <w:p>
            <w:pPr>
              <w:ind w:left="1540"/>
              <w:spacing w:after="0" w:line="216" w:lineRule="exact"/>
              <w:rPr>
                <w:sz w:val="20"/>
                <w:szCs w:val="20"/>
                <w:color w:val="auto"/>
              </w:rPr>
            </w:pPr>
            <w:r>
              <w:rPr>
                <w:rFonts w:ascii="Arial" w:cs="Arial" w:eastAsia="Arial" w:hAnsi="Arial"/>
                <w:sz w:val="17"/>
                <w:szCs w:val="17"/>
                <w:color w:val="auto"/>
                <w:w w:val="96"/>
              </w:rPr>
              <w:t>2.59%</w:t>
            </w:r>
            <w:r>
              <w:rPr>
                <w:rFonts w:ascii="Arial" w:cs="Arial" w:eastAsia="Arial" w:hAnsi="Arial"/>
                <w:sz w:val="25"/>
                <w:szCs w:val="25"/>
                <w:color w:val="auto"/>
                <w:w w:val="96"/>
                <w:vertAlign w:val="superscript"/>
              </w:rPr>
              <w:t>(6)</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2220" w:type="dxa"/>
            <w:vAlign w:val="bottom"/>
          </w:tcPr>
          <w:p>
            <w:pPr>
              <w:ind w:left="1540"/>
              <w:spacing w:after="0" w:line="216" w:lineRule="exact"/>
              <w:rPr>
                <w:sz w:val="20"/>
                <w:szCs w:val="20"/>
                <w:color w:val="auto"/>
              </w:rPr>
            </w:pPr>
            <w:r>
              <w:rPr>
                <w:rFonts w:ascii="Arial" w:cs="Arial" w:eastAsia="Arial" w:hAnsi="Arial"/>
                <w:sz w:val="17"/>
                <w:szCs w:val="17"/>
                <w:color w:val="auto"/>
                <w:w w:val="96"/>
              </w:rPr>
              <w:t>2.47%</w:t>
            </w:r>
            <w:r>
              <w:rPr>
                <w:rFonts w:ascii="Arial" w:cs="Arial" w:eastAsia="Arial" w:hAnsi="Arial"/>
                <w:sz w:val="25"/>
                <w:szCs w:val="25"/>
                <w:color w:val="auto"/>
                <w:w w:val="96"/>
                <w:vertAlign w:val="superscript"/>
              </w:rPr>
              <w:t>(7)</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220" w:type="dxa"/>
            <w:vAlign w:val="bottom"/>
            <w:shd w:val="clear" w:color="auto" w:fill="CCEEFF"/>
          </w:tcPr>
          <w:p>
            <w:pPr>
              <w:ind w:left="1540"/>
              <w:spacing w:after="0" w:line="216" w:lineRule="exact"/>
              <w:rPr>
                <w:sz w:val="20"/>
                <w:szCs w:val="20"/>
                <w:color w:val="auto"/>
              </w:rPr>
            </w:pPr>
            <w:r>
              <w:rPr>
                <w:rFonts w:ascii="Arial" w:cs="Arial" w:eastAsia="Arial" w:hAnsi="Arial"/>
                <w:sz w:val="17"/>
                <w:szCs w:val="17"/>
                <w:color w:val="auto"/>
                <w:w w:val="96"/>
              </w:rPr>
              <w:t>1.06%</w:t>
            </w:r>
            <w:r>
              <w:rPr>
                <w:rFonts w:ascii="Arial" w:cs="Arial" w:eastAsia="Arial" w:hAnsi="Arial"/>
                <w:sz w:val="25"/>
                <w:szCs w:val="25"/>
                <w:color w:val="auto"/>
                <w:w w:val="96"/>
                <w:vertAlign w:val="superscript"/>
              </w:rPr>
              <w:t>(8)</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Total annual expenses</w:t>
            </w:r>
          </w:p>
        </w:tc>
        <w:tc>
          <w:tcPr>
            <w:tcW w:w="2220" w:type="dxa"/>
            <w:vAlign w:val="bottom"/>
          </w:tcPr>
          <w:p>
            <w:pPr>
              <w:ind w:left="1540"/>
              <w:spacing w:after="0"/>
              <w:rPr>
                <w:sz w:val="20"/>
                <w:szCs w:val="20"/>
                <w:color w:val="auto"/>
              </w:rPr>
            </w:pPr>
            <w:r>
              <w:rPr>
                <w:rFonts w:ascii="Arial" w:cs="Arial" w:eastAsia="Arial" w:hAnsi="Arial"/>
                <w:sz w:val="18"/>
                <w:szCs w:val="18"/>
                <w:color w:val="auto"/>
              </w:rPr>
              <w:t>9.07%</w:t>
            </w:r>
          </w:p>
        </w:tc>
      </w:tr>
    </w:tbl>
    <w:p>
      <w:pPr>
        <w:spacing w:after="0" w:line="214" w:lineRule="exact"/>
        <w:rPr>
          <w:sz w:val="20"/>
          <w:szCs w:val="20"/>
          <w:color w:val="auto"/>
        </w:rPr>
      </w:pPr>
    </w:p>
    <w:p>
      <w:pPr>
        <w:ind w:left="426" w:right="300" w:hanging="426"/>
        <w:spacing w:after="0" w:line="258" w:lineRule="auto"/>
        <w:tabs>
          <w:tab w:leader="none" w:pos="426"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 (underwriting discount or commission).</w:t>
      </w:r>
    </w:p>
    <w:p>
      <w:pPr>
        <w:spacing w:after="0" w:line="1" w:lineRule="exact"/>
        <w:rPr>
          <w:rFonts w:ascii="Arial" w:cs="Arial" w:eastAsia="Arial" w:hAnsi="Arial"/>
          <w:sz w:val="18"/>
          <w:szCs w:val="18"/>
          <w:color w:val="auto"/>
        </w:rPr>
      </w:pPr>
    </w:p>
    <w:p>
      <w:pPr>
        <w:ind w:left="426" w:right="20" w:hanging="426"/>
        <w:spacing w:after="0" w:line="250" w:lineRule="auto"/>
        <w:tabs>
          <w:tab w:leader="none" w:pos="42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426" w:right="200" w:hanging="426"/>
        <w:spacing w:after="0" w:line="281" w:lineRule="auto"/>
        <w:tabs>
          <w:tab w:leader="none" w:pos="426"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expenses of the dividend reinvestment plan are included in “Other expenses” in the table above. The plan administrator’s fees will be paid by us. There are no brokerage charges or other charges to stockholders who participate in the plan, except that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 For additional information, see “Dividend Reinvestment Plan.”</w:t>
      </w:r>
    </w:p>
    <w:p>
      <w:pPr>
        <w:spacing w:after="0" w:line="2" w:lineRule="exact"/>
        <w:rPr>
          <w:rFonts w:ascii="Arial" w:cs="Arial" w:eastAsia="Arial" w:hAnsi="Arial"/>
          <w:sz w:val="16"/>
          <w:szCs w:val="16"/>
          <w:color w:val="auto"/>
        </w:rPr>
      </w:pPr>
    </w:p>
    <w:p>
      <w:pPr>
        <w:ind w:left="426" w:right="460" w:hanging="426"/>
        <w:spacing w:after="0" w:line="250" w:lineRule="auto"/>
        <w:tabs>
          <w:tab w:leader="none" w:pos="42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net assets attributable to common stock used to calculate the percentages in this table reflect our net assets of $1,275.8 million as of December 31, 2021.</w:t>
      </w:r>
    </w:p>
    <w:p>
      <w:pPr>
        <w:ind w:left="426" w:right="20" w:hanging="426"/>
        <w:spacing w:after="0" w:line="252" w:lineRule="auto"/>
        <w:tabs>
          <w:tab w:leader="none" w:pos="42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Agreements” in Part I, Item 1 of our 2021 Annual Report and in Note 3 to our consolidated financial statements in our 3Q 2022 Quarterly Report.</w:t>
      </w:r>
    </w:p>
    <w:p>
      <w:pPr>
        <w:spacing w:after="0" w:line="85" w:lineRule="exact"/>
        <w:rPr>
          <w:rFonts w:ascii="Arial" w:cs="Arial" w:eastAsia="Arial" w:hAnsi="Arial"/>
          <w:sz w:val="18"/>
          <w:szCs w:val="18"/>
          <w:color w:val="auto"/>
        </w:rPr>
      </w:pPr>
    </w:p>
    <w:p>
      <w:pPr>
        <w:ind w:left="426" w:right="160"/>
        <w:spacing w:after="0" w:line="277" w:lineRule="auto"/>
        <w:rPr>
          <w:rFonts w:ascii="Arial" w:cs="Arial" w:eastAsia="Arial" w:hAnsi="Arial"/>
          <w:sz w:val="18"/>
          <w:szCs w:val="18"/>
          <w:color w:val="auto"/>
        </w:rPr>
      </w:pPr>
      <w:r>
        <w:rPr>
          <w:rFonts w:ascii="Arial" w:cs="Arial" w:eastAsia="Arial" w:hAnsi="Arial"/>
          <w:sz w:val="18"/>
          <w:szCs w:val="18"/>
          <w:color w:val="auto"/>
        </w:rPr>
        <w:t>The Management Fee reflected in the table is calculated by determining the ratio that the Management Fee for the year ended December 31, 2021 bears to our net assets attributable to common stock (rather than our gross assets).</w:t>
      </w:r>
    </w:p>
    <w:p>
      <w:pPr>
        <w:spacing w:after="0" w:line="278"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666"/>
          </w:cols>
          <w:pgMar w:left="614" w:top="688" w:right="619" w:bottom="1440" w:gutter="0" w:footer="0" w:header="0"/>
        </w:sectPr>
      </w:pPr>
    </w:p>
    <w:bookmarkStart w:id="58" w:name="page59"/>
    <w:bookmarkEnd w:id="58"/>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9042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174865" cy="5904230"/>
                    </a:xfrm>
                    <a:prstGeom prst="rect">
                      <a:avLst/>
                    </a:prstGeom>
                    <a:noFill/>
                  </pic:spPr>
                </pic:pic>
              </a:graphicData>
            </a:graphic>
          </wp:anchor>
        </w:drawing>
        <w:t>From time to time, our Adviser voluntarily has waived certain Management Fees. See “Management’s Discussion and Analysis of Financial Condition and Results of Operations—Results of Operations—Management Fees” in Part II, Item 7 of our 2021 Annual Report and in Part I, Item 2 of our 3Q 2022 Quarterly Report. The above estimates are based on our actual Management Fees for the year ended December 31, 2021. For the year ended December 31, 2021, Management Fees of $0.2 million were waived consisting solely of Management Fees pursuant to the Leverage Waiver.</w:t>
      </w:r>
    </w:p>
    <w:p>
      <w:pPr>
        <w:spacing w:after="0" w:line="8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For the three and nine months ended September 30, 2022, Management Fees of $0.2 million have been waived pursuant to the Leverage Waiver. We may have capital gains and interest income that could result in the payment of an Incentive Fee to the Adviser in the twelve months after the date of this prospectus. The Incentive Fee payable in the example below is based upon our actual results for the year ended December 31, 2021 and assumes that the Incentive Fee is 17.5% for all relevant periods. However, the Incentive Fee payable to the Adviser is based on our performance and will not be paid unless we achieve certain goals.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right="140" w:firstLine="1"/>
        <w:spacing w:after="0" w:line="287" w:lineRule="auto"/>
        <w:tabs>
          <w:tab w:leader="none" w:pos="21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w:t>
      </w:r>
    </w:p>
    <w:p>
      <w:pPr>
        <w:spacing w:after="0" w:line="2" w:lineRule="exact"/>
        <w:rPr>
          <w:rFonts w:ascii="Arial" w:cs="Arial" w:eastAsia="Arial" w:hAnsi="Arial"/>
          <w:sz w:val="16"/>
          <w:szCs w:val="16"/>
          <w:color w:val="auto"/>
        </w:rPr>
      </w:pPr>
    </w:p>
    <w:p>
      <w:pPr>
        <w:ind w:right="40"/>
        <w:spacing w:after="0" w:line="253" w:lineRule="auto"/>
        <w:rPr>
          <w:rFonts w:ascii="Arial" w:cs="Arial" w:eastAsia="Arial" w:hAnsi="Arial"/>
          <w:sz w:val="16"/>
          <w:szCs w:val="16"/>
          <w:color w:val="auto"/>
        </w:rPr>
      </w:pPr>
      <w:r>
        <w:rPr>
          <w:rFonts w:ascii="Arial" w:cs="Arial" w:eastAsia="Arial" w:hAnsi="Arial"/>
          <w:sz w:val="18"/>
          <w:szCs w:val="18"/>
          <w:color w:val="auto"/>
        </w:rPr>
        <w:t>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8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gains or losses.</w:t>
      </w:r>
    </w:p>
    <w:p>
      <w:pPr>
        <w:spacing w:after="0" w:line="56" w:lineRule="exact"/>
        <w:rPr>
          <w:sz w:val="20"/>
          <w:szCs w:val="20"/>
          <w:color w:val="auto"/>
        </w:rPr>
      </w:pPr>
    </w:p>
    <w:p>
      <w:pPr>
        <w:ind w:right="60" w:firstLine="1"/>
        <w:spacing w:after="0" w:line="290" w:lineRule="auto"/>
        <w:tabs>
          <w:tab w:leader="none" w:pos="261"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w:t>
      </w:r>
    </w:p>
    <w:p>
      <w:pPr>
        <w:spacing w:after="0" w:line="27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00"/>
          </w:cols>
          <w:pgMar w:left="1040" w:top="692" w:right="659" w:bottom="1440" w:gutter="0" w:footer="0" w:header="0"/>
        </w:sectPr>
      </w:pPr>
    </w:p>
    <w:bookmarkStart w:id="59" w:name="page60"/>
    <w:bookmarkEnd w:id="59"/>
    <w:p>
      <w:pPr>
        <w:jc w:val="both"/>
        <w:ind w:left="426" w:right="1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0585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174865" cy="6058535"/>
                    </a:xfrm>
                    <a:prstGeom prst="rect">
                      <a:avLst/>
                    </a:prstGeom>
                    <a:noFill/>
                  </pic:spPr>
                </pic:pic>
              </a:graphicData>
            </a:graphic>
          </wp:anchor>
        </w:drawing>
        <w:t>that accrued prior to March 31, 2014, is subject to an Incentive Fee rate of 15% and the portion of the Company’s realized capital gains that accrued beginning April 1, 2014 is subject to an Incentive Fee rate of 17.5%. As of March 31, 2020, there are no remaining investments that were made prior to April 1, 2014, and as a result, the Incentive Fee rate of 17.5% is applicable to any future realized capital gains..</w:t>
      </w:r>
    </w:p>
    <w:p>
      <w:pPr>
        <w:spacing w:after="0" w:line="41" w:lineRule="exact"/>
        <w:rPr>
          <w:sz w:val="20"/>
          <w:szCs w:val="20"/>
          <w:color w:val="auto"/>
        </w:rPr>
      </w:pPr>
    </w:p>
    <w:p>
      <w:pPr>
        <w:ind w:left="426" w:right="380"/>
        <w:spacing w:after="0" w:line="342" w:lineRule="auto"/>
        <w:rPr>
          <w:sz w:val="20"/>
          <w:szCs w:val="20"/>
          <w:color w:val="auto"/>
        </w:rPr>
      </w:pPr>
      <w:r>
        <w:rPr>
          <w:rFonts w:ascii="Arial" w:cs="Arial" w:eastAsia="Arial" w:hAnsi="Arial"/>
          <w:sz w:val="16"/>
          <w:szCs w:val="16"/>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6" w:lineRule="exact"/>
        <w:rPr>
          <w:sz w:val="20"/>
          <w:szCs w:val="20"/>
          <w:color w:val="auto"/>
        </w:rPr>
      </w:pPr>
    </w:p>
    <w:p>
      <w:pPr>
        <w:ind w:left="426"/>
        <w:spacing w:after="0" w:line="270" w:lineRule="auto"/>
        <w:rPr>
          <w:sz w:val="20"/>
          <w:szCs w:val="20"/>
          <w:color w:val="auto"/>
        </w:rPr>
      </w:pPr>
      <w:r>
        <w:rPr>
          <w:rFonts w:ascii="Arial" w:cs="Arial" w:eastAsia="Arial" w:hAnsi="Arial"/>
          <w:sz w:val="17"/>
          <w:szCs w:val="17"/>
          <w:color w:val="auto"/>
        </w:rPr>
        <w:t>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73" w:lineRule="exact"/>
        <w:rPr>
          <w:sz w:val="20"/>
          <w:szCs w:val="20"/>
          <w:color w:val="auto"/>
        </w:rPr>
      </w:pPr>
    </w:p>
    <w:p>
      <w:pPr>
        <w:ind w:left="426" w:right="140"/>
        <w:spacing w:after="0" w:line="308" w:lineRule="auto"/>
        <w:rPr>
          <w:sz w:val="20"/>
          <w:szCs w:val="20"/>
          <w:color w:val="auto"/>
        </w:rPr>
      </w:pPr>
      <w:r>
        <w:rPr>
          <w:rFonts w:ascii="Arial" w:cs="Arial" w:eastAsia="Arial" w:hAnsi="Arial"/>
          <w:sz w:val="17"/>
          <w:szCs w:val="17"/>
          <w:color w:val="auto"/>
        </w:rPr>
        <w:t>Section 205(b)(3) of the Advisers Act, as amended, prohibits the Adviser from receiving the payment of fees on unrealized gains until those gains are realized, if ever. There can be no assurance that such unrealized gains will be realized in the future.</w:t>
      </w:r>
    </w:p>
    <w:p>
      <w:pPr>
        <w:spacing w:after="0" w:line="38" w:lineRule="exact"/>
        <w:rPr>
          <w:sz w:val="20"/>
          <w:szCs w:val="20"/>
          <w:color w:val="auto"/>
        </w:rPr>
      </w:pPr>
    </w:p>
    <w:p>
      <w:pPr>
        <w:ind w:left="426" w:right="60"/>
        <w:spacing w:after="0" w:line="263" w:lineRule="auto"/>
        <w:rPr>
          <w:sz w:val="20"/>
          <w:szCs w:val="20"/>
          <w:color w:val="auto"/>
        </w:rPr>
      </w:pPr>
      <w:r>
        <w:rPr>
          <w:rFonts w:ascii="Arial" w:cs="Arial" w:eastAsia="Arial" w:hAnsi="Arial"/>
          <w:sz w:val="18"/>
          <w:szCs w:val="18"/>
          <w:color w:val="auto"/>
        </w:rPr>
        <w:t>See Note 3 to our consolidated financial statements in our 2021 Annual Report and our 3Q 2022 Quarterly Report and “Management Agreements—Investment Advisory Agreement; Administration Agreement; License Agreement” in Part I, Item 1 of our 2021 Annual Report and Note 3 to our consolidated financial statements in our 3Q 2022 Quarterly Report.</w:t>
      </w:r>
    </w:p>
    <w:p>
      <w:pPr>
        <w:spacing w:after="0" w:line="76" w:lineRule="exact"/>
        <w:rPr>
          <w:sz w:val="20"/>
          <w:szCs w:val="20"/>
          <w:color w:val="auto"/>
        </w:rPr>
      </w:pPr>
    </w:p>
    <w:p>
      <w:pPr>
        <w:jc w:val="both"/>
        <w:ind w:left="426" w:right="300"/>
        <w:spacing w:after="0" w:line="286" w:lineRule="auto"/>
        <w:rPr>
          <w:sz w:val="20"/>
          <w:szCs w:val="20"/>
          <w:color w:val="auto"/>
        </w:rPr>
      </w:pPr>
      <w:r>
        <w:rPr>
          <w:rFonts w:ascii="Arial" w:cs="Arial" w:eastAsia="Arial" w:hAnsi="Arial"/>
          <w:sz w:val="17"/>
          <w:szCs w:val="17"/>
          <w:color w:val="auto"/>
        </w:rPr>
        <w:t>From time to time, our Adviser has voluntarily waived certain Incentive Fees. See “Management’s Discussion and Analysis of Financial Condition and Results of Operations—Results of Operations—Incentive Fees” in Part II, Item 7 of our 2021 Annual Report and in Part I, Item 2 of our 3Q 2022 Quarterly Report. The above estimates do not reflect or assume any such waivers.</w:t>
      </w:r>
    </w:p>
    <w:p>
      <w:pPr>
        <w:spacing w:after="0" w:line="71" w:lineRule="exact"/>
        <w:rPr>
          <w:sz w:val="20"/>
          <w:szCs w:val="20"/>
          <w:color w:val="auto"/>
        </w:rPr>
      </w:pPr>
    </w:p>
    <w:p>
      <w:pPr>
        <w:ind w:left="426" w:right="60" w:hanging="426"/>
        <w:spacing w:after="0" w:line="284" w:lineRule="auto"/>
        <w:tabs>
          <w:tab w:leader="none" w:pos="426"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Interest payments on borrowed funds is based on our interest expense for the year ended December 31, 2021 under our credit facilities excluding fees (such as fees on undrawn amounts and amortization of upfront fees) and including the swap-adjusted interest expense related to our 2022 Convertible Notes,2023 Notes, 2024 Notes and 2026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On October 8, 2018, our stockholders approved the application of the minimum asset coverage ratio of 150% to us, as set forth in Section 61(a)(2) of the 1940 Act, as amended by the</w:t>
      </w:r>
    </w:p>
    <w:p>
      <w:pPr>
        <w:spacing w:after="0" w:line="4" w:lineRule="exact"/>
        <w:rPr>
          <w:rFonts w:ascii="Arial" w:cs="Arial" w:eastAsia="Arial" w:hAnsi="Arial"/>
          <w:sz w:val="16"/>
          <w:szCs w:val="16"/>
          <w:color w:val="auto"/>
        </w:rPr>
      </w:pPr>
    </w:p>
    <w:p>
      <w:pPr>
        <w:ind w:left="426"/>
        <w:spacing w:after="0"/>
        <w:rPr>
          <w:rFonts w:ascii="Arial" w:cs="Arial" w:eastAsia="Arial" w:hAnsi="Arial"/>
          <w:sz w:val="16"/>
          <w:szCs w:val="16"/>
          <w:color w:val="auto"/>
        </w:rPr>
      </w:pPr>
      <w:r>
        <w:rPr>
          <w:rFonts w:ascii="Arial" w:cs="Arial" w:eastAsia="Arial" w:hAnsi="Arial"/>
          <w:sz w:val="18"/>
          <w:szCs w:val="18"/>
          <w:color w:val="auto"/>
        </w:rPr>
        <w:t>SBCAA.</w:t>
      </w:r>
    </w:p>
    <w:p>
      <w:pPr>
        <w:spacing w:after="0" w:line="116" w:lineRule="exact"/>
        <w:rPr>
          <w:rFonts w:ascii="Arial" w:cs="Arial" w:eastAsia="Arial" w:hAnsi="Arial"/>
          <w:sz w:val="16"/>
          <w:szCs w:val="16"/>
          <w:color w:val="auto"/>
        </w:rPr>
      </w:pPr>
    </w:p>
    <w:p>
      <w:pPr>
        <w:ind w:left="426" w:right="40" w:hanging="426"/>
        <w:spacing w:after="0" w:line="279" w:lineRule="auto"/>
        <w:tabs>
          <w:tab w:leader="none" w:pos="426"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Includes our overhead expenses, such as payments under the Administration Agreement for certain expenses incurred by the Adviser, and excise taxes. See “Management Agreements—Investment Advisory Agreement; Administration Agreement; License Agreement” in Part I, Item 1 of our 2021 Annual Report and Note 3 to our consolidated financial statements in our 3Q 2022 Quarterly Report. The expenses in this table are based on our actual other expenses and excise taxes for the year ended December 31, 2021.</w:t>
      </w:r>
    </w:p>
    <w:p>
      <w:pPr>
        <w:spacing w:after="0" w:line="275"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6" w:right="640" w:firstLine="426"/>
        <w:spacing w:after="0" w:line="277" w:lineRule="auto"/>
        <w:rPr>
          <w:sz w:val="20"/>
          <w:szCs w:val="20"/>
          <w:color w:val="auto"/>
        </w:rPr>
      </w:pPr>
      <w:r>
        <w:rPr>
          <w:rFonts w:ascii="Arial" w:cs="Arial" w:eastAsia="Arial" w:hAnsi="Arial"/>
          <w:sz w:val="18"/>
          <w:szCs w:val="18"/>
          <w:color w:val="auto"/>
        </w:rPr>
        <w:t>The following example demonstrates the projected dollar amount of total cumulative expenses over various periods with respect to a hypothetical investment in our common stock. In calculating the following expense</w:t>
      </w:r>
    </w:p>
    <w:p>
      <w:pPr>
        <w:spacing w:after="0" w:line="278" w:lineRule="exact"/>
        <w:rPr>
          <w:sz w:val="20"/>
          <w:szCs w:val="20"/>
          <w:color w:val="auto"/>
        </w:rPr>
      </w:pPr>
    </w:p>
    <w:p>
      <w:pPr>
        <w:jc w:val="center"/>
        <w:ind w:right="-45"/>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606"/>
          </w:cols>
          <w:pgMar w:left="614" w:top="692" w:right="679" w:bottom="1440" w:gutter="0" w:footer="0" w:header="0"/>
        </w:sectPr>
      </w:pPr>
    </w:p>
    <w:bookmarkStart w:id="60" w:name="page61"/>
    <w:bookmarkEnd w:id="60"/>
    <w:p>
      <w:pPr>
        <w:ind w:right="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34867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174865" cy="3486785"/>
                    </a:xfrm>
                    <a:prstGeom prst="rect">
                      <a:avLst/>
                    </a:prstGeom>
                    <a:noFill/>
                  </pic:spPr>
                </pic:pic>
              </a:graphicData>
            </a:graphic>
          </wp:anchor>
        </w:drawing>
        <w:t>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640" w:type="dxa"/>
            <w:vAlign w:val="bottom"/>
            <w:gridSpan w:val="2"/>
          </w:tcPr>
          <w:p>
            <w:pPr>
              <w:ind w:left="260"/>
              <w:spacing w:after="0"/>
              <w:rPr>
                <w:sz w:val="20"/>
                <w:szCs w:val="20"/>
                <w:color w:val="auto"/>
              </w:rPr>
            </w:pPr>
            <w:r>
              <w:rPr>
                <w:rFonts w:ascii="Arial" w:cs="Arial" w:eastAsia="Arial" w:hAnsi="Arial"/>
                <w:sz w:val="14"/>
                <w:szCs w:val="14"/>
                <w:b w:val="1"/>
                <w:bCs w:val="1"/>
                <w:color w:val="auto"/>
                <w:w w:val="88"/>
              </w:rPr>
              <w:t>1 year</w:t>
            </w:r>
          </w:p>
        </w:tc>
        <w:tc>
          <w:tcPr>
            <w:tcW w:w="34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6"/>
              </w:rPr>
              <w:t>3 years</w:t>
            </w:r>
          </w:p>
        </w:tc>
        <w:tc>
          <w:tcPr>
            <w:tcW w:w="3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740" w:type="dxa"/>
            <w:vAlign w:val="bottom"/>
            <w:gridSpan w:val="3"/>
          </w:tcPr>
          <w:p>
            <w:pPr>
              <w:ind w:left="180"/>
              <w:spacing w:after="0"/>
              <w:rPr>
                <w:sz w:val="20"/>
                <w:szCs w:val="20"/>
                <w:color w:val="auto"/>
              </w:rPr>
            </w:pPr>
            <w:r>
              <w:rPr>
                <w:rFonts w:ascii="Arial" w:cs="Arial" w:eastAsia="Arial" w:hAnsi="Arial"/>
                <w:sz w:val="14"/>
                <w:szCs w:val="14"/>
                <w:b w:val="1"/>
                <w:bCs w:val="1"/>
                <w:color w:val="auto"/>
                <w:w w:val="96"/>
              </w:rPr>
              <w:t>10 years</w:t>
            </w:r>
          </w:p>
        </w:tc>
      </w:tr>
      <w:tr>
        <w:trPr>
          <w:trHeight w:val="195"/>
        </w:trPr>
        <w:tc>
          <w:tcPr>
            <w:tcW w:w="75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You would pay the following expenses on a $1,000 common stock investment, assuming a 5% annual</w:t>
            </w:r>
          </w:p>
        </w:tc>
        <w:tc>
          <w:tcPr>
            <w:tcW w:w="26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30"/>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return from realized capital gains</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$ 88</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$ 253</w:t>
            </w:r>
          </w:p>
        </w:tc>
        <w:tc>
          <w:tcPr>
            <w:tcW w:w="9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$ 407</w:t>
            </w:r>
          </w:p>
        </w:tc>
        <w:tc>
          <w:tcPr>
            <w:tcW w:w="7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  742</w:t>
            </w:r>
          </w:p>
        </w:tc>
      </w:tr>
    </w:tbl>
    <w:p>
      <w:pPr>
        <w:spacing w:after="0" w:line="202" w:lineRule="exact"/>
        <w:rPr>
          <w:sz w:val="20"/>
          <w:szCs w:val="20"/>
          <w:color w:val="auto"/>
        </w:rPr>
      </w:pPr>
    </w:p>
    <w:p>
      <w:pPr>
        <w:ind w:right="20" w:firstLine="426"/>
        <w:spacing w:after="0" w:line="287" w:lineRule="auto"/>
        <w:rPr>
          <w:sz w:val="20"/>
          <w:szCs w:val="20"/>
          <w:color w:val="auto"/>
        </w:rPr>
      </w:pPr>
      <w:r>
        <w:rPr>
          <w:rFonts w:ascii="Arial" w:cs="Arial" w:eastAsia="Arial" w:hAnsi="Arial"/>
          <w:sz w:val="16"/>
          <w:szCs w:val="16"/>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68" w:lineRule="exact"/>
        <w:rPr>
          <w:sz w:val="20"/>
          <w:szCs w:val="20"/>
          <w:color w:val="auto"/>
        </w:rPr>
      </w:pPr>
    </w:p>
    <w:p>
      <w:pPr>
        <w:ind w:right="600" w:firstLine="426"/>
        <w:spacing w:after="0" w:line="312" w:lineRule="auto"/>
        <w:rPr>
          <w:sz w:val="20"/>
          <w:szCs w:val="20"/>
          <w:color w:val="auto"/>
        </w:rPr>
      </w:pPr>
      <w:r>
        <w:rPr>
          <w:rFonts w:ascii="Arial" w:cs="Arial" w:eastAsia="Arial" w:hAnsi="Arial"/>
          <w:sz w:val="17"/>
          <w:szCs w:val="17"/>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660"/>
          </w:cols>
          <w:pgMar w:left="620" w:top="692" w:right="61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RISK FACTORS</w:t>
      </w:r>
    </w:p>
    <w:p>
      <w:pPr>
        <w:spacing w:after="0" w:line="229"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Investing in our securities involves a number of significant risks. You should carefully consider the risks set out below and described in Part I, Item 1A, “Risk Factors,” in our 2021 Annual Report and Part I, Item IA, “Risk Factors,” in our quarterly report on Form 10-Q for the three months ended March 31, 2022 (the “1Q 2022 Quarterly Report”), in our quarterly report on Form 10-Q for the three months ended June 30, 2022 (the “2Q 2022 Quarterly Report”), and in our quarterly report on Form 10-Q for the three months ended September 30, 2022 (the “3Q 2022 Quarterly Report”), which are incorporated by reference in this prospectus, together with the other information set forth in this prospectus or in any prospectus supplement and in the other documents that we include or incorporate by reference into this prospectus before making a decision about investing in our securities. The risks and uncertainties set out below and discussed in our 2021 Annual Report, 1Q 2022 Quarterly Report, 2Q 2022 Quarterly Report, and 3Q 2022 Quarterly Report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Offerings Pursuant to This Prospectus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investors in our common stock may not receive dividends or that our dividends may not grow over time.</w:t>
      </w:r>
    </w:p>
    <w:p>
      <w:pPr>
        <w:spacing w:after="0" w:line="117"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prospectus.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77"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“Risk Factors—Risks Related to Our Portfolio Company Investments—There are certain risks associated with holding debt obligations that have original issue discount or payment-in-kind interest” in Part I, Item 1A of our 2021 Annual Report.</w:t>
      </w:r>
    </w:p>
    <w:p>
      <w:pPr>
        <w:spacing w:after="0" w:line="176"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88"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65" w:lineRule="exact"/>
        <w:rPr>
          <w:sz w:val="20"/>
          <w:szCs w:val="20"/>
          <w:color w:val="auto"/>
        </w:rPr>
      </w:pPr>
    </w:p>
    <w:p>
      <w:pPr>
        <w:jc w:val="both"/>
        <w:ind w:right="280" w:firstLine="440"/>
        <w:spacing w:after="0" w:line="311" w:lineRule="auto"/>
        <w:rPr>
          <w:sz w:val="20"/>
          <w:szCs w:val="20"/>
          <w:color w:val="auto"/>
        </w:rPr>
      </w:pPr>
      <w:r>
        <w:rPr>
          <w:rFonts w:ascii="Arial" w:cs="Arial" w:eastAsia="Arial" w:hAnsi="Arial"/>
          <w:sz w:val="16"/>
          <w:szCs w:val="16"/>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513" w:right="459" w:bottom="1440" w:gutter="0" w:footer="0" w:header="0"/>
        </w:sectPr>
      </w:pPr>
    </w:p>
    <w:bookmarkStart w:id="62" w:name="page63"/>
    <w:bookmarkEnd w:id="62"/>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46" w:lineRule="exact"/>
        <w:rPr>
          <w:sz w:val="20"/>
          <w:szCs w:val="20"/>
          <w:color w:val="auto"/>
        </w:rPr>
      </w:pPr>
    </w:p>
    <w:p>
      <w:pPr>
        <w:ind w:right="360" w:firstLine="440"/>
        <w:spacing w:after="0" w:line="286" w:lineRule="auto"/>
        <w:rPr>
          <w:sz w:val="20"/>
          <w:szCs w:val="20"/>
          <w:color w:val="auto"/>
        </w:rPr>
      </w:pPr>
      <w:r>
        <w:rPr>
          <w:rFonts w:ascii="Arial" w:cs="Arial" w:eastAsia="Arial" w:hAnsi="Arial"/>
          <w:sz w:val="17"/>
          <w:szCs w:val="17"/>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securities may involve a high degree of risk.</w:t>
      </w:r>
    </w:p>
    <w:p>
      <w:pPr>
        <w:spacing w:after="0" w:line="117"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980" w:right="780" w:hanging="433"/>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30" w:lineRule="exact"/>
        <w:rPr>
          <w:rFonts w:ascii="Arial" w:cs="Arial" w:eastAsia="Arial" w:hAnsi="Arial"/>
          <w:sz w:val="18"/>
          <w:szCs w:val="18"/>
          <w:color w:val="auto"/>
        </w:rPr>
      </w:pPr>
    </w:p>
    <w:p>
      <w:pPr>
        <w:ind w:left="980" w:right="220" w:hanging="433"/>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exclusion of BDC common stock from certain market indices, which could reduce the ability of certain investment funds to own our common stock and put short term selling pressure on our common stock;</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our portfolio of investments;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downgrades to our credit rating or placement on a negative watch status by a credit rating agency;</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departure of the Adviser’s or any of its affiliates’ key personnel;</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short-selling pressure with respect to shares of our common stock or BDCs generally;</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future sales of our securities convertible into or exchangeable or exercisable for our common stock or the conversion of such securities;</w:t>
      </w:r>
    </w:p>
    <w:p>
      <w:pPr>
        <w:spacing w:after="0" w:line="153" w:lineRule="exact"/>
        <w:rPr>
          <w:rFonts w:ascii="Arial" w:cs="Arial" w:eastAsia="Arial" w:hAnsi="Arial"/>
          <w:sz w:val="16"/>
          <w:szCs w:val="16"/>
          <w:color w:val="auto"/>
        </w:rPr>
      </w:pPr>
    </w:p>
    <w:p>
      <w:pPr>
        <w:ind w:left="980" w:hanging="433"/>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uncertainty surrounding the strength of the U.S. economy;</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concerns regarding European sovereign debt and Brexit;</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concerns regarding volatility in the Chinese stock market and Chinese currency;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517" w:right="459" w:bottom="1440" w:gutter="0" w:footer="0" w:header="0"/>
        </w:sectPr>
      </w:pPr>
    </w:p>
    <w:bookmarkStart w:id="63" w:name="page64"/>
    <w:bookmarkEnd w:id="63"/>
    <w:p>
      <w:pPr>
        <w:ind w:left="980" w:hanging="433"/>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concerns regarding U.S. and global tariffs and trade policy;</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fluctuations in base interest rates, such as LIBOR, SOFR, EURIBOR, SONIA, the Federal Funds Rate or the Prime Rate;</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of public health epidemics on the global economy, such as the COVID-19 pandemic and its worldwide impact;</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25"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If our stock price fluctuates significantly, we may be the target of securities litigation in the future. Securities litigation could result in substantial costs and divert management’s attention and resources from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that the market price of shares of our common stock will not decline.</w:t>
      </w:r>
    </w:p>
    <w:p>
      <w:pPr>
        <w:spacing w:after="0" w:line="117" w:lineRule="exact"/>
        <w:rPr>
          <w:sz w:val="20"/>
          <w:szCs w:val="20"/>
          <w:color w:val="auto"/>
        </w:rPr>
      </w:pPr>
    </w:p>
    <w:p>
      <w:pPr>
        <w:ind w:right="80" w:firstLine="440"/>
        <w:spacing w:after="0" w:line="290" w:lineRule="auto"/>
        <w:rPr>
          <w:sz w:val="20"/>
          <w:szCs w:val="20"/>
          <w:color w:val="auto"/>
        </w:rPr>
      </w:pPr>
      <w:r>
        <w:rPr>
          <w:rFonts w:ascii="Arial" w:cs="Arial" w:eastAsia="Arial" w:hAnsi="Arial"/>
          <w:sz w:val="16"/>
          <w:szCs w:val="16"/>
          <w:color w:val="auto"/>
        </w:rPr>
        <w:t>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at prices per share below net asset value per share. We cannot predict whether our common stock will trade at a price per share above, at or below net asset value per share. In addition, if our common stock trades below its net asset value per share,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 See “Risk Factors—Risks Related to Our Business and Structure—Regulations governing our operation as a BDC affect our ability to, and the way in which we, raise additional capital” in our 2021 Annual Report.</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substantial amounts of our common stock in the public market may have an adverse effect on the market price of our common stock.</w:t>
      </w:r>
    </w:p>
    <w:p>
      <w:pPr>
        <w:spacing w:after="0" w:line="14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Sales of substantial amounts of our common stock, the availability of such common stock for sale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117"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“Price Range of Common Stock and Distributions” and “Dividend Reinvestment Plan” for a description of our dividend policy and obligations.</w:t>
      </w:r>
    </w:p>
    <w:p>
      <w:pPr>
        <w:spacing w:after="0" w:line="176"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517" w:right="479" w:bottom="1440" w:gutter="0" w:footer="0" w:header="0"/>
        </w:sectPr>
      </w:pPr>
    </w:p>
    <w:bookmarkStart w:id="64" w:name="page65"/>
    <w:bookmarkEnd w:id="64"/>
    <w:p>
      <w:pPr>
        <w:ind w:left="4" w:right="40" w:hanging="4"/>
        <w:spacing w:after="0" w:line="257" w:lineRule="auto"/>
        <w:tabs>
          <w:tab w:leader="none" w:pos="219"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296"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We have entered into an agreement with Goldman Sachs &amp; Co. LLC, which we refer to as the Company 10b5-1 Plan, in accordance with</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Rules 10b5-1 and 10b-18 under the Exchange Act, under which Goldman Sachs &amp; Co. LLC, as agent for us, will buy up to $50 million of our common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stock in the aggregate during the period ending on the earlier of the date on which all the capital committed to the plan has been exhausted or May 31,</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2023.</w:t>
      </w:r>
    </w:p>
    <w:p>
      <w:pPr>
        <w:spacing w:after="0" w:line="211"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dilution to our net asset value per share.</w:t>
      </w:r>
    </w:p>
    <w:p>
      <w:pPr>
        <w:spacing w:after="0" w:line="117"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On August 4, 2015, the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November 1, 2022. Under the Company 10b5-1 Plan, the agent will increase the volume of purchases made as the price of our common stock declines, subject to volume restrictions.</w:t>
      </w:r>
    </w:p>
    <w:p>
      <w:pPr>
        <w:spacing w:after="0" w:line="187" w:lineRule="exact"/>
        <w:rPr>
          <w:sz w:val="20"/>
          <w:szCs w:val="20"/>
          <w:color w:val="auto"/>
        </w:rPr>
      </w:pPr>
    </w:p>
    <w:p>
      <w:pPr>
        <w:jc w:val="both"/>
        <w:ind w:left="4" w:right="60" w:firstLine="440"/>
        <w:spacing w:after="0" w:line="263" w:lineRule="auto"/>
        <w:rPr>
          <w:sz w:val="20"/>
          <w:szCs w:val="20"/>
          <w:color w:val="auto"/>
        </w:rPr>
      </w:pPr>
      <w:r>
        <w:rPr>
          <w:rFonts w:ascii="Arial" w:cs="Arial" w:eastAsia="Arial" w:hAnsi="Arial"/>
          <w:sz w:val="18"/>
          <w:szCs w:val="18"/>
          <w:color w:val="auto"/>
        </w:rPr>
        <w:t>Dilution to our net asset value per share will occur if we purchase shares of our common stock at a price above the net asset value per share, as it would cause a proportionately smaller increase in our stockholders’ interest in our earnings and assets and their voting interest in us than the decrease in our assets resulting from such repurchase.</w:t>
      </w:r>
    </w:p>
    <w:p>
      <w:pPr>
        <w:spacing w:after="0" w:line="184"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We will have broad discretion over the use of proceeds of any offering made pursuant to this prospectus, to the extent it is successful.</w:t>
      </w:r>
    </w:p>
    <w:p>
      <w:pPr>
        <w:spacing w:after="0" w:line="129"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We will have significant flexibility in applying the proceeds of any offering made pursuant to this prospectus. For example, we may pay operating expenses from net proceeds, which could limit our ability to achieve our investment objective.</w:t>
      </w:r>
    </w:p>
    <w:p>
      <w:pPr>
        <w:spacing w:after="0" w:line="278"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b w:val="1"/>
          <w:bCs w:val="1"/>
          <w:i w:val="1"/>
          <w:iCs w:val="1"/>
          <w:color w:val="auto"/>
        </w:rPr>
        <w:t>The net asset value per share of our common stock may be diluted if we sell or otherwise issue shares of our common stock at prices below the then-current net asset value per share of our common stock.</w:t>
      </w:r>
    </w:p>
    <w:p>
      <w:pPr>
        <w:spacing w:after="0" w:line="62"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Pursuant to approval granted at a special meeting of stockholders held on May 26, 2022, we are currently permitted to sell or otherwise issue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shares of our common stock at a price below our then-current net asset value per share, subject to the approval of our Board and certain other conditions.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Such stockholder approval expires on May 26, 2023. We intend to propose the extension of this approval in future years.</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517" w:right="459" w:bottom="1440" w:gutter="0" w:footer="0" w:header="0"/>
        </w:sectPr>
      </w:pPr>
    </w:p>
    <w:bookmarkStart w:id="65" w:name="page66"/>
    <w:bookmarkEnd w:id="65"/>
    <w:p>
      <w:pPr>
        <w:ind w:right="5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174865" cy="68580"/>
                    </a:xfrm>
                    <a:prstGeom prst="rect">
                      <a:avLst/>
                    </a:prstGeom>
                    <a:noFill/>
                  </pic:spPr>
                </pic:pic>
              </a:graphicData>
            </a:graphic>
          </wp:anchor>
        </w:drawing>
        <w:t>Any decision to sell or otherwise issue shares of our common stock below our then-current net asset value per share would be subject to the determination by our board of directors that such issuance or sale is in our and our stockholders’ best interests.</w:t>
      </w:r>
    </w:p>
    <w:p>
      <w:pPr>
        <w:spacing w:after="0" w:line="170"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If we were to sell or otherwise issue shares of our common stock below our then-current net asset value per share, such issuances or sales would result in an immediate dilution to the net asset value per share of our common stock. This dilution would occur as a result of the issuance or sale of shares at a price below the then-current net asset value per share of our common stock and a proportionately greater decrease in the stockholders’ interest in our earnings and assets and their voting interest in us than the increase in our assets resulting from such issuance or sale. Because the number of shares of common stock that could be so issued and the timing of any issuance is not currently known, the actual dilutive effect cannot be predicted.</w:t>
      </w:r>
    </w:p>
    <w:p>
      <w:pPr>
        <w:spacing w:after="0" w:line="161" w:lineRule="exact"/>
        <w:rPr>
          <w:sz w:val="20"/>
          <w:szCs w:val="20"/>
          <w:color w:val="auto"/>
        </w:rPr>
      </w:pPr>
    </w:p>
    <w:p>
      <w:pPr>
        <w:ind w:right="180" w:firstLine="440"/>
        <w:spacing w:after="0" w:line="311" w:lineRule="auto"/>
        <w:rPr>
          <w:sz w:val="20"/>
          <w:szCs w:val="20"/>
          <w:color w:val="auto"/>
        </w:rPr>
      </w:pPr>
      <w:r>
        <w:rPr>
          <w:rFonts w:ascii="Arial" w:cs="Arial" w:eastAsia="Arial" w:hAnsi="Arial"/>
          <w:sz w:val="16"/>
          <w:szCs w:val="16"/>
          <w:color w:val="auto"/>
        </w:rPr>
        <w:t>Further, if our current stockholders do not purchase any shares to maintain their percentage interest, regardless of whether such offering is above or below the then-current net asset value per share, their voting power will be diluted. For additional information and hypothetical examples of these risks, see “Sales of Common Stock Below Net Asset Value” and the prospectus supplement pursuant to which such sale is made.</w:t>
      </w:r>
    </w:p>
    <w:p>
      <w:pPr>
        <w:spacing w:after="0" w:line="257"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w:t>
      </w:r>
    </w:p>
    <w:p>
      <w:pPr>
        <w:spacing w:after="0" w:line="187"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w:t>
      </w:r>
    </w:p>
    <w:p>
      <w:pPr>
        <w:spacing w:after="0" w:line="2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issue preferred stock, which could adversely affect the market value of our common stock and cause the net asset value and market value of our common stock to be more volatile.</w:t>
      </w:r>
    </w:p>
    <w:p>
      <w:pPr>
        <w:spacing w:after="0" w:line="62"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color w:val="auto"/>
        </w:rPr>
        <w:t>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517" w:right="439" w:bottom="1440" w:gutter="0" w:footer="0" w:header="0"/>
        </w:sectPr>
      </w:pPr>
    </w:p>
    <w:bookmarkStart w:id="66" w:name="page67"/>
    <w:bookmarkEnd w:id="6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174865" cy="68580"/>
                    </a:xfrm>
                    <a:prstGeom prst="rect">
                      <a:avLst/>
                    </a:prstGeom>
                    <a:noFill/>
                  </pic:spPr>
                </pic:pic>
              </a:graphicData>
            </a:graphic>
          </wp:anchor>
        </w:drawing>
        <w:t>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w:t>
      </w:r>
    </w:p>
    <w:p>
      <w:pPr>
        <w:spacing w:after="0" w:line="29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Holders of any preferred stock we might issue would have the right to elect members of the board of directors and class voting rights on certain matters.</w:t>
      </w:r>
    </w:p>
    <w:p>
      <w:pPr>
        <w:spacing w:after="0" w:line="62"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440" w:top="517" w:right="49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SPECIAL NOTE REGARDING FORWARD-LOOKING STATEMENTS</w:t>
      </w:r>
    </w:p>
    <w:p>
      <w:pPr>
        <w:spacing w:after="0" w:line="229" w:lineRule="exact"/>
        <w:rPr>
          <w:sz w:val="20"/>
          <w:szCs w:val="20"/>
          <w:color w:val="auto"/>
        </w:rPr>
      </w:pPr>
    </w:p>
    <w:p>
      <w:pPr>
        <w:ind w:right="120" w:firstLine="440"/>
        <w:spacing w:after="0" w:line="293"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64"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In addition to factors identified elsewhere in this prospectus and the documents incorporated by reference herein, the following factors, among others, could cause actual results to differ materially from forward-looking statements or historical performance:</w:t>
      </w:r>
    </w:p>
    <w:p>
      <w:pPr>
        <w:spacing w:after="0" w:line="76" w:lineRule="exact"/>
        <w:rPr>
          <w:sz w:val="20"/>
          <w:szCs w:val="20"/>
          <w:color w:val="auto"/>
        </w:rPr>
      </w:pPr>
    </w:p>
    <w:p>
      <w:pPr>
        <w:ind w:left="980" w:right="20" w:hanging="433"/>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75" w:lineRule="exact"/>
        <w:rPr>
          <w:rFonts w:ascii="Arial" w:cs="Arial" w:eastAsia="Arial" w:hAnsi="Arial"/>
          <w:sz w:val="18"/>
          <w:szCs w:val="18"/>
          <w:color w:val="auto"/>
        </w:rPr>
      </w:pPr>
    </w:p>
    <w:p>
      <w:pPr>
        <w:jc w:val="both"/>
        <w:ind w:left="980" w:right="100" w:hanging="433"/>
        <w:spacing w:after="0" w:line="263"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9" w:lineRule="exact"/>
        <w:rPr>
          <w:rFonts w:ascii="Arial" w:cs="Arial" w:eastAsia="Arial" w:hAnsi="Arial"/>
          <w:sz w:val="18"/>
          <w:szCs w:val="18"/>
          <w:color w:val="auto"/>
        </w:rPr>
      </w:pPr>
    </w:p>
    <w:p>
      <w:pPr>
        <w:ind w:left="980" w:hanging="433"/>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w:t>
      </w:r>
    </w:p>
    <w:p>
      <w:pPr>
        <w:spacing w:after="0" w:line="130" w:lineRule="exact"/>
        <w:rPr>
          <w:rFonts w:ascii="Arial" w:cs="Arial" w:eastAsia="Arial" w:hAnsi="Arial"/>
          <w:sz w:val="18"/>
          <w:szCs w:val="18"/>
          <w:color w:val="auto"/>
        </w:rPr>
      </w:pPr>
    </w:p>
    <w:p>
      <w:pPr>
        <w:ind w:left="980" w:right="320" w:hanging="433"/>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inflation could negatively impact our business, including our ability to access the debt markets on favorable terms, or could negatively impact our portfolio companies; and</w:t>
      </w:r>
    </w:p>
    <w:p>
      <w:pPr>
        <w:spacing w:after="0" w:line="75" w:lineRule="exact"/>
        <w:rPr>
          <w:rFonts w:ascii="Arial" w:cs="Arial" w:eastAsia="Arial" w:hAnsi="Arial"/>
          <w:sz w:val="18"/>
          <w:szCs w:val="18"/>
          <w:color w:val="auto"/>
        </w:rPr>
      </w:pPr>
    </w:p>
    <w:p>
      <w:pPr>
        <w:ind w:left="980" w:right="120" w:hanging="433"/>
        <w:spacing w:after="0" w:line="342" w:lineRule="auto"/>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risks, uncertainties and other factors we identify in the section entitled “Risk Factors” in this prospectus and in Part I, Item 1A of our 2021 Annual Report and Part II, Item 1A of our 3Q 2022 Quarterly Report, and those discussed in other documents we file with the SEC.</w:t>
      </w:r>
    </w:p>
    <w:p>
      <w:pPr>
        <w:spacing w:after="0" w:line="124" w:lineRule="exact"/>
        <w:rPr>
          <w:sz w:val="20"/>
          <w:szCs w:val="20"/>
          <w:color w:val="auto"/>
        </w:rPr>
      </w:pPr>
    </w:p>
    <w:p>
      <w:pPr>
        <w:ind w:firstLine="440"/>
        <w:spacing w:after="0" w:line="283"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the section entitled “Risk Factors” in this prospectus and in Part I, Item 1A and Part II, Item 1A of our 3Q 2022 Quarterly Report, and in our 2021 Annual Report and those discussed in other documents we file with the SEC and elsewhere in this prospectus and the documents incorporated by reference herein. You should not place undue reliance on these forward-looking statements, which apply only as of the date of this prospectus. We do not undertake any obligation to update or revise any forward-looking statements or any other information contained herein or therein, except as required by applicable law. You should understand that, under Section 27A(b)(2)(B) of the Securities Act and Section 21E(b)</w:t>
      </w:r>
    </w:p>
    <w:p>
      <w:pPr>
        <w:spacing w:after="0" w:line="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(2)(B) of the Exchange Act, the “safe harbor” provisions of the Private Securities Litigation Reform Act of 1995, which preclude civil liability for certain forward-looking statements, do not apply to the forward-looking statements made in connection with any offering of securities pursuant to this prospectus.</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“TSLX” and “TAO” marks are marks of Sixth Street.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513" w:right="47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174865" cy="68580"/>
                    </a:xfrm>
                    <a:prstGeom prst="rect">
                      <a:avLst/>
                    </a:prstGeom>
                    <a:noFill/>
                  </pic:spPr>
                </pic:pic>
              </a:graphicData>
            </a:graphic>
          </wp:anchor>
        </w:drawing>
        <w:t>USE OF PROCEEDS</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w:t>
      </w:r>
    </w:p>
    <w:p>
      <w:pPr>
        <w:spacing w:after="0" w:line="18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We estimate that it will take less than three months for us to substantially invest the net proceeds of any offering made pursuant to this prospectus, depending on the availability of attractive opportunities, market conditions and the amount raised.</w:t>
      </w:r>
    </w:p>
    <w:p>
      <w:pPr>
        <w:spacing w:after="0" w:line="170"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dividends, if any, during such period.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513" w:right="459" w:bottom="1440" w:gutter="0" w:footer="0" w:header="0"/>
        </w:sectPr>
      </w:pPr>
    </w:p>
    <w:bookmarkStart w:id="69" w:name="page70"/>
    <w:bookmarkEnd w:id="6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PRICE RANGE OF COMMON STOCK AND DISTRIBUTIONS</w:t>
      </w:r>
    </w:p>
    <w:p>
      <w:pPr>
        <w:spacing w:after="0" w:line="229"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“Risk Factors—Risks Related to Offerings Pursuant to This Prospectus.”</w:t>
      </w:r>
    </w:p>
    <w:p>
      <w:pPr>
        <w:spacing w:after="0" w:line="184" w:lineRule="exact"/>
        <w:rPr>
          <w:sz w:val="20"/>
          <w:szCs w:val="20"/>
          <w:color w:val="auto"/>
        </w:rPr>
      </w:pPr>
    </w:p>
    <w:p>
      <w:pPr>
        <w:ind w:left="4" w:right="60" w:firstLine="440"/>
        <w:spacing w:after="0" w:line="296" w:lineRule="auto"/>
        <w:rPr>
          <w:sz w:val="20"/>
          <w:szCs w:val="20"/>
          <w:color w:val="auto"/>
        </w:rPr>
      </w:pPr>
      <w:r>
        <w:rPr>
          <w:rFonts w:ascii="Arial" w:cs="Arial" w:eastAsia="Arial" w:hAnsi="Arial"/>
          <w:sz w:val="16"/>
          <w:szCs w:val="16"/>
          <w:color w:val="auto"/>
        </w:rPr>
        <w:t>The following table sets forth the net asset value per share of our common stock, the range of high and low closing sales prices of our common stock reported on the NYSE, the closing sales price as a premium (discount) to net asset value and the dividends declared by us in each fiscal quarter for the year ending December 31, 2022 and for the years ended December 31, 2021, 2020 and 2019. On January 12, 2023, the last reported closing sales price of our common stock on the NYSE was $18.94 per share, which represented a premium of approximately 15.8% to the net asset value per share reported by us as of September 30, 2022, the last date prior to the date of this prospectus for which we reported net asset value.</w:t>
      </w:r>
    </w:p>
    <w:p>
      <w:pPr>
        <w:spacing w:after="0" w:line="168"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Price Range</w:t>
            </w:r>
          </w:p>
        </w:tc>
        <w:tc>
          <w:tcPr>
            <w:tcW w:w="2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High Sales</w:t>
            </w: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Low Sales</w:t>
            </w:r>
          </w:p>
        </w:tc>
        <w:tc>
          <w:tcPr>
            <w:tcW w:w="120" w:type="dxa"/>
            <w:vAlign w:val="bottom"/>
          </w:tcPr>
          <w:p>
            <w:pPr>
              <w:spacing w:after="0"/>
              <w:rPr>
                <w:sz w:val="14"/>
                <w:szCs w:val="14"/>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63"/>
        </w:trPr>
        <w:tc>
          <w:tcPr>
            <w:tcW w:w="6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Borders>
              <w:bottom w:val="single" w:sz="8" w:color="auto"/>
            </w:tcBorders>
            <w:gridSpan w:val="3"/>
            <w:vMerge w:val="continue"/>
          </w:tcPr>
          <w:p>
            <w:pPr>
              <w:spacing w:after="0"/>
              <w:rPr>
                <w:sz w:val="13"/>
                <w:szCs w:val="13"/>
                <w:color w:val="auto"/>
              </w:rPr>
            </w:pPr>
          </w:p>
        </w:tc>
        <w:tc>
          <w:tcPr>
            <w:tcW w:w="136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5"/>
              </w:rPr>
              <w:t>Price to Net</w:t>
            </w:r>
          </w:p>
        </w:tc>
        <w:tc>
          <w:tcPr>
            <w:tcW w:w="106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89"/>
              </w:rPr>
              <w:t>Price to</w:t>
            </w:r>
          </w:p>
        </w:tc>
        <w:tc>
          <w:tcPr>
            <w:tcW w:w="6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119"/>
        </w:trPr>
        <w:tc>
          <w:tcPr>
            <w:tcW w:w="6000" w:type="dxa"/>
            <w:vAlign w:val="bottom"/>
          </w:tcPr>
          <w:p>
            <w:pPr>
              <w:spacing w:after="0"/>
              <w:rPr>
                <w:sz w:val="10"/>
                <w:szCs w:val="10"/>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NAV</w:t>
            </w:r>
            <w:r>
              <w:rPr>
                <w:rFonts w:ascii="Arial" w:cs="Arial" w:eastAsia="Arial" w:hAnsi="Arial"/>
                <w:sz w:val="10"/>
                <w:szCs w:val="10"/>
                <w:b w:val="1"/>
                <w:bCs w:val="1"/>
                <w:color w:val="auto"/>
              </w:rPr>
              <w:t>(1)</w:t>
            </w: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High</w:t>
            </w:r>
          </w:p>
        </w:tc>
        <w:tc>
          <w:tcPr>
            <w:tcW w:w="24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Low</w:t>
            </w:r>
          </w:p>
        </w:tc>
        <w:tc>
          <w:tcPr>
            <w:tcW w:w="260" w:type="dxa"/>
            <w:vAlign w:val="bottom"/>
          </w:tcPr>
          <w:p>
            <w:pPr>
              <w:spacing w:after="0"/>
              <w:rPr>
                <w:sz w:val="10"/>
                <w:szCs w:val="10"/>
                <w:color w:val="auto"/>
              </w:rPr>
            </w:pPr>
          </w:p>
        </w:tc>
        <w:tc>
          <w:tcPr>
            <w:tcW w:w="11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5"/>
              </w:rPr>
              <w:t>Asset</w:t>
            </w:r>
          </w:p>
        </w:tc>
        <w:tc>
          <w:tcPr>
            <w:tcW w:w="106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6"/>
              </w:rPr>
              <w:t>Net Asset</w:t>
            </w:r>
          </w:p>
        </w:tc>
        <w:tc>
          <w:tcPr>
            <w:tcW w:w="120" w:type="dxa"/>
            <w:vAlign w:val="bottom"/>
          </w:tcPr>
          <w:p>
            <w:pPr>
              <w:spacing w:after="0"/>
              <w:rPr>
                <w:sz w:val="10"/>
                <w:szCs w:val="10"/>
                <w:color w:val="auto"/>
              </w:rPr>
            </w:pPr>
          </w:p>
        </w:tc>
        <w:tc>
          <w:tcPr>
            <w:tcW w:w="50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Per</w:t>
            </w: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0"/>
                <w:szCs w:val="10"/>
                <w:b w:val="1"/>
                <w:bCs w:val="1"/>
                <w:color w:val="auto"/>
                <w:w w:val="92"/>
              </w:rPr>
              <w:t>(2)</w:t>
            </w: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0"/>
                <w:szCs w:val="10"/>
                <w:b w:val="1"/>
                <w:bCs w:val="1"/>
                <w:color w:val="auto"/>
                <w:w w:val="92"/>
              </w:rPr>
              <w:t>(2)</w:t>
            </w:r>
          </w:p>
        </w:tc>
        <w:tc>
          <w:tcPr>
            <w:tcW w:w="6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0"/>
                <w:szCs w:val="10"/>
                <w:b w:val="1"/>
                <w:bCs w:val="1"/>
                <w:color w:val="auto"/>
                <w:w w:val="93"/>
              </w:rPr>
              <w:t>(3)</w:t>
            </w: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2019</w:t>
            </w: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$16.34</w:t>
            </w:r>
          </w:p>
        </w:tc>
        <w:tc>
          <w:tcPr>
            <w:tcW w:w="2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$20.99</w:t>
            </w:r>
          </w:p>
        </w:tc>
        <w:tc>
          <w:tcPr>
            <w:tcW w:w="7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$18.44</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28.5%</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center"/>
              <w:ind w:left="32"/>
              <w:spacing w:after="0"/>
              <w:rPr>
                <w:sz w:val="20"/>
                <w:szCs w:val="20"/>
                <w:color w:val="auto"/>
              </w:rPr>
            </w:pPr>
            <w:r>
              <w:rPr>
                <w:rFonts w:ascii="Arial" w:cs="Arial" w:eastAsia="Arial" w:hAnsi="Arial"/>
                <w:sz w:val="18"/>
                <w:szCs w:val="18"/>
                <w:color w:val="auto"/>
                <w:w w:val="85"/>
              </w:rPr>
              <w:t>0.51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$16.68</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$20.29</w:t>
            </w:r>
          </w:p>
        </w:tc>
        <w:tc>
          <w:tcPr>
            <w:tcW w:w="7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$19.49</w:t>
            </w: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21.6%</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5"/>
              </w:rPr>
              <w:t>0.40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$16.72</w:t>
            </w:r>
          </w:p>
        </w:tc>
        <w:tc>
          <w:tcPr>
            <w:tcW w:w="2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$21.01</w:t>
            </w:r>
          </w:p>
        </w:tc>
        <w:tc>
          <w:tcPr>
            <w:tcW w:w="7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$19.36</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25.7%</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center"/>
              <w:ind w:left="32"/>
              <w:spacing w:after="0"/>
              <w:rPr>
                <w:sz w:val="20"/>
                <w:szCs w:val="20"/>
                <w:color w:val="auto"/>
              </w:rPr>
            </w:pPr>
            <w:r>
              <w:rPr>
                <w:rFonts w:ascii="Arial" w:cs="Arial" w:eastAsia="Arial" w:hAnsi="Arial"/>
                <w:sz w:val="18"/>
                <w:szCs w:val="18"/>
                <w:color w:val="auto"/>
                <w:w w:val="85"/>
              </w:rPr>
              <w:t>0.43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$16.83</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$21.83</w:t>
            </w:r>
          </w:p>
        </w:tc>
        <w:tc>
          <w:tcPr>
            <w:tcW w:w="7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$20.01</w:t>
            </w: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29.7%</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5"/>
              </w:rPr>
              <w:t>0.47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b w:val="1"/>
                <w:bCs w:val="1"/>
                <w:color w:val="auto"/>
              </w:rPr>
              <w:t>Year ended December 31, 2020</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$15.57</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$23.28</w:t>
            </w:r>
          </w:p>
        </w:tc>
        <w:tc>
          <w:tcPr>
            <w:tcW w:w="7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$11.30</w:t>
            </w: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49.5%</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5"/>
              </w:rPr>
              <w:t>0.97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$16.08</w:t>
            </w:r>
          </w:p>
        </w:tc>
        <w:tc>
          <w:tcPr>
            <w:tcW w:w="2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$19.51</w:t>
            </w:r>
          </w:p>
        </w:tc>
        <w:tc>
          <w:tcPr>
            <w:tcW w:w="7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$12.57</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21.3%</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center"/>
              <w:ind w:left="32"/>
              <w:spacing w:after="0"/>
              <w:rPr>
                <w:sz w:val="20"/>
                <w:szCs w:val="20"/>
                <w:color w:val="auto"/>
              </w:rPr>
            </w:pPr>
            <w:r>
              <w:rPr>
                <w:rFonts w:ascii="Arial" w:cs="Arial" w:eastAsia="Arial" w:hAnsi="Arial"/>
                <w:sz w:val="18"/>
                <w:szCs w:val="18"/>
                <w:color w:val="auto"/>
                <w:w w:val="85"/>
              </w:rPr>
              <w:t>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$16.87</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$18.48</w:t>
            </w:r>
          </w:p>
        </w:tc>
        <w:tc>
          <w:tcPr>
            <w:tcW w:w="7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$15.68</w:t>
            </w: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9.5%</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5"/>
              </w:rPr>
              <w:t>0.41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$17.16</w:t>
            </w:r>
          </w:p>
        </w:tc>
        <w:tc>
          <w:tcPr>
            <w:tcW w:w="2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$21.24</w:t>
            </w:r>
          </w:p>
        </w:tc>
        <w:tc>
          <w:tcPr>
            <w:tcW w:w="7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$16.31</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23.8%</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center"/>
              <w:ind w:left="32"/>
              <w:spacing w:after="0"/>
              <w:rPr>
                <w:sz w:val="20"/>
                <w:szCs w:val="20"/>
                <w:color w:val="auto"/>
              </w:rPr>
            </w:pPr>
            <w:r>
              <w:rPr>
                <w:rFonts w:ascii="Arial" w:cs="Arial" w:eastAsia="Arial" w:hAnsi="Arial"/>
                <w:sz w:val="18"/>
                <w:szCs w:val="18"/>
                <w:color w:val="auto"/>
                <w:w w:val="85"/>
              </w:rPr>
              <w:t>0.51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2021</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$16.47</w:t>
            </w:r>
          </w:p>
        </w:tc>
        <w:tc>
          <w:tcPr>
            <w:tcW w:w="2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$22.76</w:t>
            </w:r>
          </w:p>
        </w:tc>
        <w:tc>
          <w:tcPr>
            <w:tcW w:w="7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$20.46</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38.2%</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center"/>
              <w:ind w:left="32"/>
              <w:spacing w:after="0"/>
              <w:rPr>
                <w:sz w:val="20"/>
                <w:szCs w:val="20"/>
                <w:color w:val="auto"/>
              </w:rPr>
            </w:pPr>
            <w:r>
              <w:rPr>
                <w:rFonts w:ascii="Arial" w:cs="Arial" w:eastAsia="Arial" w:hAnsi="Arial"/>
                <w:sz w:val="18"/>
                <w:szCs w:val="18"/>
                <w:color w:val="auto"/>
                <w:w w:val="85"/>
              </w:rPr>
              <w:t>1.71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$16.85</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$22.78</w:t>
            </w:r>
          </w:p>
        </w:tc>
        <w:tc>
          <w:tcPr>
            <w:tcW w:w="7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$20.80</w:t>
            </w: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35.2%</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5"/>
              </w:rPr>
              <w:t>0.47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$17.18</w:t>
            </w:r>
          </w:p>
        </w:tc>
        <w:tc>
          <w:tcPr>
            <w:tcW w:w="2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$23.97</w:t>
            </w:r>
          </w:p>
        </w:tc>
        <w:tc>
          <w:tcPr>
            <w:tcW w:w="7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$21.13</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39.5%</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center"/>
              <w:ind w:left="32"/>
              <w:spacing w:after="0"/>
              <w:rPr>
                <w:sz w:val="20"/>
                <w:szCs w:val="20"/>
                <w:color w:val="auto"/>
              </w:rPr>
            </w:pPr>
            <w:r>
              <w:rPr>
                <w:rFonts w:ascii="Arial" w:cs="Arial" w:eastAsia="Arial" w:hAnsi="Arial"/>
                <w:sz w:val="18"/>
                <w:szCs w:val="18"/>
                <w:color w:val="auto"/>
                <w:w w:val="85"/>
              </w:rPr>
              <w:t>0.43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$16.84</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$24.74</w:t>
            </w:r>
          </w:p>
        </w:tc>
        <w:tc>
          <w:tcPr>
            <w:tcW w:w="7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$21.97</w:t>
            </w: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47.0%</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5"/>
              </w:rPr>
              <w:t>0.98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b w:val="1"/>
                <w:bCs w:val="1"/>
                <w:color w:val="auto"/>
              </w:rPr>
              <w:t>Year ended December 31, 2022</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$16.88</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$24.27</w:t>
            </w:r>
          </w:p>
        </w:tc>
        <w:tc>
          <w:tcPr>
            <w:tcW w:w="7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$22.40</w:t>
            </w: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43.8%</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5"/>
              </w:rPr>
              <w:t>0.52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$16.27</w:t>
            </w:r>
          </w:p>
        </w:tc>
        <w:tc>
          <w:tcPr>
            <w:tcW w:w="2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$23.64</w:t>
            </w:r>
          </w:p>
        </w:tc>
        <w:tc>
          <w:tcPr>
            <w:tcW w:w="7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$18.09</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45.3%</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center"/>
              <w:ind w:left="32"/>
              <w:spacing w:after="0"/>
              <w:rPr>
                <w:sz w:val="20"/>
                <w:szCs w:val="20"/>
                <w:color w:val="auto"/>
              </w:rPr>
            </w:pPr>
            <w:r>
              <w:rPr>
                <w:rFonts w:ascii="Arial" w:cs="Arial" w:eastAsia="Arial" w:hAnsi="Arial"/>
                <w:sz w:val="18"/>
                <w:szCs w:val="18"/>
                <w:color w:val="auto"/>
                <w:w w:val="85"/>
              </w:rPr>
              <w:t>0.45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$16.36</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$19.64</w:t>
            </w:r>
          </w:p>
        </w:tc>
        <w:tc>
          <w:tcPr>
            <w:tcW w:w="7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$16.13</w:t>
            </w: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19.9%</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5"/>
              </w:rPr>
              <w:t>0.42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$19.14</w:t>
            </w:r>
          </w:p>
        </w:tc>
        <w:tc>
          <w:tcPr>
            <w:tcW w:w="7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$16.56</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center"/>
              <w:ind w:left="32"/>
              <w:spacing w:after="0"/>
              <w:rPr>
                <w:sz w:val="20"/>
                <w:szCs w:val="20"/>
                <w:color w:val="auto"/>
              </w:rPr>
            </w:pPr>
            <w:r>
              <w:rPr>
                <w:rFonts w:ascii="Arial" w:cs="Arial" w:eastAsia="Arial" w:hAnsi="Arial"/>
                <w:sz w:val="18"/>
                <w:szCs w:val="18"/>
                <w:color w:val="auto"/>
                <w:w w:val="85"/>
              </w:rPr>
              <w:t>0.45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 2023</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First Quarter (through January 12, 2023)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$18.94</w:t>
            </w:r>
          </w:p>
        </w:tc>
        <w:tc>
          <w:tcPr>
            <w:tcW w:w="7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$17.96</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44" w:right="220" w:hanging="444"/>
        <w:spacing w:after="0" w:line="291" w:lineRule="auto"/>
        <w:tabs>
          <w:tab w:leader="none" w:pos="444" w:val="left"/>
        </w:tabs>
        <w:numPr>
          <w:ilvl w:val="0"/>
          <w:numId w:val="50"/>
        </w:numPr>
        <w:rPr>
          <w:rFonts w:ascii="Arial" w:cs="Arial" w:eastAsia="Arial" w:hAnsi="Arial"/>
          <w:sz w:val="16"/>
          <w:szCs w:val="16"/>
          <w:color w:val="auto"/>
        </w:rPr>
      </w:pPr>
      <w:r>
        <w:rPr>
          <w:rFonts w:ascii="Arial" w:cs="Arial" w:eastAsia="Arial" w:hAnsi="Arial"/>
          <w:sz w:val="16"/>
          <w:szCs w:val="16"/>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444" w:right="520" w:hanging="444"/>
        <w:spacing w:after="0" w:line="250" w:lineRule="auto"/>
        <w:tabs>
          <w:tab w:leader="none" w:pos="4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less net asset value, divided by net asset value (in each case, as of the applicable quarter). Does not reflect intraday trading prices.</w:t>
      </w:r>
    </w:p>
    <w:p>
      <w:pPr>
        <w:ind w:left="444" w:hanging="444"/>
        <w:spacing w:after="0"/>
        <w:tabs>
          <w:tab w:leader="none" w:pos="4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dividends declared in the relevant quarter.</w:t>
      </w:r>
    </w:p>
    <w:p>
      <w:pPr>
        <w:spacing w:after="0" w:line="9" w:lineRule="exact"/>
        <w:rPr>
          <w:sz w:val="20"/>
          <w:szCs w:val="20"/>
          <w:color w:val="auto"/>
        </w:rPr>
      </w:pPr>
    </w:p>
    <w:p>
      <w:pPr>
        <w:ind w:left="444" w:hanging="444"/>
        <w:spacing w:after="0"/>
        <w:tabs>
          <w:tab w:leader="none" w:pos="444"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Net asset value has not yet been reported for this period.</w:t>
      </w:r>
    </w:p>
    <w:p>
      <w:pPr>
        <w:spacing w:after="0" w:line="211" w:lineRule="exact"/>
        <w:rPr>
          <w:sz w:val="20"/>
          <w:szCs w:val="20"/>
          <w:color w:val="auto"/>
        </w:rPr>
      </w:pPr>
    </w:p>
    <w:p>
      <w:pPr>
        <w:ind w:left="4" w:right="60" w:firstLine="440"/>
        <w:spacing w:after="0" w:line="342" w:lineRule="auto"/>
        <w:rPr>
          <w:sz w:val="20"/>
          <w:szCs w:val="20"/>
          <w:color w:val="auto"/>
        </w:rPr>
      </w:pPr>
      <w:r>
        <w:rPr>
          <w:rFonts w:ascii="Arial" w:cs="Arial" w:eastAsia="Arial" w:hAnsi="Arial"/>
          <w:sz w:val="16"/>
          <w:szCs w:val="16"/>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124" w:lineRule="exact"/>
        <w:rPr>
          <w:sz w:val="20"/>
          <w:szCs w:val="20"/>
          <w:color w:val="auto"/>
        </w:rPr>
      </w:pPr>
    </w:p>
    <w:p>
      <w:pPr>
        <w:ind w:left="4" w:right="200" w:firstLine="440"/>
        <w:spacing w:after="0" w:line="342" w:lineRule="auto"/>
        <w:rPr>
          <w:sz w:val="20"/>
          <w:szCs w:val="20"/>
          <w:color w:val="auto"/>
        </w:rPr>
      </w:pPr>
      <w:r>
        <w:rPr>
          <w:rFonts w:ascii="Arial" w:cs="Arial" w:eastAsia="Arial" w:hAnsi="Arial"/>
          <w:sz w:val="16"/>
          <w:szCs w:val="16"/>
          <w:color w:val="auto"/>
        </w:rPr>
        <w:t>On November 1, 2022, our Board declared a fourth quarter 2022 base dividend of $0.45 per share for stockholders of record as of December 15, 2022, payable on December 30, 2022. Those dividends were paid from income generated primarily by interest earned on our investment portfolio.</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4"/>
          </w:cols>
          <w:pgMar w:left="436" w:top="513" w:right="439" w:bottom="1440" w:gutter="0" w:footer="0" w:header="0"/>
        </w:sectPr>
      </w:pPr>
    </w:p>
    <w:bookmarkStart w:id="70" w:name="page71"/>
    <w:bookmarkEnd w:id="70"/>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The following tables summarize dividends declared during the nine months ended September 30, 2022 and years ended December 31, 2021, 2020 and 2019: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Nine Months Ended September 30, 2022</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800" w:type="dxa"/>
            <w:vAlign w:val="bottom"/>
            <w:vMerge w:val="restart"/>
          </w:tcPr>
          <w:p>
            <w:pPr>
              <w:spacing w:after="0"/>
              <w:rPr>
                <w:sz w:val="10"/>
                <w:szCs w:val="10"/>
                <w:color w:val="auto"/>
              </w:rPr>
            </w:pPr>
          </w:p>
        </w:tc>
        <w:tc>
          <w:tcPr>
            <w:tcW w:w="2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5"/>
              </w:rPr>
              <w:t>Dividend</w:t>
            </w:r>
            <w:r>
              <w:rPr>
                <w:rFonts w:ascii="Arial" w:cs="Arial" w:eastAsia="Arial" w:hAnsi="Arial"/>
                <w:sz w:val="10"/>
                <w:szCs w:val="10"/>
                <w:b w:val="1"/>
                <w:bCs w:val="1"/>
                <w:color w:val="auto"/>
                <w:w w:val="95"/>
              </w:rPr>
              <w:t>(1)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Record Date</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Dividend</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2800" w:type="dxa"/>
            <w:vAlign w:val="bottom"/>
            <w:vMerge w:val="continue"/>
          </w:tcPr>
          <w:p>
            <w:pPr>
              <w:spacing w:after="0"/>
              <w:rPr>
                <w:sz w:val="14"/>
                <w:szCs w:val="14"/>
                <w:color w:val="auto"/>
              </w:rPr>
            </w:pPr>
          </w:p>
        </w:tc>
        <w:tc>
          <w:tcPr>
            <w:tcW w:w="2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Borders>
              <w:bottom w:val="single" w:sz="8" w:color="auto"/>
            </w:tcBorders>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2"/>
              </w:rPr>
              <w:t>per Share</w:t>
            </w: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w w:val="84"/>
              </w:rPr>
              <w:t>February 17,</w:t>
            </w:r>
          </w:p>
        </w:tc>
        <w:tc>
          <w:tcPr>
            <w:tcW w:w="2800" w:type="dxa"/>
            <w:vAlign w:val="bottom"/>
            <w:shd w:val="clear" w:color="auto" w:fill="CCEEFF"/>
          </w:tcPr>
          <w:p>
            <w:pPr>
              <w:jc w:val="right"/>
              <w:ind w:right="2270"/>
              <w:spacing w:after="0"/>
              <w:rPr>
                <w:sz w:val="20"/>
                <w:szCs w:val="20"/>
                <w:color w:val="auto"/>
              </w:rPr>
            </w:pPr>
            <w:r>
              <w:rPr>
                <w:rFonts w:ascii="Arial" w:cs="Arial" w:eastAsia="Arial" w:hAnsi="Arial"/>
                <w:sz w:val="18"/>
                <w:szCs w:val="18"/>
                <w:color w:val="auto"/>
              </w:rPr>
              <w:t>2022</w:t>
            </w:r>
          </w:p>
        </w:tc>
        <w:tc>
          <w:tcPr>
            <w:tcW w:w="2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Supplemental</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9"/>
              </w:rPr>
              <w:t>February 28, 2022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31, 2022</w:t>
            </w:r>
          </w:p>
        </w:tc>
        <w:tc>
          <w:tcPr>
            <w:tcW w:w="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February 17, 2022</w:t>
            </w:r>
          </w:p>
        </w:tc>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w w:val="87"/>
              </w:rPr>
              <w:t>Base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March 15, 2022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5"/>
              </w:rPr>
              <w:t>April 18, 2022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 2022</w:t>
            </w:r>
          </w:p>
        </w:tc>
        <w:tc>
          <w:tcPr>
            <w:tcW w:w="2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Supplemental</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1"/>
              </w:rPr>
              <w:t>May 31, 2022</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September 30, 2022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May 3, 2022</w:t>
            </w:r>
          </w:p>
        </w:tc>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w w:val="87"/>
              </w:rPr>
              <w:t>Base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2"/>
          </w:tcPr>
          <w:p>
            <w:pPr>
              <w:jc w:val="center"/>
              <w:ind w:right="40"/>
              <w:spacing w:after="0"/>
              <w:rPr>
                <w:sz w:val="20"/>
                <w:szCs w:val="20"/>
                <w:color w:val="auto"/>
              </w:rPr>
            </w:pPr>
            <w:r>
              <w:rPr>
                <w:rFonts w:ascii="Arial" w:cs="Arial" w:eastAsia="Arial" w:hAnsi="Arial"/>
                <w:sz w:val="18"/>
                <w:szCs w:val="18"/>
                <w:color w:val="auto"/>
                <w:w w:val="87"/>
              </w:rPr>
              <w:t>June 15, 2022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July 15, 2022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 2022</w:t>
            </w:r>
          </w:p>
        </w:tc>
        <w:tc>
          <w:tcPr>
            <w:tcW w:w="2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Base</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8"/>
              </w:rPr>
              <w:t>September 15, 2022</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September 30, 2022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Total Dividends Declared</w:t>
            </w:r>
          </w:p>
        </w:tc>
        <w:tc>
          <w:tcPr>
            <w:tcW w:w="2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Year Ended December 31, 2021</w:t>
            </w: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800" w:type="dxa"/>
            <w:vAlign w:val="bottom"/>
            <w:vMerge w:val="restart"/>
          </w:tcPr>
          <w:p>
            <w:pPr>
              <w:spacing w:after="0"/>
              <w:rPr>
                <w:sz w:val="10"/>
                <w:szCs w:val="10"/>
                <w:color w:val="auto"/>
              </w:rPr>
            </w:pPr>
          </w:p>
        </w:tc>
        <w:tc>
          <w:tcPr>
            <w:tcW w:w="2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Dividend</w:t>
            </w:r>
            <w:r>
              <w:rPr>
                <w:rFonts w:ascii="Arial" w:cs="Arial" w:eastAsia="Arial" w:hAnsi="Arial"/>
                <w:sz w:val="10"/>
                <w:szCs w:val="10"/>
                <w:b w:val="1"/>
                <w:bCs w:val="1"/>
                <w:color w:val="auto"/>
                <w:w w:val="95"/>
              </w:rPr>
              <w:t>(1)</w:t>
            </w:r>
          </w:p>
        </w:tc>
        <w:tc>
          <w:tcPr>
            <w:tcW w:w="60" w:type="dxa"/>
            <w:vAlign w:val="bottom"/>
            <w:gridSpan w:val="2"/>
            <w:vMerge w:val="restart"/>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Record Date</w:t>
            </w:r>
          </w:p>
        </w:tc>
        <w:tc>
          <w:tcPr>
            <w:tcW w:w="4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rPr>
              <w:t>Dividend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2800" w:type="dxa"/>
            <w:vAlign w:val="bottom"/>
            <w:vMerge w:val="continue"/>
          </w:tcPr>
          <w:p>
            <w:pPr>
              <w:spacing w:after="0"/>
              <w:rPr>
                <w:sz w:val="14"/>
                <w:szCs w:val="14"/>
                <w:color w:val="auto"/>
              </w:rPr>
            </w:pPr>
          </w:p>
        </w:tc>
        <w:tc>
          <w:tcPr>
            <w:tcW w:w="22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2"/>
              </w:rPr>
              <w:t>per Share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w w:val="84"/>
              </w:rPr>
              <w:t>February 17,</w:t>
            </w:r>
          </w:p>
        </w:tc>
        <w:tc>
          <w:tcPr>
            <w:tcW w:w="2800" w:type="dxa"/>
            <w:vAlign w:val="bottom"/>
            <w:shd w:val="clear" w:color="auto" w:fill="CCEEFF"/>
          </w:tcPr>
          <w:p>
            <w:pPr>
              <w:jc w:val="right"/>
              <w:ind w:right="2270"/>
              <w:spacing w:after="0"/>
              <w:rPr>
                <w:sz w:val="20"/>
                <w:szCs w:val="20"/>
                <w:color w:val="auto"/>
              </w:rPr>
            </w:pPr>
            <w:r>
              <w:rPr>
                <w:rFonts w:ascii="Arial" w:cs="Arial" w:eastAsia="Arial" w:hAnsi="Arial"/>
                <w:sz w:val="18"/>
                <w:szCs w:val="18"/>
                <w:color w:val="auto"/>
              </w:rPr>
              <w:t>2021</w:t>
            </w:r>
          </w:p>
        </w:tc>
        <w:tc>
          <w:tcPr>
            <w:tcW w:w="2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center"/>
              <w:ind w:right="40"/>
              <w:spacing w:after="0"/>
              <w:rPr>
                <w:sz w:val="20"/>
                <w:szCs w:val="20"/>
                <w:color w:val="auto"/>
              </w:rPr>
            </w:pPr>
            <w:r>
              <w:rPr>
                <w:rFonts w:ascii="Arial" w:cs="Arial" w:eastAsia="Arial" w:hAnsi="Arial"/>
                <w:sz w:val="18"/>
                <w:szCs w:val="18"/>
                <w:color w:val="auto"/>
                <w:w w:val="89"/>
              </w:rPr>
              <w:t>Supplemental</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9"/>
              </w:rPr>
              <w:t>February 26, 2021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31, 2021</w:t>
            </w:r>
          </w:p>
        </w:tc>
        <w:tc>
          <w:tcPr>
            <w:tcW w:w="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February 17, 2021</w:t>
            </w:r>
          </w:p>
        </w:tc>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8"/>
                <w:szCs w:val="18"/>
                <w:color w:val="auto"/>
                <w:w w:val="82"/>
              </w:rPr>
              <w:t>Base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March 15, 2021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5"/>
              </w:rPr>
              <w:t>April 15, 2021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17, 2021</w:t>
            </w:r>
          </w:p>
        </w:tc>
        <w:tc>
          <w:tcPr>
            <w:tcW w:w="2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1"/>
              </w:rPr>
              <w:t>Special</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1"/>
              </w:rPr>
              <w:t>March 25, 2021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April 8, 2021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May 4, 2021</w:t>
            </w:r>
          </w:p>
        </w:tc>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4"/>
          </w:tcPr>
          <w:p>
            <w:pPr>
              <w:jc w:val="center"/>
              <w:ind w:right="40"/>
              <w:spacing w:after="0"/>
              <w:rPr>
                <w:sz w:val="20"/>
                <w:szCs w:val="20"/>
                <w:color w:val="auto"/>
              </w:rPr>
            </w:pPr>
            <w:r>
              <w:rPr>
                <w:rFonts w:ascii="Arial" w:cs="Arial" w:eastAsia="Arial" w:hAnsi="Arial"/>
                <w:sz w:val="18"/>
                <w:szCs w:val="18"/>
                <w:color w:val="auto"/>
                <w:w w:val="89"/>
              </w:rPr>
              <w:t>Supplemental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May 28, 2021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June 30, 2021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4, 2021</w:t>
            </w:r>
          </w:p>
        </w:tc>
        <w:tc>
          <w:tcPr>
            <w:tcW w:w="2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2"/>
              </w:rPr>
              <w:t>Base</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7"/>
              </w:rPr>
              <w:t>June 15, 2021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15, 2021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August 3, 2021</w:t>
            </w:r>
          </w:p>
        </w:tc>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4"/>
          </w:tcPr>
          <w:p>
            <w:pPr>
              <w:jc w:val="center"/>
              <w:ind w:right="40"/>
              <w:spacing w:after="0"/>
              <w:rPr>
                <w:sz w:val="20"/>
                <w:szCs w:val="20"/>
                <w:color w:val="auto"/>
              </w:rPr>
            </w:pPr>
            <w:r>
              <w:rPr>
                <w:rFonts w:ascii="Arial" w:cs="Arial" w:eastAsia="Arial" w:hAnsi="Arial"/>
                <w:sz w:val="18"/>
                <w:szCs w:val="18"/>
                <w:color w:val="auto"/>
                <w:w w:val="89"/>
              </w:rPr>
              <w:t>Supplemental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August 31, 2021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September 30, 2021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3, 2021</w:t>
            </w:r>
          </w:p>
        </w:tc>
        <w:tc>
          <w:tcPr>
            <w:tcW w:w="2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2"/>
              </w:rPr>
              <w:t>Base</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8"/>
              </w:rPr>
              <w:t>September 15, 2021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15, 2021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November 2, 2021</w:t>
            </w:r>
          </w:p>
        </w:tc>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4"/>
          </w:tcPr>
          <w:p>
            <w:pPr>
              <w:jc w:val="center"/>
              <w:ind w:right="40"/>
              <w:spacing w:after="0"/>
              <w:rPr>
                <w:sz w:val="20"/>
                <w:szCs w:val="20"/>
                <w:color w:val="auto"/>
              </w:rPr>
            </w:pPr>
            <w:r>
              <w:rPr>
                <w:rFonts w:ascii="Arial" w:cs="Arial" w:eastAsia="Arial" w:hAnsi="Arial"/>
                <w:sz w:val="18"/>
                <w:szCs w:val="18"/>
                <w:color w:val="auto"/>
                <w:w w:val="89"/>
              </w:rPr>
              <w:t>Supplemental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November 30, 2021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December 31, 2021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0.07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 2021</w:t>
            </w:r>
          </w:p>
        </w:tc>
        <w:tc>
          <w:tcPr>
            <w:tcW w:w="2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1"/>
              </w:rPr>
              <w:t>Special</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9"/>
              </w:rPr>
              <w:t>December 7, 2021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20, 2021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gridSpan w:val="2"/>
          </w:tcPr>
          <w:p>
            <w:pPr>
              <w:spacing w:after="0"/>
              <w:rPr>
                <w:sz w:val="20"/>
                <w:szCs w:val="20"/>
                <w:color w:val="auto"/>
              </w:rPr>
            </w:pPr>
            <w:r>
              <w:rPr>
                <w:rFonts w:ascii="Arial" w:cs="Arial" w:eastAsia="Arial" w:hAnsi="Arial"/>
                <w:sz w:val="18"/>
                <w:szCs w:val="18"/>
                <w:color w:val="auto"/>
              </w:rPr>
              <w:t>November 2, 2021</w:t>
            </w:r>
          </w:p>
        </w:tc>
        <w:tc>
          <w:tcPr>
            <w:tcW w:w="2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8"/>
                <w:szCs w:val="18"/>
                <w:color w:val="auto"/>
                <w:w w:val="82"/>
              </w:rPr>
              <w:t>Base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December 15, 2021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January 14, 2022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Dividends Declared</w:t>
            </w:r>
          </w:p>
        </w:tc>
        <w:tc>
          <w:tcPr>
            <w:tcW w:w="2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Year Ended December 31, 2020</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800" w:type="dxa"/>
            <w:vAlign w:val="bottom"/>
            <w:vMerge w:val="restart"/>
          </w:tcPr>
          <w:p>
            <w:pPr>
              <w:spacing w:after="0"/>
              <w:rPr>
                <w:sz w:val="10"/>
                <w:szCs w:val="10"/>
                <w:color w:val="auto"/>
              </w:rPr>
            </w:pPr>
          </w:p>
        </w:tc>
        <w:tc>
          <w:tcPr>
            <w:tcW w:w="2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Dividend</w:t>
            </w:r>
          </w:p>
        </w:tc>
        <w:tc>
          <w:tcPr>
            <w:tcW w:w="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4"/>
              </w:rPr>
              <w:t>Record Date</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Payment Date</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rPr>
              <w:t>Dividend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2800" w:type="dxa"/>
            <w:vAlign w:val="bottom"/>
            <w:vMerge w:val="continue"/>
          </w:tcPr>
          <w:p>
            <w:pPr>
              <w:spacing w:after="0"/>
              <w:rPr>
                <w:sz w:val="14"/>
                <w:szCs w:val="14"/>
                <w:color w:val="auto"/>
              </w:rPr>
            </w:pPr>
          </w:p>
        </w:tc>
        <w:tc>
          <w:tcPr>
            <w:tcW w:w="2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Borders>
              <w:bottom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2"/>
              </w:rPr>
              <w:t>per Share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w w:val="84"/>
              </w:rPr>
              <w:t>February 19,</w:t>
            </w:r>
          </w:p>
        </w:tc>
        <w:tc>
          <w:tcPr>
            <w:tcW w:w="2800" w:type="dxa"/>
            <w:vAlign w:val="bottom"/>
            <w:shd w:val="clear" w:color="auto" w:fill="CCEEFF"/>
          </w:tcPr>
          <w:p>
            <w:pPr>
              <w:jc w:val="right"/>
              <w:ind w:right="2270"/>
              <w:spacing w:after="0"/>
              <w:rPr>
                <w:sz w:val="20"/>
                <w:szCs w:val="20"/>
                <w:color w:val="auto"/>
              </w:rPr>
            </w:pPr>
            <w:r>
              <w:rPr>
                <w:rFonts w:ascii="Arial" w:cs="Arial" w:eastAsia="Arial" w:hAnsi="Arial"/>
                <w:sz w:val="18"/>
                <w:szCs w:val="18"/>
                <w:color w:val="auto"/>
              </w:rPr>
              <w:t>2020</w:t>
            </w:r>
          </w:p>
        </w:tc>
        <w:tc>
          <w:tcPr>
            <w:tcW w:w="2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Supplemental</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February 28, 2020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31, 2020</w:t>
            </w:r>
          </w:p>
        </w:tc>
        <w:tc>
          <w:tcPr>
            <w:tcW w:w="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February 19, 2020</w:t>
            </w:r>
          </w:p>
        </w:tc>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w w:val="87"/>
              </w:rPr>
              <w:t>Base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1"/>
              </w:rPr>
              <w:t>March 13, 2020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5"/>
              </w:rPr>
              <w:t>April 15, 2020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19, 2020</w:t>
            </w:r>
          </w:p>
        </w:tc>
        <w:tc>
          <w:tcPr>
            <w:tcW w:w="2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Special</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April 15, 2020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30, 2020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February 19, 2020</w:t>
            </w:r>
          </w:p>
        </w:tc>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w w:val="88"/>
              </w:rPr>
              <w:t>Special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7"/>
              </w:rPr>
              <w:t>June 15, 2020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June 30, 2020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5, 2020</w:t>
            </w:r>
          </w:p>
        </w:tc>
        <w:tc>
          <w:tcPr>
            <w:tcW w:w="2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Base</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June 15, 2020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15, 2020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August 4, 2020</w:t>
            </w:r>
          </w:p>
        </w:tc>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w w:val="87"/>
              </w:rPr>
              <w:t>Base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8"/>
              </w:rPr>
              <w:t>September 15, 2020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October 15, 2020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4, 2020</w:t>
            </w:r>
          </w:p>
        </w:tc>
        <w:tc>
          <w:tcPr>
            <w:tcW w:w="2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Supplemental</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November 30, 2020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31, 2020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gridSpan w:val="2"/>
          </w:tcPr>
          <w:p>
            <w:pPr>
              <w:spacing w:after="0"/>
              <w:rPr>
                <w:sz w:val="20"/>
                <w:szCs w:val="20"/>
                <w:color w:val="auto"/>
              </w:rPr>
            </w:pPr>
            <w:r>
              <w:rPr>
                <w:rFonts w:ascii="Arial" w:cs="Arial" w:eastAsia="Arial" w:hAnsi="Arial"/>
                <w:sz w:val="18"/>
                <w:szCs w:val="18"/>
                <w:color w:val="auto"/>
              </w:rPr>
              <w:t>November 4, 2020</w:t>
            </w:r>
          </w:p>
        </w:tc>
        <w:tc>
          <w:tcPr>
            <w:tcW w:w="2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w w:val="87"/>
              </w:rPr>
              <w:t>Base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9"/>
              </w:rPr>
              <w:t>December 15, 2020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January 15, 2021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Dividends Declared</w:t>
            </w:r>
          </w:p>
        </w:tc>
        <w:tc>
          <w:tcPr>
            <w:tcW w:w="2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Year Ended December 31, 2019</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800" w:type="dxa"/>
            <w:vAlign w:val="bottom"/>
            <w:vMerge w:val="restart"/>
          </w:tcPr>
          <w:p>
            <w:pPr>
              <w:spacing w:after="0"/>
              <w:rPr>
                <w:sz w:val="10"/>
                <w:szCs w:val="10"/>
                <w:color w:val="auto"/>
              </w:rPr>
            </w:pPr>
          </w:p>
        </w:tc>
        <w:tc>
          <w:tcPr>
            <w:tcW w:w="2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Dividend</w:t>
            </w:r>
          </w:p>
        </w:tc>
        <w:tc>
          <w:tcPr>
            <w:tcW w:w="60" w:type="dxa"/>
            <w:vAlign w:val="bottom"/>
            <w:gridSpan w:val="2"/>
            <w:vMerge w:val="restart"/>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Record Date</w:t>
            </w:r>
          </w:p>
        </w:tc>
        <w:tc>
          <w:tcPr>
            <w:tcW w:w="4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rPr>
              <w:t>Dividend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2800" w:type="dxa"/>
            <w:vAlign w:val="bottom"/>
            <w:vMerge w:val="continue"/>
          </w:tcPr>
          <w:p>
            <w:pPr>
              <w:spacing w:after="0"/>
              <w:rPr>
                <w:sz w:val="14"/>
                <w:szCs w:val="14"/>
                <w:color w:val="auto"/>
              </w:rPr>
            </w:pPr>
          </w:p>
        </w:tc>
        <w:tc>
          <w:tcPr>
            <w:tcW w:w="22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2"/>
              </w:rPr>
              <w:t>per Share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w w:val="84"/>
              </w:rPr>
              <w:t>February 20,</w:t>
            </w:r>
          </w:p>
        </w:tc>
        <w:tc>
          <w:tcPr>
            <w:tcW w:w="2800" w:type="dxa"/>
            <w:vAlign w:val="bottom"/>
            <w:shd w:val="clear" w:color="auto" w:fill="CCEEFF"/>
          </w:tcPr>
          <w:p>
            <w:pPr>
              <w:jc w:val="right"/>
              <w:ind w:right="2270"/>
              <w:spacing w:after="0"/>
              <w:rPr>
                <w:sz w:val="20"/>
                <w:szCs w:val="20"/>
                <w:color w:val="auto"/>
              </w:rPr>
            </w:pPr>
            <w:r>
              <w:rPr>
                <w:rFonts w:ascii="Arial" w:cs="Arial" w:eastAsia="Arial" w:hAnsi="Arial"/>
                <w:sz w:val="18"/>
                <w:szCs w:val="18"/>
                <w:color w:val="auto"/>
              </w:rPr>
              <w:t>2019</w:t>
            </w:r>
          </w:p>
        </w:tc>
        <w:tc>
          <w:tcPr>
            <w:tcW w:w="2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center"/>
              <w:ind w:right="40"/>
              <w:spacing w:after="0"/>
              <w:rPr>
                <w:sz w:val="20"/>
                <w:szCs w:val="20"/>
                <w:color w:val="auto"/>
              </w:rPr>
            </w:pPr>
            <w:r>
              <w:rPr>
                <w:rFonts w:ascii="Arial" w:cs="Arial" w:eastAsia="Arial" w:hAnsi="Arial"/>
                <w:sz w:val="18"/>
                <w:szCs w:val="18"/>
                <w:color w:val="auto"/>
                <w:w w:val="89"/>
              </w:rPr>
              <w:t>Supplemental</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9"/>
              </w:rPr>
              <w:t>February 28, 2019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29, 2019</w:t>
            </w:r>
          </w:p>
        </w:tc>
        <w:tc>
          <w:tcPr>
            <w:tcW w:w="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February 20, 2019</w:t>
            </w:r>
          </w:p>
        </w:tc>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8"/>
                <w:szCs w:val="18"/>
                <w:color w:val="auto"/>
                <w:w w:val="82"/>
              </w:rPr>
              <w:t>Base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March 15, 2019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5"/>
              </w:rPr>
              <w:t>April 15, 2019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 2019</w:t>
            </w:r>
          </w:p>
        </w:tc>
        <w:tc>
          <w:tcPr>
            <w:tcW w:w="2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center"/>
              <w:ind w:right="40"/>
              <w:spacing w:after="0"/>
              <w:rPr>
                <w:sz w:val="20"/>
                <w:szCs w:val="20"/>
                <w:color w:val="auto"/>
              </w:rPr>
            </w:pPr>
            <w:r>
              <w:rPr>
                <w:rFonts w:ascii="Arial" w:cs="Arial" w:eastAsia="Arial" w:hAnsi="Arial"/>
                <w:sz w:val="18"/>
                <w:szCs w:val="18"/>
                <w:color w:val="auto"/>
                <w:w w:val="89"/>
              </w:rPr>
              <w:t>Supplemental</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1"/>
              </w:rPr>
              <w:t>May 31, 2019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June 28, 2019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May 2, 2019</w:t>
            </w:r>
          </w:p>
        </w:tc>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8"/>
                <w:szCs w:val="18"/>
                <w:color w:val="auto"/>
                <w:w w:val="82"/>
              </w:rPr>
              <w:t>Base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2"/>
          </w:tcPr>
          <w:p>
            <w:pPr>
              <w:jc w:val="center"/>
              <w:ind w:right="40"/>
              <w:spacing w:after="0"/>
              <w:rPr>
                <w:sz w:val="20"/>
                <w:szCs w:val="20"/>
                <w:color w:val="auto"/>
              </w:rPr>
            </w:pPr>
            <w:r>
              <w:rPr>
                <w:rFonts w:ascii="Arial" w:cs="Arial" w:eastAsia="Arial" w:hAnsi="Arial"/>
                <w:sz w:val="18"/>
                <w:szCs w:val="18"/>
                <w:color w:val="auto"/>
                <w:w w:val="87"/>
              </w:rPr>
              <w:t>June 14, 2019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July 15, 2019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31, 2019</w:t>
            </w:r>
          </w:p>
        </w:tc>
        <w:tc>
          <w:tcPr>
            <w:tcW w:w="2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center"/>
              <w:ind w:right="40"/>
              <w:spacing w:after="0"/>
              <w:rPr>
                <w:sz w:val="20"/>
                <w:szCs w:val="20"/>
                <w:color w:val="auto"/>
              </w:rPr>
            </w:pPr>
            <w:r>
              <w:rPr>
                <w:rFonts w:ascii="Arial" w:cs="Arial" w:eastAsia="Arial" w:hAnsi="Arial"/>
                <w:sz w:val="18"/>
                <w:szCs w:val="18"/>
                <w:color w:val="auto"/>
                <w:w w:val="89"/>
              </w:rPr>
              <w:t>Supplemental</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1"/>
              </w:rPr>
              <w:t>August 30, 2019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September 30, 2019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July 31, 2019</w:t>
            </w:r>
          </w:p>
        </w:tc>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8"/>
                <w:szCs w:val="18"/>
                <w:color w:val="auto"/>
                <w:w w:val="82"/>
              </w:rPr>
              <w:t>Base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September 13, 2019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October 15, 2019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5, 2019</w:t>
            </w:r>
          </w:p>
        </w:tc>
        <w:tc>
          <w:tcPr>
            <w:tcW w:w="2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center"/>
              <w:ind w:right="40"/>
              <w:spacing w:after="0"/>
              <w:rPr>
                <w:sz w:val="20"/>
                <w:szCs w:val="20"/>
                <w:color w:val="auto"/>
              </w:rPr>
            </w:pPr>
            <w:r>
              <w:rPr>
                <w:rFonts w:ascii="Arial" w:cs="Arial" w:eastAsia="Arial" w:hAnsi="Arial"/>
                <w:sz w:val="18"/>
                <w:szCs w:val="18"/>
                <w:color w:val="auto"/>
                <w:w w:val="89"/>
              </w:rPr>
              <w:t>Supplemental</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1"/>
              </w:rPr>
              <w:t>November 29, 2019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31, 2019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gridSpan w:val="2"/>
          </w:tcPr>
          <w:p>
            <w:pPr>
              <w:spacing w:after="0"/>
              <w:rPr>
                <w:sz w:val="20"/>
                <w:szCs w:val="20"/>
                <w:color w:val="auto"/>
              </w:rPr>
            </w:pPr>
            <w:r>
              <w:rPr>
                <w:rFonts w:ascii="Arial" w:cs="Arial" w:eastAsia="Arial" w:hAnsi="Arial"/>
                <w:sz w:val="18"/>
                <w:szCs w:val="18"/>
                <w:color w:val="auto"/>
              </w:rPr>
              <w:t>November 5, 2019</w:t>
            </w:r>
          </w:p>
        </w:tc>
        <w:tc>
          <w:tcPr>
            <w:tcW w:w="2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8"/>
                <w:szCs w:val="18"/>
                <w:color w:val="auto"/>
                <w:w w:val="82"/>
              </w:rPr>
              <w:t>Base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December 13, 2019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January 15, 2020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Dividends Declared</w:t>
            </w:r>
          </w:p>
        </w:tc>
        <w:tc>
          <w:tcPr>
            <w:tcW w:w="2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0" w:type="dxa"/>
            <w:vAlign w:val="bottom"/>
            <w:vMerge w:val="restart"/>
          </w:tcPr>
          <w:p>
            <w:pPr>
              <w:jc w:val="right"/>
              <w:ind w:right="19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517" w:right="439" w:bottom="1440" w:gutter="0" w:footer="0" w:header="0"/>
        </w:sectPr>
      </w:pPr>
    </w:p>
    <w:bookmarkStart w:id="71" w:name="page72"/>
    <w:bookmarkEnd w:id="71"/>
    <w:p>
      <w:pPr>
        <w:jc w:val="both"/>
        <w:ind w:right="2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The dividends declared during the nine months ended September 30, 2022 were derived from net investment income, determined on a tax basis. The dividends declared during the years ended December 31, 2021, 2020 and 2019 were derived from net investment income and net realized capital gains, determined on a tax basis.</w:t>
      </w:r>
    </w:p>
    <w:p>
      <w:pPr>
        <w:spacing w:after="0" w:line="184"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8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To be treated as a regulated investment company, or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93" w:lineRule="exact"/>
        <w:rPr>
          <w:sz w:val="20"/>
          <w:szCs w:val="20"/>
          <w:color w:val="auto"/>
        </w:rPr>
      </w:pPr>
    </w:p>
    <w:p>
      <w:pPr>
        <w:ind w:left="980" w:hanging="433"/>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such calendar year;</w:t>
      </w:r>
    </w:p>
    <w:p>
      <w:pPr>
        <w:spacing w:after="0" w:line="130" w:lineRule="exact"/>
        <w:rPr>
          <w:rFonts w:ascii="Arial" w:cs="Arial" w:eastAsia="Arial" w:hAnsi="Arial"/>
          <w:sz w:val="18"/>
          <w:szCs w:val="18"/>
          <w:color w:val="auto"/>
        </w:rPr>
      </w:pPr>
    </w:p>
    <w:p>
      <w:pPr>
        <w:ind w:left="980" w:right="300" w:hanging="433"/>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100% of income or gains recognized, but not distributed, in preceding years.</w:t>
      </w:r>
    </w:p>
    <w:p>
      <w:pPr>
        <w:spacing w:after="0" w:line="225"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portion of income and capital gains for the nine months ended September 30, 2022 and for calendar years ended December 31, 2021 and 2020 for purposes of additional liquidity and we recorded a net expense of $1.5 million for the nine months ended September 30, 2022 and $0.7 million and $5.8 million for the years ended December 31, 2021 and December 31, 2020,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 in Part I, Item 1A of our 2021 Annual Report.</w:t>
      </w:r>
    </w:p>
    <w:p>
      <w:pPr>
        <w:spacing w:after="0" w:line="181"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dividends or that we will not be limited in our ability to pay dividends under the asset coverage test applicable to us under the 1940 Act.</w:t>
      </w:r>
    </w:p>
    <w:p>
      <w:pPr>
        <w:spacing w:after="0" w:line="192"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Unless our common stockholders elect to receive their dividends in cash, we intend to make such distributions in additional shares of our common stock under our dividend reinvestment plan. See “Dividend Reinvestment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517" w:right="45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SENIOR SECURITIES</w:t>
      </w:r>
    </w:p>
    <w:p>
      <w:pPr>
        <w:spacing w:after="0" w:line="229"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Information about our senior securities as of the last ten fiscal years ended December 31, 2021 and as of the unaudited fiscal period ended September 30, 2022 is shown in the following table. The report of our independent registered public accounting firm, KPMG LLP, on the senior securities table as of December 31, 2021 is included in our 2021 Annual Report and is incorporated by reference to the registration statement of which this prospectus is a part.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360" w:type="dxa"/>
            <w:vAlign w:val="bottom"/>
            <w:gridSpan w:val="4"/>
          </w:tcPr>
          <w:p>
            <w:pPr>
              <w:ind w:left="940"/>
              <w:spacing w:after="0"/>
              <w:rPr>
                <w:sz w:val="20"/>
                <w:szCs w:val="20"/>
                <w:color w:val="auto"/>
              </w:rPr>
            </w:pPr>
            <w:r>
              <w:rPr>
                <w:rFonts w:ascii="Arial" w:cs="Arial" w:eastAsia="Arial" w:hAnsi="Arial"/>
                <w:sz w:val="14"/>
                <w:szCs w:val="14"/>
                <w:b w:val="1"/>
                <w:bCs w:val="1"/>
                <w:color w:val="auto"/>
              </w:rPr>
              <w:t>Total Amount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8"/>
              </w:rPr>
              <w:t>Involuntary</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Treasury</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Coverage</w:t>
            </w:r>
          </w:p>
        </w:tc>
        <w:tc>
          <w:tcPr>
            <w:tcW w:w="260" w:type="dxa"/>
            <w:vAlign w:val="bottom"/>
          </w:tcPr>
          <w:p>
            <w:pPr>
              <w:spacing w:after="0"/>
              <w:rPr>
                <w:sz w:val="12"/>
                <w:szCs w:val="12"/>
                <w:color w:val="auto"/>
              </w:rPr>
            </w:pPr>
          </w:p>
        </w:tc>
        <w:tc>
          <w:tcPr>
            <w:tcW w:w="13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Liquidating</w:t>
            </w: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Average Market</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Securities</w:t>
            </w:r>
            <w:r>
              <w:rPr>
                <w:rFonts w:ascii="Arial" w:cs="Arial" w:eastAsia="Arial" w:hAnsi="Arial"/>
                <w:sz w:val="10"/>
                <w:szCs w:val="10"/>
                <w:b w:val="1"/>
                <w:bCs w:val="1"/>
                <w:color w:val="auto"/>
                <w:w w:val="90"/>
              </w:rPr>
              <w:t>(1)</w:t>
            </w:r>
          </w:p>
        </w:tc>
        <w:tc>
          <w:tcPr>
            <w:tcW w:w="12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Preference</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00" w:type="dxa"/>
            <w:vAlign w:val="bottom"/>
          </w:tcPr>
          <w:p>
            <w:pPr>
              <w:spacing w:after="0"/>
              <w:rPr>
                <w:sz w:val="20"/>
                <w:szCs w:val="20"/>
                <w:color w:val="auto"/>
              </w:rPr>
            </w:pPr>
            <w:r>
              <w:rPr>
                <w:rFonts w:ascii="Arial" w:cs="Arial" w:eastAsia="Arial" w:hAnsi="Arial"/>
                <w:sz w:val="14"/>
                <w:szCs w:val="14"/>
                <w:b w:val="1"/>
                <w:bCs w:val="1"/>
                <w:color w:val="auto"/>
              </w:rPr>
              <w:t>Class and Year/Period</w:t>
            </w:r>
          </w:p>
        </w:tc>
        <w:tc>
          <w:tcPr>
            <w:tcW w:w="94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2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Unit</w:t>
            </w:r>
            <w:r>
              <w:rPr>
                <w:rFonts w:ascii="Arial" w:cs="Arial" w:eastAsia="Arial" w:hAnsi="Arial"/>
                <w:sz w:val="10"/>
                <w:szCs w:val="10"/>
                <w:b w:val="1"/>
                <w:bCs w:val="1"/>
                <w:color w:val="auto"/>
              </w:rPr>
              <w:t>(2)</w:t>
            </w:r>
          </w:p>
        </w:tc>
        <w:tc>
          <w:tcPr>
            <w:tcW w:w="260" w:type="dxa"/>
            <w:vAlign w:val="bottom"/>
          </w:tcPr>
          <w:p>
            <w:pPr>
              <w:spacing w:after="0"/>
              <w:rPr>
                <w:sz w:val="14"/>
                <w:szCs w:val="14"/>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7"/>
              </w:rPr>
              <w:t>Per Unit</w:t>
            </w:r>
            <w:r>
              <w:rPr>
                <w:rFonts w:ascii="Arial" w:cs="Arial" w:eastAsia="Arial" w:hAnsi="Arial"/>
                <w:sz w:val="10"/>
                <w:szCs w:val="10"/>
                <w:b w:val="1"/>
                <w:bCs w:val="1"/>
                <w:color w:val="auto"/>
                <w:w w:val="97"/>
              </w:rPr>
              <w:t>(3)</w:t>
            </w: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98"/>
              </w:rPr>
              <w:t>Value Per Unit</w:t>
            </w:r>
            <w:r>
              <w:rPr>
                <w:rFonts w:ascii="Arial" w:cs="Arial" w:eastAsia="Arial" w:hAnsi="Arial"/>
                <w:sz w:val="10"/>
                <w:szCs w:val="10"/>
                <w:b w:val="1"/>
                <w:bCs w:val="1"/>
                <w:color w:val="auto"/>
                <w:w w:val="98"/>
              </w:rPr>
              <w:t>(4)</w:t>
            </w:r>
          </w:p>
        </w:tc>
        <w:tc>
          <w:tcPr>
            <w:tcW w:w="0" w:type="dxa"/>
            <w:vAlign w:val="bottom"/>
          </w:tcPr>
          <w:p>
            <w:pPr>
              <w:spacing w:after="0"/>
              <w:rPr>
                <w:sz w:val="1"/>
                <w:szCs w:val="1"/>
                <w:color w:val="auto"/>
              </w:rPr>
            </w:pP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Credit Facilities</w:t>
            </w:r>
          </w:p>
        </w:tc>
        <w:tc>
          <w:tcPr>
            <w:tcW w:w="9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December 31, 2022 (as of September 30, 2022 Unaudited)</w:t>
            </w:r>
          </w:p>
        </w:tc>
        <w:tc>
          <w:tcPr>
            <w:tcW w:w="1060" w:type="dxa"/>
            <w:vAlign w:val="bottom"/>
            <w:gridSpan w:val="2"/>
          </w:tcPr>
          <w:p>
            <w:pPr>
              <w:ind w:left="94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739.3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1,865.5</w:t>
            </w:r>
          </w:p>
        </w:tc>
        <w:tc>
          <w:tcPr>
            <w:tcW w:w="26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0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316.4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2,053.6</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December 31, 2020</w:t>
            </w:r>
          </w:p>
        </w:tc>
        <w:tc>
          <w:tcPr>
            <w:tcW w:w="1060" w:type="dxa"/>
            <w:vAlign w:val="bottom"/>
            <w:gridSpan w:val="2"/>
          </w:tcPr>
          <w:p>
            <w:pPr>
              <w:ind w:left="94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472.3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2,045.4</w:t>
            </w:r>
          </w:p>
        </w:tc>
        <w:tc>
          <w:tcPr>
            <w:tcW w:w="26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0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495.7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2,004.1</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December 31, 2018</w:t>
            </w:r>
          </w:p>
        </w:tc>
        <w:tc>
          <w:tcPr>
            <w:tcW w:w="1060" w:type="dxa"/>
            <w:vAlign w:val="bottom"/>
            <w:gridSpan w:val="2"/>
          </w:tcPr>
          <w:p>
            <w:pPr>
              <w:ind w:left="94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2,705.2</w:t>
            </w:r>
          </w:p>
        </w:tc>
        <w:tc>
          <w:tcPr>
            <w:tcW w:w="26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0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2,355.3</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December 31, 2016</w:t>
            </w:r>
          </w:p>
        </w:tc>
        <w:tc>
          <w:tcPr>
            <w:tcW w:w="1060" w:type="dxa"/>
            <w:vAlign w:val="bottom"/>
            <w:gridSpan w:val="2"/>
          </w:tcPr>
          <w:p>
            <w:pPr>
              <w:ind w:left="94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578.7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2,376.6</w:t>
            </w:r>
          </w:p>
        </w:tc>
        <w:tc>
          <w:tcPr>
            <w:tcW w:w="26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0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540.3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2,257.3</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December 31, 2014</w:t>
            </w:r>
          </w:p>
        </w:tc>
        <w:tc>
          <w:tcPr>
            <w:tcW w:w="1060" w:type="dxa"/>
            <w:vAlign w:val="bottom"/>
            <w:gridSpan w:val="2"/>
          </w:tcPr>
          <w:p>
            <w:pPr>
              <w:ind w:left="94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283.9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3,110.3</w:t>
            </w:r>
          </w:p>
        </w:tc>
        <w:tc>
          <w:tcPr>
            <w:tcW w:w="26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0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432.3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2,329.5</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December 31, 2012</w:t>
            </w:r>
          </w:p>
        </w:tc>
        <w:tc>
          <w:tcPr>
            <w:tcW w:w="1060" w:type="dxa"/>
            <w:vAlign w:val="bottom"/>
            <w:gridSpan w:val="2"/>
          </w:tcPr>
          <w:p>
            <w:pPr>
              <w:ind w:left="94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331.8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2,445.9</w:t>
            </w:r>
          </w:p>
        </w:tc>
        <w:tc>
          <w:tcPr>
            <w:tcW w:w="26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Convertible Notes due 2019</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December 31, 2022 (as of September 30, 2022 Unaudited)</w:t>
            </w:r>
          </w:p>
        </w:tc>
        <w:tc>
          <w:tcPr>
            <w:tcW w:w="1060" w:type="dxa"/>
            <w:vAlign w:val="bottom"/>
            <w:gridSpan w:val="2"/>
          </w:tcPr>
          <w:p>
            <w:pPr>
              <w:ind w:left="94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0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December 31, 2020</w:t>
            </w:r>
          </w:p>
        </w:tc>
        <w:tc>
          <w:tcPr>
            <w:tcW w:w="1060" w:type="dxa"/>
            <w:vAlign w:val="bottom"/>
            <w:gridSpan w:val="2"/>
          </w:tcPr>
          <w:p>
            <w:pPr>
              <w:ind w:left="94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0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December 31, 2018</w:t>
            </w:r>
          </w:p>
        </w:tc>
        <w:tc>
          <w:tcPr>
            <w:tcW w:w="1060" w:type="dxa"/>
            <w:vAlign w:val="bottom"/>
            <w:gridSpan w:val="2"/>
          </w:tcPr>
          <w:p>
            <w:pPr>
              <w:ind w:left="94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2,705.2</w:t>
            </w:r>
          </w:p>
        </w:tc>
        <w:tc>
          <w:tcPr>
            <w:tcW w:w="26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0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113.7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2,355.3</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December 31, 2016</w:t>
            </w:r>
          </w:p>
        </w:tc>
        <w:tc>
          <w:tcPr>
            <w:tcW w:w="1060" w:type="dxa"/>
            <w:vAlign w:val="bottom"/>
            <w:gridSpan w:val="2"/>
          </w:tcPr>
          <w:p>
            <w:pPr>
              <w:ind w:left="94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2,376.6</w:t>
            </w:r>
          </w:p>
        </w:tc>
        <w:tc>
          <w:tcPr>
            <w:tcW w:w="26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0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2,257.3</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December 31, 2014</w:t>
            </w:r>
          </w:p>
        </w:tc>
        <w:tc>
          <w:tcPr>
            <w:tcW w:w="1060" w:type="dxa"/>
            <w:vAlign w:val="bottom"/>
            <w:gridSpan w:val="2"/>
          </w:tcPr>
          <w:p>
            <w:pPr>
              <w:ind w:left="94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3,110.3</w:t>
            </w:r>
          </w:p>
        </w:tc>
        <w:tc>
          <w:tcPr>
            <w:tcW w:w="26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Convertible Notes due 2022</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December 31, 2022 (as of September 30, 2022 Unaudited)</w:t>
            </w:r>
          </w:p>
        </w:tc>
        <w:tc>
          <w:tcPr>
            <w:tcW w:w="1060" w:type="dxa"/>
            <w:vAlign w:val="bottom"/>
            <w:gridSpan w:val="2"/>
          </w:tcPr>
          <w:p>
            <w:pPr>
              <w:ind w:left="94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0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2,053.6</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December 31, 2020</w:t>
            </w:r>
          </w:p>
        </w:tc>
        <w:tc>
          <w:tcPr>
            <w:tcW w:w="1060" w:type="dxa"/>
            <w:vAlign w:val="bottom"/>
            <w:gridSpan w:val="2"/>
          </w:tcPr>
          <w:p>
            <w:pPr>
              <w:ind w:left="94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142.5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2,045.4</w:t>
            </w:r>
          </w:p>
        </w:tc>
        <w:tc>
          <w:tcPr>
            <w:tcW w:w="26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0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2004.1</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December 31, 2018</w:t>
            </w:r>
          </w:p>
        </w:tc>
        <w:tc>
          <w:tcPr>
            <w:tcW w:w="1060" w:type="dxa"/>
            <w:vAlign w:val="bottom"/>
            <w:gridSpan w:val="2"/>
          </w:tcPr>
          <w:p>
            <w:pPr>
              <w:ind w:left="94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171.7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2,705.2</w:t>
            </w:r>
          </w:p>
        </w:tc>
        <w:tc>
          <w:tcPr>
            <w:tcW w:w="26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0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114.7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2,355.3</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b w:val="1"/>
                <w:bCs w:val="1"/>
                <w:color w:val="auto"/>
              </w:rPr>
              <w:t>2023 Notes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2022 (as of September 30, 2022 Unaudited)</w:t>
            </w:r>
          </w:p>
        </w:tc>
        <w:tc>
          <w:tcPr>
            <w:tcW w:w="10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1,865.5</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December 31, 2021</w:t>
            </w:r>
          </w:p>
        </w:tc>
        <w:tc>
          <w:tcPr>
            <w:tcW w:w="1060" w:type="dxa"/>
            <w:vAlign w:val="bottom"/>
            <w:gridSpan w:val="2"/>
          </w:tcPr>
          <w:p>
            <w:pPr>
              <w:ind w:left="94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2,053.6</w:t>
            </w:r>
          </w:p>
        </w:tc>
        <w:tc>
          <w:tcPr>
            <w:tcW w:w="26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10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2,045.4</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December 31, 2019</w:t>
            </w:r>
          </w:p>
        </w:tc>
        <w:tc>
          <w:tcPr>
            <w:tcW w:w="1060" w:type="dxa"/>
            <w:vAlign w:val="bottom"/>
            <w:gridSpan w:val="2"/>
          </w:tcPr>
          <w:p>
            <w:pPr>
              <w:ind w:left="94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2,004.1</w:t>
            </w:r>
          </w:p>
        </w:tc>
        <w:tc>
          <w:tcPr>
            <w:tcW w:w="26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0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2,705.2</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65"/>
        </w:trPr>
        <w:tc>
          <w:tcPr>
            <w:tcW w:w="4800" w:type="dxa"/>
            <w:vAlign w:val="bottom"/>
          </w:tcPr>
          <w:p>
            <w:pPr>
              <w:spacing w:after="0"/>
              <w:rPr>
                <w:sz w:val="24"/>
                <w:szCs w:val="24"/>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513" w:right="439" w:bottom="1440" w:gutter="0" w:footer="0" w:header="0"/>
        </w:sectPr>
      </w:pPr>
    </w:p>
    <w:bookmarkStart w:id="73" w:name="page74"/>
    <w:bookmarkEnd w:id="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180" w:type="dxa"/>
            <w:vAlign w:val="bottom"/>
            <w:gridSpan w:val="4"/>
          </w:tcPr>
          <w:p>
            <w:pPr>
              <w:ind w:left="760"/>
              <w:spacing w:after="0"/>
              <w:rPr>
                <w:sz w:val="20"/>
                <w:szCs w:val="20"/>
                <w:color w:val="auto"/>
              </w:rPr>
            </w:pPr>
            <w:r>
              <w:rPr>
                <w:rFonts w:ascii="Arial" w:cs="Arial" w:eastAsia="Arial" w:hAnsi="Arial"/>
                <w:sz w:val="14"/>
                <w:szCs w:val="14"/>
                <w:b w:val="1"/>
                <w:bCs w:val="1"/>
                <w:color w:val="auto"/>
              </w:rPr>
              <w:t>Total Amount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8"/>
              </w:rPr>
              <w:t>Involuntary</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Treasury</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Coverage</w:t>
            </w:r>
          </w:p>
        </w:tc>
        <w:tc>
          <w:tcPr>
            <w:tcW w:w="260" w:type="dxa"/>
            <w:vAlign w:val="bottom"/>
          </w:tcPr>
          <w:p>
            <w:pPr>
              <w:spacing w:after="0"/>
              <w:rPr>
                <w:sz w:val="12"/>
                <w:szCs w:val="12"/>
                <w:color w:val="auto"/>
              </w:rPr>
            </w:pPr>
          </w:p>
        </w:tc>
        <w:tc>
          <w:tcPr>
            <w:tcW w:w="13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Liquidating</w:t>
            </w: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Average Market</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Securities</w:t>
            </w:r>
            <w:r>
              <w:rPr>
                <w:rFonts w:ascii="Arial" w:cs="Arial" w:eastAsia="Arial" w:hAnsi="Arial"/>
                <w:sz w:val="10"/>
                <w:szCs w:val="10"/>
                <w:b w:val="1"/>
                <w:bCs w:val="1"/>
                <w:color w:val="auto"/>
                <w:w w:val="90"/>
              </w:rPr>
              <w:t>(1)</w:t>
            </w:r>
          </w:p>
        </w:tc>
        <w:tc>
          <w:tcPr>
            <w:tcW w:w="12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Preference</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20"/>
                <w:szCs w:val="20"/>
                <w:color w:val="auto"/>
              </w:rPr>
            </w:pPr>
            <w:r>
              <w:rPr>
                <w:rFonts w:ascii="Arial" w:cs="Arial" w:eastAsia="Arial" w:hAnsi="Arial"/>
                <w:sz w:val="14"/>
                <w:szCs w:val="14"/>
                <w:b w:val="1"/>
                <w:bCs w:val="1"/>
                <w:color w:val="auto"/>
              </w:rPr>
              <w:t>Class and Year/Period</w:t>
            </w:r>
          </w:p>
        </w:tc>
        <w:tc>
          <w:tcPr>
            <w:tcW w:w="76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2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Unit</w:t>
            </w:r>
            <w:r>
              <w:rPr>
                <w:rFonts w:ascii="Arial" w:cs="Arial" w:eastAsia="Arial" w:hAnsi="Arial"/>
                <w:sz w:val="10"/>
                <w:szCs w:val="10"/>
                <w:b w:val="1"/>
                <w:bCs w:val="1"/>
                <w:color w:val="auto"/>
              </w:rPr>
              <w:t>(2)</w:t>
            </w:r>
          </w:p>
        </w:tc>
        <w:tc>
          <w:tcPr>
            <w:tcW w:w="260" w:type="dxa"/>
            <w:vAlign w:val="bottom"/>
          </w:tcPr>
          <w:p>
            <w:pPr>
              <w:spacing w:after="0"/>
              <w:rPr>
                <w:sz w:val="14"/>
                <w:szCs w:val="14"/>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7"/>
              </w:rPr>
              <w:t>Per Unit</w:t>
            </w:r>
            <w:r>
              <w:rPr>
                <w:rFonts w:ascii="Arial" w:cs="Arial" w:eastAsia="Arial" w:hAnsi="Arial"/>
                <w:sz w:val="10"/>
                <w:szCs w:val="10"/>
                <w:b w:val="1"/>
                <w:bCs w:val="1"/>
                <w:color w:val="auto"/>
                <w:w w:val="97"/>
              </w:rPr>
              <w:t>(3)</w:t>
            </w: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98"/>
              </w:rPr>
              <w:t>Value Per Unit</w:t>
            </w:r>
            <w:r>
              <w:rPr>
                <w:rFonts w:ascii="Arial" w:cs="Arial" w:eastAsia="Arial" w:hAnsi="Arial"/>
                <w:sz w:val="10"/>
                <w:szCs w:val="10"/>
                <w:b w:val="1"/>
                <w:bCs w:val="1"/>
                <w:color w:val="auto"/>
                <w:w w:val="98"/>
              </w:rPr>
              <w:t>(4)</w:t>
            </w: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2024 Notes</w:t>
            </w:r>
          </w:p>
        </w:tc>
        <w:tc>
          <w:tcPr>
            <w:tcW w:w="7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December 31, 2022 (as of September 30, 2022 Unaudited)</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346.7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1,865.5</w:t>
            </w:r>
          </w:p>
        </w:tc>
        <w:tc>
          <w:tcPr>
            <w:tcW w:w="26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346.4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2,053.6</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December 31, 2020</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346.1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2,045.4</w:t>
            </w:r>
          </w:p>
        </w:tc>
        <w:tc>
          <w:tcPr>
            <w:tcW w:w="26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297.2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2,004.1</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b w:val="1"/>
                <w:bCs w:val="1"/>
                <w:color w:val="auto"/>
              </w:rPr>
              <w:t>2026 Notes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2022 (as of September 30, 2022 Unaudited)</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298.4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1,865.5</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December 31, 2021</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298.1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2,053.6</w:t>
            </w:r>
          </w:p>
        </w:tc>
        <w:tc>
          <w:tcPr>
            <w:tcW w:w="260" w:type="dxa"/>
            <w:vAlign w:val="bottom"/>
          </w:tcPr>
          <w:p>
            <w:pPr>
              <w:spacing w:after="0"/>
              <w:rPr>
                <w:sz w:val="20"/>
                <w:szCs w:val="20"/>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44" w:right="300" w:hanging="444"/>
        <w:spacing w:after="0" w:line="258" w:lineRule="auto"/>
        <w:tabs>
          <w:tab w:leader="none" w:pos="4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carrying value, excluding the impact of deferred financing costs, at the end of the period presented.</w:t>
      </w:r>
    </w:p>
    <w:p>
      <w:pPr>
        <w:spacing w:after="0" w:line="1" w:lineRule="exact"/>
        <w:rPr>
          <w:rFonts w:ascii="Arial" w:cs="Arial" w:eastAsia="Arial" w:hAnsi="Arial"/>
          <w:sz w:val="18"/>
          <w:szCs w:val="18"/>
          <w:color w:val="auto"/>
        </w:rPr>
      </w:pPr>
    </w:p>
    <w:p>
      <w:pPr>
        <w:ind w:left="444" w:right="360" w:hanging="444"/>
        <w:spacing w:after="0" w:line="250" w:lineRule="auto"/>
        <w:tabs>
          <w:tab w:leader="none" w:pos="4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444" w:right="40" w:hanging="444"/>
        <w:spacing w:after="0" w:line="265" w:lineRule="auto"/>
        <w:tabs>
          <w:tab w:leader="none" w:pos="444"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444" w:hanging="444"/>
        <w:spacing w:after="0"/>
        <w:tabs>
          <w:tab w:leader="none" w:pos="4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4"/>
          </w:cols>
          <w:pgMar w:left="436" w:top="496" w:right="4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174865" cy="68580"/>
                    </a:xfrm>
                    <a:prstGeom prst="rect">
                      <a:avLst/>
                    </a:prstGeom>
                    <a:noFill/>
                  </pic:spPr>
                </pic:pic>
              </a:graphicData>
            </a:graphic>
          </wp:anchor>
        </w:drawing>
        <w:t>PORTFOLIO COMPANIES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table set forth below contains certain information as of September 30, 2022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Debt Investments such as first-lien or second-lien loans, unsecured notes, or bonds, or they are Equity or Other Investments such as common equity, preferred equity, or equity warrants. We either originated or purchased in the secondary market the Debt Investments and Equity or Other Investments in our current portfolio.</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4"/>
              </w:rPr>
              <w:t>Initial</w:t>
            </w:r>
          </w:p>
        </w:tc>
        <w:tc>
          <w:tcPr>
            <w:tcW w:w="8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Reference</w:t>
            </w: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0" w:type="dxa"/>
            <w:vAlign w:val="bottom"/>
            <w:vMerge w:val="restart"/>
          </w:tcPr>
          <w:p>
            <w:pPr>
              <w:ind w:left="1180"/>
              <w:spacing w:after="0"/>
              <w:rPr>
                <w:sz w:val="20"/>
                <w:szCs w:val="20"/>
                <w:color w:val="auto"/>
              </w:rPr>
            </w:pPr>
            <w:r>
              <w:rPr>
                <w:rFonts w:ascii="Arial" w:cs="Arial" w:eastAsia="Arial" w:hAnsi="Arial"/>
                <w:sz w:val="13"/>
                <w:szCs w:val="13"/>
                <w:b w:val="1"/>
                <w:bCs w:val="1"/>
                <w:color w:val="auto"/>
              </w:rPr>
              <w:t>Investment</w:t>
            </w:r>
          </w:p>
        </w:tc>
        <w:tc>
          <w:tcPr>
            <w:tcW w:w="4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Rate and</w:t>
            </w:r>
          </w:p>
        </w:tc>
        <w:tc>
          <w:tcPr>
            <w:tcW w:w="1620" w:type="dxa"/>
            <w:vAlign w:val="bottom"/>
            <w:gridSpan w:val="2"/>
            <w:vMerge w:val="restart"/>
          </w:tcPr>
          <w:p>
            <w:pPr>
              <w:jc w:val="right"/>
              <w:ind w:right="460"/>
              <w:spacing w:after="0"/>
              <w:rPr>
                <w:sz w:val="20"/>
                <w:szCs w:val="20"/>
                <w:color w:val="auto"/>
              </w:rPr>
            </w:pPr>
            <w:r>
              <w:rPr>
                <w:rFonts w:ascii="Arial" w:cs="Arial" w:eastAsia="Arial" w:hAnsi="Arial"/>
                <w:sz w:val="13"/>
                <w:szCs w:val="13"/>
                <w:b w:val="1"/>
                <w:bCs w:val="1"/>
                <w:color w:val="auto"/>
              </w:rPr>
              <w:t>Interest Rate</w:t>
            </w:r>
          </w:p>
        </w:tc>
        <w:tc>
          <w:tcPr>
            <w:tcW w:w="620" w:type="dxa"/>
            <w:vAlign w:val="bottom"/>
            <w:gridSpan w:val="3"/>
          </w:tcPr>
          <w:p>
            <w:pPr>
              <w:jc w:val="right"/>
              <w:ind w:right="20"/>
              <w:spacing w:after="0" w:line="135" w:lineRule="exact"/>
              <w:rPr>
                <w:sz w:val="20"/>
                <w:szCs w:val="20"/>
                <w:color w:val="auto"/>
              </w:rPr>
            </w:pPr>
            <w:r>
              <w:rPr>
                <w:rFonts w:ascii="Arial" w:cs="Arial" w:eastAsia="Arial" w:hAnsi="Arial"/>
                <w:sz w:val="13"/>
                <w:szCs w:val="13"/>
                <w:b w:val="1"/>
                <w:bCs w:val="1"/>
                <w:color w:val="auto"/>
                <w:w w:val="91"/>
              </w:rPr>
              <w:t>Amortized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53"/>
        </w:trPr>
        <w:tc>
          <w:tcPr>
            <w:tcW w:w="2000" w:type="dxa"/>
            <w:vAlign w:val="bottom"/>
            <w:gridSpan w:val="2"/>
          </w:tcPr>
          <w:p>
            <w:pPr>
              <w:spacing w:after="0" w:line="154" w:lineRule="exact"/>
              <w:rPr>
                <w:sz w:val="20"/>
                <w:szCs w:val="20"/>
                <w:color w:val="auto"/>
              </w:rPr>
            </w:pPr>
            <w:r>
              <w:rPr>
                <w:rFonts w:ascii="Arial" w:cs="Arial" w:eastAsia="Arial" w:hAnsi="Arial"/>
                <w:sz w:val="12"/>
                <w:szCs w:val="12"/>
                <w:b w:val="1"/>
                <w:bCs w:val="1"/>
                <w:color w:val="auto"/>
              </w:rPr>
              <w:t>Company</w:t>
            </w:r>
            <w:r>
              <w:rPr>
                <w:rFonts w:ascii="Arial" w:cs="Arial" w:eastAsia="Arial" w:hAnsi="Arial"/>
                <w:sz w:val="17"/>
                <w:szCs w:val="17"/>
                <w:b w:val="1"/>
                <w:bCs w:val="1"/>
                <w:color w:val="auto"/>
                <w:vertAlign w:val="superscript"/>
              </w:rPr>
              <w:t>(1)(6)</w:t>
            </w:r>
          </w:p>
        </w:tc>
        <w:tc>
          <w:tcPr>
            <w:tcW w:w="40" w:type="dxa"/>
            <w:vAlign w:val="bottom"/>
          </w:tcPr>
          <w:p>
            <w:pPr>
              <w:spacing w:after="0"/>
              <w:rPr>
                <w:sz w:val="13"/>
                <w:szCs w:val="13"/>
                <w:color w:val="auto"/>
              </w:rPr>
            </w:pPr>
          </w:p>
        </w:tc>
        <w:tc>
          <w:tcPr>
            <w:tcW w:w="30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8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Spread</w:t>
            </w:r>
          </w:p>
        </w:tc>
        <w:tc>
          <w:tcPr>
            <w:tcW w:w="16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2"/>
          </w:tcPr>
          <w:p>
            <w:pPr>
              <w:jc w:val="right"/>
              <w:ind w:right="60"/>
              <w:spacing w:after="0" w:line="154" w:lineRule="exact"/>
              <w:rPr>
                <w:sz w:val="20"/>
                <w:szCs w:val="20"/>
                <w:color w:val="auto"/>
              </w:rPr>
            </w:pPr>
            <w:r>
              <w:rPr>
                <w:rFonts w:ascii="Arial" w:cs="Arial" w:eastAsia="Arial" w:hAnsi="Arial"/>
                <w:sz w:val="17"/>
                <w:szCs w:val="17"/>
                <w:b w:val="1"/>
                <w:bCs w:val="1"/>
                <w:color w:val="auto"/>
                <w:vertAlign w:val="subscript"/>
              </w:rPr>
              <w:t>Cost</w:t>
            </w:r>
            <w:r>
              <w:rPr>
                <w:rFonts w:ascii="Arial" w:cs="Arial" w:eastAsia="Arial" w:hAnsi="Arial"/>
                <w:sz w:val="8"/>
                <w:szCs w:val="8"/>
                <w:b w:val="1"/>
                <w:bCs w:val="1"/>
                <w:color w:val="auto"/>
              </w:rPr>
              <w:t>(2)(8)</w:t>
            </w:r>
          </w:p>
        </w:tc>
        <w:tc>
          <w:tcPr>
            <w:tcW w:w="140" w:type="dxa"/>
            <w:vAlign w:val="bottom"/>
          </w:tcPr>
          <w:p>
            <w:pPr>
              <w:spacing w:after="0"/>
              <w:rPr>
                <w:sz w:val="13"/>
                <w:szCs w:val="13"/>
                <w:color w:val="auto"/>
              </w:rPr>
            </w:pPr>
          </w:p>
        </w:tc>
        <w:tc>
          <w:tcPr>
            <w:tcW w:w="920" w:type="dxa"/>
            <w:vAlign w:val="bottom"/>
            <w:gridSpan w:val="2"/>
          </w:tcPr>
          <w:p>
            <w:pPr>
              <w:jc w:val="right"/>
              <w:ind w:right="220"/>
              <w:spacing w:after="0" w:line="154" w:lineRule="exact"/>
              <w:rPr>
                <w:sz w:val="20"/>
                <w:szCs w:val="20"/>
                <w:color w:val="auto"/>
              </w:rPr>
            </w:pPr>
            <w:r>
              <w:rPr>
                <w:rFonts w:ascii="Arial" w:cs="Arial" w:eastAsia="Arial" w:hAnsi="Arial"/>
                <w:sz w:val="12"/>
                <w:szCs w:val="12"/>
                <w:b w:val="1"/>
                <w:bCs w:val="1"/>
                <w:color w:val="auto"/>
                <w:w w:val="95"/>
              </w:rPr>
              <w:t>Fair Value</w:t>
            </w:r>
            <w:r>
              <w:rPr>
                <w:rFonts w:ascii="Arial" w:cs="Arial" w:eastAsia="Arial" w:hAnsi="Arial"/>
                <w:sz w:val="17"/>
                <w:szCs w:val="17"/>
                <w:b w:val="1"/>
                <w:bCs w:val="1"/>
                <w:color w:val="auto"/>
                <w:w w:val="95"/>
                <w:vertAlign w:val="superscript"/>
              </w:rPr>
              <w:t>(9)</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1"/>
              </w:rPr>
              <w:t>of Net Assets</w:t>
            </w: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Debt Investments</w:t>
            </w:r>
          </w:p>
        </w:tc>
        <w:tc>
          <w:tcPr>
            <w:tcW w:w="4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gridSpan w:val="2"/>
          </w:tcPr>
          <w:p>
            <w:pPr>
              <w:spacing w:after="0" w:line="149" w:lineRule="exact"/>
              <w:rPr>
                <w:sz w:val="20"/>
                <w:szCs w:val="20"/>
                <w:color w:val="auto"/>
              </w:rPr>
            </w:pPr>
            <w:r>
              <w:rPr>
                <w:rFonts w:ascii="Arial" w:cs="Arial" w:eastAsia="Arial" w:hAnsi="Arial"/>
                <w:sz w:val="14"/>
                <w:szCs w:val="14"/>
                <w:color w:val="auto"/>
              </w:rPr>
              <w:t>Automotive</w:t>
            </w:r>
          </w:p>
        </w:tc>
        <w:tc>
          <w:tcPr>
            <w:tcW w:w="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Carlstar Group, LLC</w:t>
            </w:r>
            <w:r>
              <w:rPr>
                <w:rFonts w:ascii="Arial" w:cs="Arial" w:eastAsia="Arial" w:hAnsi="Arial"/>
                <w:sz w:val="10"/>
                <w:szCs w:val="10"/>
                <w:color w:val="auto"/>
              </w:rPr>
              <w:t>(3)</w:t>
            </w:r>
          </w:p>
        </w:tc>
        <w:tc>
          <w:tcPr>
            <w:tcW w:w="30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First-lien loan ($34,000 par, due 7/2027)</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7/8/2022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SOFR + 6.60%</w:t>
            </w:r>
          </w:p>
        </w:tc>
        <w:tc>
          <w:tcPr>
            <w:tcW w:w="1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9.25%</w:t>
            </w: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  33,125</w:t>
            </w: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33,256</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8"/>
        </w:trPr>
        <w:tc>
          <w:tcPr>
            <w:tcW w:w="2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Business services</w:t>
            </w:r>
          </w:p>
        </w:tc>
        <w:tc>
          <w:tcPr>
            <w:tcW w:w="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Acceo Solutions, Inc.</w:t>
            </w:r>
            <w:r>
              <w:rPr>
                <w:rFonts w:ascii="Arial" w:cs="Arial" w:eastAsia="Arial" w:hAnsi="Arial"/>
                <w:sz w:val="10"/>
                <w:szCs w:val="10"/>
                <w:color w:val="auto"/>
              </w:rPr>
              <w:t>(3)(4)(5)</w:t>
            </w:r>
          </w:p>
        </w:tc>
        <w:tc>
          <w:tcPr>
            <w:tcW w:w="30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First-lien loan (CAD 73,687 par, due 10/2025)</w:t>
            </w: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7/6/2018</w:t>
            </w: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C + 4.75%</w:t>
            </w:r>
          </w:p>
        </w:tc>
        <w:tc>
          <w:tcPr>
            <w:tcW w:w="16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8.70%</w:t>
            </w:r>
          </w:p>
        </w:tc>
        <w:tc>
          <w:tcPr>
            <w:tcW w:w="62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55,562</w:t>
            </w:r>
          </w:p>
        </w:tc>
        <w:tc>
          <w:tcPr>
            <w:tcW w:w="14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54,164</w:t>
            </w:r>
          </w:p>
        </w:tc>
        <w:tc>
          <w:tcPr>
            <w:tcW w:w="86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1"/>
        </w:trPr>
        <w:tc>
          <w:tcPr>
            <w:tcW w:w="7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5"/>
              </w:rPr>
              <w:t>(CAD 74,424)</w:t>
            </w: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00" w:type="dxa"/>
            <w:vAlign w:val="bottom"/>
            <w:gridSpan w:val="2"/>
          </w:tcPr>
          <w:p>
            <w:pPr>
              <w:spacing w:after="0" w:line="149" w:lineRule="exact"/>
              <w:rPr>
                <w:sz w:val="20"/>
                <w:szCs w:val="20"/>
                <w:color w:val="auto"/>
              </w:rPr>
            </w:pPr>
            <w:r>
              <w:rPr>
                <w:rFonts w:ascii="Arial" w:cs="Arial" w:eastAsia="Arial" w:hAnsi="Arial"/>
                <w:sz w:val="14"/>
                <w:szCs w:val="14"/>
                <w:color w:val="auto"/>
              </w:rPr>
              <w:t>Alpha Midco, Inc.</w:t>
            </w:r>
            <w:r>
              <w:rPr>
                <w:rFonts w:ascii="Arial" w:cs="Arial" w:eastAsia="Arial" w:hAnsi="Arial"/>
                <w:sz w:val="10"/>
                <w:szCs w:val="10"/>
                <w:color w:val="auto"/>
              </w:rPr>
              <w:t>(3)(5)</w:t>
            </w:r>
          </w:p>
        </w:tc>
        <w:tc>
          <w:tcPr>
            <w:tcW w:w="30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First-lien loan ($68,788 par, due 8/2025)</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8/15/2019</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5"/>
              </w:rPr>
              <w:t>SOFR + 7.50%</w:t>
            </w:r>
          </w:p>
        </w:tc>
        <w:tc>
          <w:tcPr>
            <w:tcW w:w="1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11.17%</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67,823</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69,485</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30"/>
        </w:trPr>
        <w:tc>
          <w:tcPr>
            <w:tcW w:w="20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Dye &amp; Durham Corp.</w:t>
            </w:r>
            <w:r>
              <w:rPr>
                <w:rFonts w:ascii="Arial" w:cs="Arial" w:eastAsia="Arial" w:hAnsi="Arial"/>
                <w:sz w:val="10"/>
                <w:szCs w:val="10"/>
                <w:color w:val="auto"/>
              </w:rPr>
              <w:t>(3)(4)</w:t>
            </w:r>
          </w:p>
        </w:tc>
        <w:tc>
          <w:tcPr>
            <w:tcW w:w="30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First-lien loan (CAD 32,772 par, due 12/2027)</w:t>
            </w: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12/3/2021</w:t>
            </w: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C + 5.75%</w:t>
            </w:r>
          </w:p>
        </w:tc>
        <w:tc>
          <w:tcPr>
            <w:tcW w:w="16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9.95%</w:t>
            </w:r>
          </w:p>
        </w:tc>
        <w:tc>
          <w:tcPr>
            <w:tcW w:w="62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25,011</w:t>
            </w:r>
          </w:p>
        </w:tc>
        <w:tc>
          <w:tcPr>
            <w:tcW w:w="14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23,778</w:t>
            </w:r>
          </w:p>
        </w:tc>
        <w:tc>
          <w:tcPr>
            <w:tcW w:w="86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1"/>
        </w:trPr>
        <w:tc>
          <w:tcPr>
            <w:tcW w:w="7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5"/>
              </w:rPr>
              <w:t>(CAD 32,672)</w:t>
            </w: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00" w:type="dxa"/>
            <w:vAlign w:val="bottom"/>
            <w:gridSpan w:val="2"/>
          </w:tcPr>
          <w:p>
            <w:pPr>
              <w:spacing w:after="0" w:line="149" w:lineRule="exact"/>
              <w:rPr>
                <w:sz w:val="20"/>
                <w:szCs w:val="20"/>
                <w:color w:val="auto"/>
              </w:rPr>
            </w:pPr>
            <w:r>
              <w:rPr>
                <w:rFonts w:ascii="Arial" w:cs="Arial" w:eastAsia="Arial" w:hAnsi="Arial"/>
                <w:sz w:val="14"/>
                <w:szCs w:val="14"/>
                <w:color w:val="auto"/>
              </w:rPr>
              <w:t>ExtraHop Networks, Inc.</w:t>
            </w:r>
            <w:r>
              <w:rPr>
                <w:rFonts w:ascii="Arial" w:cs="Arial" w:eastAsia="Arial" w:hAnsi="Arial"/>
                <w:sz w:val="10"/>
                <w:szCs w:val="10"/>
                <w:color w:val="auto"/>
              </w:rPr>
              <w:t>(3)(5)</w:t>
            </w:r>
          </w:p>
        </w:tc>
        <w:tc>
          <w:tcPr>
            <w:tcW w:w="30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First-lien loan ($56,066 par, due 7/2027)</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7/22/2021</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+ 7.50%</w:t>
            </w:r>
          </w:p>
        </w:tc>
        <w:tc>
          <w:tcPr>
            <w:tcW w:w="1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11.17%</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54,881</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54,384</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8"/>
        </w:trPr>
        <w:tc>
          <w:tcPr>
            <w:tcW w:w="2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ForeScout Technologies, Inc.</w:t>
            </w:r>
            <w:r>
              <w:rPr>
                <w:rFonts w:ascii="Arial" w:cs="Arial" w:eastAsia="Arial" w:hAnsi="Arial"/>
                <w:sz w:val="10"/>
                <w:szCs w:val="10"/>
                <w:color w:val="auto"/>
              </w:rPr>
              <w:t>(3)</w:t>
            </w:r>
          </w:p>
        </w:tc>
        <w:tc>
          <w:tcPr>
            <w:tcW w:w="30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First-lien loan ($6,349 par, due 8/2026)</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8/17/2020</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 + 9.50%</w:t>
            </w:r>
          </w:p>
        </w:tc>
        <w:tc>
          <w:tcPr>
            <w:tcW w:w="1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13.17% (incl. 9.50% PIK)</w:t>
            </w: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6,247</w:t>
            </w:r>
          </w:p>
        </w:tc>
        <w:tc>
          <w:tcPr>
            <w:tcW w:w="14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6,263</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First-lien loan ($2,548 par, due 8/2026)</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7/1/2022</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+ 9.00%</w:t>
            </w:r>
          </w:p>
        </w:tc>
        <w:tc>
          <w:tcPr>
            <w:tcW w:w="1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12.67% (incl. 9.00% PIK)</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2,475</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2,453</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20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Information Clearinghouse, LLC</w:t>
            </w:r>
          </w:p>
        </w:tc>
        <w:tc>
          <w:tcPr>
            <w:tcW w:w="40" w:type="dxa"/>
            <w:vAlign w:val="bottom"/>
            <w:shd w:val="clear" w:color="auto" w:fill="CCEEFF"/>
          </w:tcPr>
          <w:p>
            <w:pPr>
              <w:spacing w:after="0"/>
              <w:rPr>
                <w:sz w:val="11"/>
                <w:szCs w:val="11"/>
                <w:color w:val="auto"/>
              </w:rPr>
            </w:pPr>
          </w:p>
        </w:tc>
        <w:tc>
          <w:tcPr>
            <w:tcW w:w="3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00" w:type="dxa"/>
            <w:vAlign w:val="bottom"/>
            <w:gridSpan w:val="2"/>
            <w:shd w:val="clear" w:color="auto" w:fill="CCEEFF"/>
          </w:tcPr>
          <w:p>
            <w:pPr>
              <w:ind w:left="140"/>
              <w:spacing w:after="0" w:line="157" w:lineRule="exact"/>
              <w:rPr>
                <w:sz w:val="20"/>
                <w:szCs w:val="20"/>
                <w:color w:val="auto"/>
              </w:rPr>
            </w:pPr>
            <w:r>
              <w:rPr>
                <w:rFonts w:ascii="Arial" w:cs="Arial" w:eastAsia="Arial" w:hAnsi="Arial"/>
                <w:sz w:val="14"/>
                <w:szCs w:val="14"/>
                <w:color w:val="auto"/>
                <w:w w:val="96"/>
              </w:rPr>
              <w:t>and MS Market Service, LLC</w:t>
            </w:r>
            <w:r>
              <w:rPr>
                <w:rFonts w:ascii="Arial" w:cs="Arial" w:eastAsia="Arial" w:hAnsi="Arial"/>
                <w:sz w:val="10"/>
                <w:szCs w:val="10"/>
                <w:color w:val="auto"/>
                <w:w w:val="96"/>
              </w:rPr>
              <w:t>(3)</w:t>
            </w:r>
          </w:p>
        </w:tc>
        <w:tc>
          <w:tcPr>
            <w:tcW w:w="30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First-lien loan ($17,865 par, due 12/2026)</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12/20/2021</w:t>
            </w:r>
          </w:p>
        </w:tc>
        <w:tc>
          <w:tcPr>
            <w:tcW w:w="8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L + 6.50%</w:t>
            </w:r>
          </w:p>
        </w:tc>
        <w:tc>
          <w:tcPr>
            <w:tcW w:w="16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10.07%</w:t>
            </w:r>
          </w:p>
        </w:tc>
        <w:tc>
          <w:tcPr>
            <w:tcW w:w="6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17,457</w:t>
            </w:r>
          </w:p>
        </w:tc>
        <w:tc>
          <w:tcPr>
            <w:tcW w:w="14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17,284</w:t>
            </w:r>
          </w:p>
        </w:tc>
        <w:tc>
          <w:tcPr>
            <w:tcW w:w="8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1"/>
        </w:trPr>
        <w:tc>
          <w:tcPr>
            <w:tcW w:w="7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(5)</w:t>
            </w:r>
          </w:p>
        </w:tc>
        <w:tc>
          <w:tcPr>
            <w:tcW w:w="1260" w:type="dxa"/>
            <w:vAlign w:val="bottom"/>
            <w:shd w:val="clear" w:color="auto" w:fill="CCEEFF"/>
          </w:tcPr>
          <w:p>
            <w:pPr>
              <w:spacing w:after="0"/>
              <w:rPr>
                <w:sz w:val="11"/>
                <w:szCs w:val="11"/>
                <w:color w:val="auto"/>
              </w:rPr>
            </w:pPr>
          </w:p>
        </w:tc>
        <w:tc>
          <w:tcPr>
            <w:tcW w:w="304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1620" w:type="dxa"/>
            <w:vAlign w:val="bottom"/>
            <w:gridSpan w:val="2"/>
            <w:vMerge w:val="continue"/>
            <w:shd w:val="clear" w:color="auto" w:fill="CCEEFF"/>
          </w:tcPr>
          <w:p>
            <w:pPr>
              <w:spacing w:after="0"/>
              <w:rPr>
                <w:sz w:val="11"/>
                <w:szCs w:val="11"/>
                <w:color w:val="auto"/>
              </w:rPr>
            </w:pPr>
          </w:p>
        </w:tc>
        <w:tc>
          <w:tcPr>
            <w:tcW w:w="620" w:type="dxa"/>
            <w:vAlign w:val="bottom"/>
            <w:gridSpan w:val="3"/>
            <w:vMerge w:val="continue"/>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00" w:type="dxa"/>
            <w:vAlign w:val="bottom"/>
            <w:gridSpan w:val="2"/>
          </w:tcPr>
          <w:p>
            <w:pPr>
              <w:spacing w:after="0" w:line="139" w:lineRule="exact"/>
              <w:rPr>
                <w:sz w:val="20"/>
                <w:szCs w:val="20"/>
                <w:color w:val="auto"/>
              </w:rPr>
            </w:pPr>
            <w:r>
              <w:rPr>
                <w:rFonts w:ascii="Arial" w:cs="Arial" w:eastAsia="Arial" w:hAnsi="Arial"/>
                <w:sz w:val="14"/>
                <w:szCs w:val="14"/>
                <w:color w:val="auto"/>
                <w:w w:val="95"/>
              </w:rPr>
              <w:t>Mitnick Corporate Purchaser, Inc.</w:t>
            </w:r>
          </w:p>
        </w:tc>
        <w:tc>
          <w:tcPr>
            <w:tcW w:w="3040" w:type="dxa"/>
            <w:vAlign w:val="bottom"/>
            <w:gridSpan w:val="2"/>
            <w:vMerge w:val="restart"/>
          </w:tcPr>
          <w:p>
            <w:pPr>
              <w:ind w:left="40"/>
              <w:spacing w:after="0"/>
              <w:rPr>
                <w:sz w:val="20"/>
                <w:szCs w:val="20"/>
                <w:color w:val="auto"/>
              </w:rPr>
            </w:pPr>
            <w:r>
              <w:rPr>
                <w:rFonts w:ascii="Arial" w:cs="Arial" w:eastAsia="Arial" w:hAnsi="Arial"/>
                <w:sz w:val="14"/>
                <w:szCs w:val="14"/>
                <w:color w:val="auto"/>
              </w:rPr>
              <w:t>First-lien loan ($333 par, due 5/2029)</w:t>
            </w: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color w:val="auto"/>
              </w:rPr>
              <w:t>5/2/2022</w:t>
            </w:r>
          </w:p>
        </w:tc>
        <w:tc>
          <w:tcPr>
            <w:tcW w:w="80" w:type="dxa"/>
            <w:vAlign w:val="bottom"/>
          </w:tcPr>
          <w:p>
            <w:pPr>
              <w:spacing w:after="0"/>
              <w:rPr>
                <w:sz w:val="12"/>
                <w:szCs w:val="12"/>
                <w:color w:val="auto"/>
              </w:rPr>
            </w:pP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w w:val="95"/>
              </w:rPr>
              <w:t>SOFR + 4.85%</w:t>
            </w:r>
          </w:p>
        </w:tc>
        <w:tc>
          <w:tcPr>
            <w:tcW w:w="16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7.39%</w:t>
            </w:r>
          </w:p>
        </w:tc>
        <w:tc>
          <w:tcPr>
            <w:tcW w:w="62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334</w:t>
            </w:r>
          </w:p>
        </w:tc>
        <w:tc>
          <w:tcPr>
            <w:tcW w:w="14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314</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1"/>
        </w:trPr>
        <w:tc>
          <w:tcPr>
            <w:tcW w:w="740" w:type="dxa"/>
            <w:vAlign w:val="bottom"/>
          </w:tcPr>
          <w:p>
            <w:pPr>
              <w:ind w:left="140"/>
              <w:spacing w:after="0"/>
              <w:rPr>
                <w:sz w:val="20"/>
                <w:szCs w:val="20"/>
                <w:color w:val="auto"/>
              </w:rPr>
            </w:pPr>
            <w:r>
              <w:rPr>
                <w:rFonts w:ascii="Arial" w:cs="Arial" w:eastAsia="Arial" w:hAnsi="Arial"/>
                <w:sz w:val="11"/>
                <w:szCs w:val="11"/>
                <w:color w:val="auto"/>
              </w:rPr>
              <w:t>(3)(10)</w:t>
            </w:r>
          </w:p>
        </w:tc>
        <w:tc>
          <w:tcPr>
            <w:tcW w:w="1260" w:type="dxa"/>
            <w:vAlign w:val="bottom"/>
          </w:tcPr>
          <w:p>
            <w:pPr>
              <w:spacing w:after="0"/>
              <w:rPr>
                <w:sz w:val="11"/>
                <w:szCs w:val="11"/>
                <w:color w:val="auto"/>
              </w:rPr>
            </w:pPr>
          </w:p>
        </w:tc>
        <w:tc>
          <w:tcPr>
            <w:tcW w:w="304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Netwrix Corp.</w:t>
            </w:r>
            <w:r>
              <w:rPr>
                <w:rFonts w:ascii="Arial" w:cs="Arial" w:eastAsia="Arial" w:hAnsi="Arial"/>
                <w:sz w:val="10"/>
                <w:szCs w:val="10"/>
                <w:color w:val="auto"/>
              </w:rPr>
              <w:t>(3)</w:t>
            </w:r>
          </w:p>
        </w:tc>
        <w:tc>
          <w:tcPr>
            <w:tcW w:w="30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First-lien loan ($47,130 par, due 6/2029)</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6/9/2022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SOFR + 5.00%</w:t>
            </w:r>
          </w:p>
        </w:tc>
        <w:tc>
          <w:tcPr>
            <w:tcW w:w="1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7.92%</w:t>
            </w: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31,211</w:t>
            </w:r>
          </w:p>
        </w:tc>
        <w:tc>
          <w:tcPr>
            <w:tcW w:w="14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30,697</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00" w:type="dxa"/>
            <w:vAlign w:val="bottom"/>
            <w:gridSpan w:val="2"/>
          </w:tcPr>
          <w:p>
            <w:pPr>
              <w:spacing w:after="0" w:line="149" w:lineRule="exact"/>
              <w:rPr>
                <w:sz w:val="20"/>
                <w:szCs w:val="20"/>
                <w:color w:val="auto"/>
              </w:rPr>
            </w:pPr>
            <w:r>
              <w:rPr>
                <w:rFonts w:ascii="Arial" w:cs="Arial" w:eastAsia="Arial" w:hAnsi="Arial"/>
                <w:sz w:val="14"/>
                <w:szCs w:val="14"/>
                <w:color w:val="auto"/>
              </w:rPr>
              <w:t>ReliaQuest Holdings, LLC</w:t>
            </w:r>
            <w:r>
              <w:rPr>
                <w:rFonts w:ascii="Arial" w:cs="Arial" w:eastAsia="Arial" w:hAnsi="Arial"/>
                <w:sz w:val="10"/>
                <w:szCs w:val="10"/>
                <w:color w:val="auto"/>
              </w:rPr>
              <w:t>(3)(5)</w:t>
            </w:r>
          </w:p>
        </w:tc>
        <w:tc>
          <w:tcPr>
            <w:tcW w:w="30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First-lien loan ($60,497 par, due 10/2026)</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10/8/2020</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5"/>
              </w:rPr>
              <w:t>SOFR + 7.25%</w:t>
            </w:r>
          </w:p>
        </w:tc>
        <w:tc>
          <w:tcPr>
            <w:tcW w:w="1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10.80%</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59,366</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60,346</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8"/>
        </w:trPr>
        <w:tc>
          <w:tcPr>
            <w:tcW w:w="2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TIBCO Software Inc.</w:t>
            </w:r>
            <w:r>
              <w:rPr>
                <w:rFonts w:ascii="Arial" w:cs="Arial" w:eastAsia="Arial" w:hAnsi="Arial"/>
                <w:sz w:val="10"/>
                <w:szCs w:val="10"/>
                <w:color w:val="auto"/>
              </w:rPr>
              <w:t>(10)</w:t>
            </w:r>
          </w:p>
        </w:tc>
        <w:tc>
          <w:tcPr>
            <w:tcW w:w="30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First-lien note ($13,000 par, due 3/2029)</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9/20/2022</w:t>
            </w:r>
          </w:p>
        </w:tc>
        <w:tc>
          <w:tcPr>
            <w:tcW w:w="10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6.50%</w:t>
            </w:r>
          </w:p>
        </w:tc>
        <w:tc>
          <w:tcPr>
            <w:tcW w:w="1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6.50%</w:t>
            </w: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10,863</w:t>
            </w:r>
          </w:p>
        </w:tc>
        <w:tc>
          <w:tcPr>
            <w:tcW w:w="14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11,046</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First-lien loan ($12,000 par, due 3/2029)</w:t>
            </w:r>
            <w:r>
              <w:rPr>
                <w:rFonts w:ascii="Arial" w:cs="Arial" w:eastAsia="Arial" w:hAnsi="Arial"/>
                <w:sz w:val="10"/>
                <w:szCs w:val="10"/>
                <w:color w:val="auto"/>
              </w:rPr>
              <w:t>(3)</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9/20/2022</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5"/>
              </w:rPr>
              <w:t>SOFR + 4.50%</w:t>
            </w:r>
          </w:p>
        </w:tc>
        <w:tc>
          <w:tcPr>
            <w:tcW w:w="1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8.15%</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10,920</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11,087</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8"/>
        </w:trPr>
        <w:tc>
          <w:tcPr>
            <w:tcW w:w="2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WideOrbit, Inc.</w:t>
            </w:r>
            <w:r>
              <w:rPr>
                <w:rFonts w:ascii="Arial" w:cs="Arial" w:eastAsia="Arial" w:hAnsi="Arial"/>
                <w:sz w:val="10"/>
                <w:szCs w:val="10"/>
                <w:color w:val="auto"/>
              </w:rPr>
              <w:t>(3)</w:t>
            </w:r>
          </w:p>
        </w:tc>
        <w:tc>
          <w:tcPr>
            <w:tcW w:w="30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First-lien loan ($35,655 par, due 7/2025)</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7/8/2020</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 + 8.50%</w:t>
            </w:r>
          </w:p>
        </w:tc>
        <w:tc>
          <w:tcPr>
            <w:tcW w:w="1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11.62%</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35,291</w:t>
            </w:r>
          </w:p>
        </w:tc>
        <w:tc>
          <w:tcPr>
            <w:tcW w:w="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36,457</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377,441</w:t>
            </w:r>
          </w:p>
        </w:tc>
        <w:tc>
          <w:tcPr>
            <w:tcW w:w="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377,758</w:t>
            </w:r>
          </w:p>
        </w:tc>
        <w:tc>
          <w:tcPr>
            <w:tcW w:w="140" w:type="dxa"/>
            <w:vAlign w:val="bottom"/>
            <w:vMerge w:val="continue"/>
          </w:tcPr>
          <w:p>
            <w:pPr>
              <w:spacing w:after="0"/>
              <w:rPr>
                <w:sz w:val="14"/>
                <w:szCs w:val="14"/>
                <w:color w:val="auto"/>
              </w:rPr>
            </w:pP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48"/>
        </w:trPr>
        <w:tc>
          <w:tcPr>
            <w:tcW w:w="2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Chemicals</w:t>
            </w:r>
          </w:p>
        </w:tc>
        <w:tc>
          <w:tcPr>
            <w:tcW w:w="4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00" w:type="dxa"/>
            <w:vAlign w:val="bottom"/>
            <w:gridSpan w:val="2"/>
          </w:tcPr>
          <w:p>
            <w:pPr>
              <w:spacing w:after="0" w:line="130" w:lineRule="exact"/>
              <w:rPr>
                <w:sz w:val="20"/>
                <w:szCs w:val="20"/>
                <w:color w:val="auto"/>
              </w:rPr>
            </w:pPr>
            <w:r>
              <w:rPr>
                <w:rFonts w:ascii="Arial" w:cs="Arial" w:eastAsia="Arial" w:hAnsi="Arial"/>
                <w:sz w:val="14"/>
                <w:szCs w:val="14"/>
                <w:color w:val="auto"/>
              </w:rPr>
              <w:t>Erling Lux Bidco Sarl</w:t>
            </w:r>
            <w:r>
              <w:rPr>
                <w:rFonts w:ascii="Arial" w:cs="Arial" w:eastAsia="Arial" w:hAnsi="Arial"/>
                <w:sz w:val="10"/>
                <w:szCs w:val="10"/>
                <w:color w:val="auto"/>
              </w:rPr>
              <w:t>(3)(4)</w:t>
            </w:r>
          </w:p>
        </w:tc>
        <w:tc>
          <w:tcPr>
            <w:tcW w:w="30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First-lien loan (EUR 3,660 par, due 9/2028)</w:t>
            </w:r>
          </w:p>
        </w:tc>
        <w:tc>
          <w:tcPr>
            <w:tcW w:w="7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9/6/2022</w:t>
            </w:r>
          </w:p>
        </w:tc>
        <w:tc>
          <w:tcPr>
            <w:tcW w:w="8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E + 6.75%</w:t>
            </w:r>
          </w:p>
        </w:tc>
        <w:tc>
          <w:tcPr>
            <w:tcW w:w="162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7.46%</w:t>
            </w:r>
          </w:p>
        </w:tc>
        <w:tc>
          <w:tcPr>
            <w:tcW w:w="620" w:type="dxa"/>
            <w:vAlign w:val="bottom"/>
            <w:gridSpan w:val="3"/>
          </w:tcPr>
          <w:p>
            <w:pPr>
              <w:jc w:val="right"/>
              <w:ind w:right="20"/>
              <w:spacing w:after="0" w:line="130" w:lineRule="exact"/>
              <w:rPr>
                <w:sz w:val="20"/>
                <w:szCs w:val="20"/>
                <w:color w:val="auto"/>
              </w:rPr>
            </w:pPr>
            <w:r>
              <w:rPr>
                <w:rFonts w:ascii="Arial" w:cs="Arial" w:eastAsia="Arial" w:hAnsi="Arial"/>
                <w:sz w:val="14"/>
                <w:szCs w:val="14"/>
                <w:color w:val="auto"/>
              </w:rPr>
              <w:t>3,586</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3,505</w:t>
            </w:r>
          </w:p>
        </w:tc>
        <w:tc>
          <w:tcPr>
            <w:tcW w:w="86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(EUR 3,578)</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30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First-lien loan (GBP 3,538 par, due 9/2028)</w:t>
            </w: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9/6/2022</w:t>
            </w: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S + 6.75%</w:t>
            </w:r>
          </w:p>
        </w:tc>
        <w:tc>
          <w:tcPr>
            <w:tcW w:w="16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8.94%</w:t>
            </w:r>
          </w:p>
        </w:tc>
        <w:tc>
          <w:tcPr>
            <w:tcW w:w="62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3,564</w:t>
            </w:r>
          </w:p>
        </w:tc>
        <w:tc>
          <w:tcPr>
            <w:tcW w:w="14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3,449</w:t>
            </w:r>
          </w:p>
        </w:tc>
        <w:tc>
          <w:tcPr>
            <w:tcW w:w="86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4"/>
        </w:trPr>
        <w:tc>
          <w:tcPr>
            <w:tcW w:w="7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(GBP 3,090)</w:t>
            </w: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7,150</w:t>
            </w:r>
          </w:p>
        </w:tc>
        <w:tc>
          <w:tcPr>
            <w:tcW w:w="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6,954</w:t>
            </w:r>
          </w:p>
        </w:tc>
        <w:tc>
          <w:tcPr>
            <w:tcW w:w="140" w:type="dxa"/>
            <w:vAlign w:val="bottom"/>
            <w:vMerge w:val="continue"/>
          </w:tcPr>
          <w:p>
            <w:pPr>
              <w:spacing w:after="0"/>
              <w:rPr>
                <w:sz w:val="14"/>
                <w:szCs w:val="14"/>
                <w:color w:val="auto"/>
              </w:rPr>
            </w:pP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Communications</w:t>
            </w:r>
          </w:p>
        </w:tc>
        <w:tc>
          <w:tcPr>
            <w:tcW w:w="4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tcPr>
          <w:p>
            <w:pPr>
              <w:spacing w:after="0" w:line="149" w:lineRule="exact"/>
              <w:rPr>
                <w:sz w:val="20"/>
                <w:szCs w:val="20"/>
                <w:color w:val="auto"/>
              </w:rPr>
            </w:pPr>
            <w:r>
              <w:rPr>
                <w:rFonts w:ascii="Arial" w:cs="Arial" w:eastAsia="Arial" w:hAnsi="Arial"/>
                <w:sz w:val="14"/>
                <w:szCs w:val="14"/>
                <w:color w:val="auto"/>
              </w:rPr>
              <w:t>Celtra Technologies, Inc.</w:t>
            </w:r>
            <w:r>
              <w:rPr>
                <w:rFonts w:ascii="Arial" w:cs="Arial" w:eastAsia="Arial" w:hAnsi="Arial"/>
                <w:sz w:val="10"/>
                <w:szCs w:val="10"/>
                <w:color w:val="auto"/>
              </w:rPr>
              <w:t>(3)(5)</w:t>
            </w:r>
          </w:p>
        </w:tc>
        <w:tc>
          <w:tcPr>
            <w:tcW w:w="30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First-lien loan ($34,738 par, due 11/2026)</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11/19/2021</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+ 7.00%</w:t>
            </w:r>
          </w:p>
        </w:tc>
        <w:tc>
          <w:tcPr>
            <w:tcW w:w="1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10.67%</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33,803</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33,435</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IntelePeer Holdings, Inc.</w:t>
            </w:r>
          </w:p>
        </w:tc>
        <w:tc>
          <w:tcPr>
            <w:tcW w:w="30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First-lien loan ($34,956 par, due 12/2024)</w:t>
            </w:r>
            <w:r>
              <w:rPr>
                <w:rFonts w:ascii="Arial" w:cs="Arial" w:eastAsia="Arial" w:hAnsi="Arial"/>
                <w:sz w:val="10"/>
                <w:szCs w:val="10"/>
                <w:color w:val="auto"/>
              </w:rPr>
              <w:t>(3)</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12/2/2019</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 + 8.25%</w:t>
            </w:r>
          </w:p>
        </w:tc>
        <w:tc>
          <w:tcPr>
            <w:tcW w:w="1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11.37%</w:t>
            </w: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34,907</w:t>
            </w:r>
          </w:p>
        </w:tc>
        <w:tc>
          <w:tcPr>
            <w:tcW w:w="14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34,257</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Convertible note ($4,314 par, due 5/2028)</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5/12/2021</w:t>
            </w:r>
          </w:p>
        </w:tc>
        <w:tc>
          <w:tcPr>
            <w:tcW w:w="10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6.00%</w:t>
            </w:r>
          </w:p>
        </w:tc>
        <w:tc>
          <w:tcPr>
            <w:tcW w:w="1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6.00% PIK</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4,281</w:t>
            </w:r>
          </w:p>
        </w:tc>
        <w:tc>
          <w:tcPr>
            <w:tcW w:w="140" w:type="dxa"/>
            <w:vAlign w:val="bottom"/>
          </w:tcPr>
          <w:p>
            <w:pPr>
              <w:spacing w:after="0"/>
              <w:rPr>
                <w:sz w:val="13"/>
                <w:szCs w:val="13"/>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4,239</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tcBorders>
              <w:top w:val="single" w:sz="8" w:color="auto"/>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72,991</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71,931</w:t>
            </w:r>
          </w:p>
        </w:tc>
        <w:tc>
          <w:tcPr>
            <w:tcW w:w="140" w:type="dxa"/>
            <w:vAlign w:val="bottom"/>
            <w:shd w:val="clear" w:color="auto" w:fill="CCEEFF"/>
          </w:tcPr>
          <w:p>
            <w:pPr>
              <w:spacing w:after="0"/>
              <w:rPr>
                <w:sz w:val="12"/>
                <w:szCs w:val="12"/>
                <w:color w:val="auto"/>
              </w:rPr>
            </w:pPr>
          </w:p>
        </w:tc>
        <w:tc>
          <w:tcPr>
            <w:tcW w:w="860" w:type="dxa"/>
            <w:vAlign w:val="bottom"/>
            <w:tcBorders>
              <w:top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55"/>
        </w:trPr>
        <w:tc>
          <w:tcPr>
            <w:tcW w:w="20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Education</w:t>
            </w:r>
          </w:p>
        </w:tc>
        <w:tc>
          <w:tcPr>
            <w:tcW w:w="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Astra Acquisition Corp.</w:t>
            </w:r>
            <w:r>
              <w:rPr>
                <w:rFonts w:ascii="Arial" w:cs="Arial" w:eastAsia="Arial" w:hAnsi="Arial"/>
                <w:sz w:val="10"/>
                <w:szCs w:val="10"/>
                <w:color w:val="auto"/>
              </w:rPr>
              <w:t>(3)</w:t>
            </w:r>
          </w:p>
        </w:tc>
        <w:tc>
          <w:tcPr>
            <w:tcW w:w="30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Second-lien loan ($43,479 par, due 10/2029)</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10/25/2021</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 + 8.88%</w:t>
            </w:r>
          </w:p>
        </w:tc>
        <w:tc>
          <w:tcPr>
            <w:tcW w:w="1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11.99%</w:t>
            </w: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42,725</w:t>
            </w:r>
          </w:p>
        </w:tc>
        <w:tc>
          <w:tcPr>
            <w:tcW w:w="14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41,197</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30"/>
        </w:trPr>
        <w:tc>
          <w:tcPr>
            <w:tcW w:w="2000" w:type="dxa"/>
            <w:vAlign w:val="bottom"/>
            <w:gridSpan w:val="2"/>
          </w:tcPr>
          <w:p>
            <w:pPr>
              <w:spacing w:after="0" w:line="130" w:lineRule="exact"/>
              <w:rPr>
                <w:sz w:val="20"/>
                <w:szCs w:val="20"/>
                <w:color w:val="auto"/>
              </w:rPr>
            </w:pPr>
            <w:r>
              <w:rPr>
                <w:rFonts w:ascii="Arial" w:cs="Arial" w:eastAsia="Arial" w:hAnsi="Arial"/>
                <w:sz w:val="14"/>
                <w:szCs w:val="14"/>
                <w:color w:val="auto"/>
                <w:w w:val="96"/>
              </w:rPr>
              <w:t>Destiny Solutions Parent Holding</w:t>
            </w:r>
          </w:p>
        </w:tc>
        <w:tc>
          <w:tcPr>
            <w:tcW w:w="4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00" w:type="dxa"/>
            <w:vAlign w:val="bottom"/>
            <w:gridSpan w:val="2"/>
          </w:tcPr>
          <w:p>
            <w:pPr>
              <w:ind w:left="140"/>
              <w:spacing w:after="0"/>
              <w:rPr>
                <w:sz w:val="20"/>
                <w:szCs w:val="20"/>
                <w:color w:val="auto"/>
              </w:rPr>
            </w:pPr>
            <w:r>
              <w:rPr>
                <w:rFonts w:ascii="Arial" w:cs="Arial" w:eastAsia="Arial" w:hAnsi="Arial"/>
                <w:sz w:val="14"/>
                <w:szCs w:val="14"/>
                <w:color w:val="auto"/>
              </w:rPr>
              <w:t>Company</w:t>
            </w:r>
            <w:r>
              <w:rPr>
                <w:rFonts w:ascii="Arial" w:cs="Arial" w:eastAsia="Arial" w:hAnsi="Arial"/>
                <w:sz w:val="10"/>
                <w:szCs w:val="10"/>
                <w:color w:val="auto"/>
              </w:rPr>
              <w:t>(3)(5)</w:t>
            </w:r>
          </w:p>
        </w:tc>
        <w:tc>
          <w:tcPr>
            <w:tcW w:w="3040" w:type="dxa"/>
            <w:vAlign w:val="bottom"/>
            <w:gridSpan w:val="2"/>
          </w:tcPr>
          <w:p>
            <w:pPr>
              <w:ind w:left="40"/>
              <w:spacing w:after="0"/>
              <w:rPr>
                <w:sz w:val="20"/>
                <w:szCs w:val="20"/>
                <w:color w:val="auto"/>
              </w:rPr>
            </w:pPr>
            <w:r>
              <w:rPr>
                <w:rFonts w:ascii="Arial" w:cs="Arial" w:eastAsia="Arial" w:hAnsi="Arial"/>
                <w:sz w:val="14"/>
                <w:szCs w:val="14"/>
                <w:color w:val="auto"/>
              </w:rPr>
              <w:t>First-lien loan ($60,000 par, due 6/2026)</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6/8/2021</w:t>
            </w: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L + 5.75%</w:t>
            </w:r>
          </w:p>
        </w:tc>
        <w:tc>
          <w:tcPr>
            <w:tcW w:w="1620" w:type="dxa"/>
            <w:vAlign w:val="bottom"/>
            <w:gridSpan w:val="2"/>
          </w:tcPr>
          <w:p>
            <w:pPr>
              <w:jc w:val="right"/>
              <w:ind w:right="20"/>
              <w:spacing w:after="0"/>
              <w:rPr>
                <w:sz w:val="20"/>
                <w:szCs w:val="20"/>
                <w:color w:val="auto"/>
              </w:rPr>
            </w:pPr>
            <w:r>
              <w:rPr>
                <w:rFonts w:ascii="Arial" w:cs="Arial" w:eastAsia="Arial" w:hAnsi="Arial"/>
                <w:sz w:val="14"/>
                <w:szCs w:val="14"/>
                <w:color w:val="auto"/>
              </w:rPr>
              <w:t>8.87%</w:t>
            </w:r>
          </w:p>
        </w:tc>
        <w:tc>
          <w:tcPr>
            <w:tcW w:w="620" w:type="dxa"/>
            <w:vAlign w:val="bottom"/>
            <w:gridSpan w:val="3"/>
          </w:tcPr>
          <w:p>
            <w:pPr>
              <w:jc w:val="right"/>
              <w:ind w:right="20"/>
              <w:spacing w:after="0"/>
              <w:rPr>
                <w:sz w:val="20"/>
                <w:szCs w:val="20"/>
                <w:color w:val="auto"/>
              </w:rPr>
            </w:pPr>
            <w:r>
              <w:rPr>
                <w:rFonts w:ascii="Arial" w:cs="Arial" w:eastAsia="Arial" w:hAnsi="Arial"/>
                <w:sz w:val="14"/>
                <w:szCs w:val="14"/>
                <w:color w:val="auto"/>
              </w:rPr>
              <w:t>58,983</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58,200</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8"/>
        </w:trPr>
        <w:tc>
          <w:tcPr>
            <w:tcW w:w="2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EMS Linq, Inc.</w:t>
            </w:r>
            <w:r>
              <w:rPr>
                <w:rFonts w:ascii="Arial" w:cs="Arial" w:eastAsia="Arial" w:hAnsi="Arial"/>
                <w:sz w:val="10"/>
                <w:szCs w:val="10"/>
                <w:color w:val="auto"/>
              </w:rPr>
              <w:t>(3)</w:t>
            </w:r>
          </w:p>
        </w:tc>
        <w:tc>
          <w:tcPr>
            <w:tcW w:w="30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First-lien loan ($56,216 par, due 12/2027)</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12/22/2021</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 + 6.25%</w:t>
            </w:r>
          </w:p>
        </w:tc>
        <w:tc>
          <w:tcPr>
            <w:tcW w:w="1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9.37%</w:t>
            </w: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55,057</w:t>
            </w:r>
          </w:p>
        </w:tc>
        <w:tc>
          <w:tcPr>
            <w:tcW w:w="14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53,616</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0"/>
        </w:trPr>
        <w:tc>
          <w:tcPr>
            <w:tcW w:w="2000" w:type="dxa"/>
            <w:vAlign w:val="bottom"/>
            <w:gridSpan w:val="2"/>
          </w:tcPr>
          <w:p>
            <w:pPr>
              <w:spacing w:after="0" w:line="130" w:lineRule="exact"/>
              <w:rPr>
                <w:sz w:val="20"/>
                <w:szCs w:val="20"/>
                <w:color w:val="auto"/>
              </w:rPr>
            </w:pPr>
            <w:r>
              <w:rPr>
                <w:rFonts w:ascii="Arial" w:cs="Arial" w:eastAsia="Arial" w:hAnsi="Arial"/>
                <w:sz w:val="14"/>
                <w:szCs w:val="14"/>
                <w:color w:val="auto"/>
              </w:rPr>
              <w:t>Frontline Technologies</w:t>
            </w:r>
          </w:p>
        </w:tc>
        <w:tc>
          <w:tcPr>
            <w:tcW w:w="4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00" w:type="dxa"/>
            <w:vAlign w:val="bottom"/>
            <w:gridSpan w:val="2"/>
          </w:tcPr>
          <w:p>
            <w:pPr>
              <w:ind w:left="140"/>
              <w:spacing w:after="0"/>
              <w:rPr>
                <w:sz w:val="20"/>
                <w:szCs w:val="20"/>
                <w:color w:val="auto"/>
              </w:rPr>
            </w:pPr>
            <w:r>
              <w:rPr>
                <w:rFonts w:ascii="Arial" w:cs="Arial" w:eastAsia="Arial" w:hAnsi="Arial"/>
                <w:sz w:val="14"/>
                <w:szCs w:val="14"/>
                <w:color w:val="auto"/>
              </w:rPr>
              <w:t>Group, LLC</w:t>
            </w:r>
            <w:r>
              <w:rPr>
                <w:rFonts w:ascii="Arial" w:cs="Arial" w:eastAsia="Arial" w:hAnsi="Arial"/>
                <w:sz w:val="10"/>
                <w:szCs w:val="10"/>
                <w:color w:val="auto"/>
              </w:rPr>
              <w:t>(3)</w:t>
            </w:r>
          </w:p>
        </w:tc>
        <w:tc>
          <w:tcPr>
            <w:tcW w:w="3040" w:type="dxa"/>
            <w:vAlign w:val="bottom"/>
            <w:gridSpan w:val="2"/>
          </w:tcPr>
          <w:p>
            <w:pPr>
              <w:ind w:left="40"/>
              <w:spacing w:after="0"/>
              <w:rPr>
                <w:sz w:val="20"/>
                <w:szCs w:val="20"/>
                <w:color w:val="auto"/>
              </w:rPr>
            </w:pPr>
            <w:r>
              <w:rPr>
                <w:rFonts w:ascii="Arial" w:cs="Arial" w:eastAsia="Arial" w:hAnsi="Arial"/>
                <w:sz w:val="14"/>
                <w:szCs w:val="14"/>
                <w:color w:val="auto"/>
              </w:rPr>
              <w:t>First-lien loan ($85,389 par, due 9/2023)</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9/18/2017</w:t>
            </w:r>
          </w:p>
        </w:tc>
        <w:tc>
          <w:tcPr>
            <w:tcW w:w="8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L + 5.25%</w:t>
            </w:r>
          </w:p>
        </w:tc>
        <w:tc>
          <w:tcPr>
            <w:tcW w:w="1620" w:type="dxa"/>
            <w:vAlign w:val="bottom"/>
            <w:gridSpan w:val="2"/>
          </w:tcPr>
          <w:p>
            <w:pPr>
              <w:jc w:val="right"/>
              <w:ind w:right="20"/>
              <w:spacing w:after="0"/>
              <w:rPr>
                <w:sz w:val="20"/>
                <w:szCs w:val="20"/>
                <w:color w:val="auto"/>
              </w:rPr>
            </w:pPr>
            <w:r>
              <w:rPr>
                <w:rFonts w:ascii="Arial" w:cs="Arial" w:eastAsia="Arial" w:hAnsi="Arial"/>
                <w:sz w:val="14"/>
                <w:szCs w:val="14"/>
                <w:color w:val="auto"/>
              </w:rPr>
              <w:t>11.00%</w:t>
            </w:r>
          </w:p>
        </w:tc>
        <w:tc>
          <w:tcPr>
            <w:tcW w:w="620" w:type="dxa"/>
            <w:vAlign w:val="bottom"/>
            <w:gridSpan w:val="3"/>
          </w:tcPr>
          <w:p>
            <w:pPr>
              <w:jc w:val="right"/>
              <w:ind w:right="20"/>
              <w:spacing w:after="0"/>
              <w:rPr>
                <w:sz w:val="20"/>
                <w:szCs w:val="20"/>
                <w:color w:val="auto"/>
              </w:rPr>
            </w:pPr>
            <w:r>
              <w:rPr>
                <w:rFonts w:ascii="Arial" w:cs="Arial" w:eastAsia="Arial" w:hAnsi="Arial"/>
                <w:sz w:val="14"/>
                <w:szCs w:val="14"/>
                <w:color w:val="auto"/>
              </w:rPr>
              <w:t>85,259</w:t>
            </w:r>
          </w:p>
        </w:tc>
        <w:tc>
          <w:tcPr>
            <w:tcW w:w="1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85,389</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7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tcBorders>
              <w:top w:val="single" w:sz="8" w:color="auto"/>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242,024</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238,402</w:t>
            </w:r>
          </w:p>
        </w:tc>
        <w:tc>
          <w:tcPr>
            <w:tcW w:w="140" w:type="dxa"/>
            <w:vAlign w:val="bottom"/>
            <w:shd w:val="clear" w:color="auto" w:fill="CCEEFF"/>
          </w:tcPr>
          <w:p>
            <w:pPr>
              <w:spacing w:after="0"/>
              <w:rPr>
                <w:sz w:val="12"/>
                <w:szCs w:val="12"/>
                <w:color w:val="auto"/>
              </w:rPr>
            </w:pPr>
          </w:p>
        </w:tc>
        <w:tc>
          <w:tcPr>
            <w:tcW w:w="860" w:type="dxa"/>
            <w:vAlign w:val="bottom"/>
            <w:tcBorders>
              <w:top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55"/>
        </w:trPr>
        <w:tc>
          <w:tcPr>
            <w:tcW w:w="20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Financial Services</w:t>
            </w:r>
          </w:p>
        </w:tc>
        <w:tc>
          <w:tcPr>
            <w:tcW w:w="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AvidXchange, Inc.</w:t>
            </w:r>
            <w:r>
              <w:rPr>
                <w:rFonts w:ascii="Arial" w:cs="Arial" w:eastAsia="Arial" w:hAnsi="Arial"/>
                <w:sz w:val="10"/>
                <w:szCs w:val="10"/>
                <w:color w:val="auto"/>
              </w:rPr>
              <w:t>(3)(5)</w:t>
            </w:r>
          </w:p>
        </w:tc>
        <w:tc>
          <w:tcPr>
            <w:tcW w:w="30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First-lien loan ($11,460 par, due 4/2024)</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10/1/2019</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 + 9.00%</w:t>
            </w:r>
          </w:p>
        </w:tc>
        <w:tc>
          <w:tcPr>
            <w:tcW w:w="1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12.69%</w:t>
            </w: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11,408</w:t>
            </w:r>
          </w:p>
        </w:tc>
        <w:tc>
          <w:tcPr>
            <w:tcW w:w="14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11,460</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00" w:type="dxa"/>
            <w:vAlign w:val="bottom"/>
            <w:gridSpan w:val="2"/>
          </w:tcPr>
          <w:p>
            <w:pPr>
              <w:spacing w:after="0" w:line="149" w:lineRule="exact"/>
              <w:rPr>
                <w:sz w:val="20"/>
                <w:szCs w:val="20"/>
                <w:color w:val="auto"/>
              </w:rPr>
            </w:pPr>
            <w:r>
              <w:rPr>
                <w:rFonts w:ascii="Arial" w:cs="Arial" w:eastAsia="Arial" w:hAnsi="Arial"/>
                <w:sz w:val="14"/>
                <w:szCs w:val="14"/>
                <w:color w:val="auto"/>
              </w:rPr>
              <w:t>Bear OpCo, LLC</w:t>
            </w:r>
            <w:r>
              <w:rPr>
                <w:rFonts w:ascii="Arial" w:cs="Arial" w:eastAsia="Arial" w:hAnsi="Arial"/>
                <w:sz w:val="10"/>
                <w:szCs w:val="10"/>
                <w:color w:val="auto"/>
              </w:rPr>
              <w:t>(3)(5)</w:t>
            </w:r>
          </w:p>
        </w:tc>
        <w:tc>
          <w:tcPr>
            <w:tcW w:w="30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First-lien loan ($19,874 par, due 10/2024)</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10/10/2019</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5"/>
              </w:rPr>
              <w:t>SOFR + 7.65%</w:t>
            </w:r>
          </w:p>
        </w:tc>
        <w:tc>
          <w:tcPr>
            <w:tcW w:w="1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10.68%</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19,629</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19,874</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8"/>
        </w:trPr>
        <w:tc>
          <w:tcPr>
            <w:tcW w:w="2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BlueSnap, Inc.</w:t>
            </w:r>
            <w:r>
              <w:rPr>
                <w:rFonts w:ascii="Arial" w:cs="Arial" w:eastAsia="Arial" w:hAnsi="Arial"/>
                <w:sz w:val="10"/>
                <w:szCs w:val="10"/>
                <w:color w:val="auto"/>
              </w:rPr>
              <w:t>(3)(5)</w:t>
            </w:r>
          </w:p>
        </w:tc>
        <w:tc>
          <w:tcPr>
            <w:tcW w:w="30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First-lien loan ($42,000 par, due 10/2024)</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10/25/2019</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 + 6.75%</w:t>
            </w:r>
          </w:p>
        </w:tc>
        <w:tc>
          <w:tcPr>
            <w:tcW w:w="1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10.42%</w:t>
            </w: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41,598</w:t>
            </w:r>
          </w:p>
        </w:tc>
        <w:tc>
          <w:tcPr>
            <w:tcW w:w="14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41,881</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00" w:type="dxa"/>
            <w:vAlign w:val="bottom"/>
            <w:gridSpan w:val="2"/>
          </w:tcPr>
          <w:p>
            <w:pPr>
              <w:spacing w:after="0" w:line="149" w:lineRule="exact"/>
              <w:rPr>
                <w:sz w:val="20"/>
                <w:szCs w:val="20"/>
                <w:color w:val="auto"/>
              </w:rPr>
            </w:pPr>
            <w:r>
              <w:rPr>
                <w:rFonts w:ascii="Arial" w:cs="Arial" w:eastAsia="Arial" w:hAnsi="Arial"/>
                <w:sz w:val="14"/>
                <w:szCs w:val="14"/>
                <w:color w:val="auto"/>
              </w:rPr>
              <w:t>G Treasury SS, LLC</w:t>
            </w:r>
            <w:r>
              <w:rPr>
                <w:rFonts w:ascii="Arial" w:cs="Arial" w:eastAsia="Arial" w:hAnsi="Arial"/>
                <w:sz w:val="10"/>
                <w:szCs w:val="10"/>
                <w:color w:val="auto"/>
              </w:rPr>
              <w:t>(3)(5)</w:t>
            </w:r>
          </w:p>
        </w:tc>
        <w:tc>
          <w:tcPr>
            <w:tcW w:w="30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First-lien loan ($64,271 par, due 4/2023)</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4/9/2018</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+ 8.25%</w:t>
            </w:r>
          </w:p>
        </w:tc>
        <w:tc>
          <w:tcPr>
            <w:tcW w:w="1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11.92%</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63,957</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64,603</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8"/>
        </w:trPr>
        <w:tc>
          <w:tcPr>
            <w:tcW w:w="2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Ibis Intermediate Co.</w:t>
            </w:r>
            <w:r>
              <w:rPr>
                <w:rFonts w:ascii="Arial" w:cs="Arial" w:eastAsia="Arial" w:hAnsi="Arial"/>
                <w:sz w:val="10"/>
                <w:szCs w:val="10"/>
                <w:color w:val="auto"/>
              </w:rPr>
              <w:t>(3)(5)</w:t>
            </w:r>
          </w:p>
        </w:tc>
        <w:tc>
          <w:tcPr>
            <w:tcW w:w="30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First-lien loan ($1,530 par, due 5/2027)</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5/28/2021</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 + 5.00%</w:t>
            </w:r>
          </w:p>
        </w:tc>
        <w:tc>
          <w:tcPr>
            <w:tcW w:w="1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8.07%</w:t>
            </w: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1,414</w:t>
            </w:r>
          </w:p>
        </w:tc>
        <w:tc>
          <w:tcPr>
            <w:tcW w:w="14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1,530</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8"/>
        </w:trPr>
        <w:tc>
          <w:tcPr>
            <w:tcW w:w="2000" w:type="dxa"/>
            <w:vAlign w:val="bottom"/>
            <w:gridSpan w:val="2"/>
          </w:tcPr>
          <w:p>
            <w:pPr>
              <w:spacing w:after="0" w:line="149" w:lineRule="exact"/>
              <w:rPr>
                <w:sz w:val="20"/>
                <w:szCs w:val="20"/>
                <w:color w:val="auto"/>
              </w:rPr>
            </w:pPr>
            <w:r>
              <w:rPr>
                <w:rFonts w:ascii="Arial" w:cs="Arial" w:eastAsia="Arial" w:hAnsi="Arial"/>
                <w:sz w:val="14"/>
                <w:szCs w:val="14"/>
                <w:color w:val="auto"/>
              </w:rPr>
              <w:t>Ibis US Blocker Co.</w:t>
            </w:r>
            <w:r>
              <w:rPr>
                <w:rFonts w:ascii="Arial" w:cs="Arial" w:eastAsia="Arial" w:hAnsi="Arial"/>
                <w:sz w:val="10"/>
                <w:szCs w:val="10"/>
                <w:color w:val="auto"/>
              </w:rPr>
              <w:t>(3)</w:t>
            </w:r>
          </w:p>
        </w:tc>
        <w:tc>
          <w:tcPr>
            <w:tcW w:w="30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First-lien loan ($13,569 par, due 5/2028)</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5/28/2021</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+ 8.25%</w:t>
            </w:r>
          </w:p>
        </w:tc>
        <w:tc>
          <w:tcPr>
            <w:tcW w:w="1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11.32% PIK</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13,317</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13,162</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0"/>
        </w:trPr>
        <w:tc>
          <w:tcPr>
            <w:tcW w:w="20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Jonas Collections and</w:t>
            </w:r>
          </w:p>
        </w:tc>
        <w:tc>
          <w:tcPr>
            <w:tcW w:w="40" w:type="dxa"/>
            <w:vAlign w:val="bottom"/>
            <w:shd w:val="clear" w:color="auto" w:fill="CCEEFF"/>
          </w:tcPr>
          <w:p>
            <w:pPr>
              <w:spacing w:after="0"/>
              <w:rPr>
                <w:sz w:val="11"/>
                <w:szCs w:val="11"/>
                <w:color w:val="auto"/>
              </w:rPr>
            </w:pPr>
          </w:p>
        </w:tc>
        <w:tc>
          <w:tcPr>
            <w:tcW w:w="3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Recovery, Inc.</w:t>
            </w:r>
            <w:r>
              <w:rPr>
                <w:rFonts w:ascii="Arial" w:cs="Arial" w:eastAsia="Arial" w:hAnsi="Arial"/>
                <w:sz w:val="10"/>
                <w:szCs w:val="10"/>
                <w:color w:val="auto"/>
              </w:rPr>
              <w:t>(3)(5)</w:t>
            </w:r>
          </w:p>
        </w:tc>
        <w:tc>
          <w:tcPr>
            <w:tcW w:w="3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First-lien loan ($27,188 par, due 6/2026)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6/21/2021</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L + 5.50%</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8.38%</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26,746</w:t>
            </w:r>
          </w:p>
        </w:tc>
        <w:tc>
          <w:tcPr>
            <w:tcW w:w="140" w:type="dxa"/>
            <w:vAlign w:val="bottom"/>
            <w:tcBorders>
              <w:right w:val="single" w:sz="8" w:color="CCEEFF"/>
            </w:tcBorders>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26,576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00" w:type="dxa"/>
            <w:vAlign w:val="bottom"/>
            <w:gridSpan w:val="2"/>
          </w:tcPr>
          <w:p>
            <w:pPr>
              <w:spacing w:after="0" w:line="149" w:lineRule="exact"/>
              <w:rPr>
                <w:sz w:val="20"/>
                <w:szCs w:val="20"/>
                <w:color w:val="auto"/>
              </w:rPr>
            </w:pPr>
            <w:r>
              <w:rPr>
                <w:rFonts w:ascii="Arial" w:cs="Arial" w:eastAsia="Arial" w:hAnsi="Arial"/>
                <w:sz w:val="14"/>
                <w:szCs w:val="14"/>
                <w:color w:val="auto"/>
              </w:rPr>
              <w:t>Kyriba Corp.</w:t>
            </w:r>
            <w:r>
              <w:rPr>
                <w:rFonts w:ascii="Arial" w:cs="Arial" w:eastAsia="Arial" w:hAnsi="Arial"/>
                <w:sz w:val="10"/>
                <w:szCs w:val="10"/>
                <w:color w:val="auto"/>
              </w:rPr>
              <w:t>(3)</w:t>
            </w:r>
          </w:p>
        </w:tc>
        <w:tc>
          <w:tcPr>
            <w:tcW w:w="30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First-lien loan ($18,628 par, due 4/2025)</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4/9/2019</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+ 9.00%</w:t>
            </w:r>
          </w:p>
        </w:tc>
        <w:tc>
          <w:tcPr>
            <w:tcW w:w="1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12.67% (incl. 9.00% PIK)</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18,429</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18,721</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30"/>
        </w:trPr>
        <w:tc>
          <w:tcPr>
            <w:tcW w:w="7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30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First-lien loan (EUR 9,704 par, due 4/2025)</w:t>
            </w: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4/9/2019</w:t>
            </w: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E + 9.00%</w:t>
            </w:r>
          </w:p>
        </w:tc>
        <w:tc>
          <w:tcPr>
            <w:tcW w:w="16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10.19% (incl 9.00% PIK)</w:t>
            </w:r>
          </w:p>
        </w:tc>
        <w:tc>
          <w:tcPr>
            <w:tcW w:w="62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10,759</w:t>
            </w:r>
          </w:p>
        </w:tc>
        <w:tc>
          <w:tcPr>
            <w:tcW w:w="14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9,554</w:t>
            </w:r>
          </w:p>
        </w:tc>
        <w:tc>
          <w:tcPr>
            <w:tcW w:w="86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1"/>
        </w:trPr>
        <w:tc>
          <w:tcPr>
            <w:tcW w:w="7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(EUR 9,752)</w:t>
            </w: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4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8"/>
              </w:rPr>
              <w:t>First-lien revolving loan ($1,411 par, due 4/2025)</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4/9/2019</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+ 7.25%</w:t>
            </w:r>
          </w:p>
        </w:tc>
        <w:tc>
          <w:tcPr>
            <w:tcW w:w="1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10.92%</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1,392</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1,418</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7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30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w w:val="94"/>
              </w:rPr>
              <w:t>First-lien revolving loan (EUR 336 par, due 4/2025)</w:t>
            </w: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4/9/2019</w:t>
            </w: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E + 7.25%</w:t>
            </w:r>
          </w:p>
        </w:tc>
        <w:tc>
          <w:tcPr>
            <w:tcW w:w="16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8.44%</w:t>
            </w:r>
          </w:p>
        </w:tc>
        <w:tc>
          <w:tcPr>
            <w:tcW w:w="62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372</w:t>
            </w:r>
          </w:p>
        </w:tc>
        <w:tc>
          <w:tcPr>
            <w:tcW w:w="14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329</w:t>
            </w:r>
          </w:p>
        </w:tc>
        <w:tc>
          <w:tcPr>
            <w:tcW w:w="86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81"/>
        </w:trPr>
        <w:tc>
          <w:tcPr>
            <w:tcW w:w="7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(EUR 336)</w:t>
            </w: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00" w:type="dxa"/>
            <w:vAlign w:val="bottom"/>
            <w:gridSpan w:val="2"/>
          </w:tcPr>
          <w:p>
            <w:pPr>
              <w:spacing w:after="0" w:line="149" w:lineRule="exact"/>
              <w:rPr>
                <w:sz w:val="20"/>
                <w:szCs w:val="20"/>
                <w:color w:val="auto"/>
              </w:rPr>
            </w:pPr>
            <w:r>
              <w:rPr>
                <w:rFonts w:ascii="Arial" w:cs="Arial" w:eastAsia="Arial" w:hAnsi="Arial"/>
                <w:sz w:val="14"/>
                <w:szCs w:val="14"/>
                <w:color w:val="auto"/>
              </w:rPr>
              <w:t>Passport Labs, Inc.</w:t>
            </w:r>
            <w:r>
              <w:rPr>
                <w:rFonts w:ascii="Arial" w:cs="Arial" w:eastAsia="Arial" w:hAnsi="Arial"/>
                <w:sz w:val="10"/>
                <w:szCs w:val="10"/>
                <w:color w:val="auto"/>
              </w:rPr>
              <w:t>(3)</w:t>
            </w:r>
          </w:p>
        </w:tc>
        <w:tc>
          <w:tcPr>
            <w:tcW w:w="30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First-lien loan ($23,142 par, due 4/2026)</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4/28/2021</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+ 8.25%</w:t>
            </w:r>
          </w:p>
        </w:tc>
        <w:tc>
          <w:tcPr>
            <w:tcW w:w="1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6"/>
              </w:rPr>
              <w:t>11.11% (incl. 4.125% PIK)</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22,906</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22,541</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PrimeRevenue, Inc.</w:t>
            </w:r>
            <w:r>
              <w:rPr>
                <w:rFonts w:ascii="Arial" w:cs="Arial" w:eastAsia="Arial" w:hAnsi="Arial"/>
                <w:sz w:val="10"/>
                <w:szCs w:val="10"/>
                <w:color w:val="auto"/>
              </w:rPr>
              <w:t>(3)</w:t>
            </w:r>
          </w:p>
        </w:tc>
        <w:tc>
          <w:tcPr>
            <w:tcW w:w="30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First-lien loan ($22,507 par, due 12/2023)</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12/31/2018</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 + 7.00%</w:t>
            </w:r>
          </w:p>
        </w:tc>
        <w:tc>
          <w:tcPr>
            <w:tcW w:w="1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10.12%</w:t>
            </w: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22,416</w:t>
            </w:r>
          </w:p>
        </w:tc>
        <w:tc>
          <w:tcPr>
            <w:tcW w:w="14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22,579</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56"/>
        </w:trPr>
        <w:tc>
          <w:tcPr>
            <w:tcW w:w="2000" w:type="dxa"/>
            <w:vAlign w:val="bottom"/>
            <w:gridSpan w:val="2"/>
          </w:tcPr>
          <w:p>
            <w:pPr>
              <w:spacing w:after="0" w:line="149" w:lineRule="exact"/>
              <w:rPr>
                <w:sz w:val="20"/>
                <w:szCs w:val="20"/>
                <w:color w:val="auto"/>
              </w:rPr>
            </w:pPr>
            <w:r>
              <w:rPr>
                <w:rFonts w:ascii="Arial" w:cs="Arial" w:eastAsia="Arial" w:hAnsi="Arial"/>
                <w:sz w:val="14"/>
                <w:szCs w:val="14"/>
                <w:color w:val="auto"/>
              </w:rPr>
              <w:t>TradingScreen, Inc.</w:t>
            </w:r>
            <w:r>
              <w:rPr>
                <w:rFonts w:ascii="Arial" w:cs="Arial" w:eastAsia="Arial" w:hAnsi="Arial"/>
                <w:sz w:val="10"/>
                <w:szCs w:val="10"/>
                <w:color w:val="auto"/>
              </w:rPr>
              <w:t>(3)(5)</w:t>
            </w:r>
          </w:p>
        </w:tc>
        <w:tc>
          <w:tcPr>
            <w:tcW w:w="30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First-lien loan ($44,775 par, due 4/2027)</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4/30/2021</w:t>
            </w:r>
          </w:p>
        </w:tc>
        <w:tc>
          <w:tcPr>
            <w:tcW w:w="80" w:type="dxa"/>
            <w:vAlign w:val="bottom"/>
          </w:tcPr>
          <w:p>
            <w:pPr>
              <w:spacing w:after="0"/>
              <w:rPr>
                <w:sz w:val="13"/>
                <w:szCs w:val="13"/>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+ 6.25%</w:t>
            </w:r>
          </w:p>
        </w:tc>
        <w:tc>
          <w:tcPr>
            <w:tcW w:w="1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9.06%</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43,706</w:t>
            </w:r>
          </w:p>
        </w:tc>
        <w:tc>
          <w:tcPr>
            <w:tcW w:w="140" w:type="dxa"/>
            <w:vAlign w:val="bottom"/>
          </w:tcPr>
          <w:p>
            <w:pPr>
              <w:spacing w:after="0"/>
              <w:rPr>
                <w:sz w:val="13"/>
                <w:szCs w:val="13"/>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43,768</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tcBorders>
              <w:top w:val="single" w:sz="8" w:color="auto"/>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298,049</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297,996</w:t>
            </w:r>
          </w:p>
        </w:tc>
        <w:tc>
          <w:tcPr>
            <w:tcW w:w="140" w:type="dxa"/>
            <w:vAlign w:val="bottom"/>
            <w:shd w:val="clear" w:color="auto" w:fill="CCEEFF"/>
          </w:tcPr>
          <w:p>
            <w:pPr>
              <w:spacing w:after="0"/>
              <w:rPr>
                <w:sz w:val="12"/>
                <w:szCs w:val="12"/>
                <w:color w:val="auto"/>
              </w:rPr>
            </w:pPr>
          </w:p>
        </w:tc>
        <w:tc>
          <w:tcPr>
            <w:tcW w:w="860" w:type="dxa"/>
            <w:vAlign w:val="bottom"/>
            <w:tcBorders>
              <w:top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71"/>
        </w:trPr>
        <w:tc>
          <w:tcPr>
            <w:tcW w:w="2000" w:type="dxa"/>
            <w:vAlign w:val="bottom"/>
            <w:gridSpan w:val="2"/>
          </w:tcPr>
          <w:p>
            <w:pPr>
              <w:spacing w:after="0"/>
              <w:rPr>
                <w:sz w:val="20"/>
                <w:szCs w:val="20"/>
                <w:color w:val="auto"/>
              </w:rPr>
            </w:pPr>
            <w:r>
              <w:rPr>
                <w:rFonts w:ascii="Arial" w:cs="Arial" w:eastAsia="Arial" w:hAnsi="Arial"/>
                <w:sz w:val="14"/>
                <w:szCs w:val="14"/>
                <w:b w:val="1"/>
                <w:bCs w:val="1"/>
                <w:color w:val="auto"/>
              </w:rPr>
              <w:t>Healthcare</w:t>
            </w:r>
          </w:p>
        </w:tc>
        <w:tc>
          <w:tcPr>
            <w:tcW w:w="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513" w:right="4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49"/>
        </w:trPr>
        <w:tc>
          <w:tcPr>
            <w:tcW w:w="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4"/>
              </w:rPr>
              <w:t>Initial</w:t>
            </w:r>
          </w:p>
        </w:tc>
        <w:tc>
          <w:tcPr>
            <w:tcW w:w="10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Reference</w:t>
            </w:r>
          </w:p>
        </w:tc>
        <w:tc>
          <w:tcPr>
            <w:tcW w:w="1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000" w:type="dxa"/>
            <w:vAlign w:val="bottom"/>
            <w:gridSpan w:val="2"/>
            <w:vMerge w:val="restart"/>
          </w:tcPr>
          <w:p>
            <w:pPr>
              <w:ind w:left="1160"/>
              <w:spacing w:after="0"/>
              <w:rPr>
                <w:sz w:val="20"/>
                <w:szCs w:val="20"/>
                <w:color w:val="auto"/>
              </w:rPr>
            </w:pPr>
            <w:r>
              <w:rPr>
                <w:rFonts w:ascii="Arial" w:cs="Arial" w:eastAsia="Arial" w:hAnsi="Arial"/>
                <w:sz w:val="13"/>
                <w:szCs w:val="13"/>
                <w:b w:val="1"/>
                <w:bCs w:val="1"/>
                <w:color w:val="auto"/>
              </w:rPr>
              <w:t>Investment</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Acquisition</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Rate and</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b w:val="1"/>
                <w:bCs w:val="1"/>
                <w:color w:val="auto"/>
              </w:rPr>
              <w:t>Interest Rate</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8"/>
              </w:rPr>
              <w:t>Amortized</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53"/>
        </w:trPr>
        <w:tc>
          <w:tcPr>
            <w:tcW w:w="2060" w:type="dxa"/>
            <w:vAlign w:val="bottom"/>
            <w:gridSpan w:val="2"/>
          </w:tcPr>
          <w:p>
            <w:pPr>
              <w:spacing w:after="0" w:line="154" w:lineRule="exact"/>
              <w:rPr>
                <w:sz w:val="20"/>
                <w:szCs w:val="20"/>
                <w:color w:val="auto"/>
              </w:rPr>
            </w:pPr>
            <w:r>
              <w:rPr>
                <w:rFonts w:ascii="Arial" w:cs="Arial" w:eastAsia="Arial" w:hAnsi="Arial"/>
                <w:sz w:val="12"/>
                <w:szCs w:val="12"/>
                <w:b w:val="1"/>
                <w:bCs w:val="1"/>
                <w:color w:val="auto"/>
              </w:rPr>
              <w:t>Company</w:t>
            </w:r>
            <w:r>
              <w:rPr>
                <w:rFonts w:ascii="Arial" w:cs="Arial" w:eastAsia="Arial" w:hAnsi="Arial"/>
                <w:sz w:val="17"/>
                <w:szCs w:val="17"/>
                <w:b w:val="1"/>
                <w:bCs w:val="1"/>
                <w:color w:val="auto"/>
                <w:vertAlign w:val="superscript"/>
              </w:rPr>
              <w:t>(1)(6)</w:t>
            </w:r>
          </w:p>
        </w:tc>
        <w:tc>
          <w:tcPr>
            <w:tcW w:w="3000" w:type="dxa"/>
            <w:vAlign w:val="bottom"/>
            <w:gridSpan w:val="2"/>
            <w:vMerge w:val="continue"/>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5"/>
              </w:rPr>
              <w:t>Date</w:t>
            </w:r>
          </w:p>
        </w:tc>
        <w:tc>
          <w:tcPr>
            <w:tcW w:w="10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Spread</w:t>
            </w:r>
          </w:p>
        </w:tc>
        <w:tc>
          <w:tcPr>
            <w:tcW w:w="1660" w:type="dxa"/>
            <w:vAlign w:val="bottom"/>
            <w:gridSpan w:val="2"/>
            <w:vMerge w:val="continue"/>
          </w:tcPr>
          <w:p>
            <w:pPr>
              <w:spacing w:after="0"/>
              <w:rPr>
                <w:sz w:val="13"/>
                <w:szCs w:val="13"/>
                <w:color w:val="auto"/>
              </w:rPr>
            </w:pPr>
          </w:p>
        </w:tc>
        <w:tc>
          <w:tcPr>
            <w:tcW w:w="580" w:type="dxa"/>
            <w:vAlign w:val="bottom"/>
          </w:tcPr>
          <w:p>
            <w:pPr>
              <w:jc w:val="right"/>
              <w:spacing w:after="0" w:line="154" w:lineRule="exact"/>
              <w:rPr>
                <w:sz w:val="20"/>
                <w:szCs w:val="20"/>
                <w:color w:val="auto"/>
              </w:rPr>
            </w:pPr>
            <w:r>
              <w:rPr>
                <w:rFonts w:ascii="Arial" w:cs="Arial" w:eastAsia="Arial" w:hAnsi="Arial"/>
                <w:sz w:val="17"/>
                <w:szCs w:val="17"/>
                <w:b w:val="1"/>
                <w:bCs w:val="1"/>
                <w:color w:val="auto"/>
                <w:vertAlign w:val="subscript"/>
              </w:rPr>
              <w:t>Cost</w:t>
            </w:r>
            <w:r>
              <w:rPr>
                <w:rFonts w:ascii="Arial" w:cs="Arial" w:eastAsia="Arial" w:hAnsi="Arial"/>
                <w:sz w:val="8"/>
                <w:szCs w:val="8"/>
                <w:b w:val="1"/>
                <w:bCs w:val="1"/>
                <w:color w:val="auto"/>
              </w:rPr>
              <w:t>(2)(8)</w:t>
            </w:r>
          </w:p>
        </w:tc>
        <w:tc>
          <w:tcPr>
            <w:tcW w:w="80" w:type="dxa"/>
            <w:vAlign w:val="bottom"/>
          </w:tcPr>
          <w:p>
            <w:pPr>
              <w:spacing w:after="0"/>
              <w:rPr>
                <w:sz w:val="13"/>
                <w:szCs w:val="13"/>
                <w:color w:val="auto"/>
              </w:rPr>
            </w:pPr>
          </w:p>
        </w:tc>
        <w:tc>
          <w:tcPr>
            <w:tcW w:w="980" w:type="dxa"/>
            <w:vAlign w:val="bottom"/>
            <w:gridSpan w:val="2"/>
          </w:tcPr>
          <w:p>
            <w:pPr>
              <w:jc w:val="right"/>
              <w:ind w:right="220"/>
              <w:spacing w:after="0" w:line="154" w:lineRule="exact"/>
              <w:rPr>
                <w:sz w:val="20"/>
                <w:szCs w:val="20"/>
                <w:color w:val="auto"/>
              </w:rPr>
            </w:pPr>
            <w:r>
              <w:rPr>
                <w:rFonts w:ascii="Arial" w:cs="Arial" w:eastAsia="Arial" w:hAnsi="Arial"/>
                <w:sz w:val="12"/>
                <w:szCs w:val="12"/>
                <w:b w:val="1"/>
                <w:bCs w:val="1"/>
                <w:color w:val="auto"/>
              </w:rPr>
              <w:t>Fair Value</w:t>
            </w:r>
            <w:r>
              <w:rPr>
                <w:rFonts w:ascii="Arial" w:cs="Arial" w:eastAsia="Arial" w:hAnsi="Arial"/>
                <w:sz w:val="17"/>
                <w:szCs w:val="17"/>
                <w:b w:val="1"/>
                <w:bCs w:val="1"/>
                <w:color w:val="auto"/>
                <w:vertAlign w:val="superscript"/>
              </w:rPr>
              <w:t>(9)</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1"/>
              </w:rPr>
              <w:t>of Net Assets</w:t>
            </w: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BCTO Ace</w:t>
            </w:r>
          </w:p>
        </w:tc>
        <w:tc>
          <w:tcPr>
            <w:tcW w:w="13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Purchaser, Inc.</w:t>
            </w:r>
            <w:r>
              <w:rPr>
                <w:rFonts w:ascii="Arial" w:cs="Arial" w:eastAsia="Arial" w:hAnsi="Arial"/>
                <w:sz w:val="10"/>
                <w:szCs w:val="10"/>
                <w:color w:val="auto"/>
              </w:rPr>
              <w:t>(3)(5)</w:t>
            </w:r>
          </w:p>
        </w:tc>
        <w:tc>
          <w:tcPr>
            <w:tcW w:w="29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First-lien loan ($61,585 par, due 11/2026)</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11/23/2020</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5"/>
              </w:rPr>
              <w:t>SOFR + 7.50%</w:t>
            </w:r>
          </w:p>
        </w:tc>
        <w:tc>
          <w:tcPr>
            <w:tcW w:w="1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10.60%</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60,398</w:t>
            </w:r>
          </w:p>
        </w:tc>
        <w:tc>
          <w:tcPr>
            <w:tcW w:w="1060" w:type="dxa"/>
            <w:vAlign w:val="bottom"/>
            <w:gridSpan w:val="3"/>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60,507</w:t>
            </w:r>
          </w:p>
        </w:tc>
        <w:tc>
          <w:tcPr>
            <w:tcW w:w="8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Caris Life Sciences, Inc.</w:t>
            </w:r>
          </w:p>
        </w:tc>
        <w:tc>
          <w:tcPr>
            <w:tcW w:w="300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($5,000 par, due 9/2023)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9/21/2018</w:t>
            </w:r>
          </w:p>
        </w:tc>
        <w:tc>
          <w:tcPr>
            <w:tcW w:w="11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11.30%</w:t>
            </w: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11.30%</w:t>
            </w: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4,956</w:t>
            </w:r>
          </w:p>
        </w:tc>
        <w:tc>
          <w:tcPr>
            <w:tcW w:w="10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4,975</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($3,750 par, due 4/2025)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4/2/2020</w:t>
            </w:r>
          </w:p>
        </w:tc>
        <w:tc>
          <w:tcPr>
            <w:tcW w:w="11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11.30%</w:t>
            </w:r>
          </w:p>
        </w:tc>
        <w:tc>
          <w:tcPr>
            <w:tcW w:w="1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11.30%</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3,586</w:t>
            </w:r>
          </w:p>
        </w:tc>
        <w:tc>
          <w:tcPr>
            <w:tcW w:w="10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3,741</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0" w:type="dxa"/>
            <w:vAlign w:val="bottom"/>
            <w:gridSpan w:val="2"/>
          </w:tcPr>
          <w:p>
            <w:pPr>
              <w:spacing w:after="0" w:line="149" w:lineRule="exact"/>
              <w:rPr>
                <w:sz w:val="20"/>
                <w:szCs w:val="20"/>
                <w:color w:val="auto"/>
              </w:rPr>
            </w:pPr>
            <w:r>
              <w:rPr>
                <w:rFonts w:ascii="Arial" w:cs="Arial" w:eastAsia="Arial" w:hAnsi="Arial"/>
                <w:sz w:val="14"/>
                <w:szCs w:val="14"/>
                <w:color w:val="auto"/>
              </w:rPr>
              <w:t>Convertible note ($2,602 par, due 9/2023)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9/21/2018</w:t>
            </w:r>
          </w:p>
        </w:tc>
        <w:tc>
          <w:tcPr>
            <w:tcW w:w="11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8.00%</w:t>
            </w: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8.00%</w:t>
            </w: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2,602</w:t>
            </w:r>
          </w:p>
        </w:tc>
        <w:tc>
          <w:tcPr>
            <w:tcW w:w="10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5,660</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0"/>
        </w:trPr>
        <w:tc>
          <w:tcPr>
            <w:tcW w:w="2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Homecare Software Solutions,</w:t>
            </w:r>
          </w:p>
        </w:tc>
        <w:tc>
          <w:tcPr>
            <w:tcW w:w="2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60" w:type="dxa"/>
            <w:vAlign w:val="bottom"/>
            <w:gridSpan w:val="2"/>
            <w:shd w:val="clear" w:color="auto" w:fill="CCEEFF"/>
          </w:tcPr>
          <w:p>
            <w:pPr>
              <w:ind w:left="140"/>
              <w:spacing w:after="0" w:line="167" w:lineRule="exact"/>
              <w:rPr>
                <w:sz w:val="20"/>
                <w:szCs w:val="20"/>
                <w:color w:val="auto"/>
              </w:rPr>
            </w:pPr>
            <w:r>
              <w:rPr>
                <w:rFonts w:ascii="Arial" w:cs="Arial" w:eastAsia="Arial" w:hAnsi="Arial"/>
                <w:sz w:val="19"/>
                <w:szCs w:val="19"/>
                <w:color w:val="auto"/>
                <w:vertAlign w:val="subscript"/>
              </w:rPr>
              <w:t>LLC</w:t>
            </w:r>
            <w:r>
              <w:rPr>
                <w:rFonts w:ascii="Arial" w:cs="Arial" w:eastAsia="Arial" w:hAnsi="Arial"/>
                <w:sz w:val="9"/>
                <w:szCs w:val="9"/>
                <w:color w:val="auto"/>
              </w:rPr>
              <w:t>(3)(5)</w:t>
            </w:r>
          </w:p>
        </w:tc>
        <w:tc>
          <w:tcPr>
            <w:tcW w:w="3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First-lien loan ($65,000 par, due 10/2026)</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10/6/2021</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5"/>
              </w:rPr>
              <w:t>SOFR + 5.70%</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63,664</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62,888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30"/>
        </w:trPr>
        <w:tc>
          <w:tcPr>
            <w:tcW w:w="2060" w:type="dxa"/>
            <w:vAlign w:val="bottom"/>
            <w:gridSpan w:val="2"/>
          </w:tcPr>
          <w:p>
            <w:pPr>
              <w:spacing w:after="0" w:line="130" w:lineRule="exact"/>
              <w:rPr>
                <w:sz w:val="20"/>
                <w:szCs w:val="20"/>
                <w:color w:val="auto"/>
              </w:rPr>
            </w:pPr>
            <w:r>
              <w:rPr>
                <w:rFonts w:ascii="Arial" w:cs="Arial" w:eastAsia="Arial" w:hAnsi="Arial"/>
                <w:sz w:val="14"/>
                <w:szCs w:val="14"/>
                <w:color w:val="auto"/>
              </w:rPr>
              <w:t>Integrated Practice</w:t>
            </w:r>
          </w:p>
        </w:tc>
        <w:tc>
          <w:tcPr>
            <w:tcW w:w="2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60" w:type="dxa"/>
            <w:vAlign w:val="bottom"/>
            <w:gridSpan w:val="2"/>
          </w:tcPr>
          <w:p>
            <w:pPr>
              <w:ind w:left="140"/>
              <w:spacing w:after="0"/>
              <w:rPr>
                <w:sz w:val="20"/>
                <w:szCs w:val="20"/>
                <w:color w:val="auto"/>
              </w:rPr>
            </w:pPr>
            <w:r>
              <w:rPr>
                <w:rFonts w:ascii="Arial" w:cs="Arial" w:eastAsia="Arial" w:hAnsi="Arial"/>
                <w:sz w:val="14"/>
                <w:szCs w:val="14"/>
                <w:color w:val="auto"/>
              </w:rPr>
              <w:t>Solutions, Inc.</w:t>
            </w:r>
            <w:r>
              <w:rPr>
                <w:rFonts w:ascii="Arial" w:cs="Arial" w:eastAsia="Arial" w:hAnsi="Arial"/>
                <w:sz w:val="10"/>
                <w:szCs w:val="10"/>
                <w:color w:val="auto"/>
              </w:rPr>
              <w:t>(3)(5)</w:t>
            </w:r>
          </w:p>
        </w:tc>
        <w:tc>
          <w:tcPr>
            <w:tcW w:w="3000" w:type="dxa"/>
            <w:vAlign w:val="bottom"/>
            <w:gridSpan w:val="2"/>
          </w:tcPr>
          <w:p>
            <w:pPr>
              <w:spacing w:after="0"/>
              <w:rPr>
                <w:sz w:val="20"/>
                <w:szCs w:val="20"/>
                <w:color w:val="auto"/>
              </w:rPr>
            </w:pPr>
            <w:r>
              <w:rPr>
                <w:rFonts w:ascii="Arial" w:cs="Arial" w:eastAsia="Arial" w:hAnsi="Arial"/>
                <w:sz w:val="14"/>
                <w:szCs w:val="14"/>
                <w:color w:val="auto"/>
              </w:rPr>
              <w:t>First-lien loan ($46,624 par, due 10/2024)</w:t>
            </w:r>
          </w:p>
        </w:tc>
        <w:tc>
          <w:tcPr>
            <w:tcW w:w="680" w:type="dxa"/>
            <w:vAlign w:val="bottom"/>
          </w:tcPr>
          <w:p>
            <w:pPr>
              <w:jc w:val="right"/>
              <w:spacing w:after="0"/>
              <w:rPr>
                <w:sz w:val="20"/>
                <w:szCs w:val="20"/>
                <w:color w:val="auto"/>
              </w:rPr>
            </w:pPr>
            <w:r>
              <w:rPr>
                <w:rFonts w:ascii="Arial" w:cs="Arial" w:eastAsia="Arial" w:hAnsi="Arial"/>
                <w:sz w:val="14"/>
                <w:szCs w:val="14"/>
                <w:color w:val="auto"/>
              </w:rPr>
              <w:t>6/30/2017</w:t>
            </w:r>
          </w:p>
        </w:tc>
        <w:tc>
          <w:tcPr>
            <w:tcW w:w="1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L + 7.50%</w:t>
            </w:r>
          </w:p>
        </w:tc>
        <w:tc>
          <w:tcPr>
            <w:tcW w:w="1600" w:type="dxa"/>
            <w:vAlign w:val="bottom"/>
          </w:tcPr>
          <w:p>
            <w:pPr>
              <w:jc w:val="right"/>
              <w:spacing w:after="0"/>
              <w:rPr>
                <w:sz w:val="20"/>
                <w:szCs w:val="20"/>
                <w:color w:val="auto"/>
              </w:rPr>
            </w:pPr>
            <w:r>
              <w:rPr>
                <w:rFonts w:ascii="Arial" w:cs="Arial" w:eastAsia="Arial" w:hAnsi="Arial"/>
                <w:sz w:val="14"/>
                <w:szCs w:val="14"/>
                <w:color w:val="auto"/>
              </w:rPr>
              <w:t>10.62%</w:t>
            </w: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45,805</w:t>
            </w:r>
          </w:p>
        </w:tc>
        <w:tc>
          <w:tcPr>
            <w:tcW w:w="1060" w:type="dxa"/>
            <w:vAlign w:val="bottom"/>
            <w:gridSpan w:val="3"/>
          </w:tcPr>
          <w:p>
            <w:pPr>
              <w:jc w:val="right"/>
              <w:ind w:right="140"/>
              <w:spacing w:after="0"/>
              <w:rPr>
                <w:sz w:val="20"/>
                <w:szCs w:val="20"/>
                <w:color w:val="auto"/>
              </w:rPr>
            </w:pPr>
            <w:r>
              <w:rPr>
                <w:rFonts w:ascii="Arial" w:cs="Arial" w:eastAsia="Arial" w:hAnsi="Arial"/>
                <w:sz w:val="14"/>
                <w:szCs w:val="14"/>
                <w:color w:val="auto"/>
              </w:rPr>
              <w:t>46,624</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8"/>
        </w:trPr>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Merative L.P.</w:t>
            </w:r>
            <w:r>
              <w:rPr>
                <w:rFonts w:ascii="Arial" w:cs="Arial" w:eastAsia="Arial" w:hAnsi="Arial"/>
                <w:sz w:val="10"/>
                <w:szCs w:val="10"/>
                <w:color w:val="auto"/>
              </w:rPr>
              <w:t>(3)(5)</w:t>
            </w:r>
          </w:p>
        </w:tc>
        <w:tc>
          <w:tcPr>
            <w:tcW w:w="3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($70,103 par, due 6/2028)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6/30/2022</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5"/>
              </w:rPr>
              <w:t>SOFR + 7.25%</w:t>
            </w:r>
          </w:p>
        </w:tc>
        <w:tc>
          <w:tcPr>
            <w:tcW w:w="1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10.81%</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67,833</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66,773</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248,844</w:t>
            </w:r>
          </w:p>
        </w:tc>
        <w:tc>
          <w:tcPr>
            <w:tcW w:w="80" w:type="dxa"/>
            <w:vAlign w:val="bottom"/>
            <w:vMerge w:val="continue"/>
          </w:tcPr>
          <w:p>
            <w:pPr>
              <w:spacing w:after="0"/>
              <w:rPr>
                <w:sz w:val="14"/>
                <w:szCs w:val="14"/>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251,168</w:t>
            </w:r>
          </w:p>
        </w:tc>
        <w:tc>
          <w:tcPr>
            <w:tcW w:w="140" w:type="dxa"/>
            <w:vAlign w:val="bottom"/>
            <w:vMerge w:val="continue"/>
          </w:tcPr>
          <w:p>
            <w:pPr>
              <w:spacing w:after="0"/>
              <w:rPr>
                <w:sz w:val="14"/>
                <w:szCs w:val="14"/>
                <w:color w:val="auto"/>
              </w:rPr>
            </w:pP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48"/>
        </w:trPr>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Hotel, Gaming and Leisure</w:t>
            </w:r>
          </w:p>
        </w:tc>
        <w:tc>
          <w:tcPr>
            <w:tcW w:w="2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ASG II, LLC</w:t>
            </w:r>
            <w:r>
              <w:rPr>
                <w:rFonts w:ascii="Arial" w:cs="Arial" w:eastAsia="Arial" w:hAnsi="Arial"/>
                <w:sz w:val="10"/>
                <w:szCs w:val="10"/>
                <w:color w:val="auto"/>
              </w:rPr>
              <w:t>(3)(5)</w:t>
            </w:r>
          </w:p>
        </w:tc>
        <w:tc>
          <w:tcPr>
            <w:tcW w:w="300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($56,522 par, due 5/2028)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5/25/2022</w:t>
            </w:r>
          </w:p>
        </w:tc>
        <w:tc>
          <w:tcPr>
            <w:tcW w:w="10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5"/>
              </w:rPr>
              <w:t>SOFR + 6.65%</w:t>
            </w: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9.37%</w:t>
            </w: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55,033</w:t>
            </w:r>
          </w:p>
        </w:tc>
        <w:tc>
          <w:tcPr>
            <w:tcW w:w="10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54,409</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8"/>
        </w:trPr>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IRGSE Holding Corp.</w:t>
            </w:r>
            <w:r>
              <w:rPr>
                <w:rFonts w:ascii="Arial" w:cs="Arial" w:eastAsia="Arial" w:hAnsi="Arial"/>
                <w:sz w:val="10"/>
                <w:szCs w:val="10"/>
                <w:color w:val="auto"/>
              </w:rPr>
              <w:t>(3)(7)</w:t>
            </w:r>
          </w:p>
        </w:tc>
        <w:tc>
          <w:tcPr>
            <w:tcW w:w="3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($30,261 par, due 6/2023)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9/29/2015</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 + 9.50%</w:t>
            </w:r>
          </w:p>
        </w:tc>
        <w:tc>
          <w:tcPr>
            <w:tcW w:w="1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13.17%</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28,594</w:t>
            </w:r>
          </w:p>
        </w:tc>
        <w:tc>
          <w:tcPr>
            <w:tcW w:w="10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29,958</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0" w:type="dxa"/>
            <w:vAlign w:val="bottom"/>
            <w:gridSpan w:val="2"/>
          </w:tcPr>
          <w:p>
            <w:pPr>
              <w:spacing w:after="0" w:line="149" w:lineRule="exact"/>
              <w:rPr>
                <w:sz w:val="20"/>
                <w:szCs w:val="20"/>
                <w:color w:val="auto"/>
              </w:rPr>
            </w:pPr>
            <w:r>
              <w:rPr>
                <w:rFonts w:ascii="Arial" w:cs="Arial" w:eastAsia="Arial" w:hAnsi="Arial"/>
                <w:sz w:val="14"/>
                <w:szCs w:val="14"/>
                <w:color w:val="auto"/>
                <w:w w:val="96"/>
              </w:rPr>
              <w:t>First-lien revolving loan ($14,827 par, due 6/2023)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9/29/2015</w:t>
            </w:r>
          </w:p>
        </w:tc>
        <w:tc>
          <w:tcPr>
            <w:tcW w:w="100" w:type="dxa"/>
            <w:vAlign w:val="bottom"/>
          </w:tcPr>
          <w:p>
            <w:pPr>
              <w:spacing w:after="0"/>
              <w:rPr>
                <w:sz w:val="13"/>
                <w:szCs w:val="13"/>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 + 9.50%</w:t>
            </w: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13.14%</w:t>
            </w:r>
          </w:p>
        </w:tc>
        <w:tc>
          <w:tcPr>
            <w:tcW w:w="60" w:type="dxa"/>
            <w:vAlign w:val="bottom"/>
          </w:tcPr>
          <w:p>
            <w:pPr>
              <w:spacing w:after="0"/>
              <w:rPr>
                <w:sz w:val="13"/>
                <w:szCs w:val="13"/>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14,828</w:t>
            </w:r>
          </w:p>
        </w:tc>
        <w:tc>
          <w:tcPr>
            <w:tcW w:w="10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14,672</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98,455</w:t>
            </w:r>
          </w:p>
        </w:tc>
        <w:tc>
          <w:tcPr>
            <w:tcW w:w="8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99,039</w:t>
            </w:r>
          </w:p>
        </w:tc>
        <w:tc>
          <w:tcPr>
            <w:tcW w:w="140" w:type="dxa"/>
            <w:vAlign w:val="bottom"/>
            <w:shd w:val="clear" w:color="auto" w:fill="CCEEFF"/>
          </w:tcPr>
          <w:p>
            <w:pPr>
              <w:spacing w:after="0"/>
              <w:rPr>
                <w:sz w:val="12"/>
                <w:szCs w:val="12"/>
                <w:color w:val="auto"/>
              </w:rPr>
            </w:pPr>
          </w:p>
        </w:tc>
        <w:tc>
          <w:tcPr>
            <w:tcW w:w="860" w:type="dxa"/>
            <w:vAlign w:val="bottom"/>
            <w:tcBorders>
              <w:top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33"/>
        </w:trPr>
        <w:tc>
          <w:tcPr>
            <w:tcW w:w="20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Human Resource Support</w:t>
            </w:r>
          </w:p>
        </w:tc>
        <w:tc>
          <w:tcPr>
            <w:tcW w:w="2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60" w:type="dxa"/>
            <w:vAlign w:val="bottom"/>
            <w:gridSpan w:val="2"/>
          </w:tcPr>
          <w:p>
            <w:pPr>
              <w:ind w:left="140"/>
              <w:spacing w:after="0"/>
              <w:rPr>
                <w:sz w:val="20"/>
                <w:szCs w:val="20"/>
                <w:color w:val="auto"/>
              </w:rPr>
            </w:pPr>
            <w:r>
              <w:rPr>
                <w:rFonts w:ascii="Arial" w:cs="Arial" w:eastAsia="Arial" w:hAnsi="Arial"/>
                <w:sz w:val="14"/>
                <w:szCs w:val="14"/>
                <w:b w:val="1"/>
                <w:bCs w:val="1"/>
                <w:color w:val="auto"/>
              </w:rPr>
              <w:t>Services</w:t>
            </w:r>
          </w:p>
        </w:tc>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Axonify, Inc.</w:t>
            </w:r>
            <w:r>
              <w:rPr>
                <w:rFonts w:ascii="Arial" w:cs="Arial" w:eastAsia="Arial" w:hAnsi="Arial"/>
                <w:sz w:val="10"/>
                <w:szCs w:val="10"/>
                <w:color w:val="auto"/>
              </w:rPr>
              <w:t>(3)(4)(5)</w:t>
            </w:r>
          </w:p>
        </w:tc>
        <w:tc>
          <w:tcPr>
            <w:tcW w:w="3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($46,088 par, due 5/2026)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5/5/2021</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 + 7.50%</w:t>
            </w:r>
          </w:p>
        </w:tc>
        <w:tc>
          <w:tcPr>
            <w:tcW w:w="1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10.24%</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45,113</w:t>
            </w:r>
          </w:p>
        </w:tc>
        <w:tc>
          <w:tcPr>
            <w:tcW w:w="10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45,024</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8"/>
        </w:trPr>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Elysian Finco Ltd.</w:t>
            </w:r>
            <w:r>
              <w:rPr>
                <w:rFonts w:ascii="Arial" w:cs="Arial" w:eastAsia="Arial" w:hAnsi="Arial"/>
                <w:sz w:val="10"/>
                <w:szCs w:val="10"/>
                <w:color w:val="auto"/>
              </w:rPr>
              <w:t>(3)(4)(5)</w:t>
            </w:r>
          </w:p>
        </w:tc>
        <w:tc>
          <w:tcPr>
            <w:tcW w:w="300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($16,785 par, due 1/2028)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1/31/2022</w:t>
            </w:r>
          </w:p>
        </w:tc>
        <w:tc>
          <w:tcPr>
            <w:tcW w:w="10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5"/>
              </w:rPr>
              <w:t>SOFR + 6.65%</w:t>
            </w: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9.64%</w:t>
            </w: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16,282</w:t>
            </w:r>
          </w:p>
        </w:tc>
        <w:tc>
          <w:tcPr>
            <w:tcW w:w="10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16,489</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0"/>
        </w:trPr>
        <w:tc>
          <w:tcPr>
            <w:tcW w:w="2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Employment Hero Holdings Pty</w:t>
            </w:r>
          </w:p>
        </w:tc>
        <w:tc>
          <w:tcPr>
            <w:tcW w:w="30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(AUD 40,000 par, due 12/2026)</w:t>
            </w:r>
          </w:p>
        </w:tc>
        <w:tc>
          <w:tcPr>
            <w:tcW w:w="6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12/6/2021</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B + 6.50%</w:t>
            </w:r>
          </w:p>
        </w:tc>
        <w:tc>
          <w:tcPr>
            <w:tcW w:w="16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9.56%</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27,554</w:t>
            </w:r>
          </w:p>
        </w:tc>
        <w:tc>
          <w:tcPr>
            <w:tcW w:w="106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24,503</w:t>
            </w:r>
          </w:p>
        </w:tc>
        <w:tc>
          <w:tcPr>
            <w:tcW w:w="86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1"/>
        </w:trPr>
        <w:tc>
          <w:tcPr>
            <w:tcW w:w="2060" w:type="dxa"/>
            <w:vAlign w:val="bottom"/>
            <w:gridSpan w:val="2"/>
            <w:shd w:val="clear" w:color="auto" w:fill="CCEEFF"/>
          </w:tcPr>
          <w:p>
            <w:pPr>
              <w:ind w:left="140"/>
              <w:spacing w:after="0" w:line="181" w:lineRule="exact"/>
              <w:rPr>
                <w:sz w:val="20"/>
                <w:szCs w:val="20"/>
                <w:color w:val="auto"/>
              </w:rPr>
            </w:pPr>
            <w:r>
              <w:rPr>
                <w:rFonts w:ascii="Arial" w:cs="Arial" w:eastAsia="Arial" w:hAnsi="Arial"/>
                <w:sz w:val="20"/>
                <w:szCs w:val="20"/>
                <w:color w:val="auto"/>
                <w:vertAlign w:val="subscript"/>
              </w:rPr>
              <w:t>Ltd.</w:t>
            </w:r>
            <w:r>
              <w:rPr>
                <w:rFonts w:ascii="Arial" w:cs="Arial" w:eastAsia="Arial" w:hAnsi="Arial"/>
                <w:sz w:val="9"/>
                <w:szCs w:val="9"/>
                <w:color w:val="auto"/>
              </w:rPr>
              <w:t>(3)(4)</w:t>
            </w:r>
          </w:p>
        </w:tc>
        <w:tc>
          <w:tcPr>
            <w:tcW w:w="2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(AUD 38,110)</w:t>
            </w: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60" w:type="dxa"/>
            <w:vAlign w:val="bottom"/>
            <w:gridSpan w:val="2"/>
          </w:tcPr>
          <w:p>
            <w:pPr>
              <w:spacing w:after="0" w:line="130" w:lineRule="exact"/>
              <w:rPr>
                <w:sz w:val="20"/>
                <w:szCs w:val="20"/>
                <w:color w:val="auto"/>
              </w:rPr>
            </w:pPr>
            <w:r>
              <w:rPr>
                <w:rFonts w:ascii="Arial" w:cs="Arial" w:eastAsia="Arial" w:hAnsi="Arial"/>
                <w:sz w:val="14"/>
                <w:szCs w:val="14"/>
                <w:color w:val="auto"/>
              </w:rPr>
              <w:t>PageUp People, Ltd.</w:t>
            </w:r>
            <w:r>
              <w:rPr>
                <w:rFonts w:ascii="Arial" w:cs="Arial" w:eastAsia="Arial" w:hAnsi="Arial"/>
                <w:sz w:val="10"/>
                <w:szCs w:val="10"/>
                <w:color w:val="auto"/>
              </w:rPr>
              <w:t>(3)(4)(5)</w:t>
            </w:r>
          </w:p>
        </w:tc>
        <w:tc>
          <w:tcPr>
            <w:tcW w:w="300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(AUD 15,982 par, due 12/2025)</w:t>
            </w:r>
          </w:p>
        </w:tc>
        <w:tc>
          <w:tcPr>
            <w:tcW w:w="680" w:type="dxa"/>
            <w:vAlign w:val="bottom"/>
          </w:tcPr>
          <w:p>
            <w:pPr>
              <w:jc w:val="right"/>
              <w:spacing w:after="0" w:line="130" w:lineRule="exact"/>
              <w:rPr>
                <w:sz w:val="20"/>
                <w:szCs w:val="20"/>
                <w:color w:val="auto"/>
              </w:rPr>
            </w:pPr>
            <w:r>
              <w:rPr>
                <w:rFonts w:ascii="Arial" w:cs="Arial" w:eastAsia="Arial" w:hAnsi="Arial"/>
                <w:sz w:val="14"/>
                <w:szCs w:val="14"/>
                <w:color w:val="auto"/>
              </w:rPr>
              <w:t>1/11/2018</w:t>
            </w:r>
          </w:p>
        </w:tc>
        <w:tc>
          <w:tcPr>
            <w:tcW w:w="100" w:type="dxa"/>
            <w:vAlign w:val="bottom"/>
          </w:tcPr>
          <w:p>
            <w:pPr>
              <w:spacing w:after="0"/>
              <w:rPr>
                <w:sz w:val="11"/>
                <w:szCs w:val="11"/>
                <w:color w:val="auto"/>
              </w:rPr>
            </w:pPr>
          </w:p>
        </w:tc>
        <w:tc>
          <w:tcPr>
            <w:tcW w:w="10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B + 5.50%</w:t>
            </w:r>
          </w:p>
        </w:tc>
        <w:tc>
          <w:tcPr>
            <w:tcW w:w="1600" w:type="dxa"/>
            <w:vAlign w:val="bottom"/>
          </w:tcPr>
          <w:p>
            <w:pPr>
              <w:jc w:val="right"/>
              <w:spacing w:after="0" w:line="130" w:lineRule="exact"/>
              <w:rPr>
                <w:sz w:val="20"/>
                <w:szCs w:val="20"/>
                <w:color w:val="auto"/>
              </w:rPr>
            </w:pPr>
            <w:r>
              <w:rPr>
                <w:rFonts w:ascii="Arial" w:cs="Arial" w:eastAsia="Arial" w:hAnsi="Arial"/>
                <w:sz w:val="14"/>
                <w:szCs w:val="14"/>
                <w:color w:val="auto"/>
              </w:rPr>
              <w:t>8.56%</w:t>
            </w:r>
          </w:p>
        </w:tc>
        <w:tc>
          <w:tcPr>
            <w:tcW w:w="60" w:type="dxa"/>
            <w:vAlign w:val="bottom"/>
          </w:tcPr>
          <w:p>
            <w:pPr>
              <w:spacing w:after="0"/>
              <w:rPr>
                <w:sz w:val="11"/>
                <w:szCs w:val="11"/>
                <w:color w:val="auto"/>
              </w:rPr>
            </w:pPr>
          </w:p>
        </w:tc>
        <w:tc>
          <w:tcPr>
            <w:tcW w:w="580" w:type="dxa"/>
            <w:vAlign w:val="bottom"/>
          </w:tcPr>
          <w:p>
            <w:pPr>
              <w:jc w:val="right"/>
              <w:spacing w:after="0" w:line="130" w:lineRule="exact"/>
              <w:rPr>
                <w:sz w:val="20"/>
                <w:szCs w:val="20"/>
                <w:color w:val="auto"/>
              </w:rPr>
            </w:pPr>
            <w:r>
              <w:rPr>
                <w:rFonts w:ascii="Arial" w:cs="Arial" w:eastAsia="Arial" w:hAnsi="Arial"/>
                <w:sz w:val="14"/>
                <w:szCs w:val="14"/>
                <w:color w:val="auto"/>
              </w:rPr>
              <w:t>11,794</w:t>
            </w:r>
          </w:p>
        </w:tc>
        <w:tc>
          <w:tcPr>
            <w:tcW w:w="106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9,259</w:t>
            </w:r>
          </w:p>
        </w:tc>
        <w:tc>
          <w:tcPr>
            <w:tcW w:w="86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(AUD 14,401)</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7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300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First-lien loan (GBP 4,723 par, due 12/2025)</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4"/>
              </w:rPr>
              <w:t>10/28/2021</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4"/>
                <w:szCs w:val="14"/>
                <w:color w:val="auto"/>
              </w:rPr>
              <w:t>S + 5.50%</w:t>
            </w:r>
          </w:p>
        </w:tc>
        <w:tc>
          <w:tcPr>
            <w:tcW w:w="16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7.32%</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6,501</w:t>
            </w:r>
          </w:p>
        </w:tc>
        <w:tc>
          <w:tcPr>
            <w:tcW w:w="1060" w:type="dxa"/>
            <w:vAlign w:val="bottom"/>
            <w:gridSpan w:val="3"/>
            <w:shd w:val="clear" w:color="auto" w:fill="CCEEFF"/>
          </w:tcPr>
          <w:p>
            <w:pPr>
              <w:jc w:val="right"/>
              <w:ind w:right="140"/>
              <w:spacing w:after="0" w:line="136" w:lineRule="exact"/>
              <w:rPr>
                <w:sz w:val="20"/>
                <w:szCs w:val="20"/>
                <w:color w:val="auto"/>
              </w:rPr>
            </w:pPr>
            <w:r>
              <w:rPr>
                <w:rFonts w:ascii="Arial" w:cs="Arial" w:eastAsia="Arial" w:hAnsi="Arial"/>
                <w:sz w:val="14"/>
                <w:szCs w:val="14"/>
                <w:color w:val="auto"/>
              </w:rPr>
              <w:t>5,128</w:t>
            </w:r>
          </w:p>
        </w:tc>
        <w:tc>
          <w:tcPr>
            <w:tcW w:w="86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1"/>
        </w:trPr>
        <w:tc>
          <w:tcPr>
            <w:tcW w:w="7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(GBP 4,593)</w:t>
            </w: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($12,989 par, due 12/2025)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10/28/2021</w:t>
            </w:r>
          </w:p>
        </w:tc>
        <w:tc>
          <w:tcPr>
            <w:tcW w:w="10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 + 5.50%</w:t>
            </w: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9.17%</w:t>
            </w: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12,974</w:t>
            </w:r>
          </w:p>
        </w:tc>
        <w:tc>
          <w:tcPr>
            <w:tcW w:w="10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12,632</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8"/>
        </w:trPr>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PayScale Holdings, Inc.</w:t>
            </w:r>
            <w:r>
              <w:rPr>
                <w:rFonts w:ascii="Arial" w:cs="Arial" w:eastAsia="Arial" w:hAnsi="Arial"/>
                <w:sz w:val="10"/>
                <w:szCs w:val="10"/>
                <w:color w:val="auto"/>
              </w:rPr>
              <w:t>(3)(5)</w:t>
            </w:r>
          </w:p>
        </w:tc>
        <w:tc>
          <w:tcPr>
            <w:tcW w:w="3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($68,950 par, due 5/2024)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5/3/2019</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 + 5.50%</w:t>
            </w:r>
          </w:p>
        </w:tc>
        <w:tc>
          <w:tcPr>
            <w:tcW w:w="1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9.17%</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68,270</w:t>
            </w:r>
          </w:p>
        </w:tc>
        <w:tc>
          <w:tcPr>
            <w:tcW w:w="10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67,743</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30"/>
        </w:trPr>
        <w:tc>
          <w:tcPr>
            <w:tcW w:w="2060" w:type="dxa"/>
            <w:vAlign w:val="bottom"/>
            <w:gridSpan w:val="2"/>
          </w:tcPr>
          <w:p>
            <w:pPr>
              <w:spacing w:after="0" w:line="130" w:lineRule="exact"/>
              <w:rPr>
                <w:sz w:val="20"/>
                <w:szCs w:val="20"/>
                <w:color w:val="auto"/>
              </w:rPr>
            </w:pPr>
            <w:r>
              <w:rPr>
                <w:rFonts w:ascii="Arial" w:cs="Arial" w:eastAsia="Arial" w:hAnsi="Arial"/>
                <w:sz w:val="14"/>
                <w:szCs w:val="14"/>
                <w:color w:val="auto"/>
              </w:rPr>
              <w:t>PrimePay Intermediate,</w:t>
            </w:r>
          </w:p>
        </w:tc>
        <w:tc>
          <w:tcPr>
            <w:tcW w:w="2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60" w:type="dxa"/>
            <w:vAlign w:val="bottom"/>
            <w:gridSpan w:val="2"/>
          </w:tcPr>
          <w:p>
            <w:pPr>
              <w:ind w:left="140"/>
              <w:spacing w:after="0" w:line="167" w:lineRule="exact"/>
              <w:rPr>
                <w:sz w:val="20"/>
                <w:szCs w:val="20"/>
                <w:color w:val="auto"/>
              </w:rPr>
            </w:pPr>
            <w:r>
              <w:rPr>
                <w:rFonts w:ascii="Arial" w:cs="Arial" w:eastAsia="Arial" w:hAnsi="Arial"/>
                <w:sz w:val="19"/>
                <w:szCs w:val="19"/>
                <w:color w:val="auto"/>
                <w:vertAlign w:val="subscript"/>
              </w:rPr>
              <w:t>LLC</w:t>
            </w:r>
            <w:r>
              <w:rPr>
                <w:rFonts w:ascii="Arial" w:cs="Arial" w:eastAsia="Arial" w:hAnsi="Arial"/>
                <w:sz w:val="9"/>
                <w:szCs w:val="9"/>
                <w:color w:val="auto"/>
              </w:rPr>
              <w:t>(3)(5)</w:t>
            </w:r>
          </w:p>
        </w:tc>
        <w:tc>
          <w:tcPr>
            <w:tcW w:w="3000" w:type="dxa"/>
            <w:vAlign w:val="bottom"/>
            <w:gridSpan w:val="2"/>
          </w:tcPr>
          <w:p>
            <w:pPr>
              <w:spacing w:after="0"/>
              <w:rPr>
                <w:sz w:val="20"/>
                <w:szCs w:val="20"/>
                <w:color w:val="auto"/>
              </w:rPr>
            </w:pPr>
            <w:r>
              <w:rPr>
                <w:rFonts w:ascii="Arial" w:cs="Arial" w:eastAsia="Arial" w:hAnsi="Arial"/>
                <w:sz w:val="14"/>
                <w:szCs w:val="14"/>
                <w:color w:val="auto"/>
              </w:rPr>
              <w:t>First-lien loan ($29,500 par, due 12/2026)</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12/17/2021</w:t>
            </w:r>
          </w:p>
        </w:tc>
        <w:tc>
          <w:tcPr>
            <w:tcW w:w="1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L + 7.00%</w:t>
            </w:r>
          </w:p>
        </w:tc>
        <w:tc>
          <w:tcPr>
            <w:tcW w:w="1600" w:type="dxa"/>
            <w:vAlign w:val="bottom"/>
          </w:tcPr>
          <w:p>
            <w:pPr>
              <w:jc w:val="right"/>
              <w:spacing w:after="0"/>
              <w:rPr>
                <w:sz w:val="20"/>
                <w:szCs w:val="20"/>
                <w:color w:val="auto"/>
              </w:rPr>
            </w:pPr>
            <w:r>
              <w:rPr>
                <w:rFonts w:ascii="Arial" w:cs="Arial" w:eastAsia="Arial" w:hAnsi="Arial"/>
                <w:sz w:val="14"/>
                <w:szCs w:val="14"/>
                <w:color w:val="auto"/>
              </w:rPr>
              <w:t>9.88%</w:t>
            </w: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28,496</w:t>
            </w:r>
          </w:p>
        </w:tc>
        <w:tc>
          <w:tcPr>
            <w:tcW w:w="1060" w:type="dxa"/>
            <w:vAlign w:val="bottom"/>
            <w:gridSpan w:val="3"/>
          </w:tcPr>
          <w:p>
            <w:pPr>
              <w:jc w:val="right"/>
              <w:ind w:right="140"/>
              <w:spacing w:after="0"/>
              <w:rPr>
                <w:sz w:val="20"/>
                <w:szCs w:val="20"/>
                <w:color w:val="auto"/>
              </w:rPr>
            </w:pPr>
            <w:r>
              <w:rPr>
                <w:rFonts w:ascii="Arial" w:cs="Arial" w:eastAsia="Arial" w:hAnsi="Arial"/>
                <w:sz w:val="14"/>
                <w:szCs w:val="14"/>
                <w:color w:val="auto"/>
              </w:rPr>
              <w:t>28,394</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8"/>
        </w:trPr>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Modern Hire, Inc.</w:t>
            </w:r>
            <w:r>
              <w:rPr>
                <w:rFonts w:ascii="Arial" w:cs="Arial" w:eastAsia="Arial" w:hAnsi="Arial"/>
                <w:sz w:val="10"/>
                <w:szCs w:val="10"/>
                <w:color w:val="auto"/>
              </w:rPr>
              <w:t>(3)(5)</w:t>
            </w:r>
          </w:p>
        </w:tc>
        <w:tc>
          <w:tcPr>
            <w:tcW w:w="3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($29,068 par, due 5/2024)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5/15/2019</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 + 7.00%</w:t>
            </w:r>
          </w:p>
        </w:tc>
        <w:tc>
          <w:tcPr>
            <w:tcW w:w="1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10.12%</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28,769</w:t>
            </w:r>
          </w:p>
        </w:tc>
        <w:tc>
          <w:tcPr>
            <w:tcW w:w="10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29,432</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56"/>
        </w:trPr>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Workwell Acquisition Co.</w:t>
            </w:r>
            <w:r>
              <w:rPr>
                <w:rFonts w:ascii="Arial" w:cs="Arial" w:eastAsia="Arial" w:hAnsi="Arial"/>
                <w:sz w:val="10"/>
                <w:szCs w:val="10"/>
                <w:color w:val="auto"/>
              </w:rPr>
              <w:t>(3)(5)</w:t>
            </w:r>
          </w:p>
        </w:tc>
        <w:tc>
          <w:tcPr>
            <w:tcW w:w="300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($23,951 par, due 10/2025)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10/19/2020</w:t>
            </w:r>
          </w:p>
        </w:tc>
        <w:tc>
          <w:tcPr>
            <w:tcW w:w="100" w:type="dxa"/>
            <w:vAlign w:val="bottom"/>
          </w:tcPr>
          <w:p>
            <w:pPr>
              <w:spacing w:after="0"/>
              <w:rPr>
                <w:sz w:val="13"/>
                <w:szCs w:val="13"/>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5"/>
              </w:rPr>
              <w:t>SOFR + 7.35%</w:t>
            </w: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10.55%</w:t>
            </w:r>
          </w:p>
        </w:tc>
        <w:tc>
          <w:tcPr>
            <w:tcW w:w="60" w:type="dxa"/>
            <w:vAlign w:val="bottom"/>
          </w:tcPr>
          <w:p>
            <w:pPr>
              <w:spacing w:after="0"/>
              <w:rPr>
                <w:sz w:val="13"/>
                <w:szCs w:val="13"/>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23,550</w:t>
            </w:r>
          </w:p>
        </w:tc>
        <w:tc>
          <w:tcPr>
            <w:tcW w:w="10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23,581</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269,303</w:t>
            </w:r>
          </w:p>
        </w:tc>
        <w:tc>
          <w:tcPr>
            <w:tcW w:w="8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262,185</w:t>
            </w:r>
          </w:p>
        </w:tc>
        <w:tc>
          <w:tcPr>
            <w:tcW w:w="140" w:type="dxa"/>
            <w:vAlign w:val="bottom"/>
            <w:shd w:val="clear" w:color="auto" w:fill="CCEEFF"/>
          </w:tcPr>
          <w:p>
            <w:pPr>
              <w:spacing w:after="0"/>
              <w:rPr>
                <w:sz w:val="12"/>
                <w:szCs w:val="12"/>
                <w:color w:val="auto"/>
              </w:rPr>
            </w:pPr>
          </w:p>
        </w:tc>
        <w:tc>
          <w:tcPr>
            <w:tcW w:w="860" w:type="dxa"/>
            <w:vAlign w:val="bottom"/>
            <w:tcBorders>
              <w:top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56"/>
        </w:trPr>
        <w:tc>
          <w:tcPr>
            <w:tcW w:w="20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Internet Services</w:t>
            </w:r>
          </w:p>
        </w:tc>
        <w:tc>
          <w:tcPr>
            <w:tcW w:w="2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Bayshore Intermediate #2,</w:t>
            </w:r>
          </w:p>
        </w:tc>
        <w:tc>
          <w:tcPr>
            <w:tcW w:w="2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L.P.</w:t>
            </w:r>
            <w:r>
              <w:rPr>
                <w:rFonts w:ascii="Arial" w:cs="Arial" w:eastAsia="Arial" w:hAnsi="Arial"/>
                <w:sz w:val="10"/>
                <w:szCs w:val="10"/>
                <w:color w:val="auto"/>
              </w:rPr>
              <w:t>(3)</w:t>
            </w:r>
          </w:p>
        </w:tc>
        <w:tc>
          <w:tcPr>
            <w:tcW w:w="3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First-lien loan ($31,256 par, due 10/2028)</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10/1/2021</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L + 7.75%</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10.43% PIK</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30,633</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30,078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30"/>
        </w:trPr>
        <w:tc>
          <w:tcPr>
            <w:tcW w:w="2060" w:type="dxa"/>
            <w:vAlign w:val="bottom"/>
            <w:gridSpan w:val="2"/>
          </w:tcPr>
          <w:p>
            <w:pPr>
              <w:spacing w:after="0" w:line="130" w:lineRule="exact"/>
              <w:rPr>
                <w:sz w:val="20"/>
                <w:szCs w:val="20"/>
                <w:color w:val="auto"/>
              </w:rPr>
            </w:pPr>
            <w:r>
              <w:rPr>
                <w:rFonts w:ascii="Arial" w:cs="Arial" w:eastAsia="Arial" w:hAnsi="Arial"/>
                <w:sz w:val="14"/>
                <w:szCs w:val="14"/>
                <w:color w:val="auto"/>
              </w:rPr>
              <w:t>CrunchTime Information,</w:t>
            </w:r>
          </w:p>
        </w:tc>
        <w:tc>
          <w:tcPr>
            <w:tcW w:w="2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60" w:type="dxa"/>
            <w:vAlign w:val="bottom"/>
            <w:gridSpan w:val="2"/>
          </w:tcPr>
          <w:p>
            <w:pPr>
              <w:ind w:left="140"/>
              <w:spacing w:after="0"/>
              <w:rPr>
                <w:sz w:val="20"/>
                <w:szCs w:val="20"/>
                <w:color w:val="auto"/>
              </w:rPr>
            </w:pPr>
            <w:r>
              <w:rPr>
                <w:rFonts w:ascii="Arial" w:cs="Arial" w:eastAsia="Arial" w:hAnsi="Arial"/>
                <w:sz w:val="14"/>
                <w:szCs w:val="14"/>
                <w:color w:val="auto"/>
              </w:rPr>
              <w:t>Systems, Inc.</w:t>
            </w:r>
            <w:r>
              <w:rPr>
                <w:rFonts w:ascii="Arial" w:cs="Arial" w:eastAsia="Arial" w:hAnsi="Arial"/>
                <w:sz w:val="10"/>
                <w:szCs w:val="10"/>
                <w:color w:val="auto"/>
              </w:rPr>
              <w:t>(3)(5)</w:t>
            </w:r>
          </w:p>
        </w:tc>
        <w:tc>
          <w:tcPr>
            <w:tcW w:w="3000" w:type="dxa"/>
            <w:vAlign w:val="bottom"/>
            <w:gridSpan w:val="2"/>
          </w:tcPr>
          <w:p>
            <w:pPr>
              <w:spacing w:after="0"/>
              <w:rPr>
                <w:sz w:val="20"/>
                <w:szCs w:val="20"/>
                <w:color w:val="auto"/>
              </w:rPr>
            </w:pPr>
            <w:r>
              <w:rPr>
                <w:rFonts w:ascii="Arial" w:cs="Arial" w:eastAsia="Arial" w:hAnsi="Arial"/>
                <w:sz w:val="14"/>
                <w:szCs w:val="14"/>
                <w:color w:val="auto"/>
              </w:rPr>
              <w:t>First-lien loan ($53,255 par, due 6/2028)</w:t>
            </w:r>
          </w:p>
        </w:tc>
        <w:tc>
          <w:tcPr>
            <w:tcW w:w="680" w:type="dxa"/>
            <w:vAlign w:val="bottom"/>
          </w:tcPr>
          <w:p>
            <w:pPr>
              <w:jc w:val="right"/>
              <w:spacing w:after="0"/>
              <w:rPr>
                <w:sz w:val="20"/>
                <w:szCs w:val="20"/>
                <w:color w:val="auto"/>
              </w:rPr>
            </w:pPr>
            <w:r>
              <w:rPr>
                <w:rFonts w:ascii="Arial" w:cs="Arial" w:eastAsia="Arial" w:hAnsi="Arial"/>
                <w:sz w:val="14"/>
                <w:szCs w:val="14"/>
                <w:color w:val="auto"/>
              </w:rPr>
              <w:t>6/17/2022</w:t>
            </w:r>
          </w:p>
        </w:tc>
        <w:tc>
          <w:tcPr>
            <w:tcW w:w="1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SOFR + 6.00%</w:t>
            </w:r>
          </w:p>
        </w:tc>
        <w:tc>
          <w:tcPr>
            <w:tcW w:w="1600" w:type="dxa"/>
            <w:vAlign w:val="bottom"/>
          </w:tcPr>
          <w:p>
            <w:pPr>
              <w:jc w:val="right"/>
              <w:spacing w:after="0"/>
              <w:rPr>
                <w:sz w:val="20"/>
                <w:szCs w:val="20"/>
                <w:color w:val="auto"/>
              </w:rPr>
            </w:pPr>
            <w:r>
              <w:rPr>
                <w:rFonts w:ascii="Arial" w:cs="Arial" w:eastAsia="Arial" w:hAnsi="Arial"/>
                <w:sz w:val="14"/>
                <w:szCs w:val="14"/>
                <w:color w:val="auto"/>
              </w:rPr>
              <w:t>9.02%</w:t>
            </w: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52,047</w:t>
            </w:r>
          </w:p>
        </w:tc>
        <w:tc>
          <w:tcPr>
            <w:tcW w:w="1060" w:type="dxa"/>
            <w:vAlign w:val="bottom"/>
            <w:gridSpan w:val="3"/>
          </w:tcPr>
          <w:p>
            <w:pPr>
              <w:jc w:val="right"/>
              <w:ind w:right="140"/>
              <w:spacing w:after="0"/>
              <w:rPr>
                <w:sz w:val="20"/>
                <w:szCs w:val="20"/>
                <w:color w:val="auto"/>
              </w:rPr>
            </w:pPr>
            <w:r>
              <w:rPr>
                <w:rFonts w:ascii="Arial" w:cs="Arial" w:eastAsia="Arial" w:hAnsi="Arial"/>
                <w:sz w:val="14"/>
                <w:szCs w:val="14"/>
                <w:color w:val="auto"/>
              </w:rPr>
              <w:t>51,595</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8"/>
        </w:trPr>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EDB Parent, LLC</w:t>
            </w:r>
            <w:r>
              <w:rPr>
                <w:rFonts w:ascii="Arial" w:cs="Arial" w:eastAsia="Arial" w:hAnsi="Arial"/>
                <w:sz w:val="10"/>
                <w:szCs w:val="10"/>
                <w:color w:val="auto"/>
              </w:rPr>
              <w:t>(3)(5)</w:t>
            </w:r>
          </w:p>
        </w:tc>
        <w:tc>
          <w:tcPr>
            <w:tcW w:w="3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($53,988 par, due 7/2028)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7/7/2022</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5"/>
              </w:rPr>
              <w:t>SOFR + 6.00%</w:t>
            </w:r>
          </w:p>
        </w:tc>
        <w:tc>
          <w:tcPr>
            <w:tcW w:w="1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9.11%</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52,597</w:t>
            </w:r>
          </w:p>
        </w:tc>
        <w:tc>
          <w:tcPr>
            <w:tcW w:w="10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52,504</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Higher Logic, LLC</w:t>
            </w:r>
            <w:r>
              <w:rPr>
                <w:rFonts w:ascii="Arial" w:cs="Arial" w:eastAsia="Arial" w:hAnsi="Arial"/>
                <w:sz w:val="10"/>
                <w:szCs w:val="10"/>
                <w:color w:val="auto"/>
              </w:rPr>
              <w:t>(3)(5)</w:t>
            </w:r>
          </w:p>
        </w:tc>
        <w:tc>
          <w:tcPr>
            <w:tcW w:w="300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($56,181 par, due 1/2024)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6/18/2018</w:t>
            </w:r>
          </w:p>
        </w:tc>
        <w:tc>
          <w:tcPr>
            <w:tcW w:w="10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 + 7.25%</w:t>
            </w: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10.93%</w:t>
            </w: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55,852</w:t>
            </w:r>
          </w:p>
        </w:tc>
        <w:tc>
          <w:tcPr>
            <w:tcW w:w="10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56,040</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8"/>
        </w:trPr>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LeanTaaS Holdings, Inc.</w:t>
            </w:r>
            <w:r>
              <w:rPr>
                <w:rFonts w:ascii="Arial" w:cs="Arial" w:eastAsia="Arial" w:hAnsi="Arial"/>
                <w:sz w:val="10"/>
                <w:szCs w:val="10"/>
                <w:color w:val="auto"/>
              </w:rPr>
              <w:t>(3)(5)</w:t>
            </w:r>
          </w:p>
        </w:tc>
        <w:tc>
          <w:tcPr>
            <w:tcW w:w="3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($26,690 par, due 7/2028)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7/12/2022</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5"/>
              </w:rPr>
              <w:t>SOFR + 6.50%</w:t>
            </w:r>
          </w:p>
        </w:tc>
        <w:tc>
          <w:tcPr>
            <w:tcW w:w="1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11.05%</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25,783</w:t>
            </w:r>
          </w:p>
        </w:tc>
        <w:tc>
          <w:tcPr>
            <w:tcW w:w="10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25,639</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0"/>
        </w:trPr>
        <w:tc>
          <w:tcPr>
            <w:tcW w:w="2060" w:type="dxa"/>
            <w:vAlign w:val="bottom"/>
            <w:gridSpan w:val="2"/>
          </w:tcPr>
          <w:p>
            <w:pPr>
              <w:spacing w:after="0" w:line="130" w:lineRule="exact"/>
              <w:rPr>
                <w:sz w:val="20"/>
                <w:szCs w:val="20"/>
                <w:color w:val="auto"/>
              </w:rPr>
            </w:pPr>
            <w:r>
              <w:rPr>
                <w:rFonts w:ascii="Arial" w:cs="Arial" w:eastAsia="Arial" w:hAnsi="Arial"/>
                <w:sz w:val="14"/>
                <w:szCs w:val="14"/>
                <w:color w:val="auto"/>
              </w:rPr>
              <w:t>Lithium Technologies,</w:t>
            </w:r>
          </w:p>
        </w:tc>
        <w:tc>
          <w:tcPr>
            <w:tcW w:w="2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60" w:type="dxa"/>
            <w:vAlign w:val="bottom"/>
            <w:gridSpan w:val="2"/>
          </w:tcPr>
          <w:p>
            <w:pPr>
              <w:ind w:left="140"/>
              <w:spacing w:after="0"/>
              <w:rPr>
                <w:sz w:val="20"/>
                <w:szCs w:val="20"/>
                <w:color w:val="auto"/>
              </w:rPr>
            </w:pPr>
            <w:r>
              <w:rPr>
                <w:rFonts w:ascii="Arial" w:cs="Arial" w:eastAsia="Arial" w:hAnsi="Arial"/>
                <w:sz w:val="14"/>
                <w:szCs w:val="14"/>
                <w:color w:val="auto"/>
              </w:rPr>
              <w:t>LLC</w:t>
            </w:r>
            <w:r>
              <w:rPr>
                <w:rFonts w:ascii="Arial" w:cs="Arial" w:eastAsia="Arial" w:hAnsi="Arial"/>
                <w:sz w:val="10"/>
                <w:szCs w:val="10"/>
                <w:color w:val="auto"/>
              </w:rPr>
              <w:t>(3)</w:t>
            </w:r>
          </w:p>
        </w:tc>
        <w:tc>
          <w:tcPr>
            <w:tcW w:w="3000" w:type="dxa"/>
            <w:vAlign w:val="bottom"/>
            <w:gridSpan w:val="2"/>
          </w:tcPr>
          <w:p>
            <w:pPr>
              <w:spacing w:after="0"/>
              <w:rPr>
                <w:sz w:val="20"/>
                <w:szCs w:val="20"/>
                <w:color w:val="auto"/>
              </w:rPr>
            </w:pPr>
            <w:r>
              <w:rPr>
                <w:rFonts w:ascii="Arial" w:cs="Arial" w:eastAsia="Arial" w:hAnsi="Arial"/>
                <w:sz w:val="14"/>
                <w:szCs w:val="14"/>
                <w:color w:val="auto"/>
              </w:rPr>
              <w:t>First-lien loan ($54,700 par, due 1/2024)</w:t>
            </w:r>
          </w:p>
        </w:tc>
        <w:tc>
          <w:tcPr>
            <w:tcW w:w="680" w:type="dxa"/>
            <w:vAlign w:val="bottom"/>
          </w:tcPr>
          <w:p>
            <w:pPr>
              <w:jc w:val="right"/>
              <w:spacing w:after="0"/>
              <w:rPr>
                <w:sz w:val="20"/>
                <w:szCs w:val="20"/>
                <w:color w:val="auto"/>
              </w:rPr>
            </w:pPr>
            <w:r>
              <w:rPr>
                <w:rFonts w:ascii="Arial" w:cs="Arial" w:eastAsia="Arial" w:hAnsi="Arial"/>
                <w:sz w:val="14"/>
                <w:szCs w:val="14"/>
                <w:color w:val="auto"/>
              </w:rPr>
              <w:t>10/3/2017</w:t>
            </w:r>
          </w:p>
        </w:tc>
        <w:tc>
          <w:tcPr>
            <w:tcW w:w="1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SOFR + 8.00%</w:t>
            </w:r>
          </w:p>
        </w:tc>
        <w:tc>
          <w:tcPr>
            <w:tcW w:w="1600" w:type="dxa"/>
            <w:vAlign w:val="bottom"/>
          </w:tcPr>
          <w:p>
            <w:pPr>
              <w:jc w:val="right"/>
              <w:spacing w:after="0"/>
              <w:rPr>
                <w:sz w:val="20"/>
                <w:szCs w:val="20"/>
                <w:color w:val="auto"/>
              </w:rPr>
            </w:pPr>
            <w:r>
              <w:rPr>
                <w:rFonts w:ascii="Arial" w:cs="Arial" w:eastAsia="Arial" w:hAnsi="Arial"/>
                <w:sz w:val="14"/>
                <w:szCs w:val="14"/>
                <w:color w:val="auto"/>
              </w:rPr>
              <w:t>10.53%</w:t>
            </w: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54,636</w:t>
            </w:r>
          </w:p>
        </w:tc>
        <w:tc>
          <w:tcPr>
            <w:tcW w:w="1060" w:type="dxa"/>
            <w:vAlign w:val="bottom"/>
            <w:gridSpan w:val="3"/>
          </w:tcPr>
          <w:p>
            <w:pPr>
              <w:jc w:val="right"/>
              <w:ind w:right="140"/>
              <w:spacing w:after="0"/>
              <w:rPr>
                <w:sz w:val="20"/>
                <w:szCs w:val="20"/>
                <w:color w:val="auto"/>
              </w:rPr>
            </w:pPr>
            <w:r>
              <w:rPr>
                <w:rFonts w:ascii="Arial" w:cs="Arial" w:eastAsia="Arial" w:hAnsi="Arial"/>
                <w:sz w:val="14"/>
                <w:szCs w:val="14"/>
                <w:color w:val="auto"/>
              </w:rPr>
              <w:t>53,606</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6"/>
              </w:rPr>
              <w:t>First-lien revolving loan ($1,320 par, due 10/2022)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10/3/2017</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5"/>
              </w:rPr>
              <w:t>SOFR + 8.00%</w:t>
            </w:r>
          </w:p>
        </w:tc>
        <w:tc>
          <w:tcPr>
            <w:tcW w:w="1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10.53%</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1,319</w:t>
            </w:r>
          </w:p>
        </w:tc>
        <w:tc>
          <w:tcPr>
            <w:tcW w:w="10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1,254</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Lucidworks, Inc.</w:t>
            </w:r>
            <w:r>
              <w:rPr>
                <w:rFonts w:ascii="Arial" w:cs="Arial" w:eastAsia="Arial" w:hAnsi="Arial"/>
                <w:sz w:val="10"/>
                <w:szCs w:val="10"/>
                <w:color w:val="auto"/>
              </w:rPr>
              <w:t>(3)(5)</w:t>
            </w:r>
          </w:p>
        </w:tc>
        <w:tc>
          <w:tcPr>
            <w:tcW w:w="300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($8,188 par, due 2/2027)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2/11/2022</w:t>
            </w:r>
          </w:p>
        </w:tc>
        <w:tc>
          <w:tcPr>
            <w:tcW w:w="10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5"/>
              </w:rPr>
              <w:t>SOFR + 7.50%</w:t>
            </w:r>
          </w:p>
        </w:tc>
        <w:tc>
          <w:tcPr>
            <w:tcW w:w="1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10.53% (incl. 3.50% PIK)</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8,188</w:t>
            </w:r>
          </w:p>
        </w:tc>
        <w:tc>
          <w:tcPr>
            <w:tcW w:w="10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8,030</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8"/>
        </w:trPr>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Piano Software, Inc.</w:t>
            </w:r>
            <w:r>
              <w:rPr>
                <w:rFonts w:ascii="Arial" w:cs="Arial" w:eastAsia="Arial" w:hAnsi="Arial"/>
                <w:sz w:val="10"/>
                <w:szCs w:val="10"/>
                <w:color w:val="auto"/>
              </w:rPr>
              <w:t>(3)(5)</w:t>
            </w:r>
          </w:p>
        </w:tc>
        <w:tc>
          <w:tcPr>
            <w:tcW w:w="3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($51,442 par, due 2/2026)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2/25/2021</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5"/>
              </w:rPr>
              <w:t>SOFR + 7.10%</w:t>
            </w:r>
          </w:p>
        </w:tc>
        <w:tc>
          <w:tcPr>
            <w:tcW w:w="1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10.13%</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50,526</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50,156</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331,581</w:t>
            </w:r>
          </w:p>
        </w:tc>
        <w:tc>
          <w:tcPr>
            <w:tcW w:w="80" w:type="dxa"/>
            <w:vAlign w:val="bottom"/>
            <w:vMerge w:val="continue"/>
          </w:tcPr>
          <w:p>
            <w:pPr>
              <w:spacing w:after="0"/>
              <w:rPr>
                <w:sz w:val="14"/>
                <w:szCs w:val="14"/>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328,902</w:t>
            </w:r>
          </w:p>
        </w:tc>
        <w:tc>
          <w:tcPr>
            <w:tcW w:w="140" w:type="dxa"/>
            <w:vAlign w:val="bottom"/>
            <w:vMerge w:val="continue"/>
          </w:tcPr>
          <w:p>
            <w:pPr>
              <w:spacing w:after="0"/>
              <w:rPr>
                <w:sz w:val="14"/>
                <w:szCs w:val="14"/>
                <w:color w:val="auto"/>
              </w:rPr>
            </w:pP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49"/>
        </w:trPr>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Marketing Services</w:t>
            </w:r>
          </w:p>
        </w:tc>
        <w:tc>
          <w:tcPr>
            <w:tcW w:w="2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Acoustic, L.P.</w:t>
            </w:r>
            <w:r>
              <w:rPr>
                <w:rFonts w:ascii="Arial" w:cs="Arial" w:eastAsia="Arial" w:hAnsi="Arial"/>
                <w:sz w:val="10"/>
                <w:szCs w:val="10"/>
                <w:color w:val="auto"/>
              </w:rPr>
              <w:t>(3)</w:t>
            </w:r>
          </w:p>
        </w:tc>
        <w:tc>
          <w:tcPr>
            <w:tcW w:w="3000" w:type="dxa"/>
            <w:vAlign w:val="bottom"/>
            <w:gridSpan w:val="2"/>
          </w:tcPr>
          <w:p>
            <w:pPr>
              <w:spacing w:after="0" w:line="149" w:lineRule="exact"/>
              <w:rPr>
                <w:sz w:val="20"/>
                <w:szCs w:val="20"/>
                <w:color w:val="auto"/>
              </w:rPr>
            </w:pPr>
            <w:r>
              <w:rPr>
                <w:rFonts w:ascii="Arial" w:cs="Arial" w:eastAsia="Arial" w:hAnsi="Arial"/>
                <w:sz w:val="14"/>
                <w:szCs w:val="14"/>
                <w:color w:val="auto"/>
              </w:rPr>
              <w:t>First-lien note ($33,330 par, due 6/2024)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12/17/2019</w:t>
            </w:r>
          </w:p>
        </w:tc>
        <w:tc>
          <w:tcPr>
            <w:tcW w:w="10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 + 7.00%</w:t>
            </w: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9.81%</w:t>
            </w: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32,681</w:t>
            </w:r>
          </w:p>
        </w:tc>
        <w:tc>
          <w:tcPr>
            <w:tcW w:w="10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32,913</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8"/>
        </w:trPr>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Office Products</w:t>
            </w:r>
          </w:p>
        </w:tc>
        <w:tc>
          <w:tcPr>
            <w:tcW w:w="2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USR Parent, Inc.</w:t>
            </w:r>
            <w:r>
              <w:rPr>
                <w:rFonts w:ascii="Arial" w:cs="Arial" w:eastAsia="Arial" w:hAnsi="Arial"/>
                <w:sz w:val="10"/>
                <w:szCs w:val="10"/>
                <w:color w:val="auto"/>
              </w:rPr>
              <w:t>(3)(5)</w:t>
            </w:r>
          </w:p>
        </w:tc>
        <w:tc>
          <w:tcPr>
            <w:tcW w:w="3000" w:type="dxa"/>
            <w:vAlign w:val="bottom"/>
            <w:gridSpan w:val="2"/>
          </w:tcPr>
          <w:p>
            <w:pPr>
              <w:spacing w:after="0" w:line="149" w:lineRule="exact"/>
              <w:rPr>
                <w:sz w:val="20"/>
                <w:szCs w:val="20"/>
                <w:color w:val="auto"/>
              </w:rPr>
            </w:pPr>
            <w:r>
              <w:rPr>
                <w:rFonts w:ascii="Arial" w:cs="Arial" w:eastAsia="Arial" w:hAnsi="Arial"/>
                <w:sz w:val="14"/>
                <w:szCs w:val="14"/>
                <w:color w:val="auto"/>
              </w:rPr>
              <w:t>ABL FILO term loan ($19,500 par, due 4/2027)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4/25/2022</w:t>
            </w:r>
          </w:p>
        </w:tc>
        <w:tc>
          <w:tcPr>
            <w:tcW w:w="10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5"/>
              </w:rPr>
              <w:t>SOFR + 6.50%</w:t>
            </w: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9.01%</w:t>
            </w: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19,118</w:t>
            </w:r>
          </w:p>
        </w:tc>
        <w:tc>
          <w:tcPr>
            <w:tcW w:w="10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18,866</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8"/>
        </w:trPr>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7"/>
              </w:rPr>
              <w:t>Oil, Gas and Consumable Fuels</w:t>
            </w:r>
          </w:p>
        </w:tc>
        <w:tc>
          <w:tcPr>
            <w:tcW w:w="2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Murchison Oil and Gas, LLC</w:t>
            </w:r>
            <w:r>
              <w:rPr>
                <w:rFonts w:ascii="Arial" w:cs="Arial" w:eastAsia="Arial" w:hAnsi="Arial"/>
                <w:sz w:val="10"/>
                <w:szCs w:val="10"/>
                <w:color w:val="auto"/>
              </w:rPr>
              <w:t>(3)</w:t>
            </w:r>
          </w:p>
        </w:tc>
        <w:tc>
          <w:tcPr>
            <w:tcW w:w="300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($26,873 par, due 6/2026)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6/30/2022</w:t>
            </w:r>
          </w:p>
        </w:tc>
        <w:tc>
          <w:tcPr>
            <w:tcW w:w="10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5"/>
              </w:rPr>
              <w:t>SOFR + 8.50%</w:t>
            </w: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12.20%</w:t>
            </w: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26,307</w:t>
            </w:r>
          </w:p>
        </w:tc>
        <w:tc>
          <w:tcPr>
            <w:tcW w:w="10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26,323</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TRP Assets, LLC</w:t>
            </w:r>
            <w:r>
              <w:rPr>
                <w:rFonts w:ascii="Arial" w:cs="Arial" w:eastAsia="Arial" w:hAnsi="Arial"/>
                <w:sz w:val="10"/>
                <w:szCs w:val="10"/>
                <w:color w:val="auto"/>
              </w:rPr>
              <w:t>(3)</w:t>
            </w:r>
          </w:p>
        </w:tc>
        <w:tc>
          <w:tcPr>
            <w:tcW w:w="3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($46,364 par, due 12/2025)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12/3/2021</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5"/>
              </w:rPr>
              <w:t>SOFR + 7.76%</w:t>
            </w:r>
          </w:p>
        </w:tc>
        <w:tc>
          <w:tcPr>
            <w:tcW w:w="1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11.31%</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45,546</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46,664</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71,853</w:t>
            </w:r>
          </w:p>
        </w:tc>
        <w:tc>
          <w:tcPr>
            <w:tcW w:w="80" w:type="dxa"/>
            <w:vAlign w:val="bottom"/>
            <w:vMerge w:val="continue"/>
          </w:tcPr>
          <w:p>
            <w:pPr>
              <w:spacing w:after="0"/>
              <w:rPr>
                <w:sz w:val="14"/>
                <w:szCs w:val="14"/>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72,987</w:t>
            </w:r>
          </w:p>
        </w:tc>
        <w:tc>
          <w:tcPr>
            <w:tcW w:w="140" w:type="dxa"/>
            <w:vAlign w:val="bottom"/>
            <w:vMerge w:val="continue"/>
          </w:tcPr>
          <w:p>
            <w:pPr>
              <w:spacing w:after="0"/>
              <w:rPr>
                <w:sz w:val="14"/>
                <w:szCs w:val="14"/>
                <w:color w:val="auto"/>
              </w:rPr>
            </w:pP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8"/>
        </w:trPr>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w:t>
            </w:r>
          </w:p>
        </w:tc>
        <w:tc>
          <w:tcPr>
            <w:tcW w:w="2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Omnigo Software, LLC</w:t>
            </w:r>
            <w:r>
              <w:rPr>
                <w:rFonts w:ascii="Arial" w:cs="Arial" w:eastAsia="Arial" w:hAnsi="Arial"/>
                <w:sz w:val="10"/>
                <w:szCs w:val="10"/>
                <w:color w:val="auto"/>
              </w:rPr>
              <w:t>(3)(5)</w:t>
            </w:r>
          </w:p>
        </w:tc>
        <w:tc>
          <w:tcPr>
            <w:tcW w:w="300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($40,455 par, due 3/2026)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3/31/2021</w:t>
            </w:r>
          </w:p>
        </w:tc>
        <w:tc>
          <w:tcPr>
            <w:tcW w:w="10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5"/>
              </w:rPr>
              <w:t>SOFR + 6.60%</w:t>
            </w: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9.63%</w:t>
            </w: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39,710</w:t>
            </w:r>
          </w:p>
        </w:tc>
        <w:tc>
          <w:tcPr>
            <w:tcW w:w="10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39,545</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8"/>
        </w:trPr>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Pharmaceuticals</w:t>
            </w:r>
          </w:p>
        </w:tc>
        <w:tc>
          <w:tcPr>
            <w:tcW w:w="2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60" w:type="dxa"/>
            <w:vAlign w:val="bottom"/>
            <w:gridSpan w:val="2"/>
          </w:tcPr>
          <w:p>
            <w:pPr>
              <w:spacing w:after="0" w:line="130" w:lineRule="exact"/>
              <w:rPr>
                <w:sz w:val="20"/>
                <w:szCs w:val="20"/>
                <w:color w:val="auto"/>
              </w:rPr>
            </w:pPr>
            <w:r>
              <w:rPr>
                <w:rFonts w:ascii="Arial" w:cs="Arial" w:eastAsia="Arial" w:hAnsi="Arial"/>
                <w:sz w:val="14"/>
                <w:szCs w:val="14"/>
                <w:color w:val="auto"/>
              </w:rPr>
              <w:t>Biohaven Pharmaceuticals,</w:t>
            </w:r>
          </w:p>
        </w:tc>
        <w:tc>
          <w:tcPr>
            <w:tcW w:w="2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60" w:type="dxa"/>
            <w:vAlign w:val="bottom"/>
            <w:gridSpan w:val="2"/>
          </w:tcPr>
          <w:p>
            <w:pPr>
              <w:ind w:left="140"/>
              <w:spacing w:after="0" w:line="167" w:lineRule="exact"/>
              <w:rPr>
                <w:sz w:val="20"/>
                <w:szCs w:val="20"/>
                <w:color w:val="auto"/>
              </w:rPr>
            </w:pPr>
            <w:r>
              <w:rPr>
                <w:rFonts w:ascii="Arial" w:cs="Arial" w:eastAsia="Arial" w:hAnsi="Arial"/>
                <w:sz w:val="19"/>
                <w:szCs w:val="19"/>
                <w:color w:val="auto"/>
                <w:vertAlign w:val="subscript"/>
              </w:rPr>
              <w:t>Inc.</w:t>
            </w:r>
            <w:r>
              <w:rPr>
                <w:rFonts w:ascii="Arial" w:cs="Arial" w:eastAsia="Arial" w:hAnsi="Arial"/>
                <w:sz w:val="9"/>
                <w:szCs w:val="9"/>
                <w:color w:val="auto"/>
              </w:rPr>
              <w:t>(3)(4)</w:t>
            </w:r>
          </w:p>
        </w:tc>
        <w:tc>
          <w:tcPr>
            <w:tcW w:w="3000" w:type="dxa"/>
            <w:vAlign w:val="bottom"/>
            <w:gridSpan w:val="2"/>
          </w:tcPr>
          <w:p>
            <w:pPr>
              <w:spacing w:after="0"/>
              <w:rPr>
                <w:sz w:val="20"/>
                <w:szCs w:val="20"/>
                <w:color w:val="auto"/>
              </w:rPr>
            </w:pPr>
            <w:r>
              <w:rPr>
                <w:rFonts w:ascii="Arial" w:cs="Arial" w:eastAsia="Arial" w:hAnsi="Arial"/>
                <w:sz w:val="14"/>
                <w:szCs w:val="14"/>
                <w:color w:val="auto"/>
              </w:rPr>
              <w:t>First-lien loan ($42,613 par, due 8/2025)</w:t>
            </w:r>
          </w:p>
        </w:tc>
        <w:tc>
          <w:tcPr>
            <w:tcW w:w="680" w:type="dxa"/>
            <w:vAlign w:val="bottom"/>
          </w:tcPr>
          <w:p>
            <w:pPr>
              <w:jc w:val="right"/>
              <w:spacing w:after="0"/>
              <w:rPr>
                <w:sz w:val="20"/>
                <w:szCs w:val="20"/>
                <w:color w:val="auto"/>
              </w:rPr>
            </w:pPr>
            <w:r>
              <w:rPr>
                <w:rFonts w:ascii="Arial" w:cs="Arial" w:eastAsia="Arial" w:hAnsi="Arial"/>
                <w:sz w:val="14"/>
                <w:szCs w:val="14"/>
                <w:color w:val="auto"/>
              </w:rPr>
              <w:t>8/7/2020</w:t>
            </w:r>
          </w:p>
        </w:tc>
        <w:tc>
          <w:tcPr>
            <w:tcW w:w="1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L + 9.00%</w:t>
            </w:r>
          </w:p>
        </w:tc>
        <w:tc>
          <w:tcPr>
            <w:tcW w:w="1600" w:type="dxa"/>
            <w:vAlign w:val="bottom"/>
          </w:tcPr>
          <w:p>
            <w:pPr>
              <w:jc w:val="right"/>
              <w:spacing w:after="0"/>
              <w:rPr>
                <w:sz w:val="20"/>
                <w:szCs w:val="20"/>
                <w:color w:val="auto"/>
              </w:rPr>
            </w:pPr>
            <w:r>
              <w:rPr>
                <w:rFonts w:ascii="Arial" w:cs="Arial" w:eastAsia="Arial" w:hAnsi="Arial"/>
                <w:sz w:val="14"/>
                <w:szCs w:val="14"/>
                <w:color w:val="auto"/>
              </w:rPr>
              <w:t>12.67%</w:t>
            </w: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41,864</w:t>
            </w:r>
          </w:p>
        </w:tc>
        <w:tc>
          <w:tcPr>
            <w:tcW w:w="1060" w:type="dxa"/>
            <w:vAlign w:val="bottom"/>
            <w:gridSpan w:val="3"/>
          </w:tcPr>
          <w:p>
            <w:pPr>
              <w:jc w:val="right"/>
              <w:ind w:right="140"/>
              <w:spacing w:after="0"/>
              <w:rPr>
                <w:sz w:val="20"/>
                <w:szCs w:val="20"/>
                <w:color w:val="auto"/>
              </w:rPr>
            </w:pPr>
            <w:r>
              <w:rPr>
                <w:rFonts w:ascii="Arial" w:cs="Arial" w:eastAsia="Arial" w:hAnsi="Arial"/>
                <w:sz w:val="14"/>
                <w:szCs w:val="14"/>
                <w:color w:val="auto"/>
              </w:rPr>
              <w:t>45,169</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($35,689 par, due 9/2026)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9/30/2021</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 + 8.25%</w:t>
            </w:r>
          </w:p>
        </w:tc>
        <w:tc>
          <w:tcPr>
            <w:tcW w:w="1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11.92%</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35,011</w:t>
            </w:r>
          </w:p>
        </w:tc>
        <w:tc>
          <w:tcPr>
            <w:tcW w:w="10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41,043</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55"/>
        </w:trPr>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TherapeuticsMD, Inc.</w:t>
            </w:r>
            <w:r>
              <w:rPr>
                <w:rFonts w:ascii="Arial" w:cs="Arial" w:eastAsia="Arial" w:hAnsi="Arial"/>
                <w:sz w:val="10"/>
                <w:szCs w:val="10"/>
                <w:color w:val="auto"/>
              </w:rPr>
              <w:t>(3)(4)</w:t>
            </w:r>
          </w:p>
        </w:tc>
        <w:tc>
          <w:tcPr>
            <w:tcW w:w="300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($13,797 par, due 10/2022)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4/24/2019</w:t>
            </w:r>
          </w:p>
        </w:tc>
        <w:tc>
          <w:tcPr>
            <w:tcW w:w="100" w:type="dxa"/>
            <w:vAlign w:val="bottom"/>
          </w:tcPr>
          <w:p>
            <w:pPr>
              <w:spacing w:after="0"/>
              <w:rPr>
                <w:sz w:val="13"/>
                <w:szCs w:val="13"/>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 + 7.75%</w:t>
            </w: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11.42%</w:t>
            </w:r>
          </w:p>
        </w:tc>
        <w:tc>
          <w:tcPr>
            <w:tcW w:w="60" w:type="dxa"/>
            <w:vAlign w:val="bottom"/>
          </w:tcPr>
          <w:p>
            <w:pPr>
              <w:spacing w:after="0"/>
              <w:rPr>
                <w:sz w:val="13"/>
                <w:szCs w:val="13"/>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13,673</w:t>
            </w:r>
          </w:p>
        </w:tc>
        <w:tc>
          <w:tcPr>
            <w:tcW w:w="10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13,659</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7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90,548</w:t>
            </w:r>
          </w:p>
        </w:tc>
        <w:tc>
          <w:tcPr>
            <w:tcW w:w="8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99,871</w:t>
            </w:r>
          </w:p>
        </w:tc>
        <w:tc>
          <w:tcPr>
            <w:tcW w:w="140" w:type="dxa"/>
            <w:vAlign w:val="bottom"/>
            <w:shd w:val="clear" w:color="auto" w:fill="CCEEFF"/>
          </w:tcPr>
          <w:p>
            <w:pPr>
              <w:spacing w:after="0"/>
              <w:rPr>
                <w:sz w:val="12"/>
                <w:szCs w:val="12"/>
                <w:color w:val="auto"/>
              </w:rPr>
            </w:pPr>
          </w:p>
        </w:tc>
        <w:tc>
          <w:tcPr>
            <w:tcW w:w="860" w:type="dxa"/>
            <w:vAlign w:val="bottom"/>
            <w:tcBorders>
              <w:top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55"/>
        </w:trPr>
        <w:tc>
          <w:tcPr>
            <w:tcW w:w="20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9"/>
              </w:rPr>
              <w:t>Retail and Consumer Products</w:t>
            </w:r>
          </w:p>
        </w:tc>
        <w:tc>
          <w:tcPr>
            <w:tcW w:w="2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99 Cents Only Stores</w:t>
            </w:r>
          </w:p>
        </w:tc>
        <w:tc>
          <w:tcPr>
            <w:tcW w:w="2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60" w:type="dxa"/>
            <w:vAlign w:val="bottom"/>
            <w:gridSpan w:val="2"/>
            <w:shd w:val="clear" w:color="auto" w:fill="CCEEFF"/>
          </w:tcPr>
          <w:p>
            <w:pPr>
              <w:ind w:left="140"/>
              <w:spacing w:after="0" w:line="167" w:lineRule="exact"/>
              <w:rPr>
                <w:sz w:val="20"/>
                <w:szCs w:val="20"/>
                <w:color w:val="auto"/>
              </w:rPr>
            </w:pPr>
            <w:r>
              <w:rPr>
                <w:rFonts w:ascii="Arial" w:cs="Arial" w:eastAsia="Arial" w:hAnsi="Arial"/>
                <w:sz w:val="13"/>
                <w:szCs w:val="13"/>
                <w:color w:val="auto"/>
              </w:rPr>
              <w:t>LLC</w:t>
            </w:r>
            <w:r>
              <w:rPr>
                <w:rFonts w:ascii="Arial" w:cs="Arial" w:eastAsia="Arial" w:hAnsi="Arial"/>
                <w:sz w:val="19"/>
                <w:szCs w:val="19"/>
                <w:color w:val="auto"/>
                <w:vertAlign w:val="superscript"/>
              </w:rPr>
              <w:t>(3)</w:t>
            </w:r>
          </w:p>
        </w:tc>
        <w:tc>
          <w:tcPr>
            <w:tcW w:w="3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ABL FILO term loan ($25,000 par, due 5/2025)</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9/6/2017</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L + 8.50%</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11.67%</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24,762</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25,000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0"/>
        </w:trPr>
        <w:tc>
          <w:tcPr>
            <w:tcW w:w="2060" w:type="dxa"/>
            <w:vAlign w:val="bottom"/>
            <w:gridSpan w:val="2"/>
          </w:tcPr>
          <w:p>
            <w:pPr>
              <w:spacing w:after="0" w:line="130" w:lineRule="exact"/>
              <w:rPr>
                <w:sz w:val="20"/>
                <w:szCs w:val="20"/>
                <w:color w:val="auto"/>
              </w:rPr>
            </w:pPr>
            <w:r>
              <w:rPr>
                <w:rFonts w:ascii="Arial" w:cs="Arial" w:eastAsia="Arial" w:hAnsi="Arial"/>
                <w:sz w:val="14"/>
                <w:szCs w:val="14"/>
                <w:color w:val="auto"/>
              </w:rPr>
              <w:t>American Achievement,</w:t>
            </w:r>
          </w:p>
        </w:tc>
        <w:tc>
          <w:tcPr>
            <w:tcW w:w="2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60" w:type="dxa"/>
            <w:vAlign w:val="bottom"/>
            <w:gridSpan w:val="2"/>
          </w:tcPr>
          <w:p>
            <w:pPr>
              <w:ind w:left="140"/>
              <w:spacing w:after="0"/>
              <w:rPr>
                <w:sz w:val="20"/>
                <w:szCs w:val="20"/>
                <w:color w:val="auto"/>
              </w:rPr>
            </w:pPr>
            <w:r>
              <w:rPr>
                <w:rFonts w:ascii="Arial" w:cs="Arial" w:eastAsia="Arial" w:hAnsi="Arial"/>
                <w:sz w:val="14"/>
                <w:szCs w:val="14"/>
                <w:color w:val="auto"/>
              </w:rPr>
              <w:t>Corp.</w:t>
            </w:r>
            <w:r>
              <w:rPr>
                <w:rFonts w:ascii="Arial" w:cs="Arial" w:eastAsia="Arial" w:hAnsi="Arial"/>
                <w:sz w:val="10"/>
                <w:szCs w:val="10"/>
                <w:color w:val="auto"/>
              </w:rPr>
              <w:t>(3)</w:t>
            </w:r>
          </w:p>
        </w:tc>
        <w:tc>
          <w:tcPr>
            <w:tcW w:w="3000" w:type="dxa"/>
            <w:vAlign w:val="bottom"/>
            <w:gridSpan w:val="2"/>
          </w:tcPr>
          <w:p>
            <w:pPr>
              <w:spacing w:after="0"/>
              <w:rPr>
                <w:sz w:val="20"/>
                <w:szCs w:val="20"/>
                <w:color w:val="auto"/>
              </w:rPr>
            </w:pPr>
            <w:r>
              <w:rPr>
                <w:rFonts w:ascii="Arial" w:cs="Arial" w:eastAsia="Arial" w:hAnsi="Arial"/>
                <w:sz w:val="14"/>
                <w:szCs w:val="14"/>
                <w:color w:val="auto"/>
              </w:rPr>
              <w:t>First-lien loan ($26,566 par, due 9/2026)</w:t>
            </w:r>
          </w:p>
        </w:tc>
        <w:tc>
          <w:tcPr>
            <w:tcW w:w="680" w:type="dxa"/>
            <w:vAlign w:val="bottom"/>
          </w:tcPr>
          <w:p>
            <w:pPr>
              <w:jc w:val="right"/>
              <w:spacing w:after="0"/>
              <w:rPr>
                <w:sz w:val="20"/>
                <w:szCs w:val="20"/>
                <w:color w:val="auto"/>
              </w:rPr>
            </w:pPr>
            <w:r>
              <w:rPr>
                <w:rFonts w:ascii="Arial" w:cs="Arial" w:eastAsia="Arial" w:hAnsi="Arial"/>
                <w:sz w:val="14"/>
                <w:szCs w:val="14"/>
                <w:color w:val="auto"/>
              </w:rPr>
              <w:t>9/30/2015</w:t>
            </w:r>
          </w:p>
        </w:tc>
        <w:tc>
          <w:tcPr>
            <w:tcW w:w="1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L + 6.25%</w:t>
            </w: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8.82% (incl. 8.32% PIK)</w:t>
            </w:r>
          </w:p>
        </w:tc>
        <w:tc>
          <w:tcPr>
            <w:tcW w:w="580" w:type="dxa"/>
            <w:vAlign w:val="bottom"/>
          </w:tcPr>
          <w:p>
            <w:pPr>
              <w:jc w:val="right"/>
              <w:spacing w:after="0"/>
              <w:rPr>
                <w:sz w:val="20"/>
                <w:szCs w:val="20"/>
                <w:color w:val="auto"/>
              </w:rPr>
            </w:pPr>
            <w:r>
              <w:rPr>
                <w:rFonts w:ascii="Arial" w:cs="Arial" w:eastAsia="Arial" w:hAnsi="Arial"/>
                <w:sz w:val="14"/>
                <w:szCs w:val="14"/>
                <w:color w:val="auto"/>
              </w:rPr>
              <w:t>25,710</w:t>
            </w:r>
          </w:p>
        </w:tc>
        <w:tc>
          <w:tcPr>
            <w:tcW w:w="1060" w:type="dxa"/>
            <w:vAlign w:val="bottom"/>
            <w:gridSpan w:val="3"/>
          </w:tcPr>
          <w:p>
            <w:pPr>
              <w:jc w:val="right"/>
              <w:ind w:right="140"/>
              <w:spacing w:after="0"/>
              <w:rPr>
                <w:sz w:val="20"/>
                <w:szCs w:val="20"/>
                <w:color w:val="auto"/>
              </w:rPr>
            </w:pPr>
            <w:r>
              <w:rPr>
                <w:rFonts w:ascii="Arial" w:cs="Arial" w:eastAsia="Arial" w:hAnsi="Arial"/>
                <w:sz w:val="14"/>
                <w:szCs w:val="14"/>
                <w:color w:val="auto"/>
              </w:rPr>
              <w:t>20,257</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bl>
    <w:p>
      <w:pPr>
        <w:spacing w:after="0" w:line="1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498" w:right="4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49"/>
        </w:trPr>
        <w:tc>
          <w:tcPr>
            <w:tcW w:w="7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9"/>
              </w:rPr>
              <w:t>Initial</w:t>
            </w:r>
          </w:p>
        </w:tc>
        <w:tc>
          <w:tcPr>
            <w:tcW w:w="12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Reference</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80" w:type="dxa"/>
            <w:vAlign w:val="bottom"/>
            <w:vMerge w:val="restart"/>
          </w:tcPr>
          <w:p>
            <w:pPr>
              <w:ind w:left="980"/>
              <w:spacing w:after="0"/>
              <w:rPr>
                <w:sz w:val="20"/>
                <w:szCs w:val="20"/>
                <w:color w:val="auto"/>
              </w:rPr>
            </w:pPr>
            <w:r>
              <w:rPr>
                <w:rFonts w:ascii="Arial" w:cs="Arial" w:eastAsia="Arial" w:hAnsi="Arial"/>
                <w:sz w:val="13"/>
                <w:szCs w:val="13"/>
                <w:b w:val="1"/>
                <w:bCs w:val="1"/>
                <w:color w:val="auto"/>
              </w:rPr>
              <w:t>Investment</w:t>
            </w: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2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Rate and</w:t>
            </w:r>
          </w:p>
        </w:tc>
        <w:tc>
          <w:tcPr>
            <w:tcW w:w="1700" w:type="dxa"/>
            <w:vAlign w:val="bottom"/>
            <w:vMerge w:val="restart"/>
          </w:tcPr>
          <w:p>
            <w:pPr>
              <w:jc w:val="right"/>
              <w:ind w:right="433"/>
              <w:spacing w:after="0"/>
              <w:rPr>
                <w:sz w:val="20"/>
                <w:szCs w:val="20"/>
                <w:color w:val="auto"/>
              </w:rPr>
            </w:pPr>
            <w:r>
              <w:rPr>
                <w:rFonts w:ascii="Arial" w:cs="Arial" w:eastAsia="Arial" w:hAnsi="Arial"/>
                <w:sz w:val="13"/>
                <w:szCs w:val="13"/>
                <w:b w:val="1"/>
                <w:bCs w:val="1"/>
                <w:color w:val="auto"/>
              </w:rPr>
              <w:t>Interest Rate</w:t>
            </w:r>
          </w:p>
        </w:tc>
        <w:tc>
          <w:tcPr>
            <w:tcW w:w="680" w:type="dxa"/>
            <w:vAlign w:val="bottom"/>
            <w:gridSpan w:val="3"/>
          </w:tcPr>
          <w:p>
            <w:pPr>
              <w:jc w:val="right"/>
              <w:ind w:right="20"/>
              <w:spacing w:after="0" w:line="135" w:lineRule="exact"/>
              <w:rPr>
                <w:sz w:val="20"/>
                <w:szCs w:val="20"/>
                <w:color w:val="auto"/>
              </w:rPr>
            </w:pPr>
            <w:r>
              <w:rPr>
                <w:rFonts w:ascii="Arial" w:cs="Arial" w:eastAsia="Arial" w:hAnsi="Arial"/>
                <w:sz w:val="13"/>
                <w:szCs w:val="13"/>
                <w:b w:val="1"/>
                <w:bCs w:val="1"/>
                <w:color w:val="auto"/>
              </w:rPr>
              <w:t>Amortized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53"/>
        </w:trPr>
        <w:tc>
          <w:tcPr>
            <w:tcW w:w="2240" w:type="dxa"/>
            <w:vAlign w:val="bottom"/>
            <w:gridSpan w:val="2"/>
          </w:tcPr>
          <w:p>
            <w:pPr>
              <w:spacing w:after="0" w:line="154" w:lineRule="exact"/>
              <w:rPr>
                <w:sz w:val="20"/>
                <w:szCs w:val="20"/>
                <w:color w:val="auto"/>
              </w:rPr>
            </w:pPr>
            <w:r>
              <w:rPr>
                <w:rFonts w:ascii="Arial" w:cs="Arial" w:eastAsia="Arial" w:hAnsi="Arial"/>
                <w:sz w:val="12"/>
                <w:szCs w:val="12"/>
                <w:b w:val="1"/>
                <w:bCs w:val="1"/>
                <w:color w:val="auto"/>
              </w:rPr>
              <w:t>Company</w:t>
            </w:r>
            <w:r>
              <w:rPr>
                <w:rFonts w:ascii="Arial" w:cs="Arial" w:eastAsia="Arial" w:hAnsi="Arial"/>
                <w:sz w:val="17"/>
                <w:szCs w:val="17"/>
                <w:b w:val="1"/>
                <w:bCs w:val="1"/>
                <w:color w:val="auto"/>
                <w:vertAlign w:val="superscript"/>
              </w:rPr>
              <w:t>(1)(6)</w:t>
            </w:r>
          </w:p>
        </w:tc>
        <w:tc>
          <w:tcPr>
            <w:tcW w:w="140" w:type="dxa"/>
            <w:vAlign w:val="bottom"/>
          </w:tcPr>
          <w:p>
            <w:pPr>
              <w:spacing w:after="0"/>
              <w:rPr>
                <w:sz w:val="13"/>
                <w:szCs w:val="13"/>
                <w:color w:val="auto"/>
              </w:rPr>
            </w:pPr>
          </w:p>
        </w:tc>
        <w:tc>
          <w:tcPr>
            <w:tcW w:w="2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12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Spread</w:t>
            </w:r>
          </w:p>
        </w:tc>
        <w:tc>
          <w:tcPr>
            <w:tcW w:w="1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60"/>
              <w:spacing w:after="0" w:line="154" w:lineRule="exact"/>
              <w:rPr>
                <w:sz w:val="20"/>
                <w:szCs w:val="20"/>
                <w:color w:val="auto"/>
              </w:rPr>
            </w:pPr>
            <w:r>
              <w:rPr>
                <w:rFonts w:ascii="Arial" w:cs="Arial" w:eastAsia="Arial" w:hAnsi="Arial"/>
                <w:sz w:val="17"/>
                <w:szCs w:val="17"/>
                <w:b w:val="1"/>
                <w:bCs w:val="1"/>
                <w:color w:val="auto"/>
                <w:vertAlign w:val="subscript"/>
              </w:rPr>
              <w:t>Cost</w:t>
            </w:r>
            <w:r>
              <w:rPr>
                <w:rFonts w:ascii="Arial" w:cs="Arial" w:eastAsia="Arial" w:hAnsi="Arial"/>
                <w:sz w:val="8"/>
                <w:szCs w:val="8"/>
                <w:b w:val="1"/>
                <w:bCs w:val="1"/>
                <w:color w:val="auto"/>
              </w:rPr>
              <w:t>(2)(8)</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54" w:lineRule="exact"/>
              <w:rPr>
                <w:sz w:val="20"/>
                <w:szCs w:val="20"/>
                <w:color w:val="auto"/>
              </w:rPr>
            </w:pPr>
            <w:r>
              <w:rPr>
                <w:rFonts w:ascii="Arial" w:cs="Arial" w:eastAsia="Arial" w:hAnsi="Arial"/>
                <w:sz w:val="12"/>
                <w:szCs w:val="12"/>
                <w:b w:val="1"/>
                <w:bCs w:val="1"/>
                <w:color w:val="auto"/>
                <w:w w:val="92"/>
              </w:rPr>
              <w:t>Fair Value</w:t>
            </w:r>
            <w:r>
              <w:rPr>
                <w:rFonts w:ascii="Arial" w:cs="Arial" w:eastAsia="Arial" w:hAnsi="Arial"/>
                <w:sz w:val="17"/>
                <w:szCs w:val="17"/>
                <w:b w:val="1"/>
                <w:bCs w:val="1"/>
                <w:color w:val="auto"/>
                <w:w w:val="92"/>
                <w:vertAlign w:val="superscript"/>
              </w:rPr>
              <w:t>(9)</w:t>
            </w:r>
          </w:p>
        </w:tc>
        <w:tc>
          <w:tcPr>
            <w:tcW w:w="9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89"/>
              </w:rPr>
              <w:t>of Net Assets</w:t>
            </w: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72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1"/>
                <w:szCs w:val="11"/>
                <w:color w:val="auto"/>
              </w:rPr>
              <w:t xml:space="preserve">First-lien loan ($1,364 par, due 9/2026) </w:t>
            </w:r>
            <w:r>
              <w:rPr>
                <w:rFonts w:ascii="Arial" w:cs="Arial" w:eastAsia="Arial" w:hAnsi="Arial"/>
                <w:sz w:val="16"/>
                <w:szCs w:val="16"/>
                <w:color w:val="auto"/>
                <w:vertAlign w:val="superscript"/>
              </w:rPr>
              <w:t>(15)</w:t>
            </w:r>
          </w:p>
        </w:tc>
        <w:tc>
          <w:tcPr>
            <w:tcW w:w="7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6/10/2021</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L + 14.00%</w:t>
            </w:r>
          </w:p>
        </w:tc>
        <w:tc>
          <w:tcPr>
            <w:tcW w:w="17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16.57% (incl. 16.07% PIK)</w:t>
            </w:r>
          </w:p>
        </w:tc>
        <w:tc>
          <w:tcPr>
            <w:tcW w:w="68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1,364</w:t>
            </w:r>
          </w:p>
        </w:tc>
        <w:tc>
          <w:tcPr>
            <w:tcW w:w="920" w:type="dxa"/>
            <w:vAlign w:val="bottom"/>
            <w:gridSpan w:val="3"/>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82</w:t>
            </w:r>
          </w:p>
        </w:tc>
        <w:tc>
          <w:tcPr>
            <w:tcW w:w="92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720" w:type="dxa"/>
            <w:vAlign w:val="bottom"/>
            <w:gridSpan w:val="2"/>
          </w:tcPr>
          <w:p>
            <w:pPr>
              <w:ind w:left="120"/>
              <w:spacing w:after="0" w:line="149" w:lineRule="exact"/>
              <w:rPr>
                <w:sz w:val="20"/>
                <w:szCs w:val="20"/>
                <w:color w:val="auto"/>
              </w:rPr>
            </w:pPr>
            <w:r>
              <w:rPr>
                <w:rFonts w:ascii="Arial" w:cs="Arial" w:eastAsia="Arial" w:hAnsi="Arial"/>
                <w:sz w:val="12"/>
                <w:szCs w:val="12"/>
                <w:color w:val="auto"/>
              </w:rPr>
              <w:t xml:space="preserve">Subordinated note ($4,740 par, due 9/2026) </w:t>
            </w:r>
            <w:r>
              <w:rPr>
                <w:rFonts w:ascii="Arial" w:cs="Arial" w:eastAsia="Arial" w:hAnsi="Arial"/>
                <w:sz w:val="17"/>
                <w:szCs w:val="17"/>
                <w:color w:val="auto"/>
                <w:vertAlign w:val="superscript"/>
              </w:rPr>
              <w:t>(15)</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3/16/2021</w:t>
            </w:r>
          </w:p>
        </w:tc>
        <w:tc>
          <w:tcPr>
            <w:tcW w:w="12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L + 1.00%</w:t>
            </w:r>
          </w:p>
        </w:tc>
        <w:tc>
          <w:tcPr>
            <w:tcW w:w="1700" w:type="dxa"/>
            <w:vAlign w:val="bottom"/>
          </w:tcPr>
          <w:p>
            <w:pPr>
              <w:jc w:val="right"/>
              <w:spacing w:after="0"/>
              <w:rPr>
                <w:sz w:val="20"/>
                <w:szCs w:val="20"/>
                <w:color w:val="auto"/>
              </w:rPr>
            </w:pPr>
            <w:r>
              <w:rPr>
                <w:rFonts w:ascii="Arial" w:cs="Arial" w:eastAsia="Arial" w:hAnsi="Arial"/>
                <w:sz w:val="13"/>
                <w:szCs w:val="13"/>
                <w:color w:val="auto"/>
              </w:rPr>
              <w:t>3.28% PIK</w:t>
            </w: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545</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71</w:t>
            </w:r>
          </w:p>
        </w:tc>
        <w:tc>
          <w:tcPr>
            <w:tcW w:w="920" w:type="dxa"/>
            <w:vAlign w:val="bottom"/>
            <w:gridSpan w:val="3"/>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Bed Bath and Beyond Inc.</w:t>
            </w:r>
            <w:r>
              <w:rPr>
                <w:rFonts w:ascii="Arial" w:cs="Arial" w:eastAsia="Arial" w:hAnsi="Arial"/>
                <w:sz w:val="17"/>
                <w:szCs w:val="17"/>
                <w:color w:val="auto"/>
                <w:vertAlign w:val="superscript"/>
              </w:rPr>
              <w:t>(3)</w:t>
            </w:r>
          </w:p>
        </w:tc>
        <w:tc>
          <w:tcPr>
            <w:tcW w:w="2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95"/>
              </w:rPr>
              <w:t>ABL FILO term loan ($55,000 par, due 8/2027)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9/2/2022</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5"/>
              </w:rPr>
              <w:t>SOFR + 7.90%</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10.87%</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53,646</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53,625</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49"/>
        </w:trPr>
        <w:tc>
          <w:tcPr>
            <w:tcW w:w="2240" w:type="dxa"/>
            <w:vAlign w:val="bottom"/>
            <w:gridSpan w:val="2"/>
          </w:tcPr>
          <w:p>
            <w:pPr>
              <w:spacing w:after="0" w:line="149" w:lineRule="exact"/>
              <w:rPr>
                <w:sz w:val="20"/>
                <w:szCs w:val="20"/>
                <w:color w:val="auto"/>
              </w:rPr>
            </w:pPr>
            <w:r>
              <w:rPr>
                <w:rFonts w:ascii="Arial" w:cs="Arial" w:eastAsia="Arial" w:hAnsi="Arial"/>
                <w:sz w:val="12"/>
                <w:szCs w:val="12"/>
                <w:color w:val="auto"/>
              </w:rPr>
              <w:t>Cordance Operations, LLC</w:t>
            </w:r>
            <w:r>
              <w:rPr>
                <w:rFonts w:ascii="Arial" w:cs="Arial" w:eastAsia="Arial" w:hAnsi="Arial"/>
                <w:sz w:val="17"/>
                <w:szCs w:val="17"/>
                <w:color w:val="auto"/>
                <w:vertAlign w:val="superscript"/>
              </w:rPr>
              <w:t>(3)</w:t>
            </w:r>
          </w:p>
        </w:tc>
        <w:tc>
          <w:tcPr>
            <w:tcW w:w="2720" w:type="dxa"/>
            <w:vAlign w:val="bottom"/>
            <w:gridSpan w:val="2"/>
          </w:tcPr>
          <w:p>
            <w:pPr>
              <w:ind w:left="120"/>
              <w:spacing w:after="0"/>
              <w:rPr>
                <w:sz w:val="20"/>
                <w:szCs w:val="20"/>
                <w:color w:val="auto"/>
              </w:rPr>
            </w:pPr>
            <w:r>
              <w:rPr>
                <w:rFonts w:ascii="Arial" w:cs="Arial" w:eastAsia="Arial" w:hAnsi="Arial"/>
                <w:sz w:val="13"/>
                <w:szCs w:val="13"/>
                <w:color w:val="auto"/>
              </w:rPr>
              <w:t>First-lien loan ($26,087 par, due 7/2028)</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7/25/2022</w:t>
            </w:r>
          </w:p>
        </w:tc>
        <w:tc>
          <w:tcPr>
            <w:tcW w:w="12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w w:val="95"/>
              </w:rPr>
              <w:t>SOFR + 8.50%</w:t>
            </w:r>
          </w:p>
        </w:tc>
        <w:tc>
          <w:tcPr>
            <w:tcW w:w="1700" w:type="dxa"/>
            <w:vAlign w:val="bottom"/>
          </w:tcPr>
          <w:p>
            <w:pPr>
              <w:jc w:val="right"/>
              <w:spacing w:after="0"/>
              <w:rPr>
                <w:sz w:val="20"/>
                <w:szCs w:val="20"/>
                <w:color w:val="auto"/>
              </w:rPr>
            </w:pPr>
            <w:r>
              <w:rPr>
                <w:rFonts w:ascii="Arial" w:cs="Arial" w:eastAsia="Arial" w:hAnsi="Arial"/>
                <w:sz w:val="13"/>
                <w:szCs w:val="13"/>
                <w:color w:val="auto"/>
              </w:rPr>
              <w:t>11.80%</w:t>
            </w: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25,310</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25,141</w:t>
            </w:r>
          </w:p>
        </w:tc>
        <w:tc>
          <w:tcPr>
            <w:tcW w:w="920" w:type="dxa"/>
            <w:vAlign w:val="bottom"/>
            <w:gridSpan w:val="3"/>
          </w:tcPr>
          <w:p>
            <w:pPr>
              <w:jc w:val="right"/>
              <w:ind w:right="4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Moran Foods, LLC</w:t>
            </w:r>
            <w:r>
              <w:rPr>
                <w:rFonts w:ascii="Arial" w:cs="Arial" w:eastAsia="Arial" w:hAnsi="Arial"/>
                <w:sz w:val="17"/>
                <w:szCs w:val="17"/>
                <w:color w:val="auto"/>
                <w:vertAlign w:val="superscript"/>
              </w:rPr>
              <w:t>(3)</w:t>
            </w:r>
          </w:p>
        </w:tc>
        <w:tc>
          <w:tcPr>
            <w:tcW w:w="2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95"/>
              </w:rPr>
              <w:t>ABL FILO term loan ($32,267 par, due 4/2024)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4/1/2020</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L + 7.50%</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11.17%</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31,997</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32,186</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48"/>
        </w:trPr>
        <w:tc>
          <w:tcPr>
            <w:tcW w:w="2240" w:type="dxa"/>
            <w:vAlign w:val="bottom"/>
            <w:gridSpan w:val="2"/>
          </w:tcPr>
          <w:p>
            <w:pPr>
              <w:spacing w:after="0" w:line="149" w:lineRule="exact"/>
              <w:rPr>
                <w:sz w:val="20"/>
                <w:szCs w:val="20"/>
                <w:color w:val="auto"/>
              </w:rPr>
            </w:pPr>
            <w:r>
              <w:rPr>
                <w:rFonts w:ascii="Arial" w:cs="Arial" w:eastAsia="Arial" w:hAnsi="Arial"/>
                <w:sz w:val="12"/>
                <w:szCs w:val="12"/>
                <w:color w:val="auto"/>
              </w:rPr>
              <w:t>Neuintel, LLC</w:t>
            </w:r>
            <w:r>
              <w:rPr>
                <w:rFonts w:ascii="Arial" w:cs="Arial" w:eastAsia="Arial" w:hAnsi="Arial"/>
                <w:sz w:val="17"/>
                <w:szCs w:val="17"/>
                <w:color w:val="auto"/>
                <w:vertAlign w:val="superscript"/>
              </w:rPr>
              <w:t>(3)(5)</w:t>
            </w:r>
          </w:p>
        </w:tc>
        <w:tc>
          <w:tcPr>
            <w:tcW w:w="2720" w:type="dxa"/>
            <w:vAlign w:val="bottom"/>
            <w:gridSpan w:val="2"/>
          </w:tcPr>
          <w:p>
            <w:pPr>
              <w:ind w:left="120"/>
              <w:spacing w:after="0"/>
              <w:rPr>
                <w:sz w:val="20"/>
                <w:szCs w:val="20"/>
                <w:color w:val="auto"/>
              </w:rPr>
            </w:pPr>
            <w:r>
              <w:rPr>
                <w:rFonts w:ascii="Arial" w:cs="Arial" w:eastAsia="Arial" w:hAnsi="Arial"/>
                <w:sz w:val="13"/>
                <w:szCs w:val="13"/>
                <w:color w:val="auto"/>
              </w:rPr>
              <w:t>First-lien loan ($55,300 par, due 12/2026)</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12/20/2021</w:t>
            </w:r>
          </w:p>
        </w:tc>
        <w:tc>
          <w:tcPr>
            <w:tcW w:w="12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L + 6.25%</w:t>
            </w:r>
          </w:p>
        </w:tc>
        <w:tc>
          <w:tcPr>
            <w:tcW w:w="1700" w:type="dxa"/>
            <w:vAlign w:val="bottom"/>
          </w:tcPr>
          <w:p>
            <w:pPr>
              <w:jc w:val="right"/>
              <w:spacing w:after="0"/>
              <w:rPr>
                <w:sz w:val="20"/>
                <w:szCs w:val="20"/>
                <w:color w:val="auto"/>
              </w:rPr>
            </w:pPr>
            <w:r>
              <w:rPr>
                <w:rFonts w:ascii="Arial" w:cs="Arial" w:eastAsia="Arial" w:hAnsi="Arial"/>
                <w:sz w:val="13"/>
                <w:szCs w:val="13"/>
                <w:color w:val="auto"/>
              </w:rPr>
              <w:t>9.07%</w:t>
            </w: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54,263</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53,365</w:t>
            </w:r>
          </w:p>
        </w:tc>
        <w:tc>
          <w:tcPr>
            <w:tcW w:w="920" w:type="dxa"/>
            <w:vAlign w:val="bottom"/>
            <w:gridSpan w:val="3"/>
          </w:tcPr>
          <w:p>
            <w:pPr>
              <w:jc w:val="right"/>
              <w:ind w:right="40"/>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Project P Intermediate 2, LLC</w:t>
            </w:r>
            <w:r>
              <w:rPr>
                <w:rFonts w:ascii="Arial" w:cs="Arial" w:eastAsia="Arial" w:hAnsi="Arial"/>
                <w:sz w:val="17"/>
                <w:szCs w:val="17"/>
                <w:color w:val="auto"/>
                <w:vertAlign w:val="superscript"/>
              </w:rPr>
              <w:t>(3)</w:t>
            </w:r>
          </w:p>
        </w:tc>
        <w:tc>
          <w:tcPr>
            <w:tcW w:w="2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95"/>
              </w:rPr>
              <w:t>ABL FILO term loan ($74,063 par, due 5/2026)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11/8/2021</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L + 8.00%</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10.81%</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72,828</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73,877</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08"/>
        </w:trPr>
        <w:tc>
          <w:tcPr>
            <w:tcW w:w="2240" w:type="dxa"/>
            <w:vAlign w:val="bottom"/>
            <w:gridSpan w:val="2"/>
          </w:tcPr>
          <w:p>
            <w:pPr>
              <w:spacing w:after="0" w:line="108" w:lineRule="exact"/>
              <w:rPr>
                <w:sz w:val="20"/>
                <w:szCs w:val="20"/>
                <w:color w:val="auto"/>
              </w:rPr>
            </w:pPr>
            <w:r>
              <w:rPr>
                <w:rFonts w:ascii="Arial" w:cs="Arial" w:eastAsia="Arial" w:hAnsi="Arial"/>
                <w:sz w:val="12"/>
                <w:szCs w:val="12"/>
                <w:color w:val="auto"/>
              </w:rPr>
              <w:t>Tango Management Consulting,</w:t>
            </w:r>
          </w:p>
        </w:tc>
        <w:tc>
          <w:tcPr>
            <w:tcW w:w="2720" w:type="dxa"/>
            <w:vAlign w:val="bottom"/>
            <w:gridSpan w:val="2"/>
            <w:vMerge w:val="restart"/>
          </w:tcPr>
          <w:p>
            <w:pPr>
              <w:ind w:left="120"/>
              <w:spacing w:after="0"/>
              <w:rPr>
                <w:sz w:val="20"/>
                <w:szCs w:val="20"/>
                <w:color w:val="auto"/>
              </w:rPr>
            </w:pPr>
            <w:r>
              <w:rPr>
                <w:rFonts w:ascii="Arial" w:cs="Arial" w:eastAsia="Arial" w:hAnsi="Arial"/>
                <w:sz w:val="13"/>
                <w:szCs w:val="13"/>
                <w:color w:val="auto"/>
              </w:rPr>
              <w:t>First-lien loan ($42,736 par, due 12/2027)</w:t>
            </w:r>
          </w:p>
        </w:tc>
        <w:tc>
          <w:tcPr>
            <w:tcW w:w="740" w:type="dxa"/>
            <w:vAlign w:val="bottom"/>
            <w:gridSpan w:val="2"/>
            <w:vMerge w:val="restart"/>
          </w:tcPr>
          <w:p>
            <w:pPr>
              <w:jc w:val="right"/>
              <w:spacing w:after="0"/>
              <w:rPr>
                <w:sz w:val="20"/>
                <w:szCs w:val="20"/>
                <w:color w:val="auto"/>
              </w:rPr>
            </w:pPr>
            <w:r>
              <w:rPr>
                <w:rFonts w:ascii="Arial" w:cs="Arial" w:eastAsia="Arial" w:hAnsi="Arial"/>
                <w:sz w:val="13"/>
                <w:szCs w:val="13"/>
                <w:color w:val="auto"/>
              </w:rPr>
              <w:t>12/1/2021</w:t>
            </w:r>
          </w:p>
        </w:tc>
        <w:tc>
          <w:tcPr>
            <w:tcW w:w="120" w:type="dxa"/>
            <w:vAlign w:val="bottom"/>
          </w:tcPr>
          <w:p>
            <w:pPr>
              <w:spacing w:after="0"/>
              <w:rPr>
                <w:sz w:val="9"/>
                <w:szCs w:val="9"/>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L + 6.75%</w:t>
            </w:r>
          </w:p>
        </w:tc>
        <w:tc>
          <w:tcPr>
            <w:tcW w:w="1700" w:type="dxa"/>
            <w:vAlign w:val="bottom"/>
            <w:vMerge w:val="restart"/>
          </w:tcPr>
          <w:p>
            <w:pPr>
              <w:jc w:val="right"/>
              <w:spacing w:after="0"/>
              <w:rPr>
                <w:sz w:val="20"/>
                <w:szCs w:val="20"/>
                <w:color w:val="auto"/>
              </w:rPr>
            </w:pPr>
            <w:r>
              <w:rPr>
                <w:rFonts w:ascii="Arial" w:cs="Arial" w:eastAsia="Arial" w:hAnsi="Arial"/>
                <w:sz w:val="13"/>
                <w:szCs w:val="13"/>
                <w:color w:val="auto"/>
              </w:rPr>
              <w:t>9.03%</w:t>
            </w:r>
          </w:p>
        </w:tc>
        <w:tc>
          <w:tcPr>
            <w:tcW w:w="68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41,769</w:t>
            </w:r>
          </w:p>
        </w:tc>
        <w:tc>
          <w:tcPr>
            <w:tcW w:w="92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40,749</w:t>
            </w:r>
          </w:p>
        </w:tc>
        <w:tc>
          <w:tcPr>
            <w:tcW w:w="92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42"/>
        </w:trPr>
        <w:tc>
          <w:tcPr>
            <w:tcW w:w="2240" w:type="dxa"/>
            <w:vAlign w:val="bottom"/>
            <w:gridSpan w:val="2"/>
          </w:tcPr>
          <w:p>
            <w:pPr>
              <w:ind w:left="140"/>
              <w:spacing w:after="0" w:line="135" w:lineRule="exact"/>
              <w:rPr>
                <w:sz w:val="20"/>
                <w:szCs w:val="20"/>
                <w:color w:val="auto"/>
              </w:rPr>
            </w:pPr>
            <w:r>
              <w:rPr>
                <w:rFonts w:ascii="Arial" w:cs="Arial" w:eastAsia="Arial" w:hAnsi="Arial"/>
                <w:sz w:val="15"/>
                <w:szCs w:val="15"/>
                <w:color w:val="auto"/>
                <w:vertAlign w:val="subscript"/>
              </w:rPr>
              <w:t>LLC</w:t>
            </w:r>
            <w:r>
              <w:rPr>
                <w:rFonts w:ascii="Arial" w:cs="Arial" w:eastAsia="Arial" w:hAnsi="Arial"/>
                <w:sz w:val="8"/>
                <w:szCs w:val="8"/>
                <w:color w:val="auto"/>
              </w:rPr>
              <w:t>(3)(5)</w:t>
            </w:r>
          </w:p>
        </w:tc>
        <w:tc>
          <w:tcPr>
            <w:tcW w:w="272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332,194</w:t>
            </w:r>
          </w:p>
        </w:tc>
        <w:tc>
          <w:tcPr>
            <w:tcW w:w="1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324,353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24.4%</w:t>
            </w:r>
          </w:p>
        </w:tc>
        <w:tc>
          <w:tcPr>
            <w:tcW w:w="0" w:type="dxa"/>
            <w:vAlign w:val="bottom"/>
          </w:tcPr>
          <w:p>
            <w:pPr>
              <w:spacing w:after="0"/>
              <w:rPr>
                <w:sz w:val="1"/>
                <w:szCs w:val="1"/>
                <w:color w:val="auto"/>
              </w:rPr>
            </w:pPr>
          </w:p>
        </w:tc>
      </w:tr>
      <w:tr>
        <w:trPr>
          <w:trHeight w:val="149"/>
        </w:trPr>
        <w:tc>
          <w:tcPr>
            <w:tcW w:w="2240" w:type="dxa"/>
            <w:vAlign w:val="bottom"/>
            <w:gridSpan w:val="2"/>
          </w:tcPr>
          <w:p>
            <w:pPr>
              <w:spacing w:after="0"/>
              <w:rPr>
                <w:sz w:val="20"/>
                <w:szCs w:val="20"/>
                <w:color w:val="auto"/>
              </w:rPr>
            </w:pPr>
            <w:r>
              <w:rPr>
                <w:rFonts w:ascii="Arial" w:cs="Arial" w:eastAsia="Arial" w:hAnsi="Arial"/>
                <w:sz w:val="13"/>
                <w:szCs w:val="13"/>
                <w:b w:val="1"/>
                <w:bCs w:val="1"/>
                <w:color w:val="auto"/>
              </w:rPr>
              <w:t>Transportation</w:t>
            </w:r>
          </w:p>
        </w:tc>
        <w:tc>
          <w:tcPr>
            <w:tcW w:w="1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Project44, Inc.</w:t>
            </w:r>
            <w:r>
              <w:rPr>
                <w:rFonts w:ascii="Arial" w:cs="Arial" w:eastAsia="Arial" w:hAnsi="Arial"/>
                <w:sz w:val="17"/>
                <w:szCs w:val="17"/>
                <w:color w:val="auto"/>
                <w:vertAlign w:val="superscript"/>
              </w:rPr>
              <w:t>(3)(5)</w:t>
            </w:r>
          </w:p>
        </w:tc>
        <w:tc>
          <w:tcPr>
            <w:tcW w:w="2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First-lien loan ($35,139 par, due 11/2027)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11/12/2021</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L + 6.25%</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8.19%</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33,988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33,626</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20"/>
        </w:trPr>
        <w:tc>
          <w:tcPr>
            <w:tcW w:w="22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Debt Investments</w:t>
            </w:r>
          </w:p>
        </w:tc>
        <w:tc>
          <w:tcPr>
            <w:tcW w:w="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2,599,055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2,589,752</w:t>
            </w:r>
          </w:p>
        </w:tc>
        <w:tc>
          <w:tcPr>
            <w:tcW w:w="920" w:type="dxa"/>
            <w:vAlign w:val="bottom"/>
            <w:gridSpan w:val="3"/>
          </w:tcPr>
          <w:p>
            <w:pPr>
              <w:jc w:val="right"/>
              <w:ind w:right="40"/>
              <w:spacing w:after="0"/>
              <w:rPr>
                <w:sz w:val="20"/>
                <w:szCs w:val="20"/>
                <w:color w:val="auto"/>
              </w:rPr>
            </w:pPr>
            <w:r>
              <w:rPr>
                <w:rFonts w:ascii="Arial" w:cs="Arial" w:eastAsia="Arial" w:hAnsi="Arial"/>
                <w:sz w:val="13"/>
                <w:szCs w:val="13"/>
                <w:color w:val="auto"/>
              </w:rPr>
              <w:t>194.8%</w:t>
            </w: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Equity and Other Investments</w:t>
            </w:r>
          </w:p>
        </w:tc>
        <w:tc>
          <w:tcPr>
            <w:tcW w:w="1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spacing w:after="0"/>
              <w:rPr>
                <w:sz w:val="20"/>
                <w:szCs w:val="20"/>
                <w:color w:val="auto"/>
              </w:rPr>
            </w:pPr>
            <w:r>
              <w:rPr>
                <w:rFonts w:ascii="Arial" w:cs="Arial" w:eastAsia="Arial" w:hAnsi="Arial"/>
                <w:sz w:val="13"/>
                <w:szCs w:val="13"/>
                <w:color w:val="auto"/>
              </w:rPr>
              <w:t>Business Services</w:t>
            </w:r>
          </w:p>
        </w:tc>
        <w:tc>
          <w:tcPr>
            <w:tcW w:w="1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Dye &amp; Durham, Ltd.</w:t>
            </w:r>
            <w:r>
              <w:rPr>
                <w:rFonts w:ascii="Arial" w:cs="Arial" w:eastAsia="Arial" w:hAnsi="Arial"/>
                <w:sz w:val="20"/>
                <w:szCs w:val="20"/>
                <w:color w:val="auto"/>
                <w:vertAlign w:val="superscript"/>
              </w:rPr>
              <w:t>(4)(11)(13)</w:t>
            </w:r>
          </w:p>
        </w:tc>
        <w:tc>
          <w:tcPr>
            <w:tcW w:w="2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Common Shares (126,968 shares)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12/3/2021</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3,909</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1,688</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3"/>
        </w:trPr>
        <w:tc>
          <w:tcPr>
            <w:tcW w:w="7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9"/>
              </w:rPr>
              <w:t>(CAD 2,322)</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240" w:type="dxa"/>
            <w:vAlign w:val="bottom"/>
            <w:gridSpan w:val="2"/>
          </w:tcPr>
          <w:p>
            <w:pPr>
              <w:spacing w:after="0" w:line="108" w:lineRule="exact"/>
              <w:rPr>
                <w:sz w:val="20"/>
                <w:szCs w:val="20"/>
                <w:color w:val="auto"/>
              </w:rPr>
            </w:pPr>
            <w:r>
              <w:rPr>
                <w:rFonts w:ascii="Arial" w:cs="Arial" w:eastAsia="Arial" w:hAnsi="Arial"/>
                <w:sz w:val="12"/>
                <w:szCs w:val="12"/>
                <w:color w:val="auto"/>
              </w:rPr>
              <w:t>Mitnick TA Aggregator,</w:t>
            </w:r>
          </w:p>
        </w:tc>
        <w:tc>
          <w:tcPr>
            <w:tcW w:w="2720" w:type="dxa"/>
            <w:vAlign w:val="bottom"/>
            <w:gridSpan w:val="2"/>
            <w:vMerge w:val="restart"/>
          </w:tcPr>
          <w:p>
            <w:pPr>
              <w:ind w:left="120"/>
              <w:spacing w:after="0"/>
              <w:rPr>
                <w:sz w:val="20"/>
                <w:szCs w:val="20"/>
                <w:color w:val="auto"/>
              </w:rPr>
            </w:pPr>
            <w:r>
              <w:rPr>
                <w:rFonts w:ascii="Arial" w:cs="Arial" w:eastAsia="Arial" w:hAnsi="Arial"/>
                <w:sz w:val="13"/>
                <w:szCs w:val="13"/>
                <w:color w:val="auto"/>
              </w:rPr>
              <w:t>Membership Interest (0.29% ownership)</w:t>
            </w:r>
          </w:p>
        </w:tc>
        <w:tc>
          <w:tcPr>
            <w:tcW w:w="740" w:type="dxa"/>
            <w:vAlign w:val="bottom"/>
            <w:gridSpan w:val="2"/>
            <w:vMerge w:val="restart"/>
          </w:tcPr>
          <w:p>
            <w:pPr>
              <w:jc w:val="right"/>
              <w:spacing w:after="0"/>
              <w:rPr>
                <w:sz w:val="20"/>
                <w:szCs w:val="20"/>
                <w:color w:val="auto"/>
              </w:rPr>
            </w:pPr>
            <w:r>
              <w:rPr>
                <w:rFonts w:ascii="Arial" w:cs="Arial" w:eastAsia="Arial" w:hAnsi="Arial"/>
                <w:sz w:val="13"/>
                <w:szCs w:val="13"/>
                <w:color w:val="auto"/>
              </w:rPr>
              <w:t>5/2/2022</w:t>
            </w: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68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5,243</w:t>
            </w:r>
          </w:p>
        </w:tc>
        <w:tc>
          <w:tcPr>
            <w:tcW w:w="92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5,243</w:t>
            </w:r>
          </w:p>
        </w:tc>
        <w:tc>
          <w:tcPr>
            <w:tcW w:w="92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48"/>
        </w:trPr>
        <w:tc>
          <w:tcPr>
            <w:tcW w:w="2240" w:type="dxa"/>
            <w:vAlign w:val="bottom"/>
            <w:gridSpan w:val="2"/>
          </w:tcPr>
          <w:p>
            <w:pPr>
              <w:ind w:left="140"/>
              <w:spacing w:after="0" w:line="149" w:lineRule="exact"/>
              <w:rPr>
                <w:sz w:val="20"/>
                <w:szCs w:val="20"/>
                <w:color w:val="auto"/>
              </w:rPr>
            </w:pPr>
            <w:r>
              <w:rPr>
                <w:rFonts w:ascii="Arial" w:cs="Arial" w:eastAsia="Arial" w:hAnsi="Arial"/>
                <w:sz w:val="17"/>
                <w:szCs w:val="17"/>
                <w:color w:val="auto"/>
                <w:vertAlign w:val="subscript"/>
              </w:rPr>
              <w:t>LP</w:t>
            </w:r>
            <w:r>
              <w:rPr>
                <w:rFonts w:ascii="Arial" w:cs="Arial" w:eastAsia="Arial" w:hAnsi="Arial"/>
                <w:sz w:val="8"/>
                <w:szCs w:val="8"/>
                <w:color w:val="auto"/>
              </w:rPr>
              <w:t>(12)(13)(14)</w:t>
            </w:r>
          </w:p>
        </w:tc>
        <w:tc>
          <w:tcPr>
            <w:tcW w:w="272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ReliaQuest, LLC</w:t>
            </w:r>
            <w:r>
              <w:rPr>
                <w:rFonts w:ascii="Arial" w:cs="Arial" w:eastAsia="Arial" w:hAnsi="Arial"/>
                <w:sz w:val="17"/>
                <w:szCs w:val="17"/>
                <w:color w:val="auto"/>
                <w:vertAlign w:val="superscript"/>
              </w:rPr>
              <w:t>(12)(13)(14)</w:t>
            </w:r>
          </w:p>
        </w:tc>
        <w:tc>
          <w:tcPr>
            <w:tcW w:w="2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Class A-1 Units (570,263 units)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11/23/2021</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1,126</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1,363</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8"/>
        </w:trPr>
        <w:tc>
          <w:tcPr>
            <w:tcW w:w="2240" w:type="dxa"/>
            <w:vAlign w:val="bottom"/>
            <w:gridSpan w:val="2"/>
          </w:tcPr>
          <w:p>
            <w:pPr>
              <w:spacing w:after="0" w:line="149" w:lineRule="exact"/>
              <w:rPr>
                <w:sz w:val="20"/>
                <w:szCs w:val="20"/>
                <w:color w:val="auto"/>
              </w:rPr>
            </w:pPr>
            <w:r>
              <w:rPr>
                <w:rFonts w:ascii="Arial" w:cs="Arial" w:eastAsia="Arial" w:hAnsi="Arial"/>
                <w:sz w:val="12"/>
                <w:szCs w:val="12"/>
                <w:color w:val="auto"/>
              </w:rPr>
              <w:t>Sprinklr, Inc.</w:t>
            </w:r>
            <w:r>
              <w:rPr>
                <w:rFonts w:ascii="Arial" w:cs="Arial" w:eastAsia="Arial" w:hAnsi="Arial"/>
                <w:sz w:val="17"/>
                <w:szCs w:val="17"/>
                <w:color w:val="auto"/>
                <w:vertAlign w:val="superscript"/>
              </w:rPr>
              <w:t>(11)(12)</w:t>
            </w:r>
          </w:p>
        </w:tc>
        <w:tc>
          <w:tcPr>
            <w:tcW w:w="2720" w:type="dxa"/>
            <w:vAlign w:val="bottom"/>
            <w:gridSpan w:val="2"/>
          </w:tcPr>
          <w:p>
            <w:pPr>
              <w:ind w:left="120"/>
              <w:spacing w:after="0"/>
              <w:rPr>
                <w:sz w:val="20"/>
                <w:szCs w:val="20"/>
                <w:color w:val="auto"/>
              </w:rPr>
            </w:pPr>
            <w:r>
              <w:rPr>
                <w:rFonts w:ascii="Arial" w:cs="Arial" w:eastAsia="Arial" w:hAnsi="Arial"/>
                <w:sz w:val="13"/>
                <w:szCs w:val="13"/>
                <w:color w:val="auto"/>
              </w:rPr>
              <w:t>Common Shares (484,700 shares)</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6/24/2021</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4,180</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4,469</w:t>
            </w:r>
          </w:p>
        </w:tc>
        <w:tc>
          <w:tcPr>
            <w:tcW w:w="920" w:type="dxa"/>
            <w:vAlign w:val="bottom"/>
            <w:gridSpan w:val="3"/>
          </w:tcPr>
          <w:p>
            <w:pPr>
              <w:jc w:val="right"/>
              <w:ind w:right="4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49"/>
        </w:trPr>
        <w:tc>
          <w:tcPr>
            <w:tcW w:w="224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WideOrbit, Inc.</w:t>
            </w:r>
            <w:r>
              <w:rPr>
                <w:rFonts w:ascii="Arial" w:cs="Arial" w:eastAsia="Arial" w:hAnsi="Arial"/>
                <w:sz w:val="17"/>
                <w:szCs w:val="17"/>
                <w:color w:val="auto"/>
                <w:vertAlign w:val="superscript"/>
              </w:rPr>
              <w:t>(12)</w:t>
            </w:r>
          </w:p>
        </w:tc>
        <w:tc>
          <w:tcPr>
            <w:tcW w:w="2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1,567,807 Warrants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7/8/2020</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2,482</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14,785</w:t>
            </w:r>
          </w:p>
        </w:tc>
        <w:tc>
          <w:tcPr>
            <w:tcW w:w="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15,245</w:t>
            </w:r>
          </w:p>
        </w:tc>
        <w:tc>
          <w:tcPr>
            <w:tcW w:w="10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Communications</w:t>
            </w:r>
          </w:p>
        </w:tc>
        <w:tc>
          <w:tcPr>
            <w:tcW w:w="1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spacing w:after="0" w:line="149" w:lineRule="exact"/>
              <w:rPr>
                <w:sz w:val="20"/>
                <w:szCs w:val="20"/>
                <w:color w:val="auto"/>
              </w:rPr>
            </w:pPr>
            <w:r>
              <w:rPr>
                <w:rFonts w:ascii="Arial" w:cs="Arial" w:eastAsia="Arial" w:hAnsi="Arial"/>
                <w:sz w:val="12"/>
                <w:szCs w:val="12"/>
                <w:color w:val="auto"/>
              </w:rPr>
              <w:t>Celtra Technologies, Inc.</w:t>
            </w:r>
            <w:r>
              <w:rPr>
                <w:rFonts w:ascii="Arial" w:cs="Arial" w:eastAsia="Arial" w:hAnsi="Arial"/>
                <w:sz w:val="17"/>
                <w:szCs w:val="17"/>
                <w:color w:val="auto"/>
                <w:vertAlign w:val="superscript"/>
              </w:rPr>
              <w:t>(12)(13)</w:t>
            </w:r>
          </w:p>
        </w:tc>
        <w:tc>
          <w:tcPr>
            <w:tcW w:w="2720" w:type="dxa"/>
            <w:vAlign w:val="bottom"/>
            <w:gridSpan w:val="2"/>
          </w:tcPr>
          <w:p>
            <w:pPr>
              <w:ind w:left="120"/>
              <w:spacing w:after="0"/>
              <w:rPr>
                <w:sz w:val="20"/>
                <w:szCs w:val="20"/>
                <w:color w:val="auto"/>
              </w:rPr>
            </w:pPr>
            <w:r>
              <w:rPr>
                <w:rFonts w:ascii="Arial" w:cs="Arial" w:eastAsia="Arial" w:hAnsi="Arial"/>
                <w:sz w:val="13"/>
                <w:szCs w:val="13"/>
                <w:color w:val="auto"/>
              </w:rPr>
              <w:t>Class A Units (1,250,000 units)</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11/19/2021</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1,250</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1,250</w:t>
            </w:r>
          </w:p>
        </w:tc>
        <w:tc>
          <w:tcPr>
            <w:tcW w:w="92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IntelePeer Holdings, Inc.</w:t>
            </w:r>
            <w:r>
              <w:rPr>
                <w:rFonts w:ascii="Arial" w:cs="Arial" w:eastAsia="Arial" w:hAnsi="Arial"/>
                <w:sz w:val="17"/>
                <w:szCs w:val="17"/>
                <w:color w:val="auto"/>
                <w:vertAlign w:val="superscript"/>
              </w:rPr>
              <w:t>(12)</w:t>
            </w:r>
          </w:p>
        </w:tc>
        <w:tc>
          <w:tcPr>
            <w:tcW w:w="2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97"/>
              </w:rPr>
              <w:t>Series C Preferred Shares (1,816,295 shares)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4/8/2021</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1,816</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2,829</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720" w:type="dxa"/>
            <w:vAlign w:val="bottom"/>
            <w:gridSpan w:val="2"/>
          </w:tcPr>
          <w:p>
            <w:pPr>
              <w:ind w:left="120"/>
              <w:spacing w:after="0"/>
              <w:rPr>
                <w:sz w:val="20"/>
                <w:szCs w:val="20"/>
                <w:color w:val="auto"/>
              </w:rPr>
            </w:pPr>
            <w:r>
              <w:rPr>
                <w:rFonts w:ascii="Arial" w:cs="Arial" w:eastAsia="Arial" w:hAnsi="Arial"/>
                <w:sz w:val="13"/>
                <w:szCs w:val="13"/>
                <w:color w:val="auto"/>
                <w:w w:val="97"/>
              </w:rPr>
              <w:t>Series D Preferred Shares (1,598,874 shares)</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4/8/2021</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2,925</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2,925</w:t>
            </w:r>
          </w:p>
        </w:tc>
        <w:tc>
          <w:tcPr>
            <w:tcW w:w="920" w:type="dxa"/>
            <w:vAlign w:val="bottom"/>
            <w:gridSpan w:val="3"/>
          </w:tcPr>
          <w:p>
            <w:pPr>
              <w:jc w:val="right"/>
              <w:ind w:right="4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49"/>
        </w:trPr>
        <w:tc>
          <w:tcPr>
            <w:tcW w:w="7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280,000 Warrants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2/28/2020</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183</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193</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720" w:type="dxa"/>
            <w:vAlign w:val="bottom"/>
            <w:gridSpan w:val="2"/>
          </w:tcPr>
          <w:p>
            <w:pPr>
              <w:ind w:left="120"/>
              <w:spacing w:after="0"/>
              <w:rPr>
                <w:sz w:val="20"/>
                <w:szCs w:val="20"/>
                <w:color w:val="auto"/>
              </w:rPr>
            </w:pPr>
            <w:r>
              <w:rPr>
                <w:rFonts w:ascii="Arial" w:cs="Arial" w:eastAsia="Arial" w:hAnsi="Arial"/>
                <w:sz w:val="13"/>
                <w:szCs w:val="13"/>
                <w:color w:val="auto"/>
              </w:rPr>
              <w:t>106,592 Warrants</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4/8/2021</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11</w:t>
            </w:r>
          </w:p>
        </w:tc>
        <w:tc>
          <w:tcPr>
            <w:tcW w:w="920" w:type="dxa"/>
            <w:vAlign w:val="bottom"/>
            <w:gridSpan w:val="3"/>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6,174</w:t>
            </w:r>
          </w:p>
        </w:tc>
        <w:tc>
          <w:tcPr>
            <w:tcW w:w="1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7,208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55"/>
        </w:trPr>
        <w:tc>
          <w:tcPr>
            <w:tcW w:w="2240" w:type="dxa"/>
            <w:vAlign w:val="bottom"/>
            <w:gridSpan w:val="2"/>
          </w:tcPr>
          <w:p>
            <w:pPr>
              <w:spacing w:after="0"/>
              <w:rPr>
                <w:sz w:val="20"/>
                <w:szCs w:val="20"/>
                <w:color w:val="auto"/>
              </w:rPr>
            </w:pPr>
            <w:r>
              <w:rPr>
                <w:rFonts w:ascii="Arial" w:cs="Arial" w:eastAsia="Arial" w:hAnsi="Arial"/>
                <w:sz w:val="13"/>
                <w:szCs w:val="13"/>
                <w:b w:val="1"/>
                <w:bCs w:val="1"/>
                <w:color w:val="auto"/>
              </w:rPr>
              <w:t>Education</w:t>
            </w:r>
          </w:p>
        </w:tc>
        <w:tc>
          <w:tcPr>
            <w:tcW w:w="1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4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Astra 2L Holdings II LLC</w:t>
            </w:r>
            <w:r>
              <w:rPr>
                <w:rFonts w:ascii="Arial" w:cs="Arial" w:eastAsia="Arial" w:hAnsi="Arial"/>
                <w:sz w:val="17"/>
                <w:szCs w:val="17"/>
                <w:color w:val="auto"/>
                <w:vertAlign w:val="superscript"/>
              </w:rPr>
              <w:t>(12)(13)</w:t>
            </w:r>
          </w:p>
        </w:tc>
        <w:tc>
          <w:tcPr>
            <w:tcW w:w="2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Membership Interest (10.17% ownership)</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1/13/2022</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3,255</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2,620</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48"/>
        </w:trPr>
        <w:tc>
          <w:tcPr>
            <w:tcW w:w="2240" w:type="dxa"/>
            <w:vAlign w:val="bottom"/>
            <w:gridSpan w:val="2"/>
          </w:tcPr>
          <w:p>
            <w:pPr>
              <w:spacing w:after="0" w:line="149" w:lineRule="exact"/>
              <w:rPr>
                <w:sz w:val="20"/>
                <w:szCs w:val="20"/>
                <w:color w:val="auto"/>
              </w:rPr>
            </w:pPr>
            <w:r>
              <w:rPr>
                <w:rFonts w:ascii="Arial" w:cs="Arial" w:eastAsia="Arial" w:hAnsi="Arial"/>
                <w:sz w:val="12"/>
                <w:szCs w:val="12"/>
                <w:color w:val="auto"/>
              </w:rPr>
              <w:t>EMS Linq, Inc.</w:t>
            </w:r>
            <w:r>
              <w:rPr>
                <w:rFonts w:ascii="Arial" w:cs="Arial" w:eastAsia="Arial" w:hAnsi="Arial"/>
                <w:sz w:val="17"/>
                <w:szCs w:val="17"/>
                <w:color w:val="auto"/>
                <w:vertAlign w:val="superscript"/>
              </w:rPr>
              <w:t>(12)(13)</w:t>
            </w:r>
          </w:p>
        </w:tc>
        <w:tc>
          <w:tcPr>
            <w:tcW w:w="2720" w:type="dxa"/>
            <w:vAlign w:val="bottom"/>
            <w:gridSpan w:val="2"/>
          </w:tcPr>
          <w:p>
            <w:pPr>
              <w:ind w:left="120"/>
              <w:spacing w:after="0"/>
              <w:rPr>
                <w:sz w:val="20"/>
                <w:szCs w:val="20"/>
                <w:color w:val="auto"/>
              </w:rPr>
            </w:pPr>
            <w:r>
              <w:rPr>
                <w:rFonts w:ascii="Arial" w:cs="Arial" w:eastAsia="Arial" w:hAnsi="Arial"/>
                <w:sz w:val="13"/>
                <w:szCs w:val="13"/>
                <w:color w:val="auto"/>
              </w:rPr>
              <w:t>Class B Units (5,522,526 units)</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12/22/2021</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5,523</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4,763</w:t>
            </w:r>
          </w:p>
        </w:tc>
        <w:tc>
          <w:tcPr>
            <w:tcW w:w="920" w:type="dxa"/>
            <w:vAlign w:val="bottom"/>
            <w:gridSpan w:val="3"/>
          </w:tcPr>
          <w:p>
            <w:pPr>
              <w:jc w:val="right"/>
              <w:ind w:right="4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08"/>
        </w:trPr>
        <w:tc>
          <w:tcPr>
            <w:tcW w:w="2240" w:type="dxa"/>
            <w:vAlign w:val="bottom"/>
            <w:gridSpan w:val="2"/>
            <w:shd w:val="clear" w:color="auto" w:fill="CCEEFF"/>
          </w:tcPr>
          <w:p>
            <w:pPr>
              <w:spacing w:after="0" w:line="108" w:lineRule="exact"/>
              <w:rPr>
                <w:sz w:val="20"/>
                <w:szCs w:val="20"/>
                <w:color w:val="auto"/>
              </w:rPr>
            </w:pPr>
            <w:r>
              <w:rPr>
                <w:rFonts w:ascii="Arial" w:cs="Arial" w:eastAsia="Arial" w:hAnsi="Arial"/>
                <w:sz w:val="12"/>
                <w:szCs w:val="12"/>
                <w:color w:val="auto"/>
              </w:rPr>
              <w:t>RMCF IV CIV XXXV,</w:t>
            </w:r>
          </w:p>
        </w:tc>
        <w:tc>
          <w:tcPr>
            <w:tcW w:w="272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Partnership Interest (11.94% ownership)</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6/8/2021</w:t>
            </w: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20" w:type="dxa"/>
            <w:vAlign w:val="bottom"/>
            <w:vMerge w:val="restart"/>
            <w:shd w:val="clear" w:color="auto" w:fill="CCEEFF"/>
          </w:tcPr>
          <w:p>
            <w:pPr>
              <w:spacing w:after="0"/>
              <w:rPr>
                <w:sz w:val="9"/>
                <w:szCs w:val="9"/>
                <w:color w:val="auto"/>
              </w:rPr>
            </w:pPr>
          </w:p>
        </w:tc>
        <w:tc>
          <w:tcPr>
            <w:tcW w:w="120" w:type="dxa"/>
            <w:vAlign w:val="bottom"/>
            <w:vMerge w:val="restart"/>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1,190</w:t>
            </w:r>
          </w:p>
        </w:tc>
        <w:tc>
          <w:tcPr>
            <w:tcW w:w="9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35"/>
        </w:trPr>
        <w:tc>
          <w:tcPr>
            <w:tcW w:w="22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5"/>
                <w:szCs w:val="15"/>
                <w:color w:val="auto"/>
                <w:vertAlign w:val="subscript"/>
              </w:rPr>
              <w:t>LP.</w:t>
            </w:r>
            <w:r>
              <w:rPr>
                <w:rFonts w:ascii="Arial" w:cs="Arial" w:eastAsia="Arial" w:hAnsi="Arial"/>
                <w:sz w:val="8"/>
                <w:szCs w:val="8"/>
                <w:color w:val="auto"/>
              </w:rPr>
              <w:t>(12)</w:t>
            </w:r>
          </w:p>
        </w:tc>
        <w:tc>
          <w:tcPr>
            <w:tcW w:w="272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2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920" w:type="dxa"/>
            <w:vAlign w:val="bottom"/>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9,778</w:t>
            </w:r>
          </w:p>
        </w:tc>
        <w:tc>
          <w:tcPr>
            <w:tcW w:w="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8,573</w:t>
            </w:r>
          </w:p>
        </w:tc>
        <w:tc>
          <w:tcPr>
            <w:tcW w:w="10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Financial Services</w:t>
            </w:r>
          </w:p>
        </w:tc>
        <w:tc>
          <w:tcPr>
            <w:tcW w:w="1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gridSpan w:val="2"/>
          </w:tcPr>
          <w:p>
            <w:pPr>
              <w:spacing w:after="0" w:line="149" w:lineRule="exact"/>
              <w:rPr>
                <w:sz w:val="20"/>
                <w:szCs w:val="20"/>
                <w:color w:val="auto"/>
              </w:rPr>
            </w:pPr>
            <w:r>
              <w:rPr>
                <w:rFonts w:ascii="Arial" w:cs="Arial" w:eastAsia="Arial" w:hAnsi="Arial"/>
                <w:sz w:val="12"/>
                <w:szCs w:val="12"/>
                <w:color w:val="auto"/>
              </w:rPr>
              <w:t>AvidXchange, Inc.</w:t>
            </w:r>
            <w:r>
              <w:rPr>
                <w:rFonts w:ascii="Arial" w:cs="Arial" w:eastAsia="Arial" w:hAnsi="Arial"/>
                <w:sz w:val="17"/>
                <w:szCs w:val="17"/>
                <w:color w:val="auto"/>
                <w:vertAlign w:val="superscript"/>
              </w:rPr>
              <w:t>(11)(12)(13)</w:t>
            </w:r>
          </w:p>
        </w:tc>
        <w:tc>
          <w:tcPr>
            <w:tcW w:w="2720" w:type="dxa"/>
            <w:vAlign w:val="bottom"/>
            <w:gridSpan w:val="2"/>
          </w:tcPr>
          <w:p>
            <w:pPr>
              <w:ind w:left="120"/>
              <w:spacing w:after="0"/>
              <w:rPr>
                <w:sz w:val="20"/>
                <w:szCs w:val="20"/>
                <w:color w:val="auto"/>
              </w:rPr>
            </w:pPr>
            <w:r>
              <w:rPr>
                <w:rFonts w:ascii="Arial" w:cs="Arial" w:eastAsia="Arial" w:hAnsi="Arial"/>
                <w:sz w:val="13"/>
                <w:szCs w:val="13"/>
                <w:color w:val="auto"/>
              </w:rPr>
              <w:t>Common Shares (200,721 shares)</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10/15/2021</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1,022</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1,690</w:t>
            </w:r>
          </w:p>
        </w:tc>
        <w:tc>
          <w:tcPr>
            <w:tcW w:w="92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Newport Parent Holdings, LP</w:t>
            </w:r>
            <w:r>
              <w:rPr>
                <w:rFonts w:ascii="Arial" w:cs="Arial" w:eastAsia="Arial" w:hAnsi="Arial"/>
                <w:sz w:val="17"/>
                <w:szCs w:val="17"/>
                <w:color w:val="auto"/>
                <w:vertAlign w:val="superscript"/>
              </w:rPr>
              <w:t>(12)</w:t>
            </w:r>
          </w:p>
        </w:tc>
        <w:tc>
          <w:tcPr>
            <w:tcW w:w="2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Class A-2 Units (131,569 units)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12/10/2020</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4,177</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4,386</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08"/>
        </w:trPr>
        <w:tc>
          <w:tcPr>
            <w:tcW w:w="2240" w:type="dxa"/>
            <w:vAlign w:val="bottom"/>
            <w:gridSpan w:val="2"/>
          </w:tcPr>
          <w:p>
            <w:pPr>
              <w:spacing w:after="0" w:line="108" w:lineRule="exact"/>
              <w:rPr>
                <w:sz w:val="20"/>
                <w:szCs w:val="20"/>
                <w:color w:val="auto"/>
              </w:rPr>
            </w:pPr>
            <w:r>
              <w:rPr>
                <w:rFonts w:ascii="Arial" w:cs="Arial" w:eastAsia="Arial" w:hAnsi="Arial"/>
                <w:sz w:val="12"/>
                <w:szCs w:val="12"/>
                <w:color w:val="auto"/>
              </w:rPr>
              <w:t>Oxford Square Capital</w:t>
            </w:r>
          </w:p>
        </w:tc>
        <w:tc>
          <w:tcPr>
            <w:tcW w:w="2720" w:type="dxa"/>
            <w:vAlign w:val="bottom"/>
            <w:gridSpan w:val="2"/>
            <w:vMerge w:val="restart"/>
          </w:tcPr>
          <w:p>
            <w:pPr>
              <w:ind w:left="120"/>
              <w:spacing w:after="0"/>
              <w:rPr>
                <w:sz w:val="20"/>
                <w:szCs w:val="20"/>
                <w:color w:val="auto"/>
              </w:rPr>
            </w:pPr>
            <w:r>
              <w:rPr>
                <w:rFonts w:ascii="Arial" w:cs="Arial" w:eastAsia="Arial" w:hAnsi="Arial"/>
                <w:sz w:val="13"/>
                <w:szCs w:val="13"/>
                <w:color w:val="auto"/>
              </w:rPr>
              <w:t>Common Shares (1,620 shares)</w:t>
            </w:r>
          </w:p>
        </w:tc>
        <w:tc>
          <w:tcPr>
            <w:tcW w:w="740" w:type="dxa"/>
            <w:vAlign w:val="bottom"/>
            <w:gridSpan w:val="2"/>
            <w:vMerge w:val="restart"/>
          </w:tcPr>
          <w:p>
            <w:pPr>
              <w:jc w:val="right"/>
              <w:spacing w:after="0"/>
              <w:rPr>
                <w:sz w:val="20"/>
                <w:szCs w:val="20"/>
                <w:color w:val="auto"/>
              </w:rPr>
            </w:pPr>
            <w:r>
              <w:rPr>
                <w:rFonts w:ascii="Arial" w:cs="Arial" w:eastAsia="Arial" w:hAnsi="Arial"/>
                <w:sz w:val="13"/>
                <w:szCs w:val="13"/>
                <w:color w:val="auto"/>
              </w:rPr>
              <w:t>8/5/2015</w:t>
            </w: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68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6</w:t>
            </w:r>
          </w:p>
        </w:tc>
        <w:tc>
          <w:tcPr>
            <w:tcW w:w="92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5</w:t>
            </w:r>
          </w:p>
        </w:tc>
        <w:tc>
          <w:tcPr>
            <w:tcW w:w="92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9"/>
        </w:trPr>
        <w:tc>
          <w:tcPr>
            <w:tcW w:w="2240" w:type="dxa"/>
            <w:vAlign w:val="bottom"/>
            <w:gridSpan w:val="2"/>
          </w:tcPr>
          <w:p>
            <w:pPr>
              <w:ind w:left="140"/>
              <w:spacing w:after="0" w:line="149" w:lineRule="exact"/>
              <w:rPr>
                <w:sz w:val="20"/>
                <w:szCs w:val="20"/>
                <w:color w:val="auto"/>
              </w:rPr>
            </w:pPr>
            <w:r>
              <w:rPr>
                <w:rFonts w:ascii="Arial" w:cs="Arial" w:eastAsia="Arial" w:hAnsi="Arial"/>
                <w:sz w:val="17"/>
                <w:szCs w:val="17"/>
                <w:color w:val="auto"/>
                <w:vertAlign w:val="subscript"/>
              </w:rPr>
              <w:t>Corp.</w:t>
            </w:r>
            <w:r>
              <w:rPr>
                <w:rFonts w:ascii="Arial" w:cs="Arial" w:eastAsia="Arial" w:hAnsi="Arial"/>
                <w:sz w:val="8"/>
                <w:szCs w:val="8"/>
                <w:color w:val="auto"/>
              </w:rPr>
              <w:t>(4)(11)</w:t>
            </w:r>
          </w:p>
        </w:tc>
        <w:tc>
          <w:tcPr>
            <w:tcW w:w="272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Passport Labs, Inc.</w:t>
            </w:r>
            <w:r>
              <w:rPr>
                <w:rFonts w:ascii="Arial" w:cs="Arial" w:eastAsia="Arial" w:hAnsi="Arial"/>
                <w:sz w:val="17"/>
                <w:szCs w:val="17"/>
                <w:color w:val="auto"/>
                <w:vertAlign w:val="superscript"/>
              </w:rPr>
              <w:t>(12)</w:t>
            </w:r>
          </w:p>
        </w:tc>
        <w:tc>
          <w:tcPr>
            <w:tcW w:w="2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17,534 Warrants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4/28/2021</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192</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92</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55"/>
        </w:trPr>
        <w:tc>
          <w:tcPr>
            <w:tcW w:w="2240" w:type="dxa"/>
            <w:vAlign w:val="bottom"/>
            <w:gridSpan w:val="2"/>
          </w:tcPr>
          <w:p>
            <w:pPr>
              <w:spacing w:after="0" w:line="149" w:lineRule="exact"/>
              <w:rPr>
                <w:sz w:val="20"/>
                <w:szCs w:val="20"/>
                <w:color w:val="auto"/>
              </w:rPr>
            </w:pPr>
            <w:r>
              <w:rPr>
                <w:rFonts w:ascii="Arial" w:cs="Arial" w:eastAsia="Arial" w:hAnsi="Arial"/>
                <w:sz w:val="12"/>
                <w:szCs w:val="12"/>
                <w:color w:val="auto"/>
              </w:rPr>
              <w:t>TradingScreen, Inc.</w:t>
            </w:r>
            <w:r>
              <w:rPr>
                <w:rFonts w:ascii="Arial" w:cs="Arial" w:eastAsia="Arial" w:hAnsi="Arial"/>
                <w:sz w:val="17"/>
                <w:szCs w:val="17"/>
                <w:color w:val="auto"/>
                <w:vertAlign w:val="superscript"/>
              </w:rPr>
              <w:t>(12)(14)</w:t>
            </w:r>
          </w:p>
        </w:tc>
        <w:tc>
          <w:tcPr>
            <w:tcW w:w="2720" w:type="dxa"/>
            <w:vAlign w:val="bottom"/>
            <w:gridSpan w:val="2"/>
          </w:tcPr>
          <w:p>
            <w:pPr>
              <w:ind w:left="120"/>
              <w:spacing w:after="0"/>
              <w:rPr>
                <w:sz w:val="20"/>
                <w:szCs w:val="20"/>
                <w:color w:val="auto"/>
              </w:rPr>
            </w:pPr>
            <w:r>
              <w:rPr>
                <w:rFonts w:ascii="Arial" w:cs="Arial" w:eastAsia="Arial" w:hAnsi="Arial"/>
                <w:sz w:val="13"/>
                <w:szCs w:val="13"/>
                <w:color w:val="auto"/>
              </w:rPr>
              <w:t>Class A Units (600,000 units)</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5/14/2021</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600</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600</w:t>
            </w:r>
          </w:p>
        </w:tc>
        <w:tc>
          <w:tcPr>
            <w:tcW w:w="920" w:type="dxa"/>
            <w:vAlign w:val="bottom"/>
            <w:gridSpan w:val="3"/>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9"/>
        </w:trPr>
        <w:tc>
          <w:tcPr>
            <w:tcW w:w="7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5,997</w:t>
            </w:r>
          </w:p>
        </w:tc>
        <w:tc>
          <w:tcPr>
            <w:tcW w:w="1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6,773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55"/>
        </w:trPr>
        <w:tc>
          <w:tcPr>
            <w:tcW w:w="2240" w:type="dxa"/>
            <w:vAlign w:val="bottom"/>
            <w:gridSpan w:val="2"/>
          </w:tcPr>
          <w:p>
            <w:pPr>
              <w:spacing w:after="0"/>
              <w:rPr>
                <w:sz w:val="20"/>
                <w:szCs w:val="20"/>
                <w:color w:val="auto"/>
              </w:rPr>
            </w:pPr>
            <w:r>
              <w:rPr>
                <w:rFonts w:ascii="Arial" w:cs="Arial" w:eastAsia="Arial" w:hAnsi="Arial"/>
                <w:sz w:val="13"/>
                <w:szCs w:val="13"/>
                <w:b w:val="1"/>
                <w:bCs w:val="1"/>
                <w:color w:val="auto"/>
              </w:rPr>
              <w:t>Healthcare</w:t>
            </w:r>
          </w:p>
        </w:tc>
        <w:tc>
          <w:tcPr>
            <w:tcW w:w="1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4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Caris Life Sciences, Inc.</w:t>
            </w:r>
            <w:r>
              <w:rPr>
                <w:rFonts w:ascii="Arial" w:cs="Arial" w:eastAsia="Arial" w:hAnsi="Arial"/>
                <w:sz w:val="17"/>
                <w:szCs w:val="17"/>
                <w:color w:val="auto"/>
                <w:vertAlign w:val="superscript"/>
              </w:rPr>
              <w:t>(12)</w:t>
            </w:r>
          </w:p>
        </w:tc>
        <w:tc>
          <w:tcPr>
            <w:tcW w:w="2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Series C Preferred Shares (362,319 shares)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10/13/2020</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1,000</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1,300</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720" w:type="dxa"/>
            <w:vAlign w:val="bottom"/>
            <w:gridSpan w:val="2"/>
          </w:tcPr>
          <w:p>
            <w:pPr>
              <w:ind w:left="120"/>
              <w:spacing w:after="0"/>
              <w:rPr>
                <w:sz w:val="20"/>
                <w:szCs w:val="20"/>
                <w:color w:val="auto"/>
              </w:rPr>
            </w:pPr>
            <w:r>
              <w:rPr>
                <w:rFonts w:ascii="Arial" w:cs="Arial" w:eastAsia="Arial" w:hAnsi="Arial"/>
                <w:sz w:val="13"/>
                <w:szCs w:val="13"/>
                <w:color w:val="auto"/>
                <w:w w:val="97"/>
              </w:rPr>
              <w:t>Series D Preferred Shares (1,240,740 shares)</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5/11/2021</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10,050</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8,568</w:t>
            </w:r>
          </w:p>
        </w:tc>
        <w:tc>
          <w:tcPr>
            <w:tcW w:w="920" w:type="dxa"/>
            <w:vAlign w:val="bottom"/>
            <w:gridSpan w:val="3"/>
          </w:tcPr>
          <w:p>
            <w:pPr>
              <w:jc w:val="right"/>
              <w:ind w:right="4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633,376 Warrants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9/21/2018</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192</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1,151</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720" w:type="dxa"/>
            <w:vAlign w:val="bottom"/>
            <w:gridSpan w:val="2"/>
          </w:tcPr>
          <w:p>
            <w:pPr>
              <w:ind w:left="120"/>
              <w:spacing w:after="0"/>
              <w:rPr>
                <w:sz w:val="20"/>
                <w:szCs w:val="20"/>
                <w:color w:val="auto"/>
              </w:rPr>
            </w:pPr>
            <w:r>
              <w:rPr>
                <w:rFonts w:ascii="Arial" w:cs="Arial" w:eastAsia="Arial" w:hAnsi="Arial"/>
                <w:sz w:val="13"/>
                <w:szCs w:val="13"/>
                <w:color w:val="auto"/>
              </w:rPr>
              <w:t>569,991 Warrants</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4/2/2020</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250</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888</w:t>
            </w:r>
          </w:p>
        </w:tc>
        <w:tc>
          <w:tcPr>
            <w:tcW w:w="92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9"/>
        </w:trPr>
        <w:tc>
          <w:tcPr>
            <w:tcW w:w="2240" w:type="dxa"/>
            <w:vAlign w:val="bottom"/>
            <w:gridSpan w:val="2"/>
            <w:shd w:val="clear" w:color="auto" w:fill="CCEEFF"/>
          </w:tcPr>
          <w:p>
            <w:pPr>
              <w:spacing w:after="0" w:line="149" w:lineRule="exact"/>
              <w:rPr>
                <w:sz w:val="20"/>
                <w:szCs w:val="20"/>
                <w:color w:val="auto"/>
              </w:rPr>
            </w:pPr>
            <w:r>
              <w:rPr>
                <w:rFonts w:ascii="Arial" w:cs="Arial" w:eastAsia="Arial" w:hAnsi="Arial"/>
                <w:sz w:val="17"/>
                <w:szCs w:val="17"/>
                <w:color w:val="auto"/>
                <w:vertAlign w:val="subscript"/>
              </w:rPr>
              <w:t>Merative L.P.</w:t>
            </w:r>
            <w:r>
              <w:rPr>
                <w:rFonts w:ascii="Arial" w:cs="Arial" w:eastAsia="Arial" w:hAnsi="Arial"/>
                <w:sz w:val="8"/>
                <w:szCs w:val="8"/>
                <w:color w:val="auto"/>
              </w:rPr>
              <w:t>(12)(13)(14)</w:t>
            </w:r>
          </w:p>
        </w:tc>
        <w:tc>
          <w:tcPr>
            <w:tcW w:w="2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989,691 Class A-1 Units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6/30/2022</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9,897</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21,389</w:t>
            </w:r>
          </w:p>
        </w:tc>
        <w:tc>
          <w:tcPr>
            <w:tcW w:w="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21,804</w:t>
            </w:r>
          </w:p>
        </w:tc>
        <w:tc>
          <w:tcPr>
            <w:tcW w:w="10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Hotel, Gaming and Leisure</w:t>
            </w:r>
          </w:p>
        </w:tc>
        <w:tc>
          <w:tcPr>
            <w:tcW w:w="1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gridSpan w:val="2"/>
          </w:tcPr>
          <w:p>
            <w:pPr>
              <w:spacing w:after="0" w:line="149" w:lineRule="exact"/>
              <w:rPr>
                <w:sz w:val="20"/>
                <w:szCs w:val="20"/>
                <w:color w:val="auto"/>
              </w:rPr>
            </w:pPr>
            <w:r>
              <w:rPr>
                <w:rFonts w:ascii="Arial" w:cs="Arial" w:eastAsia="Arial" w:hAnsi="Arial"/>
                <w:sz w:val="12"/>
                <w:szCs w:val="12"/>
                <w:color w:val="auto"/>
              </w:rPr>
              <w:t>IRGSE Holding Corp.</w:t>
            </w:r>
            <w:r>
              <w:rPr>
                <w:rFonts w:ascii="Arial" w:cs="Arial" w:eastAsia="Arial" w:hAnsi="Arial"/>
                <w:sz w:val="17"/>
                <w:szCs w:val="17"/>
                <w:color w:val="auto"/>
                <w:vertAlign w:val="superscript"/>
              </w:rPr>
              <w:t>(7)(12)</w:t>
            </w:r>
          </w:p>
        </w:tc>
        <w:tc>
          <w:tcPr>
            <w:tcW w:w="2720" w:type="dxa"/>
            <w:vAlign w:val="bottom"/>
            <w:gridSpan w:val="2"/>
          </w:tcPr>
          <w:p>
            <w:pPr>
              <w:ind w:left="120"/>
              <w:spacing w:after="0"/>
              <w:rPr>
                <w:sz w:val="20"/>
                <w:szCs w:val="20"/>
                <w:color w:val="auto"/>
              </w:rPr>
            </w:pPr>
            <w:r>
              <w:rPr>
                <w:rFonts w:ascii="Arial" w:cs="Arial" w:eastAsia="Arial" w:hAnsi="Arial"/>
                <w:sz w:val="13"/>
                <w:szCs w:val="13"/>
                <w:color w:val="auto"/>
              </w:rPr>
              <w:t>Class A Units (33,790,171 units)</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12/21/2018</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21,842</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25,596</w:t>
            </w:r>
          </w:p>
        </w:tc>
        <w:tc>
          <w:tcPr>
            <w:tcW w:w="920" w:type="dxa"/>
            <w:vAlign w:val="bottom"/>
            <w:gridSpan w:val="3"/>
          </w:tcPr>
          <w:p>
            <w:pPr>
              <w:jc w:val="right"/>
              <w:ind w:right="4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Class C-1 Units (8,800,000 units)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12/21/2018</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21,942</w:t>
            </w:r>
          </w:p>
        </w:tc>
        <w:tc>
          <w:tcPr>
            <w:tcW w:w="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25,639</w:t>
            </w:r>
          </w:p>
        </w:tc>
        <w:tc>
          <w:tcPr>
            <w:tcW w:w="10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Human Resource Support Services</w:t>
            </w:r>
          </w:p>
        </w:tc>
        <w:tc>
          <w:tcPr>
            <w:tcW w:w="1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gridSpan w:val="2"/>
          </w:tcPr>
          <w:p>
            <w:pPr>
              <w:spacing w:after="0" w:line="149" w:lineRule="exact"/>
              <w:rPr>
                <w:sz w:val="20"/>
                <w:szCs w:val="20"/>
                <w:color w:val="auto"/>
              </w:rPr>
            </w:pPr>
            <w:r>
              <w:rPr>
                <w:rFonts w:ascii="Arial" w:cs="Arial" w:eastAsia="Arial" w:hAnsi="Arial"/>
                <w:sz w:val="12"/>
                <w:szCs w:val="12"/>
                <w:color w:val="auto"/>
              </w:rPr>
              <w:t>Axonify, Inc.</w:t>
            </w:r>
            <w:r>
              <w:rPr>
                <w:rFonts w:ascii="Arial" w:cs="Arial" w:eastAsia="Arial" w:hAnsi="Arial"/>
                <w:sz w:val="17"/>
                <w:szCs w:val="17"/>
                <w:color w:val="auto"/>
                <w:vertAlign w:val="superscript"/>
              </w:rPr>
              <w:t>(4)(12)(14)</w:t>
            </w:r>
          </w:p>
        </w:tc>
        <w:tc>
          <w:tcPr>
            <w:tcW w:w="2720" w:type="dxa"/>
            <w:vAlign w:val="bottom"/>
            <w:gridSpan w:val="2"/>
          </w:tcPr>
          <w:p>
            <w:pPr>
              <w:ind w:left="120"/>
              <w:spacing w:after="0"/>
              <w:rPr>
                <w:sz w:val="20"/>
                <w:szCs w:val="20"/>
                <w:color w:val="auto"/>
              </w:rPr>
            </w:pPr>
            <w:r>
              <w:rPr>
                <w:rFonts w:ascii="Arial" w:cs="Arial" w:eastAsia="Arial" w:hAnsi="Arial"/>
                <w:sz w:val="13"/>
                <w:szCs w:val="13"/>
                <w:color w:val="auto"/>
              </w:rPr>
              <w:t>Class A-1 Units (3,780,000 units)</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5/5/2021</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3,780</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4,262</w:t>
            </w:r>
          </w:p>
        </w:tc>
        <w:tc>
          <w:tcPr>
            <w:tcW w:w="920" w:type="dxa"/>
            <w:vAlign w:val="bottom"/>
            <w:gridSpan w:val="3"/>
          </w:tcPr>
          <w:p>
            <w:pPr>
              <w:jc w:val="right"/>
              <w:ind w:right="4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ClearCompany, LLC</w:t>
            </w:r>
            <w:r>
              <w:rPr>
                <w:rFonts w:ascii="Arial" w:cs="Arial" w:eastAsia="Arial" w:hAnsi="Arial"/>
                <w:sz w:val="17"/>
                <w:szCs w:val="17"/>
                <w:color w:val="auto"/>
                <w:vertAlign w:val="superscript"/>
              </w:rPr>
              <w:t>(12)(14)</w:t>
            </w:r>
          </w:p>
        </w:tc>
        <w:tc>
          <w:tcPr>
            <w:tcW w:w="2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Series A Preferred Units (1,429,228 units)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8/24/2018</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2,014</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4,788</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49"/>
        </w:trPr>
        <w:tc>
          <w:tcPr>
            <w:tcW w:w="2240" w:type="dxa"/>
            <w:vAlign w:val="bottom"/>
            <w:gridSpan w:val="2"/>
          </w:tcPr>
          <w:p>
            <w:pPr>
              <w:spacing w:after="0" w:line="149" w:lineRule="exact"/>
              <w:rPr>
                <w:sz w:val="20"/>
                <w:szCs w:val="20"/>
                <w:color w:val="auto"/>
              </w:rPr>
            </w:pPr>
            <w:r>
              <w:rPr>
                <w:rFonts w:ascii="Arial" w:cs="Arial" w:eastAsia="Arial" w:hAnsi="Arial"/>
                <w:sz w:val="12"/>
                <w:szCs w:val="12"/>
                <w:color w:val="auto"/>
              </w:rPr>
              <w:t>DaySmart Holdings, LLC</w:t>
            </w:r>
            <w:r>
              <w:rPr>
                <w:rFonts w:ascii="Arial" w:cs="Arial" w:eastAsia="Arial" w:hAnsi="Arial"/>
                <w:sz w:val="17"/>
                <w:szCs w:val="17"/>
                <w:color w:val="auto"/>
                <w:vertAlign w:val="superscript"/>
              </w:rPr>
              <w:t>(12)(14)</w:t>
            </w:r>
          </w:p>
        </w:tc>
        <w:tc>
          <w:tcPr>
            <w:tcW w:w="2720" w:type="dxa"/>
            <w:vAlign w:val="bottom"/>
            <w:gridSpan w:val="2"/>
          </w:tcPr>
          <w:p>
            <w:pPr>
              <w:ind w:left="120"/>
              <w:spacing w:after="0"/>
              <w:rPr>
                <w:sz w:val="20"/>
                <w:szCs w:val="20"/>
                <w:color w:val="auto"/>
              </w:rPr>
            </w:pPr>
            <w:r>
              <w:rPr>
                <w:rFonts w:ascii="Arial" w:cs="Arial" w:eastAsia="Arial" w:hAnsi="Arial"/>
                <w:sz w:val="13"/>
                <w:szCs w:val="13"/>
                <w:color w:val="auto"/>
              </w:rPr>
              <w:t>Class A Units (166,811 units)</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10/1/2019</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1,347</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1,845</w:t>
            </w:r>
          </w:p>
        </w:tc>
        <w:tc>
          <w:tcPr>
            <w:tcW w:w="92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08"/>
        </w:trPr>
        <w:tc>
          <w:tcPr>
            <w:tcW w:w="2240" w:type="dxa"/>
            <w:vAlign w:val="bottom"/>
            <w:gridSpan w:val="2"/>
            <w:shd w:val="clear" w:color="auto" w:fill="CCEEFF"/>
          </w:tcPr>
          <w:p>
            <w:pPr>
              <w:spacing w:after="0" w:line="108" w:lineRule="exact"/>
              <w:rPr>
                <w:sz w:val="20"/>
                <w:szCs w:val="20"/>
                <w:color w:val="auto"/>
              </w:rPr>
            </w:pPr>
            <w:r>
              <w:rPr>
                <w:rFonts w:ascii="Arial" w:cs="Arial" w:eastAsia="Arial" w:hAnsi="Arial"/>
                <w:sz w:val="9"/>
                <w:szCs w:val="9"/>
                <w:color w:val="auto"/>
              </w:rPr>
              <w:t>Employment Hero Holdings Pty Ltd.</w:t>
            </w:r>
            <w:r>
              <w:rPr>
                <w:rFonts w:ascii="Arial" w:cs="Arial" w:eastAsia="Arial" w:hAnsi="Arial"/>
                <w:sz w:val="12"/>
                <w:szCs w:val="12"/>
                <w:color w:val="auto"/>
                <w:vertAlign w:val="superscript"/>
              </w:rPr>
              <w:t>(4)</w:t>
            </w:r>
          </w:p>
        </w:tc>
        <w:tc>
          <w:tcPr>
            <w:tcW w:w="27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2"/>
                <w:szCs w:val="12"/>
                <w:color w:val="auto"/>
              </w:rPr>
              <w:t>Series E Preferred Shares (113,250 shares)</w:t>
            </w:r>
          </w:p>
        </w:tc>
        <w:tc>
          <w:tcPr>
            <w:tcW w:w="74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2"/>
                <w:szCs w:val="12"/>
                <w:color w:val="auto"/>
              </w:rPr>
              <w:t>3/1/2022</w:t>
            </w: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20"/>
              <w:spacing w:after="0" w:line="108" w:lineRule="exact"/>
              <w:rPr>
                <w:sz w:val="20"/>
                <w:szCs w:val="20"/>
                <w:color w:val="auto"/>
              </w:rPr>
            </w:pPr>
            <w:r>
              <w:rPr>
                <w:rFonts w:ascii="Arial" w:cs="Arial" w:eastAsia="Arial" w:hAnsi="Arial"/>
                <w:sz w:val="12"/>
                <w:szCs w:val="12"/>
                <w:color w:val="auto"/>
              </w:rPr>
              <w:t>2,134</w:t>
            </w:r>
          </w:p>
        </w:tc>
        <w:tc>
          <w:tcPr>
            <w:tcW w:w="920" w:type="dxa"/>
            <w:vAlign w:val="bottom"/>
            <w:gridSpan w:val="3"/>
            <w:shd w:val="clear" w:color="auto" w:fill="CCEEFF"/>
          </w:tcPr>
          <w:p>
            <w:pPr>
              <w:jc w:val="right"/>
              <w:ind w:right="100"/>
              <w:spacing w:after="0" w:line="108" w:lineRule="exact"/>
              <w:rPr>
                <w:sz w:val="20"/>
                <w:szCs w:val="20"/>
                <w:color w:val="auto"/>
              </w:rPr>
            </w:pPr>
            <w:r>
              <w:rPr>
                <w:rFonts w:ascii="Arial" w:cs="Arial" w:eastAsia="Arial" w:hAnsi="Arial"/>
                <w:sz w:val="12"/>
                <w:szCs w:val="12"/>
                <w:color w:val="auto"/>
              </w:rPr>
              <w:t>1,929</w:t>
            </w:r>
          </w:p>
        </w:tc>
        <w:tc>
          <w:tcPr>
            <w:tcW w:w="920" w:type="dxa"/>
            <w:vAlign w:val="bottom"/>
            <w:gridSpan w:val="3"/>
            <w:shd w:val="clear" w:color="auto" w:fill="CCEEFF"/>
          </w:tcPr>
          <w:p>
            <w:pPr>
              <w:jc w:val="right"/>
              <w:ind w:right="40"/>
              <w:spacing w:after="0" w:line="108" w:lineRule="exact"/>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28"/>
        </w:trPr>
        <w:tc>
          <w:tcPr>
            <w:tcW w:w="7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(12)(13)</w:t>
            </w:r>
          </w:p>
        </w:tc>
        <w:tc>
          <w:tcPr>
            <w:tcW w:w="1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7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9"/>
              </w:rPr>
              <w:t>(AUD 3,000)</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9,275</w:t>
            </w:r>
          </w:p>
        </w:tc>
        <w:tc>
          <w:tcPr>
            <w:tcW w:w="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12,824</w:t>
            </w:r>
          </w:p>
        </w:tc>
        <w:tc>
          <w:tcPr>
            <w:tcW w:w="10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Internet Services</w:t>
            </w:r>
          </w:p>
        </w:tc>
        <w:tc>
          <w:tcPr>
            <w:tcW w:w="1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40" w:type="dxa"/>
            <w:vAlign w:val="bottom"/>
            <w:gridSpan w:val="2"/>
          </w:tcPr>
          <w:p>
            <w:pPr>
              <w:spacing w:after="0" w:line="108" w:lineRule="exact"/>
              <w:rPr>
                <w:sz w:val="20"/>
                <w:szCs w:val="20"/>
                <w:color w:val="auto"/>
              </w:rPr>
            </w:pPr>
            <w:r>
              <w:rPr>
                <w:rFonts w:ascii="Arial" w:cs="Arial" w:eastAsia="Arial" w:hAnsi="Arial"/>
                <w:sz w:val="12"/>
                <w:szCs w:val="12"/>
                <w:color w:val="auto"/>
              </w:rPr>
              <w:t>Bayshore Intermediate #2,</w:t>
            </w:r>
          </w:p>
        </w:tc>
        <w:tc>
          <w:tcPr>
            <w:tcW w:w="2720" w:type="dxa"/>
            <w:vAlign w:val="bottom"/>
            <w:gridSpan w:val="2"/>
            <w:vMerge w:val="restart"/>
          </w:tcPr>
          <w:p>
            <w:pPr>
              <w:ind w:left="120"/>
              <w:spacing w:after="0"/>
              <w:rPr>
                <w:sz w:val="20"/>
                <w:szCs w:val="20"/>
                <w:color w:val="auto"/>
              </w:rPr>
            </w:pPr>
            <w:r>
              <w:rPr>
                <w:rFonts w:ascii="Arial" w:cs="Arial" w:eastAsia="Arial" w:hAnsi="Arial"/>
                <w:sz w:val="13"/>
                <w:szCs w:val="13"/>
                <w:color w:val="auto"/>
              </w:rPr>
              <w:t>Common Units (12,330,709 units)</w:t>
            </w:r>
          </w:p>
        </w:tc>
        <w:tc>
          <w:tcPr>
            <w:tcW w:w="740" w:type="dxa"/>
            <w:vAlign w:val="bottom"/>
            <w:gridSpan w:val="2"/>
            <w:vMerge w:val="restart"/>
          </w:tcPr>
          <w:p>
            <w:pPr>
              <w:jc w:val="right"/>
              <w:spacing w:after="0"/>
              <w:rPr>
                <w:sz w:val="20"/>
                <w:szCs w:val="20"/>
                <w:color w:val="auto"/>
              </w:rPr>
            </w:pPr>
            <w:r>
              <w:rPr>
                <w:rFonts w:ascii="Arial" w:cs="Arial" w:eastAsia="Arial" w:hAnsi="Arial"/>
                <w:sz w:val="13"/>
                <w:szCs w:val="13"/>
                <w:color w:val="auto"/>
              </w:rPr>
              <w:t>10/1/2021</w:t>
            </w: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68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12,331</w:t>
            </w:r>
          </w:p>
        </w:tc>
        <w:tc>
          <w:tcPr>
            <w:tcW w:w="92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12,331</w:t>
            </w:r>
          </w:p>
        </w:tc>
        <w:tc>
          <w:tcPr>
            <w:tcW w:w="92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48"/>
        </w:trPr>
        <w:tc>
          <w:tcPr>
            <w:tcW w:w="2240" w:type="dxa"/>
            <w:vAlign w:val="bottom"/>
            <w:gridSpan w:val="2"/>
          </w:tcPr>
          <w:p>
            <w:pPr>
              <w:ind w:left="140"/>
              <w:spacing w:after="0" w:line="149" w:lineRule="exact"/>
              <w:rPr>
                <w:sz w:val="20"/>
                <w:szCs w:val="20"/>
                <w:color w:val="auto"/>
              </w:rPr>
            </w:pPr>
            <w:r>
              <w:rPr>
                <w:rFonts w:ascii="Arial" w:cs="Arial" w:eastAsia="Arial" w:hAnsi="Arial"/>
                <w:sz w:val="17"/>
                <w:szCs w:val="17"/>
                <w:color w:val="auto"/>
                <w:vertAlign w:val="subscript"/>
              </w:rPr>
              <w:t>L.P.</w:t>
            </w:r>
            <w:r>
              <w:rPr>
                <w:rFonts w:ascii="Arial" w:cs="Arial" w:eastAsia="Arial" w:hAnsi="Arial"/>
                <w:sz w:val="8"/>
                <w:szCs w:val="8"/>
                <w:color w:val="auto"/>
              </w:rPr>
              <w:t>(12)(13)(14)</w:t>
            </w:r>
          </w:p>
        </w:tc>
        <w:tc>
          <w:tcPr>
            <w:tcW w:w="272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Lucidworks, Inc.</w:t>
            </w:r>
            <w:r>
              <w:rPr>
                <w:rFonts w:ascii="Arial" w:cs="Arial" w:eastAsia="Arial" w:hAnsi="Arial"/>
                <w:sz w:val="17"/>
                <w:szCs w:val="17"/>
                <w:color w:val="auto"/>
                <w:vertAlign w:val="superscript"/>
              </w:rPr>
              <w:t>(12)</w:t>
            </w:r>
          </w:p>
        </w:tc>
        <w:tc>
          <w:tcPr>
            <w:tcW w:w="2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Series F Preferred Shares (199,054 shares)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8/2/2019</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800</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842</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55"/>
        </w:trPr>
        <w:tc>
          <w:tcPr>
            <w:tcW w:w="2240" w:type="dxa"/>
            <w:vAlign w:val="bottom"/>
            <w:gridSpan w:val="2"/>
          </w:tcPr>
          <w:p>
            <w:pPr>
              <w:spacing w:after="0" w:line="149" w:lineRule="exact"/>
              <w:rPr>
                <w:sz w:val="20"/>
                <w:szCs w:val="20"/>
                <w:color w:val="auto"/>
              </w:rPr>
            </w:pPr>
            <w:r>
              <w:rPr>
                <w:rFonts w:ascii="Arial" w:cs="Arial" w:eastAsia="Arial" w:hAnsi="Arial"/>
                <w:sz w:val="12"/>
                <w:szCs w:val="12"/>
                <w:color w:val="auto"/>
              </w:rPr>
              <w:t>Piano Software, Inc.</w:t>
            </w:r>
            <w:r>
              <w:rPr>
                <w:rFonts w:ascii="Arial" w:cs="Arial" w:eastAsia="Arial" w:hAnsi="Arial"/>
                <w:sz w:val="17"/>
                <w:szCs w:val="17"/>
                <w:color w:val="auto"/>
                <w:vertAlign w:val="superscript"/>
              </w:rPr>
              <w:t>(12)(13)</w:t>
            </w:r>
          </w:p>
        </w:tc>
        <w:tc>
          <w:tcPr>
            <w:tcW w:w="2720" w:type="dxa"/>
            <w:vAlign w:val="bottom"/>
            <w:gridSpan w:val="2"/>
          </w:tcPr>
          <w:p>
            <w:pPr>
              <w:ind w:left="120"/>
              <w:spacing w:after="0"/>
              <w:rPr>
                <w:sz w:val="20"/>
                <w:szCs w:val="20"/>
                <w:color w:val="auto"/>
              </w:rPr>
            </w:pPr>
            <w:r>
              <w:rPr>
                <w:rFonts w:ascii="Arial" w:cs="Arial" w:eastAsia="Arial" w:hAnsi="Arial"/>
                <w:sz w:val="13"/>
                <w:szCs w:val="13"/>
                <w:color w:val="auto"/>
                <w:w w:val="97"/>
              </w:rPr>
              <w:t>Series C-1 Preferred Shares (418,527 shares)</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12/22/2021</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3,000</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3,000</w:t>
            </w:r>
          </w:p>
        </w:tc>
        <w:tc>
          <w:tcPr>
            <w:tcW w:w="920" w:type="dxa"/>
            <w:vAlign w:val="bottom"/>
            <w:gridSpan w:val="3"/>
          </w:tcPr>
          <w:p>
            <w:pPr>
              <w:jc w:val="right"/>
              <w:ind w:right="4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49"/>
        </w:trPr>
        <w:tc>
          <w:tcPr>
            <w:tcW w:w="7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16,131</w:t>
            </w:r>
          </w:p>
        </w:tc>
        <w:tc>
          <w:tcPr>
            <w:tcW w:w="1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16,173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5"/>
        </w:trPr>
        <w:tc>
          <w:tcPr>
            <w:tcW w:w="2240" w:type="dxa"/>
            <w:vAlign w:val="bottom"/>
            <w:gridSpan w:val="2"/>
          </w:tcPr>
          <w:p>
            <w:pPr>
              <w:spacing w:after="0"/>
              <w:rPr>
                <w:sz w:val="20"/>
                <w:szCs w:val="20"/>
                <w:color w:val="auto"/>
              </w:rPr>
            </w:pPr>
            <w:r>
              <w:rPr>
                <w:rFonts w:ascii="Arial" w:cs="Arial" w:eastAsia="Arial" w:hAnsi="Arial"/>
                <w:sz w:val="13"/>
                <w:szCs w:val="13"/>
                <w:b w:val="1"/>
                <w:bCs w:val="1"/>
                <w:color w:val="auto"/>
              </w:rPr>
              <w:t>Marketing Services</w:t>
            </w:r>
          </w:p>
        </w:tc>
        <w:tc>
          <w:tcPr>
            <w:tcW w:w="1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4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Validity, Inc.</w:t>
            </w:r>
            <w:r>
              <w:rPr>
                <w:rFonts w:ascii="Arial" w:cs="Arial" w:eastAsia="Arial" w:hAnsi="Arial"/>
                <w:sz w:val="17"/>
                <w:szCs w:val="17"/>
                <w:color w:val="auto"/>
                <w:vertAlign w:val="superscript"/>
              </w:rPr>
              <w:t>(12)</w:t>
            </w:r>
          </w:p>
        </w:tc>
        <w:tc>
          <w:tcPr>
            <w:tcW w:w="2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97"/>
              </w:rPr>
              <w:t>Series A Preferred Shares (3,840,000 shares)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5/31/2018</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3,840</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11,520</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49"/>
        </w:trPr>
        <w:tc>
          <w:tcPr>
            <w:tcW w:w="2240" w:type="dxa"/>
            <w:vAlign w:val="bottom"/>
            <w:gridSpan w:val="2"/>
          </w:tcPr>
          <w:p>
            <w:pPr>
              <w:spacing w:after="0"/>
              <w:rPr>
                <w:sz w:val="20"/>
                <w:szCs w:val="20"/>
                <w:color w:val="auto"/>
              </w:rPr>
            </w:pPr>
            <w:r>
              <w:rPr>
                <w:rFonts w:ascii="Arial" w:cs="Arial" w:eastAsia="Arial" w:hAnsi="Arial"/>
                <w:sz w:val="13"/>
                <w:szCs w:val="13"/>
                <w:b w:val="1"/>
                <w:bCs w:val="1"/>
                <w:color w:val="auto"/>
              </w:rPr>
              <w:t>Oil, Gas and Consumable Fuels</w:t>
            </w:r>
          </w:p>
        </w:tc>
        <w:tc>
          <w:tcPr>
            <w:tcW w:w="1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40" w:type="dxa"/>
            <w:vAlign w:val="bottom"/>
            <w:gridSpan w:val="2"/>
            <w:shd w:val="clear" w:color="auto" w:fill="CCEEFF"/>
          </w:tcPr>
          <w:p>
            <w:pPr>
              <w:spacing w:after="0" w:line="108" w:lineRule="exact"/>
              <w:rPr>
                <w:sz w:val="20"/>
                <w:szCs w:val="20"/>
                <w:color w:val="auto"/>
              </w:rPr>
            </w:pPr>
            <w:r>
              <w:rPr>
                <w:rFonts w:ascii="Arial" w:cs="Arial" w:eastAsia="Arial" w:hAnsi="Arial"/>
                <w:sz w:val="12"/>
                <w:szCs w:val="12"/>
                <w:color w:val="auto"/>
              </w:rPr>
              <w:t>Murchison Oil and Gas,</w:t>
            </w:r>
          </w:p>
        </w:tc>
        <w:tc>
          <w:tcPr>
            <w:tcW w:w="272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13,355 Preferred Units</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6/30/2022</w:t>
            </w: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c>
          <w:tcPr>
            <w:tcW w:w="6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13,355</w:t>
            </w:r>
          </w:p>
        </w:tc>
        <w:tc>
          <w:tcPr>
            <w:tcW w:w="9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13,355</w:t>
            </w:r>
          </w:p>
        </w:tc>
        <w:tc>
          <w:tcPr>
            <w:tcW w:w="9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35"/>
        </w:trPr>
        <w:tc>
          <w:tcPr>
            <w:tcW w:w="22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5"/>
                <w:szCs w:val="15"/>
                <w:color w:val="auto"/>
                <w:vertAlign w:val="subscript"/>
              </w:rPr>
              <w:t>LLC</w:t>
            </w:r>
            <w:r>
              <w:rPr>
                <w:rFonts w:ascii="Arial" w:cs="Arial" w:eastAsia="Arial" w:hAnsi="Arial"/>
                <w:sz w:val="8"/>
                <w:szCs w:val="8"/>
                <w:color w:val="auto"/>
              </w:rPr>
              <w:t>(13)(14)</w:t>
            </w:r>
          </w:p>
        </w:tc>
        <w:tc>
          <w:tcPr>
            <w:tcW w:w="272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680" w:type="dxa"/>
            <w:vAlign w:val="bottom"/>
            <w:gridSpan w:val="3"/>
            <w:vMerge w:val="continue"/>
            <w:shd w:val="clear" w:color="auto" w:fill="CCEEFF"/>
          </w:tcPr>
          <w:p>
            <w:pPr>
              <w:spacing w:after="0"/>
              <w:rPr>
                <w:sz w:val="11"/>
                <w:szCs w:val="11"/>
                <w:color w:val="auto"/>
              </w:rPr>
            </w:pPr>
          </w:p>
        </w:tc>
        <w:tc>
          <w:tcPr>
            <w:tcW w:w="920" w:type="dxa"/>
            <w:vAlign w:val="bottom"/>
            <w:gridSpan w:val="3"/>
            <w:vMerge w:val="continue"/>
            <w:shd w:val="clear" w:color="auto" w:fill="CCEEFF"/>
          </w:tcPr>
          <w:p>
            <w:pPr>
              <w:spacing w:after="0"/>
              <w:rPr>
                <w:sz w:val="11"/>
                <w:szCs w:val="11"/>
                <w:color w:val="auto"/>
              </w:rPr>
            </w:pPr>
          </w:p>
        </w:tc>
        <w:tc>
          <w:tcPr>
            <w:tcW w:w="920" w:type="dxa"/>
            <w:vAlign w:val="bottom"/>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40" w:type="dxa"/>
            <w:vAlign w:val="bottom"/>
            <w:gridSpan w:val="2"/>
          </w:tcPr>
          <w:p>
            <w:pPr>
              <w:spacing w:after="0" w:line="149" w:lineRule="exact"/>
              <w:rPr>
                <w:sz w:val="20"/>
                <w:szCs w:val="20"/>
                <w:color w:val="auto"/>
              </w:rPr>
            </w:pPr>
            <w:r>
              <w:rPr>
                <w:rFonts w:ascii="Arial" w:cs="Arial" w:eastAsia="Arial" w:hAnsi="Arial"/>
                <w:sz w:val="12"/>
                <w:szCs w:val="12"/>
                <w:color w:val="auto"/>
              </w:rPr>
              <w:t>TRP Assets, LLC</w:t>
            </w:r>
            <w:r>
              <w:rPr>
                <w:rFonts w:ascii="Arial" w:cs="Arial" w:eastAsia="Arial" w:hAnsi="Arial"/>
                <w:sz w:val="17"/>
                <w:szCs w:val="17"/>
                <w:color w:val="auto"/>
                <w:vertAlign w:val="superscript"/>
              </w:rPr>
              <w:t>(12)(13)(14)</w:t>
            </w:r>
          </w:p>
        </w:tc>
        <w:tc>
          <w:tcPr>
            <w:tcW w:w="2720" w:type="dxa"/>
            <w:vAlign w:val="bottom"/>
            <w:gridSpan w:val="2"/>
          </w:tcPr>
          <w:p>
            <w:pPr>
              <w:ind w:left="120"/>
              <w:spacing w:after="0"/>
              <w:rPr>
                <w:sz w:val="20"/>
                <w:szCs w:val="20"/>
                <w:color w:val="auto"/>
              </w:rPr>
            </w:pPr>
            <w:r>
              <w:rPr>
                <w:rFonts w:ascii="Arial" w:cs="Arial" w:eastAsia="Arial" w:hAnsi="Arial"/>
                <w:sz w:val="13"/>
                <w:szCs w:val="13"/>
                <w:color w:val="auto"/>
              </w:rPr>
              <w:t>Partnership Interest (1.89% ownership)</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8/25/2022</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8,058</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8,058</w:t>
            </w:r>
          </w:p>
        </w:tc>
        <w:tc>
          <w:tcPr>
            <w:tcW w:w="920" w:type="dxa"/>
            <w:vAlign w:val="bottom"/>
            <w:gridSpan w:val="3"/>
          </w:tcPr>
          <w:p>
            <w:pPr>
              <w:jc w:val="right"/>
              <w:ind w:right="4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49"/>
        </w:trPr>
        <w:tc>
          <w:tcPr>
            <w:tcW w:w="7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21,413</w:t>
            </w:r>
          </w:p>
        </w:tc>
        <w:tc>
          <w:tcPr>
            <w:tcW w:w="1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21,413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5"/>
        </w:trPr>
        <w:tc>
          <w:tcPr>
            <w:tcW w:w="2240" w:type="dxa"/>
            <w:vAlign w:val="bottom"/>
            <w:gridSpan w:val="2"/>
          </w:tcPr>
          <w:p>
            <w:pPr>
              <w:spacing w:after="0"/>
              <w:rPr>
                <w:sz w:val="20"/>
                <w:szCs w:val="20"/>
                <w:color w:val="auto"/>
              </w:rPr>
            </w:pPr>
            <w:r>
              <w:rPr>
                <w:rFonts w:ascii="Arial" w:cs="Arial" w:eastAsia="Arial" w:hAnsi="Arial"/>
                <w:sz w:val="13"/>
                <w:szCs w:val="13"/>
                <w:b w:val="1"/>
                <w:bCs w:val="1"/>
                <w:color w:val="auto"/>
              </w:rPr>
              <w:t>Pharmaceuticals</w:t>
            </w:r>
          </w:p>
        </w:tc>
        <w:tc>
          <w:tcPr>
            <w:tcW w:w="1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4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TherapeuticsMD, Inc.</w:t>
            </w:r>
            <w:r>
              <w:rPr>
                <w:rFonts w:ascii="Arial" w:cs="Arial" w:eastAsia="Arial" w:hAnsi="Arial"/>
                <w:sz w:val="17"/>
                <w:szCs w:val="17"/>
                <w:color w:val="auto"/>
                <w:vertAlign w:val="superscript"/>
              </w:rPr>
              <w:t>(12)(13)</w:t>
            </w:r>
          </w:p>
        </w:tc>
        <w:tc>
          <w:tcPr>
            <w:tcW w:w="2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759,317 Warrants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8/5/2020</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1,326</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402</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9"/>
        </w:trPr>
        <w:tc>
          <w:tcPr>
            <w:tcW w:w="2240" w:type="dxa"/>
            <w:vAlign w:val="bottom"/>
            <w:gridSpan w:val="2"/>
          </w:tcPr>
          <w:p>
            <w:pPr>
              <w:spacing w:after="0"/>
              <w:rPr>
                <w:sz w:val="20"/>
                <w:szCs w:val="20"/>
                <w:color w:val="auto"/>
              </w:rPr>
            </w:pPr>
            <w:r>
              <w:rPr>
                <w:rFonts w:ascii="Arial" w:cs="Arial" w:eastAsia="Arial" w:hAnsi="Arial"/>
                <w:sz w:val="13"/>
                <w:szCs w:val="13"/>
                <w:b w:val="1"/>
                <w:bCs w:val="1"/>
                <w:color w:val="auto"/>
              </w:rPr>
              <w:t>Retail and Consumer Products</w:t>
            </w:r>
          </w:p>
        </w:tc>
        <w:tc>
          <w:tcPr>
            <w:tcW w:w="1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American Achievement, Corp.</w:t>
            </w:r>
            <w:r>
              <w:rPr>
                <w:rFonts w:ascii="Arial" w:cs="Arial" w:eastAsia="Arial" w:hAnsi="Arial"/>
                <w:sz w:val="17"/>
                <w:szCs w:val="17"/>
                <w:color w:val="auto"/>
                <w:vertAlign w:val="superscript"/>
              </w:rPr>
              <w:t>(12)</w:t>
            </w:r>
          </w:p>
        </w:tc>
        <w:tc>
          <w:tcPr>
            <w:tcW w:w="2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Class A Units (687 units)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3/16/2021</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50</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9"/>
        </w:trPr>
        <w:tc>
          <w:tcPr>
            <w:tcW w:w="2240" w:type="dxa"/>
            <w:vAlign w:val="bottom"/>
            <w:gridSpan w:val="2"/>
          </w:tcPr>
          <w:p>
            <w:pPr>
              <w:spacing w:after="0" w:line="149" w:lineRule="exact"/>
              <w:rPr>
                <w:sz w:val="20"/>
                <w:szCs w:val="20"/>
                <w:color w:val="auto"/>
              </w:rPr>
            </w:pPr>
            <w:r>
              <w:rPr>
                <w:rFonts w:ascii="Arial" w:cs="Arial" w:eastAsia="Arial" w:hAnsi="Arial"/>
                <w:sz w:val="12"/>
                <w:szCs w:val="12"/>
                <w:color w:val="auto"/>
              </w:rPr>
              <w:t>Copper Bidco, LLC</w:t>
            </w:r>
            <w:r>
              <w:rPr>
                <w:rFonts w:ascii="Arial" w:cs="Arial" w:eastAsia="Arial" w:hAnsi="Arial"/>
                <w:sz w:val="17"/>
                <w:szCs w:val="17"/>
                <w:color w:val="auto"/>
                <w:vertAlign w:val="superscript"/>
              </w:rPr>
              <w:t>(10)</w:t>
            </w:r>
          </w:p>
        </w:tc>
        <w:tc>
          <w:tcPr>
            <w:tcW w:w="2720" w:type="dxa"/>
            <w:vAlign w:val="bottom"/>
            <w:gridSpan w:val="2"/>
          </w:tcPr>
          <w:p>
            <w:pPr>
              <w:ind w:left="120"/>
              <w:spacing w:after="0"/>
              <w:rPr>
                <w:sz w:val="20"/>
                <w:szCs w:val="20"/>
                <w:color w:val="auto"/>
              </w:rPr>
            </w:pPr>
            <w:r>
              <w:rPr>
                <w:rFonts w:ascii="Arial" w:cs="Arial" w:eastAsia="Arial" w:hAnsi="Arial"/>
                <w:sz w:val="13"/>
                <w:szCs w:val="13"/>
                <w:color w:val="auto"/>
              </w:rPr>
              <w:t>Trust Certificates (132,928 Certificates)</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12/7/2020</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798</w:t>
            </w:r>
          </w:p>
        </w:tc>
        <w:tc>
          <w:tcPr>
            <w:tcW w:w="92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Trust Certificates (996,958 Certificates)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1/30/2021</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4,148</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13,309</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6"/>
        </w:trPr>
        <w:tc>
          <w:tcPr>
            <w:tcW w:w="2240" w:type="dxa"/>
            <w:vAlign w:val="bottom"/>
            <w:gridSpan w:val="2"/>
          </w:tcPr>
          <w:p>
            <w:pPr>
              <w:spacing w:after="0" w:line="149" w:lineRule="exact"/>
              <w:rPr>
                <w:sz w:val="20"/>
                <w:szCs w:val="20"/>
                <w:color w:val="auto"/>
              </w:rPr>
            </w:pPr>
            <w:r>
              <w:rPr>
                <w:rFonts w:ascii="Arial" w:cs="Arial" w:eastAsia="Arial" w:hAnsi="Arial"/>
                <w:sz w:val="12"/>
                <w:szCs w:val="12"/>
                <w:color w:val="auto"/>
              </w:rPr>
              <w:t>Neuintel, LLC</w:t>
            </w:r>
            <w:r>
              <w:rPr>
                <w:rFonts w:ascii="Arial" w:cs="Arial" w:eastAsia="Arial" w:hAnsi="Arial"/>
                <w:sz w:val="17"/>
                <w:szCs w:val="17"/>
                <w:color w:val="auto"/>
                <w:vertAlign w:val="superscript"/>
              </w:rPr>
              <w:t>(12)(13)(14)</w:t>
            </w:r>
          </w:p>
        </w:tc>
        <w:tc>
          <w:tcPr>
            <w:tcW w:w="2720" w:type="dxa"/>
            <w:vAlign w:val="bottom"/>
            <w:gridSpan w:val="2"/>
          </w:tcPr>
          <w:p>
            <w:pPr>
              <w:ind w:left="120"/>
              <w:spacing w:after="0"/>
              <w:rPr>
                <w:sz w:val="20"/>
                <w:szCs w:val="20"/>
                <w:color w:val="auto"/>
              </w:rPr>
            </w:pPr>
            <w:r>
              <w:rPr>
                <w:rFonts w:ascii="Arial" w:cs="Arial" w:eastAsia="Arial" w:hAnsi="Arial"/>
                <w:sz w:val="13"/>
                <w:szCs w:val="13"/>
                <w:color w:val="auto"/>
              </w:rPr>
              <w:t>Class A Units (1,176,494 units)</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12/21/2021</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3,000</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2,618</w:t>
            </w:r>
          </w:p>
        </w:tc>
        <w:tc>
          <w:tcPr>
            <w:tcW w:w="920" w:type="dxa"/>
            <w:vAlign w:val="bottom"/>
            <w:gridSpan w:val="3"/>
          </w:tcPr>
          <w:p>
            <w:pPr>
              <w:jc w:val="right"/>
              <w:ind w:right="4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49"/>
        </w:trPr>
        <w:tc>
          <w:tcPr>
            <w:tcW w:w="7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7,148</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16,775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498"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020"/>
          </w:cols>
          <w:pgMar w:left="440" w:top="498" w:right="43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149"/>
        </w:trPr>
        <w:tc>
          <w:tcPr>
            <w:tcW w:w="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9"/>
              </w:rPr>
              <w:t>Initial</w:t>
            </w:r>
          </w:p>
        </w:tc>
        <w:tc>
          <w:tcPr>
            <w:tcW w:w="920" w:type="dxa"/>
            <w:vAlign w:val="bottom"/>
            <w:gridSpan w:val="3"/>
          </w:tcPr>
          <w:p>
            <w:pPr>
              <w:ind w:left="120"/>
              <w:spacing w:after="0"/>
              <w:rPr>
                <w:sz w:val="20"/>
                <w:szCs w:val="20"/>
                <w:color w:val="auto"/>
              </w:rPr>
            </w:pPr>
            <w:r>
              <w:rPr>
                <w:rFonts w:ascii="Arial" w:cs="Arial" w:eastAsia="Arial" w:hAnsi="Arial"/>
                <w:sz w:val="13"/>
                <w:szCs w:val="13"/>
                <w:b w:val="1"/>
                <w:bCs w:val="1"/>
                <w:color w:val="auto"/>
              </w:rPr>
              <w:t>Reference</w:t>
            </w: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520" w:type="dxa"/>
            <w:vAlign w:val="bottom"/>
            <w:vMerge w:val="restart"/>
          </w:tcPr>
          <w:p>
            <w:pPr>
              <w:ind w:left="960"/>
              <w:spacing w:after="0"/>
              <w:rPr>
                <w:sz w:val="20"/>
                <w:szCs w:val="20"/>
                <w:color w:val="auto"/>
              </w:rPr>
            </w:pPr>
            <w:r>
              <w:rPr>
                <w:rFonts w:ascii="Arial" w:cs="Arial" w:eastAsia="Arial" w:hAnsi="Arial"/>
                <w:sz w:val="13"/>
                <w:szCs w:val="13"/>
                <w:b w:val="1"/>
                <w:bCs w:val="1"/>
                <w:color w:val="auto"/>
              </w:rPr>
              <w:t>Investment</w:t>
            </w:r>
          </w:p>
        </w:tc>
        <w:tc>
          <w:tcPr>
            <w:tcW w:w="1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4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Rate and</w:t>
            </w:r>
          </w:p>
        </w:tc>
        <w:tc>
          <w:tcPr>
            <w:tcW w:w="1740" w:type="dxa"/>
            <w:vAlign w:val="bottom"/>
            <w:gridSpan w:val="2"/>
            <w:vMerge w:val="restart"/>
          </w:tcPr>
          <w:p>
            <w:pPr>
              <w:ind w:left="480"/>
              <w:spacing w:after="0"/>
              <w:rPr>
                <w:sz w:val="20"/>
                <w:szCs w:val="20"/>
                <w:color w:val="auto"/>
              </w:rPr>
            </w:pPr>
            <w:r>
              <w:rPr>
                <w:rFonts w:ascii="Arial" w:cs="Arial" w:eastAsia="Arial" w:hAnsi="Arial"/>
                <w:sz w:val="13"/>
                <w:szCs w:val="13"/>
                <w:b w:val="1"/>
                <w:bCs w:val="1"/>
                <w:color w:val="auto"/>
              </w:rPr>
              <w:t>Interest Rate</w:t>
            </w:r>
          </w:p>
        </w:tc>
        <w:tc>
          <w:tcPr>
            <w:tcW w:w="6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1"/>
              </w:rPr>
              <w:t>Amortized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53"/>
        </w:trPr>
        <w:tc>
          <w:tcPr>
            <w:tcW w:w="2340" w:type="dxa"/>
            <w:vAlign w:val="bottom"/>
            <w:gridSpan w:val="2"/>
          </w:tcPr>
          <w:p>
            <w:pPr>
              <w:spacing w:after="0" w:line="154" w:lineRule="exact"/>
              <w:rPr>
                <w:sz w:val="20"/>
                <w:szCs w:val="20"/>
                <w:color w:val="auto"/>
              </w:rPr>
            </w:pPr>
            <w:r>
              <w:rPr>
                <w:rFonts w:ascii="Arial" w:cs="Arial" w:eastAsia="Arial" w:hAnsi="Arial"/>
                <w:sz w:val="12"/>
                <w:szCs w:val="12"/>
                <w:b w:val="1"/>
                <w:bCs w:val="1"/>
                <w:color w:val="auto"/>
              </w:rPr>
              <w:t>Company</w:t>
            </w:r>
            <w:r>
              <w:rPr>
                <w:rFonts w:ascii="Arial" w:cs="Arial" w:eastAsia="Arial" w:hAnsi="Arial"/>
                <w:sz w:val="17"/>
                <w:szCs w:val="17"/>
                <w:b w:val="1"/>
                <w:bCs w:val="1"/>
                <w:color w:val="auto"/>
                <w:vertAlign w:val="superscript"/>
              </w:rPr>
              <w:t>(1)(6)</w:t>
            </w:r>
          </w:p>
        </w:tc>
        <w:tc>
          <w:tcPr>
            <w:tcW w:w="320" w:type="dxa"/>
            <w:vAlign w:val="bottom"/>
          </w:tcPr>
          <w:p>
            <w:pPr>
              <w:spacing w:after="0"/>
              <w:rPr>
                <w:sz w:val="13"/>
                <w:szCs w:val="13"/>
                <w:color w:val="auto"/>
              </w:rPr>
            </w:pPr>
          </w:p>
        </w:tc>
        <w:tc>
          <w:tcPr>
            <w:tcW w:w="2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b w:val="1"/>
                <w:bCs w:val="1"/>
                <w:color w:val="auto"/>
              </w:rPr>
              <w:t>Spread</w:t>
            </w:r>
          </w:p>
        </w:tc>
        <w:tc>
          <w:tcPr>
            <w:tcW w:w="1740" w:type="dxa"/>
            <w:vAlign w:val="bottom"/>
            <w:gridSpan w:val="2"/>
            <w:vMerge w:val="continue"/>
          </w:tcPr>
          <w:p>
            <w:pPr>
              <w:spacing w:after="0"/>
              <w:rPr>
                <w:sz w:val="13"/>
                <w:szCs w:val="13"/>
                <w:color w:val="auto"/>
              </w:rPr>
            </w:pPr>
          </w:p>
        </w:tc>
        <w:tc>
          <w:tcPr>
            <w:tcW w:w="620" w:type="dxa"/>
            <w:vAlign w:val="bottom"/>
          </w:tcPr>
          <w:p>
            <w:pPr>
              <w:jc w:val="right"/>
              <w:spacing w:after="0" w:line="154" w:lineRule="exact"/>
              <w:rPr>
                <w:sz w:val="20"/>
                <w:szCs w:val="20"/>
                <w:color w:val="auto"/>
              </w:rPr>
            </w:pPr>
            <w:r>
              <w:rPr>
                <w:rFonts w:ascii="Arial" w:cs="Arial" w:eastAsia="Arial" w:hAnsi="Arial"/>
                <w:sz w:val="17"/>
                <w:szCs w:val="17"/>
                <w:b w:val="1"/>
                <w:bCs w:val="1"/>
                <w:color w:val="auto"/>
                <w:vertAlign w:val="subscript"/>
              </w:rPr>
              <w:t>Cost</w:t>
            </w:r>
            <w:r>
              <w:rPr>
                <w:rFonts w:ascii="Arial" w:cs="Arial" w:eastAsia="Arial" w:hAnsi="Arial"/>
                <w:sz w:val="8"/>
                <w:szCs w:val="8"/>
                <w:b w:val="1"/>
                <w:bCs w:val="1"/>
                <w:color w:val="auto"/>
              </w:rPr>
              <w:t>(2)(8)</w:t>
            </w:r>
          </w:p>
        </w:tc>
        <w:tc>
          <w:tcPr>
            <w:tcW w:w="820" w:type="dxa"/>
            <w:vAlign w:val="bottom"/>
            <w:gridSpan w:val="3"/>
          </w:tcPr>
          <w:p>
            <w:pPr>
              <w:ind w:left="140"/>
              <w:spacing w:after="0" w:line="154" w:lineRule="exact"/>
              <w:rPr>
                <w:sz w:val="20"/>
                <w:szCs w:val="20"/>
                <w:color w:val="auto"/>
              </w:rPr>
            </w:pPr>
            <w:r>
              <w:rPr>
                <w:rFonts w:ascii="Arial" w:cs="Arial" w:eastAsia="Arial" w:hAnsi="Arial"/>
                <w:sz w:val="12"/>
                <w:szCs w:val="12"/>
                <w:b w:val="1"/>
                <w:bCs w:val="1"/>
                <w:color w:val="auto"/>
                <w:w w:val="92"/>
              </w:rPr>
              <w:t>Fair Value</w:t>
            </w:r>
            <w:r>
              <w:rPr>
                <w:rFonts w:ascii="Arial" w:cs="Arial" w:eastAsia="Arial" w:hAnsi="Arial"/>
                <w:sz w:val="17"/>
                <w:szCs w:val="17"/>
                <w:b w:val="1"/>
                <w:bCs w:val="1"/>
                <w:color w:val="auto"/>
                <w:w w:val="92"/>
                <w:vertAlign w:val="superscript"/>
              </w:rPr>
              <w:t>(9)</w:t>
            </w:r>
          </w:p>
        </w:tc>
        <w:tc>
          <w:tcPr>
            <w:tcW w:w="98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6"/>
              </w:rPr>
              <w:t>of Net Assets</w:t>
            </w:r>
          </w:p>
        </w:tc>
        <w:tc>
          <w:tcPr>
            <w:tcW w:w="0" w:type="dxa"/>
            <w:vAlign w:val="bottom"/>
          </w:tcPr>
          <w:p>
            <w:pPr>
              <w:spacing w:after="0"/>
              <w:rPr>
                <w:sz w:val="1"/>
                <w:szCs w:val="1"/>
                <w:color w:val="auto"/>
              </w:rPr>
            </w:pPr>
          </w:p>
        </w:tc>
      </w:tr>
      <w:tr>
        <w:trPr>
          <w:trHeight w:val="142"/>
        </w:trPr>
        <w:tc>
          <w:tcPr>
            <w:tcW w:w="7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Structured</w:t>
            </w:r>
          </w:p>
        </w:tc>
        <w:tc>
          <w:tcPr>
            <w:tcW w:w="160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Products</w:t>
            </w:r>
          </w:p>
        </w:tc>
        <w:tc>
          <w:tcPr>
            <w:tcW w:w="320" w:type="dxa"/>
            <w:vAlign w:val="bottom"/>
            <w:shd w:val="clear" w:color="auto" w:fill="CCEEFF"/>
          </w:tcPr>
          <w:p>
            <w:pPr>
              <w:spacing w:after="0"/>
              <w:rPr>
                <w:sz w:val="12"/>
                <w:szCs w:val="12"/>
                <w:color w:val="auto"/>
              </w:rPr>
            </w:pPr>
          </w:p>
        </w:tc>
        <w:tc>
          <w:tcPr>
            <w:tcW w:w="25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340" w:type="dxa"/>
            <w:vAlign w:val="bottom"/>
            <w:gridSpan w:val="2"/>
          </w:tcPr>
          <w:p>
            <w:pPr>
              <w:spacing w:after="0" w:line="108" w:lineRule="exact"/>
              <w:rPr>
                <w:sz w:val="20"/>
                <w:szCs w:val="20"/>
                <w:color w:val="auto"/>
              </w:rPr>
            </w:pPr>
            <w:r>
              <w:rPr>
                <w:rFonts w:ascii="Arial" w:cs="Arial" w:eastAsia="Arial" w:hAnsi="Arial"/>
                <w:sz w:val="12"/>
                <w:szCs w:val="12"/>
                <w:color w:val="auto"/>
              </w:rPr>
              <w:t>Allegro CLO Ltd,</w:t>
            </w:r>
          </w:p>
        </w:tc>
        <w:tc>
          <w:tcPr>
            <w:tcW w:w="2840" w:type="dxa"/>
            <w:vAlign w:val="bottom"/>
            <w:gridSpan w:val="2"/>
            <w:vMerge w:val="restart"/>
          </w:tcPr>
          <w:p>
            <w:pPr>
              <w:ind w:left="320"/>
              <w:spacing w:after="0"/>
              <w:rPr>
                <w:sz w:val="20"/>
                <w:szCs w:val="20"/>
                <w:color w:val="auto"/>
              </w:rPr>
            </w:pPr>
            <w:r>
              <w:rPr>
                <w:rFonts w:ascii="Arial" w:cs="Arial" w:eastAsia="Arial" w:hAnsi="Arial"/>
                <w:sz w:val="13"/>
                <w:szCs w:val="13"/>
                <w:color w:val="auto"/>
                <w:w w:val="97"/>
              </w:rPr>
              <w:t>Structured Product ($1,000 par, due 6/2031)</w:t>
            </w: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5/26/2022</w:t>
            </w:r>
          </w:p>
        </w:tc>
        <w:tc>
          <w:tcPr>
            <w:tcW w:w="14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L + 2.85%</w:t>
            </w:r>
          </w:p>
        </w:tc>
        <w:tc>
          <w:tcPr>
            <w:tcW w:w="1660" w:type="dxa"/>
            <w:vAlign w:val="bottom"/>
            <w:vMerge w:val="restart"/>
          </w:tcPr>
          <w:p>
            <w:pPr>
              <w:jc w:val="right"/>
              <w:spacing w:after="0"/>
              <w:rPr>
                <w:sz w:val="20"/>
                <w:szCs w:val="20"/>
                <w:color w:val="auto"/>
              </w:rPr>
            </w:pPr>
            <w:r>
              <w:rPr>
                <w:rFonts w:ascii="Arial" w:cs="Arial" w:eastAsia="Arial" w:hAnsi="Arial"/>
                <w:sz w:val="13"/>
                <w:szCs w:val="13"/>
                <w:color w:val="auto"/>
              </w:rPr>
              <w:t>5.36%</w:t>
            </w: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907</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856</w:t>
            </w:r>
          </w:p>
        </w:tc>
        <w:tc>
          <w:tcPr>
            <w:tcW w:w="98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5"/>
        </w:trPr>
        <w:tc>
          <w:tcPr>
            <w:tcW w:w="2340" w:type="dxa"/>
            <w:vAlign w:val="bottom"/>
            <w:gridSpan w:val="2"/>
          </w:tcPr>
          <w:p>
            <w:pPr>
              <w:ind w:left="140"/>
              <w:spacing w:after="0" w:line="176" w:lineRule="exact"/>
              <w:rPr>
                <w:sz w:val="20"/>
                <w:szCs w:val="20"/>
                <w:color w:val="auto"/>
              </w:rPr>
            </w:pPr>
            <w:r>
              <w:rPr>
                <w:rFonts w:ascii="Arial" w:cs="Arial" w:eastAsia="Arial" w:hAnsi="Arial"/>
                <w:sz w:val="13"/>
                <w:szCs w:val="13"/>
                <w:color w:val="auto"/>
              </w:rPr>
              <w:t>Series 2018-1A,</w:t>
            </w:r>
            <w:r>
              <w:rPr>
                <w:rFonts w:ascii="Arial" w:cs="Arial" w:eastAsia="Arial" w:hAnsi="Arial"/>
                <w:sz w:val="20"/>
                <w:szCs w:val="20"/>
                <w:color w:val="auto"/>
                <w:vertAlign w:val="superscript"/>
              </w:rPr>
              <w:t>(3)(4)(10)</w:t>
            </w:r>
          </w:p>
        </w:tc>
        <w:tc>
          <w:tcPr>
            <w:tcW w:w="284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340" w:type="dxa"/>
            <w:vAlign w:val="bottom"/>
            <w:gridSpan w:val="2"/>
            <w:shd w:val="clear" w:color="auto" w:fill="CCEEFF"/>
          </w:tcPr>
          <w:p>
            <w:pPr>
              <w:spacing w:after="0" w:line="108" w:lineRule="exact"/>
              <w:rPr>
                <w:sz w:val="20"/>
                <w:szCs w:val="20"/>
                <w:color w:val="auto"/>
              </w:rPr>
            </w:pPr>
            <w:r>
              <w:rPr>
                <w:rFonts w:ascii="Arial" w:cs="Arial" w:eastAsia="Arial" w:hAnsi="Arial"/>
                <w:sz w:val="12"/>
                <w:szCs w:val="12"/>
                <w:color w:val="auto"/>
              </w:rPr>
              <w:t>American Money Management Corp</w:t>
            </w:r>
          </w:p>
        </w:tc>
        <w:tc>
          <w:tcPr>
            <w:tcW w:w="284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w w:val="97"/>
              </w:rPr>
              <w:t>Structured Product ($1,500 par, due 5/2031)</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6/22/2022</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L + 3.05%</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6.06%</w:t>
            </w: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1,344</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1,302</w:t>
            </w:r>
          </w:p>
        </w:tc>
        <w:tc>
          <w:tcPr>
            <w:tcW w:w="9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5"/>
        </w:trPr>
        <w:tc>
          <w:tcPr>
            <w:tcW w:w="23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3"/>
                <w:szCs w:val="13"/>
                <w:color w:val="auto"/>
              </w:rPr>
              <w:t>CLO Ltd, Series 2016-18A</w:t>
            </w:r>
            <w:r>
              <w:rPr>
                <w:rFonts w:ascii="Arial" w:cs="Arial" w:eastAsia="Arial" w:hAnsi="Arial"/>
                <w:sz w:val="20"/>
                <w:szCs w:val="20"/>
                <w:color w:val="auto"/>
                <w:vertAlign w:val="superscript"/>
              </w:rPr>
              <w:t>(3)(4)(10)</w:t>
            </w:r>
          </w:p>
        </w:tc>
        <w:tc>
          <w:tcPr>
            <w:tcW w:w="284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98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340" w:type="dxa"/>
            <w:vAlign w:val="bottom"/>
            <w:gridSpan w:val="2"/>
          </w:tcPr>
          <w:p>
            <w:pPr>
              <w:spacing w:after="0" w:line="118" w:lineRule="exact"/>
              <w:rPr>
                <w:sz w:val="20"/>
                <w:szCs w:val="20"/>
                <w:color w:val="auto"/>
              </w:rPr>
            </w:pPr>
            <w:r>
              <w:rPr>
                <w:rFonts w:ascii="Arial" w:cs="Arial" w:eastAsia="Arial" w:hAnsi="Arial"/>
                <w:sz w:val="13"/>
                <w:szCs w:val="13"/>
                <w:color w:val="auto"/>
              </w:rPr>
              <w:t>Ares CLO Ltd,</w:t>
            </w:r>
          </w:p>
        </w:tc>
        <w:tc>
          <w:tcPr>
            <w:tcW w:w="3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340" w:type="dxa"/>
            <w:vAlign w:val="bottom"/>
            <w:gridSpan w:val="2"/>
          </w:tcPr>
          <w:p>
            <w:pPr>
              <w:ind w:left="140"/>
              <w:spacing w:after="0" w:line="166" w:lineRule="exact"/>
              <w:rPr>
                <w:sz w:val="20"/>
                <w:szCs w:val="20"/>
                <w:color w:val="auto"/>
              </w:rPr>
            </w:pPr>
            <w:r>
              <w:rPr>
                <w:rFonts w:ascii="Arial" w:cs="Arial" w:eastAsia="Arial" w:hAnsi="Arial"/>
                <w:sz w:val="13"/>
                <w:szCs w:val="13"/>
                <w:color w:val="auto"/>
              </w:rPr>
              <w:t>Series 2021-59A</w:t>
            </w:r>
            <w:r>
              <w:rPr>
                <w:rFonts w:ascii="Arial" w:cs="Arial" w:eastAsia="Arial" w:hAnsi="Arial"/>
                <w:sz w:val="19"/>
                <w:szCs w:val="19"/>
                <w:color w:val="auto"/>
                <w:vertAlign w:val="superscript"/>
              </w:rPr>
              <w:t>(3)(4)(10)</w:t>
            </w:r>
          </w:p>
        </w:tc>
        <w:tc>
          <w:tcPr>
            <w:tcW w:w="2840" w:type="dxa"/>
            <w:vAlign w:val="bottom"/>
            <w:gridSpan w:val="2"/>
          </w:tcPr>
          <w:p>
            <w:pPr>
              <w:ind w:left="320"/>
              <w:spacing w:after="0"/>
              <w:rPr>
                <w:sz w:val="20"/>
                <w:szCs w:val="20"/>
                <w:color w:val="auto"/>
              </w:rPr>
            </w:pPr>
            <w:r>
              <w:rPr>
                <w:rFonts w:ascii="Arial" w:cs="Arial" w:eastAsia="Arial" w:hAnsi="Arial"/>
                <w:sz w:val="13"/>
                <w:szCs w:val="13"/>
                <w:color w:val="auto"/>
                <w:w w:val="97"/>
              </w:rPr>
              <w:t>Structured Product ($1,000 par, due 4/2034)</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6/23/2022</w:t>
            </w:r>
          </w:p>
        </w:tc>
        <w:tc>
          <w:tcPr>
            <w:tcW w:w="1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L + 6.25%</w:t>
            </w:r>
          </w:p>
        </w:tc>
        <w:tc>
          <w:tcPr>
            <w:tcW w:w="1660" w:type="dxa"/>
            <w:vAlign w:val="bottom"/>
          </w:tcPr>
          <w:p>
            <w:pPr>
              <w:jc w:val="right"/>
              <w:spacing w:after="0"/>
              <w:rPr>
                <w:sz w:val="20"/>
                <w:szCs w:val="20"/>
                <w:color w:val="auto"/>
              </w:rPr>
            </w:pPr>
            <w:r>
              <w:rPr>
                <w:rFonts w:ascii="Arial" w:cs="Arial" w:eastAsia="Arial" w:hAnsi="Arial"/>
                <w:sz w:val="13"/>
                <w:szCs w:val="13"/>
                <w:color w:val="auto"/>
              </w:rPr>
              <w:t>9.03%</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893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837</w:t>
            </w:r>
          </w:p>
        </w:tc>
        <w:tc>
          <w:tcPr>
            <w:tcW w:w="98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18"/>
        </w:trPr>
        <w:tc>
          <w:tcPr>
            <w:tcW w:w="2340" w:type="dxa"/>
            <w:vAlign w:val="bottom"/>
            <w:gridSpan w:val="2"/>
            <w:shd w:val="clear" w:color="auto" w:fill="CCEEFF"/>
          </w:tcPr>
          <w:p>
            <w:pPr>
              <w:spacing w:after="0" w:line="118" w:lineRule="exact"/>
              <w:rPr>
                <w:sz w:val="20"/>
                <w:szCs w:val="20"/>
                <w:color w:val="auto"/>
              </w:rPr>
            </w:pPr>
            <w:r>
              <w:rPr>
                <w:rFonts w:ascii="Arial" w:cs="Arial" w:eastAsia="Arial" w:hAnsi="Arial"/>
                <w:sz w:val="13"/>
                <w:szCs w:val="13"/>
                <w:color w:val="auto"/>
              </w:rPr>
              <w:t>Ares Loan Funding I Ltd,</w:t>
            </w:r>
          </w:p>
        </w:tc>
        <w:tc>
          <w:tcPr>
            <w:tcW w:w="320" w:type="dxa"/>
            <w:vAlign w:val="bottom"/>
            <w:shd w:val="clear" w:color="auto" w:fill="CCEEFF"/>
          </w:tcPr>
          <w:p>
            <w:pPr>
              <w:spacing w:after="0"/>
              <w:rPr>
                <w:sz w:val="10"/>
                <w:szCs w:val="10"/>
                <w:color w:val="auto"/>
              </w:rPr>
            </w:pPr>
          </w:p>
        </w:tc>
        <w:tc>
          <w:tcPr>
            <w:tcW w:w="2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340" w:type="dxa"/>
            <w:vAlign w:val="bottom"/>
            <w:gridSpan w:val="2"/>
            <w:shd w:val="clear" w:color="auto" w:fill="CCEEFF"/>
          </w:tcPr>
          <w:p>
            <w:pPr>
              <w:ind w:left="140"/>
              <w:spacing w:after="0" w:line="180" w:lineRule="exact"/>
              <w:rPr>
                <w:sz w:val="20"/>
                <w:szCs w:val="20"/>
                <w:color w:val="auto"/>
              </w:rPr>
            </w:pPr>
            <w:r>
              <w:rPr>
                <w:rFonts w:ascii="Arial" w:cs="Arial" w:eastAsia="Arial" w:hAnsi="Arial"/>
                <w:sz w:val="13"/>
                <w:szCs w:val="13"/>
                <w:color w:val="auto"/>
              </w:rPr>
              <w:t>Series 2021-ALFA, Class E</w:t>
            </w:r>
            <w:r>
              <w:rPr>
                <w:rFonts w:ascii="Arial" w:cs="Arial" w:eastAsia="Arial" w:hAnsi="Arial"/>
                <w:sz w:val="20"/>
                <w:szCs w:val="20"/>
                <w:color w:val="auto"/>
                <w:vertAlign w:val="superscript"/>
              </w:rPr>
              <w:t>(3)(4)(10)</w:t>
            </w:r>
          </w:p>
        </w:tc>
        <w:tc>
          <w:tcPr>
            <w:tcW w:w="28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w w:val="95"/>
              </w:rPr>
              <w:t>Structured Product ($1,000 par, due 10/2034)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6/24/2022</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L + 6.70%</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867</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08"/>
        </w:trPr>
        <w:tc>
          <w:tcPr>
            <w:tcW w:w="2340" w:type="dxa"/>
            <w:vAlign w:val="bottom"/>
            <w:gridSpan w:val="2"/>
          </w:tcPr>
          <w:p>
            <w:pPr>
              <w:spacing w:after="0" w:line="108" w:lineRule="exact"/>
              <w:rPr>
                <w:sz w:val="20"/>
                <w:szCs w:val="20"/>
                <w:color w:val="auto"/>
              </w:rPr>
            </w:pPr>
            <w:r>
              <w:rPr>
                <w:rFonts w:ascii="Arial" w:cs="Arial" w:eastAsia="Arial" w:hAnsi="Arial"/>
                <w:sz w:val="12"/>
                <w:szCs w:val="12"/>
                <w:color w:val="auto"/>
              </w:rPr>
              <w:t>Bain Capital Credit CLO Ltd,</w:t>
            </w:r>
          </w:p>
        </w:tc>
        <w:tc>
          <w:tcPr>
            <w:tcW w:w="2840" w:type="dxa"/>
            <w:vAlign w:val="bottom"/>
            <w:gridSpan w:val="2"/>
            <w:vMerge w:val="restart"/>
          </w:tcPr>
          <w:p>
            <w:pPr>
              <w:ind w:left="320"/>
              <w:spacing w:after="0"/>
              <w:rPr>
                <w:sz w:val="20"/>
                <w:szCs w:val="20"/>
                <w:color w:val="auto"/>
              </w:rPr>
            </w:pPr>
            <w:r>
              <w:rPr>
                <w:rFonts w:ascii="Arial" w:cs="Arial" w:eastAsia="Arial" w:hAnsi="Arial"/>
                <w:sz w:val="13"/>
                <w:szCs w:val="13"/>
                <w:color w:val="auto"/>
              </w:rPr>
              <w:t>Structured Product ($500 par, due 4/2031)</w:t>
            </w: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10/15/2020</w:t>
            </w:r>
          </w:p>
        </w:tc>
        <w:tc>
          <w:tcPr>
            <w:tcW w:w="14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L + 5.35%</w:t>
            </w:r>
          </w:p>
        </w:tc>
        <w:tc>
          <w:tcPr>
            <w:tcW w:w="1660" w:type="dxa"/>
            <w:vAlign w:val="bottom"/>
            <w:vMerge w:val="restart"/>
          </w:tcPr>
          <w:p>
            <w:pPr>
              <w:jc w:val="right"/>
              <w:spacing w:after="0"/>
              <w:rPr>
                <w:sz w:val="20"/>
                <w:szCs w:val="20"/>
                <w:color w:val="auto"/>
              </w:rPr>
            </w:pPr>
            <w:r>
              <w:rPr>
                <w:rFonts w:ascii="Arial" w:cs="Arial" w:eastAsia="Arial" w:hAnsi="Arial"/>
                <w:sz w:val="13"/>
                <w:szCs w:val="13"/>
                <w:color w:val="auto"/>
              </w:rPr>
              <w:t>8.13%</w:t>
            </w: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422</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381</w:t>
            </w:r>
          </w:p>
        </w:tc>
        <w:tc>
          <w:tcPr>
            <w:tcW w:w="98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75"/>
        </w:trPr>
        <w:tc>
          <w:tcPr>
            <w:tcW w:w="2340" w:type="dxa"/>
            <w:vAlign w:val="bottom"/>
            <w:gridSpan w:val="2"/>
          </w:tcPr>
          <w:p>
            <w:pPr>
              <w:ind w:left="140"/>
              <w:spacing w:after="0" w:line="176" w:lineRule="exact"/>
              <w:rPr>
                <w:sz w:val="20"/>
                <w:szCs w:val="20"/>
                <w:color w:val="auto"/>
              </w:rPr>
            </w:pPr>
            <w:r>
              <w:rPr>
                <w:rFonts w:ascii="Arial" w:cs="Arial" w:eastAsia="Arial" w:hAnsi="Arial"/>
                <w:sz w:val="13"/>
                <w:szCs w:val="13"/>
                <w:color w:val="auto"/>
              </w:rPr>
              <w:t>Series 2018-1A</w:t>
            </w:r>
            <w:r>
              <w:rPr>
                <w:rFonts w:ascii="Arial" w:cs="Arial" w:eastAsia="Arial" w:hAnsi="Arial"/>
                <w:sz w:val="20"/>
                <w:szCs w:val="20"/>
                <w:color w:val="auto"/>
                <w:vertAlign w:val="superscript"/>
              </w:rPr>
              <w:t>(3)(4)(10)</w:t>
            </w:r>
          </w:p>
        </w:tc>
        <w:tc>
          <w:tcPr>
            <w:tcW w:w="284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340" w:type="dxa"/>
            <w:vAlign w:val="bottom"/>
            <w:gridSpan w:val="2"/>
            <w:shd w:val="clear" w:color="auto" w:fill="CCEEFF"/>
          </w:tcPr>
          <w:p>
            <w:pPr>
              <w:spacing w:after="0" w:line="118" w:lineRule="exact"/>
              <w:rPr>
                <w:sz w:val="20"/>
                <w:szCs w:val="20"/>
                <w:color w:val="auto"/>
              </w:rPr>
            </w:pPr>
            <w:r>
              <w:rPr>
                <w:rFonts w:ascii="Arial" w:cs="Arial" w:eastAsia="Arial" w:hAnsi="Arial"/>
                <w:sz w:val="13"/>
                <w:szCs w:val="13"/>
                <w:color w:val="auto"/>
              </w:rPr>
              <w:t>Battalion CLO Ltd,</w:t>
            </w:r>
          </w:p>
        </w:tc>
        <w:tc>
          <w:tcPr>
            <w:tcW w:w="320" w:type="dxa"/>
            <w:vAlign w:val="bottom"/>
            <w:shd w:val="clear" w:color="auto" w:fill="CCEEFF"/>
          </w:tcPr>
          <w:p>
            <w:pPr>
              <w:spacing w:after="0"/>
              <w:rPr>
                <w:sz w:val="10"/>
                <w:szCs w:val="10"/>
                <w:color w:val="auto"/>
              </w:rPr>
            </w:pPr>
          </w:p>
        </w:tc>
        <w:tc>
          <w:tcPr>
            <w:tcW w:w="2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340" w:type="dxa"/>
            <w:vAlign w:val="bottom"/>
            <w:gridSpan w:val="2"/>
            <w:shd w:val="clear" w:color="auto" w:fill="CCEEFF"/>
          </w:tcPr>
          <w:p>
            <w:pPr>
              <w:ind w:left="140"/>
              <w:spacing w:after="0" w:line="166" w:lineRule="exact"/>
              <w:rPr>
                <w:sz w:val="20"/>
                <w:szCs w:val="20"/>
                <w:color w:val="auto"/>
              </w:rPr>
            </w:pPr>
            <w:r>
              <w:rPr>
                <w:rFonts w:ascii="Arial" w:cs="Arial" w:eastAsia="Arial" w:hAnsi="Arial"/>
                <w:sz w:val="13"/>
                <w:szCs w:val="13"/>
                <w:color w:val="auto"/>
              </w:rPr>
              <w:t>Series 2021-21A</w:t>
            </w:r>
            <w:r>
              <w:rPr>
                <w:rFonts w:ascii="Arial" w:cs="Arial" w:eastAsia="Arial" w:hAnsi="Arial"/>
                <w:sz w:val="19"/>
                <w:szCs w:val="19"/>
                <w:color w:val="auto"/>
                <w:vertAlign w:val="superscript"/>
              </w:rPr>
              <w:t>(3)(4)(10)</w:t>
            </w:r>
          </w:p>
        </w:tc>
        <w:tc>
          <w:tcPr>
            <w:tcW w:w="28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w w:val="97"/>
              </w:rPr>
              <w:t>Structured Product ($1,300 par, due 7/2034)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7/13/2022</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L + 3.30%</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1,140</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18"/>
        </w:trPr>
        <w:tc>
          <w:tcPr>
            <w:tcW w:w="2340" w:type="dxa"/>
            <w:vAlign w:val="bottom"/>
            <w:gridSpan w:val="2"/>
          </w:tcPr>
          <w:p>
            <w:pPr>
              <w:spacing w:after="0" w:line="118" w:lineRule="exact"/>
              <w:rPr>
                <w:sz w:val="20"/>
                <w:szCs w:val="20"/>
                <w:color w:val="auto"/>
              </w:rPr>
            </w:pPr>
            <w:r>
              <w:rPr>
                <w:rFonts w:ascii="Arial" w:cs="Arial" w:eastAsia="Arial" w:hAnsi="Arial"/>
                <w:sz w:val="13"/>
                <w:szCs w:val="13"/>
                <w:color w:val="auto"/>
              </w:rPr>
              <w:t>Benefit Street Partners CLO Ltd,</w:t>
            </w:r>
          </w:p>
        </w:tc>
        <w:tc>
          <w:tcPr>
            <w:tcW w:w="3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340" w:type="dxa"/>
            <w:vAlign w:val="bottom"/>
            <w:gridSpan w:val="2"/>
          </w:tcPr>
          <w:p>
            <w:pPr>
              <w:ind w:left="140"/>
              <w:spacing w:after="0" w:line="180" w:lineRule="exact"/>
              <w:rPr>
                <w:sz w:val="20"/>
                <w:szCs w:val="20"/>
                <w:color w:val="auto"/>
              </w:rPr>
            </w:pPr>
            <w:r>
              <w:rPr>
                <w:rFonts w:ascii="Arial" w:cs="Arial" w:eastAsia="Arial" w:hAnsi="Arial"/>
                <w:sz w:val="13"/>
                <w:szCs w:val="13"/>
                <w:color w:val="auto"/>
              </w:rPr>
              <w:t>Series 2015-6BR</w:t>
            </w:r>
            <w:r>
              <w:rPr>
                <w:rFonts w:ascii="Arial" w:cs="Arial" w:eastAsia="Arial" w:hAnsi="Arial"/>
                <w:sz w:val="20"/>
                <w:szCs w:val="20"/>
                <w:color w:val="auto"/>
                <w:vertAlign w:val="superscript"/>
              </w:rPr>
              <w:t>(3)(4)(10)</w:t>
            </w:r>
          </w:p>
        </w:tc>
        <w:tc>
          <w:tcPr>
            <w:tcW w:w="2840" w:type="dxa"/>
            <w:vAlign w:val="bottom"/>
            <w:gridSpan w:val="2"/>
          </w:tcPr>
          <w:p>
            <w:pPr>
              <w:ind w:left="320"/>
              <w:spacing w:after="0"/>
              <w:rPr>
                <w:sz w:val="20"/>
                <w:szCs w:val="20"/>
                <w:color w:val="auto"/>
              </w:rPr>
            </w:pPr>
            <w:r>
              <w:rPr>
                <w:rFonts w:ascii="Arial" w:cs="Arial" w:eastAsia="Arial" w:hAnsi="Arial"/>
                <w:sz w:val="13"/>
                <w:szCs w:val="13"/>
                <w:color w:val="auto"/>
                <w:w w:val="97"/>
              </w:rPr>
              <w:t>Structured Product ($2,500 par, due 7/2034)</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7/13/2022</w:t>
            </w:r>
          </w:p>
        </w:tc>
        <w:tc>
          <w:tcPr>
            <w:tcW w:w="1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L + 3.85%</w:t>
            </w:r>
          </w:p>
        </w:tc>
        <w:tc>
          <w:tcPr>
            <w:tcW w:w="1660" w:type="dxa"/>
            <w:vAlign w:val="bottom"/>
          </w:tcPr>
          <w:p>
            <w:pPr>
              <w:jc w:val="right"/>
              <w:spacing w:after="0"/>
              <w:rPr>
                <w:sz w:val="20"/>
                <w:szCs w:val="20"/>
                <w:color w:val="auto"/>
              </w:rPr>
            </w:pPr>
            <w:r>
              <w:rPr>
                <w:rFonts w:ascii="Arial" w:cs="Arial" w:eastAsia="Arial" w:hAnsi="Arial"/>
                <w:sz w:val="13"/>
                <w:szCs w:val="13"/>
                <w:color w:val="auto"/>
              </w:rPr>
              <w:t>6.56%</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2,157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2,220</w:t>
            </w:r>
          </w:p>
        </w:tc>
        <w:tc>
          <w:tcPr>
            <w:tcW w:w="980" w:type="dxa"/>
            <w:vAlign w:val="bottom"/>
            <w:gridSpan w:val="3"/>
          </w:tcPr>
          <w:p>
            <w:pPr>
              <w:jc w:val="right"/>
              <w:ind w:right="4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08"/>
        </w:trPr>
        <w:tc>
          <w:tcPr>
            <w:tcW w:w="2340" w:type="dxa"/>
            <w:vAlign w:val="bottom"/>
            <w:gridSpan w:val="2"/>
            <w:shd w:val="clear" w:color="auto" w:fill="CCEEFF"/>
          </w:tcPr>
          <w:p>
            <w:pPr>
              <w:spacing w:after="0" w:line="108" w:lineRule="exact"/>
              <w:rPr>
                <w:sz w:val="20"/>
                <w:szCs w:val="20"/>
                <w:color w:val="auto"/>
              </w:rPr>
            </w:pPr>
            <w:r>
              <w:rPr>
                <w:rFonts w:ascii="Arial" w:cs="Arial" w:eastAsia="Arial" w:hAnsi="Arial"/>
                <w:sz w:val="12"/>
                <w:szCs w:val="12"/>
                <w:color w:val="auto"/>
              </w:rPr>
              <w:t>Benefit Street Partners CLO Ltd,</w:t>
            </w:r>
          </w:p>
        </w:tc>
        <w:tc>
          <w:tcPr>
            <w:tcW w:w="284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w w:val="97"/>
              </w:rPr>
              <w:t>Structured Product ($1,425 par, due 1/2031)</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9/13/2022</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L + 2.75%</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1,258</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1,219</w:t>
            </w:r>
          </w:p>
        </w:tc>
        <w:tc>
          <w:tcPr>
            <w:tcW w:w="9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6"/>
        </w:trPr>
        <w:tc>
          <w:tcPr>
            <w:tcW w:w="23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3"/>
                <w:szCs w:val="13"/>
                <w:color w:val="auto"/>
              </w:rPr>
              <w:t>Series 2015-8A</w:t>
            </w:r>
            <w:r>
              <w:rPr>
                <w:rFonts w:ascii="Arial" w:cs="Arial" w:eastAsia="Arial" w:hAnsi="Arial"/>
                <w:sz w:val="20"/>
                <w:szCs w:val="20"/>
                <w:color w:val="auto"/>
                <w:vertAlign w:val="superscript"/>
              </w:rPr>
              <w:t>(3)(4)(10)</w:t>
            </w:r>
          </w:p>
        </w:tc>
        <w:tc>
          <w:tcPr>
            <w:tcW w:w="284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98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340" w:type="dxa"/>
            <w:vAlign w:val="bottom"/>
            <w:gridSpan w:val="2"/>
          </w:tcPr>
          <w:p>
            <w:pPr>
              <w:spacing w:after="0" w:line="118" w:lineRule="exact"/>
              <w:rPr>
                <w:sz w:val="20"/>
                <w:szCs w:val="20"/>
                <w:color w:val="auto"/>
              </w:rPr>
            </w:pPr>
            <w:r>
              <w:rPr>
                <w:rFonts w:ascii="Arial" w:cs="Arial" w:eastAsia="Arial" w:hAnsi="Arial"/>
                <w:sz w:val="13"/>
                <w:szCs w:val="13"/>
                <w:color w:val="auto"/>
              </w:rPr>
              <w:t>Carlyle Global Market Strategies</w:t>
            </w:r>
          </w:p>
        </w:tc>
        <w:tc>
          <w:tcPr>
            <w:tcW w:w="3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340" w:type="dxa"/>
            <w:vAlign w:val="bottom"/>
            <w:gridSpan w:val="2"/>
          </w:tcPr>
          <w:p>
            <w:pPr>
              <w:ind w:left="140"/>
              <w:spacing w:after="0" w:line="166" w:lineRule="exact"/>
              <w:rPr>
                <w:sz w:val="20"/>
                <w:szCs w:val="20"/>
                <w:color w:val="auto"/>
              </w:rPr>
            </w:pPr>
            <w:r>
              <w:rPr>
                <w:rFonts w:ascii="Arial" w:cs="Arial" w:eastAsia="Arial" w:hAnsi="Arial"/>
                <w:sz w:val="13"/>
                <w:szCs w:val="13"/>
                <w:color w:val="auto"/>
              </w:rPr>
              <w:t>CLO Ltd, Series 2014-4RA</w:t>
            </w:r>
            <w:r>
              <w:rPr>
                <w:rFonts w:ascii="Arial" w:cs="Arial" w:eastAsia="Arial" w:hAnsi="Arial"/>
                <w:sz w:val="19"/>
                <w:szCs w:val="19"/>
                <w:color w:val="auto"/>
                <w:vertAlign w:val="superscript"/>
              </w:rPr>
              <w:t>(3)(4)(10)</w:t>
            </w:r>
          </w:p>
        </w:tc>
        <w:tc>
          <w:tcPr>
            <w:tcW w:w="2840" w:type="dxa"/>
            <w:vAlign w:val="bottom"/>
            <w:gridSpan w:val="2"/>
          </w:tcPr>
          <w:p>
            <w:pPr>
              <w:ind w:left="320"/>
              <w:spacing w:after="0"/>
              <w:rPr>
                <w:sz w:val="20"/>
                <w:szCs w:val="20"/>
                <w:color w:val="auto"/>
              </w:rPr>
            </w:pPr>
            <w:r>
              <w:rPr>
                <w:rFonts w:ascii="Arial" w:cs="Arial" w:eastAsia="Arial" w:hAnsi="Arial"/>
                <w:sz w:val="13"/>
                <w:szCs w:val="13"/>
                <w:color w:val="auto"/>
                <w:w w:val="97"/>
              </w:rPr>
              <w:t>Structured Product ($1,000 par, due 7/2030)</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5/26/2022</w:t>
            </w:r>
          </w:p>
        </w:tc>
        <w:tc>
          <w:tcPr>
            <w:tcW w:w="1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L + 2.90%</w:t>
            </w:r>
          </w:p>
        </w:tc>
        <w:tc>
          <w:tcPr>
            <w:tcW w:w="1660" w:type="dxa"/>
            <w:vAlign w:val="bottom"/>
          </w:tcPr>
          <w:p>
            <w:pPr>
              <w:jc w:val="right"/>
              <w:spacing w:after="0"/>
              <w:rPr>
                <w:sz w:val="20"/>
                <w:szCs w:val="20"/>
                <w:color w:val="auto"/>
              </w:rPr>
            </w:pPr>
            <w:r>
              <w:rPr>
                <w:rFonts w:ascii="Arial" w:cs="Arial" w:eastAsia="Arial" w:hAnsi="Arial"/>
                <w:sz w:val="13"/>
                <w:szCs w:val="13"/>
                <w:color w:val="auto"/>
              </w:rPr>
              <w:t>5.41%</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887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850</w:t>
            </w:r>
          </w:p>
        </w:tc>
        <w:tc>
          <w:tcPr>
            <w:tcW w:w="98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18"/>
        </w:trPr>
        <w:tc>
          <w:tcPr>
            <w:tcW w:w="2340" w:type="dxa"/>
            <w:vAlign w:val="bottom"/>
            <w:gridSpan w:val="2"/>
            <w:shd w:val="clear" w:color="auto" w:fill="CCEEFF"/>
          </w:tcPr>
          <w:p>
            <w:pPr>
              <w:spacing w:after="0" w:line="118" w:lineRule="exact"/>
              <w:rPr>
                <w:sz w:val="20"/>
                <w:szCs w:val="20"/>
                <w:color w:val="auto"/>
              </w:rPr>
            </w:pPr>
            <w:r>
              <w:rPr>
                <w:rFonts w:ascii="Arial" w:cs="Arial" w:eastAsia="Arial" w:hAnsi="Arial"/>
                <w:sz w:val="13"/>
                <w:szCs w:val="13"/>
                <w:color w:val="auto"/>
              </w:rPr>
              <w:t>Carlyle Global Market Strategies</w:t>
            </w:r>
          </w:p>
        </w:tc>
        <w:tc>
          <w:tcPr>
            <w:tcW w:w="320" w:type="dxa"/>
            <w:vAlign w:val="bottom"/>
            <w:shd w:val="clear" w:color="auto" w:fill="CCEEFF"/>
          </w:tcPr>
          <w:p>
            <w:pPr>
              <w:spacing w:after="0"/>
              <w:rPr>
                <w:sz w:val="10"/>
                <w:szCs w:val="10"/>
                <w:color w:val="auto"/>
              </w:rPr>
            </w:pPr>
          </w:p>
        </w:tc>
        <w:tc>
          <w:tcPr>
            <w:tcW w:w="2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340" w:type="dxa"/>
            <w:vAlign w:val="bottom"/>
            <w:gridSpan w:val="2"/>
            <w:shd w:val="clear" w:color="auto" w:fill="CCEEFF"/>
          </w:tcPr>
          <w:p>
            <w:pPr>
              <w:ind w:left="140"/>
              <w:spacing w:after="0" w:line="180" w:lineRule="exact"/>
              <w:rPr>
                <w:sz w:val="20"/>
                <w:szCs w:val="20"/>
                <w:color w:val="auto"/>
              </w:rPr>
            </w:pPr>
            <w:r>
              <w:rPr>
                <w:rFonts w:ascii="Arial" w:cs="Arial" w:eastAsia="Arial" w:hAnsi="Arial"/>
                <w:sz w:val="13"/>
                <w:szCs w:val="13"/>
                <w:color w:val="auto"/>
              </w:rPr>
              <w:t>CLO Ltd, Series 2018-1A</w:t>
            </w:r>
            <w:r>
              <w:rPr>
                <w:rFonts w:ascii="Arial" w:cs="Arial" w:eastAsia="Arial" w:hAnsi="Arial"/>
                <w:sz w:val="20"/>
                <w:szCs w:val="20"/>
                <w:color w:val="auto"/>
                <w:vertAlign w:val="superscript"/>
              </w:rPr>
              <w:t>(3)(4)(10)</w:t>
            </w:r>
          </w:p>
        </w:tc>
        <w:tc>
          <w:tcPr>
            <w:tcW w:w="28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w w:val="97"/>
              </w:rPr>
              <w:t>Structured Product ($1,550 par, due 4/2031)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8/11/2020</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L + 5.75%</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8.46%</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1,201</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08"/>
        </w:trPr>
        <w:tc>
          <w:tcPr>
            <w:tcW w:w="2340" w:type="dxa"/>
            <w:vAlign w:val="bottom"/>
            <w:gridSpan w:val="2"/>
          </w:tcPr>
          <w:p>
            <w:pPr>
              <w:spacing w:after="0" w:line="108" w:lineRule="exact"/>
              <w:rPr>
                <w:sz w:val="20"/>
                <w:szCs w:val="20"/>
                <w:color w:val="auto"/>
              </w:rPr>
            </w:pPr>
            <w:r>
              <w:rPr>
                <w:rFonts w:ascii="Arial" w:cs="Arial" w:eastAsia="Arial" w:hAnsi="Arial"/>
                <w:sz w:val="12"/>
                <w:szCs w:val="12"/>
                <w:color w:val="auto"/>
              </w:rPr>
              <w:t>Carlyle Global Market Strategies</w:t>
            </w:r>
          </w:p>
        </w:tc>
        <w:tc>
          <w:tcPr>
            <w:tcW w:w="2840" w:type="dxa"/>
            <w:vAlign w:val="bottom"/>
            <w:gridSpan w:val="2"/>
            <w:vMerge w:val="restart"/>
          </w:tcPr>
          <w:p>
            <w:pPr>
              <w:ind w:left="320"/>
              <w:spacing w:after="0"/>
              <w:rPr>
                <w:sz w:val="20"/>
                <w:szCs w:val="20"/>
                <w:color w:val="auto"/>
              </w:rPr>
            </w:pPr>
            <w:r>
              <w:rPr>
                <w:rFonts w:ascii="Arial" w:cs="Arial" w:eastAsia="Arial" w:hAnsi="Arial"/>
                <w:sz w:val="13"/>
                <w:szCs w:val="13"/>
                <w:color w:val="auto"/>
                <w:w w:val="97"/>
              </w:rPr>
              <w:t>Structured Product ($4,150 par, due 1/2030)</w:t>
            </w: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9/3/2020</w:t>
            </w:r>
          </w:p>
        </w:tc>
        <w:tc>
          <w:tcPr>
            <w:tcW w:w="14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L + 6.15%</w:t>
            </w:r>
          </w:p>
        </w:tc>
        <w:tc>
          <w:tcPr>
            <w:tcW w:w="1660" w:type="dxa"/>
            <w:vAlign w:val="bottom"/>
            <w:vMerge w:val="restart"/>
          </w:tcPr>
          <w:p>
            <w:pPr>
              <w:jc w:val="right"/>
              <w:spacing w:after="0"/>
              <w:rPr>
                <w:sz w:val="20"/>
                <w:szCs w:val="20"/>
                <w:color w:val="auto"/>
              </w:rPr>
            </w:pPr>
            <w:r>
              <w:rPr>
                <w:rFonts w:ascii="Arial" w:cs="Arial" w:eastAsia="Arial" w:hAnsi="Arial"/>
                <w:sz w:val="13"/>
                <w:szCs w:val="13"/>
                <w:color w:val="auto"/>
              </w:rPr>
              <w:t>8.66%</w:t>
            </w: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3,498</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3,275</w:t>
            </w:r>
          </w:p>
        </w:tc>
        <w:tc>
          <w:tcPr>
            <w:tcW w:w="98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76"/>
        </w:trPr>
        <w:tc>
          <w:tcPr>
            <w:tcW w:w="2340" w:type="dxa"/>
            <w:vAlign w:val="bottom"/>
            <w:gridSpan w:val="2"/>
          </w:tcPr>
          <w:p>
            <w:pPr>
              <w:ind w:left="140"/>
              <w:spacing w:after="0" w:line="176" w:lineRule="exact"/>
              <w:rPr>
                <w:sz w:val="20"/>
                <w:szCs w:val="20"/>
                <w:color w:val="auto"/>
              </w:rPr>
            </w:pPr>
            <w:r>
              <w:rPr>
                <w:rFonts w:ascii="Arial" w:cs="Arial" w:eastAsia="Arial" w:hAnsi="Arial"/>
                <w:sz w:val="13"/>
                <w:szCs w:val="13"/>
                <w:color w:val="auto"/>
              </w:rPr>
              <w:t>CLO Ltd, Series 2017-4A</w:t>
            </w:r>
            <w:r>
              <w:rPr>
                <w:rFonts w:ascii="Arial" w:cs="Arial" w:eastAsia="Arial" w:hAnsi="Arial"/>
                <w:sz w:val="20"/>
                <w:szCs w:val="20"/>
                <w:color w:val="auto"/>
                <w:vertAlign w:val="superscript"/>
              </w:rPr>
              <w:t>(3)(4)(10)</w:t>
            </w:r>
          </w:p>
        </w:tc>
        <w:tc>
          <w:tcPr>
            <w:tcW w:w="284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340" w:type="dxa"/>
            <w:vAlign w:val="bottom"/>
            <w:gridSpan w:val="2"/>
            <w:shd w:val="clear" w:color="auto" w:fill="CCEEFF"/>
          </w:tcPr>
          <w:p>
            <w:pPr>
              <w:spacing w:after="0" w:line="118" w:lineRule="exact"/>
              <w:rPr>
                <w:sz w:val="20"/>
                <w:szCs w:val="20"/>
                <w:color w:val="auto"/>
              </w:rPr>
            </w:pPr>
            <w:r>
              <w:rPr>
                <w:rFonts w:ascii="Arial" w:cs="Arial" w:eastAsia="Arial" w:hAnsi="Arial"/>
                <w:sz w:val="13"/>
                <w:szCs w:val="13"/>
                <w:color w:val="auto"/>
              </w:rPr>
              <w:t>CarVal CLO III Ltd,</w:t>
            </w:r>
          </w:p>
        </w:tc>
        <w:tc>
          <w:tcPr>
            <w:tcW w:w="320" w:type="dxa"/>
            <w:vAlign w:val="bottom"/>
            <w:shd w:val="clear" w:color="auto" w:fill="CCEEFF"/>
          </w:tcPr>
          <w:p>
            <w:pPr>
              <w:spacing w:after="0"/>
              <w:rPr>
                <w:sz w:val="10"/>
                <w:szCs w:val="10"/>
                <w:color w:val="auto"/>
              </w:rPr>
            </w:pPr>
          </w:p>
        </w:tc>
        <w:tc>
          <w:tcPr>
            <w:tcW w:w="2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340" w:type="dxa"/>
            <w:vAlign w:val="bottom"/>
            <w:gridSpan w:val="2"/>
            <w:shd w:val="clear" w:color="auto" w:fill="CCEEFF"/>
          </w:tcPr>
          <w:p>
            <w:pPr>
              <w:ind w:left="140"/>
              <w:spacing w:after="0" w:line="166" w:lineRule="exact"/>
              <w:rPr>
                <w:sz w:val="20"/>
                <w:szCs w:val="20"/>
                <w:color w:val="auto"/>
              </w:rPr>
            </w:pPr>
            <w:r>
              <w:rPr>
                <w:rFonts w:ascii="Arial" w:cs="Arial" w:eastAsia="Arial" w:hAnsi="Arial"/>
                <w:sz w:val="13"/>
                <w:szCs w:val="13"/>
                <w:color w:val="auto"/>
              </w:rPr>
              <w:t>Series 2019-2A</w:t>
            </w:r>
            <w:r>
              <w:rPr>
                <w:rFonts w:ascii="Arial" w:cs="Arial" w:eastAsia="Arial" w:hAnsi="Arial"/>
                <w:sz w:val="19"/>
                <w:szCs w:val="19"/>
                <w:color w:val="auto"/>
                <w:vertAlign w:val="superscript"/>
              </w:rPr>
              <w:t>(3)(4)(10)</w:t>
            </w:r>
          </w:p>
        </w:tc>
        <w:tc>
          <w:tcPr>
            <w:tcW w:w="28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w w:val="97"/>
              </w:rPr>
              <w:t>Structured Product ($1,000 par, due 7/2032)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6/30/2022</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L + 6.44%</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833</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18"/>
        </w:trPr>
        <w:tc>
          <w:tcPr>
            <w:tcW w:w="2340" w:type="dxa"/>
            <w:vAlign w:val="bottom"/>
            <w:gridSpan w:val="2"/>
          </w:tcPr>
          <w:p>
            <w:pPr>
              <w:spacing w:after="0" w:line="118" w:lineRule="exact"/>
              <w:rPr>
                <w:sz w:val="20"/>
                <w:szCs w:val="20"/>
                <w:color w:val="auto"/>
              </w:rPr>
            </w:pPr>
            <w:r>
              <w:rPr>
                <w:rFonts w:ascii="Arial" w:cs="Arial" w:eastAsia="Arial" w:hAnsi="Arial"/>
                <w:sz w:val="13"/>
                <w:szCs w:val="13"/>
                <w:color w:val="auto"/>
              </w:rPr>
              <w:t>Cedar Funding CLO Ltd,</w:t>
            </w:r>
          </w:p>
        </w:tc>
        <w:tc>
          <w:tcPr>
            <w:tcW w:w="3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340" w:type="dxa"/>
            <w:vAlign w:val="bottom"/>
            <w:gridSpan w:val="2"/>
          </w:tcPr>
          <w:p>
            <w:pPr>
              <w:ind w:left="140"/>
              <w:spacing w:after="0" w:line="180" w:lineRule="exact"/>
              <w:rPr>
                <w:sz w:val="20"/>
                <w:szCs w:val="20"/>
                <w:color w:val="auto"/>
              </w:rPr>
            </w:pPr>
            <w:r>
              <w:rPr>
                <w:rFonts w:ascii="Arial" w:cs="Arial" w:eastAsia="Arial" w:hAnsi="Arial"/>
                <w:sz w:val="13"/>
                <w:szCs w:val="13"/>
                <w:color w:val="auto"/>
              </w:rPr>
              <w:t>Series 2018-7A</w:t>
            </w:r>
            <w:r>
              <w:rPr>
                <w:rFonts w:ascii="Arial" w:cs="Arial" w:eastAsia="Arial" w:hAnsi="Arial"/>
                <w:sz w:val="20"/>
                <w:szCs w:val="20"/>
                <w:color w:val="auto"/>
                <w:vertAlign w:val="superscript"/>
              </w:rPr>
              <w:t>(3)(4)(10)</w:t>
            </w:r>
          </w:p>
        </w:tc>
        <w:tc>
          <w:tcPr>
            <w:tcW w:w="2840" w:type="dxa"/>
            <w:vAlign w:val="bottom"/>
            <w:gridSpan w:val="2"/>
          </w:tcPr>
          <w:p>
            <w:pPr>
              <w:ind w:left="320"/>
              <w:spacing w:after="0"/>
              <w:rPr>
                <w:sz w:val="20"/>
                <w:szCs w:val="20"/>
                <w:color w:val="auto"/>
              </w:rPr>
            </w:pPr>
            <w:r>
              <w:rPr>
                <w:rFonts w:ascii="Arial" w:cs="Arial" w:eastAsia="Arial" w:hAnsi="Arial"/>
                <w:sz w:val="13"/>
                <w:szCs w:val="13"/>
                <w:color w:val="auto"/>
                <w:w w:val="97"/>
              </w:rPr>
              <w:t>Structured Product ($1,000 par, due 1/2031)</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7/21/2022</w:t>
            </w:r>
          </w:p>
        </w:tc>
        <w:tc>
          <w:tcPr>
            <w:tcW w:w="1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L + 4.55%</w:t>
            </w:r>
          </w:p>
        </w:tc>
        <w:tc>
          <w:tcPr>
            <w:tcW w:w="1660" w:type="dxa"/>
            <w:vAlign w:val="bottom"/>
          </w:tcPr>
          <w:p>
            <w:pPr>
              <w:jc w:val="right"/>
              <w:spacing w:after="0"/>
              <w:rPr>
                <w:sz w:val="20"/>
                <w:szCs w:val="20"/>
                <w:color w:val="auto"/>
              </w:rPr>
            </w:pPr>
            <w:r>
              <w:rPr>
                <w:rFonts w:ascii="Arial" w:cs="Arial" w:eastAsia="Arial" w:hAnsi="Arial"/>
                <w:sz w:val="13"/>
                <w:szCs w:val="13"/>
                <w:color w:val="auto"/>
              </w:rPr>
              <w:t>7.26%</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851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784</w:t>
            </w:r>
          </w:p>
        </w:tc>
        <w:tc>
          <w:tcPr>
            <w:tcW w:w="980" w:type="dxa"/>
            <w:vAlign w:val="bottom"/>
            <w:gridSpan w:val="3"/>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08"/>
        </w:trPr>
        <w:tc>
          <w:tcPr>
            <w:tcW w:w="2340" w:type="dxa"/>
            <w:vAlign w:val="bottom"/>
            <w:gridSpan w:val="2"/>
            <w:shd w:val="clear" w:color="auto" w:fill="CCEEFF"/>
          </w:tcPr>
          <w:p>
            <w:pPr>
              <w:spacing w:after="0" w:line="108" w:lineRule="exact"/>
              <w:rPr>
                <w:sz w:val="20"/>
                <w:szCs w:val="20"/>
                <w:color w:val="auto"/>
              </w:rPr>
            </w:pPr>
            <w:r>
              <w:rPr>
                <w:rFonts w:ascii="Arial" w:cs="Arial" w:eastAsia="Arial" w:hAnsi="Arial"/>
                <w:sz w:val="12"/>
                <w:szCs w:val="12"/>
                <w:color w:val="auto"/>
              </w:rPr>
              <w:t>CIFC CLO Ltd,</w:t>
            </w:r>
          </w:p>
        </w:tc>
        <w:tc>
          <w:tcPr>
            <w:tcW w:w="284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w w:val="97"/>
              </w:rPr>
              <w:t>Structured Product ($1,000 par, due 7/2031)</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6/16/2022</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L + 5.50%</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8.24%</w:t>
            </w: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895</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833</w:t>
            </w:r>
          </w:p>
        </w:tc>
        <w:tc>
          <w:tcPr>
            <w:tcW w:w="9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5"/>
        </w:trPr>
        <w:tc>
          <w:tcPr>
            <w:tcW w:w="23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3"/>
                <w:szCs w:val="13"/>
                <w:color w:val="auto"/>
              </w:rPr>
              <w:t>Series 2018-3A</w:t>
            </w:r>
            <w:r>
              <w:rPr>
                <w:rFonts w:ascii="Arial" w:cs="Arial" w:eastAsia="Arial" w:hAnsi="Arial"/>
                <w:sz w:val="20"/>
                <w:szCs w:val="20"/>
                <w:color w:val="auto"/>
                <w:vertAlign w:val="superscript"/>
              </w:rPr>
              <w:t>(3)(4)(10)</w:t>
            </w:r>
          </w:p>
        </w:tc>
        <w:tc>
          <w:tcPr>
            <w:tcW w:w="284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98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340" w:type="dxa"/>
            <w:vAlign w:val="bottom"/>
            <w:gridSpan w:val="2"/>
          </w:tcPr>
          <w:p>
            <w:pPr>
              <w:spacing w:after="0" w:line="118" w:lineRule="exact"/>
              <w:rPr>
                <w:sz w:val="20"/>
                <w:szCs w:val="20"/>
                <w:color w:val="auto"/>
              </w:rPr>
            </w:pPr>
            <w:r>
              <w:rPr>
                <w:rFonts w:ascii="Arial" w:cs="Arial" w:eastAsia="Arial" w:hAnsi="Arial"/>
                <w:sz w:val="13"/>
                <w:szCs w:val="13"/>
                <w:color w:val="auto"/>
              </w:rPr>
              <w:t>CIFC CLO Ltd,</w:t>
            </w:r>
          </w:p>
        </w:tc>
        <w:tc>
          <w:tcPr>
            <w:tcW w:w="3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340" w:type="dxa"/>
            <w:vAlign w:val="bottom"/>
            <w:gridSpan w:val="2"/>
          </w:tcPr>
          <w:p>
            <w:pPr>
              <w:ind w:left="140"/>
              <w:spacing w:after="0" w:line="166" w:lineRule="exact"/>
              <w:rPr>
                <w:sz w:val="20"/>
                <w:szCs w:val="20"/>
                <w:color w:val="auto"/>
              </w:rPr>
            </w:pPr>
            <w:r>
              <w:rPr>
                <w:rFonts w:ascii="Arial" w:cs="Arial" w:eastAsia="Arial" w:hAnsi="Arial"/>
                <w:sz w:val="13"/>
                <w:szCs w:val="13"/>
                <w:color w:val="auto"/>
              </w:rPr>
              <w:t>Series 2021-4A</w:t>
            </w:r>
            <w:r>
              <w:rPr>
                <w:rFonts w:ascii="Arial" w:cs="Arial" w:eastAsia="Arial" w:hAnsi="Arial"/>
                <w:sz w:val="19"/>
                <w:szCs w:val="19"/>
                <w:color w:val="auto"/>
                <w:vertAlign w:val="superscript"/>
              </w:rPr>
              <w:t>(3)(4)(10)</w:t>
            </w:r>
          </w:p>
        </w:tc>
        <w:tc>
          <w:tcPr>
            <w:tcW w:w="2840" w:type="dxa"/>
            <w:vAlign w:val="bottom"/>
            <w:gridSpan w:val="2"/>
          </w:tcPr>
          <w:p>
            <w:pPr>
              <w:ind w:left="320"/>
              <w:spacing w:after="0"/>
              <w:rPr>
                <w:sz w:val="20"/>
                <w:szCs w:val="20"/>
                <w:color w:val="auto"/>
              </w:rPr>
            </w:pPr>
            <w:r>
              <w:rPr>
                <w:rFonts w:ascii="Arial" w:cs="Arial" w:eastAsia="Arial" w:hAnsi="Arial"/>
                <w:sz w:val="13"/>
                <w:szCs w:val="13"/>
                <w:color w:val="auto"/>
                <w:w w:val="97"/>
              </w:rPr>
              <w:t>Structured Product ($1,000 par, due 7/2033)</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7/14/2022</w:t>
            </w:r>
          </w:p>
        </w:tc>
        <w:tc>
          <w:tcPr>
            <w:tcW w:w="1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L + 6.00%</w:t>
            </w:r>
          </w:p>
        </w:tc>
        <w:tc>
          <w:tcPr>
            <w:tcW w:w="1660" w:type="dxa"/>
            <w:vAlign w:val="bottom"/>
          </w:tcPr>
          <w:p>
            <w:pPr>
              <w:jc w:val="right"/>
              <w:spacing w:after="0"/>
              <w:rPr>
                <w:sz w:val="20"/>
                <w:szCs w:val="20"/>
                <w:color w:val="auto"/>
              </w:rPr>
            </w:pPr>
            <w:r>
              <w:rPr>
                <w:rFonts w:ascii="Arial" w:cs="Arial" w:eastAsia="Arial" w:hAnsi="Arial"/>
                <w:sz w:val="13"/>
                <w:szCs w:val="13"/>
                <w:color w:val="auto"/>
              </w:rPr>
              <w:t>8.51%</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874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850</w:t>
            </w:r>
          </w:p>
        </w:tc>
        <w:tc>
          <w:tcPr>
            <w:tcW w:w="98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18"/>
        </w:trPr>
        <w:tc>
          <w:tcPr>
            <w:tcW w:w="2340" w:type="dxa"/>
            <w:vAlign w:val="bottom"/>
            <w:gridSpan w:val="2"/>
            <w:shd w:val="clear" w:color="auto" w:fill="CCEEFF"/>
          </w:tcPr>
          <w:p>
            <w:pPr>
              <w:spacing w:after="0" w:line="118" w:lineRule="exact"/>
              <w:rPr>
                <w:sz w:val="20"/>
                <w:szCs w:val="20"/>
                <w:color w:val="auto"/>
              </w:rPr>
            </w:pPr>
            <w:r>
              <w:rPr>
                <w:rFonts w:ascii="Arial" w:cs="Arial" w:eastAsia="Arial" w:hAnsi="Arial"/>
                <w:sz w:val="13"/>
                <w:szCs w:val="13"/>
                <w:color w:val="auto"/>
              </w:rPr>
              <w:t>Crown Point CLO Ltd,</w:t>
            </w:r>
          </w:p>
        </w:tc>
        <w:tc>
          <w:tcPr>
            <w:tcW w:w="320" w:type="dxa"/>
            <w:vAlign w:val="bottom"/>
            <w:shd w:val="clear" w:color="auto" w:fill="CCEEFF"/>
          </w:tcPr>
          <w:p>
            <w:pPr>
              <w:spacing w:after="0"/>
              <w:rPr>
                <w:sz w:val="10"/>
                <w:szCs w:val="10"/>
                <w:color w:val="auto"/>
              </w:rPr>
            </w:pPr>
          </w:p>
        </w:tc>
        <w:tc>
          <w:tcPr>
            <w:tcW w:w="2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340" w:type="dxa"/>
            <w:vAlign w:val="bottom"/>
            <w:gridSpan w:val="2"/>
            <w:shd w:val="clear" w:color="auto" w:fill="CCEEFF"/>
          </w:tcPr>
          <w:p>
            <w:pPr>
              <w:ind w:left="140"/>
              <w:spacing w:after="0" w:line="180" w:lineRule="exact"/>
              <w:rPr>
                <w:sz w:val="20"/>
                <w:szCs w:val="20"/>
                <w:color w:val="auto"/>
              </w:rPr>
            </w:pPr>
            <w:r>
              <w:rPr>
                <w:rFonts w:ascii="Arial" w:cs="Arial" w:eastAsia="Arial" w:hAnsi="Arial"/>
                <w:sz w:val="13"/>
                <w:szCs w:val="13"/>
                <w:color w:val="auto"/>
              </w:rPr>
              <w:t>Series 2021-10A</w:t>
            </w:r>
            <w:r>
              <w:rPr>
                <w:rFonts w:ascii="Arial" w:cs="Arial" w:eastAsia="Arial" w:hAnsi="Arial"/>
                <w:sz w:val="20"/>
                <w:szCs w:val="20"/>
                <w:color w:val="auto"/>
                <w:vertAlign w:val="superscript"/>
              </w:rPr>
              <w:t>(3)(4)(10)</w:t>
            </w:r>
          </w:p>
        </w:tc>
        <w:tc>
          <w:tcPr>
            <w:tcW w:w="28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w w:val="97"/>
              </w:rPr>
              <w:t>Structured Product ($1,000 par, due 7/2034)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6/14/2022</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L + 6.85%</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9.56%</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08"/>
        </w:trPr>
        <w:tc>
          <w:tcPr>
            <w:tcW w:w="2340" w:type="dxa"/>
            <w:vAlign w:val="bottom"/>
            <w:gridSpan w:val="2"/>
          </w:tcPr>
          <w:p>
            <w:pPr>
              <w:spacing w:after="0" w:line="108" w:lineRule="exact"/>
              <w:rPr>
                <w:sz w:val="20"/>
                <w:szCs w:val="20"/>
                <w:color w:val="auto"/>
              </w:rPr>
            </w:pPr>
            <w:r>
              <w:rPr>
                <w:rFonts w:ascii="Arial" w:cs="Arial" w:eastAsia="Arial" w:hAnsi="Arial"/>
                <w:sz w:val="12"/>
                <w:szCs w:val="12"/>
                <w:color w:val="auto"/>
              </w:rPr>
              <w:t>Dryden Senior Loan Fund,</w:t>
            </w:r>
          </w:p>
        </w:tc>
        <w:tc>
          <w:tcPr>
            <w:tcW w:w="2840" w:type="dxa"/>
            <w:vAlign w:val="bottom"/>
            <w:gridSpan w:val="2"/>
            <w:vMerge w:val="restart"/>
          </w:tcPr>
          <w:p>
            <w:pPr>
              <w:ind w:left="320"/>
              <w:spacing w:after="0"/>
              <w:rPr>
                <w:sz w:val="20"/>
                <w:szCs w:val="20"/>
                <w:color w:val="auto"/>
              </w:rPr>
            </w:pPr>
            <w:r>
              <w:rPr>
                <w:rFonts w:ascii="Arial" w:cs="Arial" w:eastAsia="Arial" w:hAnsi="Arial"/>
                <w:sz w:val="13"/>
                <w:szCs w:val="13"/>
                <w:color w:val="auto"/>
                <w:w w:val="97"/>
              </w:rPr>
              <w:t>Structured Product ($1,000 par, due 4/2031)</w:t>
            </w: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7/25/2022</w:t>
            </w:r>
          </w:p>
        </w:tc>
        <w:tc>
          <w:tcPr>
            <w:tcW w:w="14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L + 2.85%</w:t>
            </w:r>
          </w:p>
        </w:tc>
        <w:tc>
          <w:tcPr>
            <w:tcW w:w="1660" w:type="dxa"/>
            <w:vAlign w:val="bottom"/>
            <w:vMerge w:val="restart"/>
          </w:tcPr>
          <w:p>
            <w:pPr>
              <w:jc w:val="right"/>
              <w:spacing w:after="0"/>
              <w:rPr>
                <w:sz w:val="20"/>
                <w:szCs w:val="20"/>
                <w:color w:val="auto"/>
              </w:rPr>
            </w:pPr>
            <w:r>
              <w:rPr>
                <w:rFonts w:ascii="Arial" w:cs="Arial" w:eastAsia="Arial" w:hAnsi="Arial"/>
                <w:sz w:val="13"/>
                <w:szCs w:val="13"/>
                <w:color w:val="auto"/>
              </w:rPr>
              <w:t>5.36%</w:t>
            </w: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893</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860</w:t>
            </w:r>
          </w:p>
        </w:tc>
        <w:tc>
          <w:tcPr>
            <w:tcW w:w="98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5"/>
        </w:trPr>
        <w:tc>
          <w:tcPr>
            <w:tcW w:w="2340" w:type="dxa"/>
            <w:vAlign w:val="bottom"/>
            <w:gridSpan w:val="2"/>
          </w:tcPr>
          <w:p>
            <w:pPr>
              <w:ind w:left="140"/>
              <w:spacing w:after="0" w:line="176" w:lineRule="exact"/>
              <w:rPr>
                <w:sz w:val="20"/>
                <w:szCs w:val="20"/>
                <w:color w:val="auto"/>
              </w:rPr>
            </w:pPr>
            <w:r>
              <w:rPr>
                <w:rFonts w:ascii="Arial" w:cs="Arial" w:eastAsia="Arial" w:hAnsi="Arial"/>
                <w:sz w:val="13"/>
                <w:szCs w:val="13"/>
                <w:color w:val="auto"/>
              </w:rPr>
              <w:t>Series 2018-55A</w:t>
            </w:r>
            <w:r>
              <w:rPr>
                <w:rFonts w:ascii="Arial" w:cs="Arial" w:eastAsia="Arial" w:hAnsi="Arial"/>
                <w:sz w:val="20"/>
                <w:szCs w:val="20"/>
                <w:color w:val="auto"/>
                <w:vertAlign w:val="superscript"/>
              </w:rPr>
              <w:t>(3)(4)(10)</w:t>
            </w:r>
          </w:p>
        </w:tc>
        <w:tc>
          <w:tcPr>
            <w:tcW w:w="284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340" w:type="dxa"/>
            <w:vAlign w:val="bottom"/>
            <w:gridSpan w:val="2"/>
            <w:shd w:val="clear" w:color="auto" w:fill="CCEEFF"/>
          </w:tcPr>
          <w:p>
            <w:pPr>
              <w:spacing w:after="0" w:line="108" w:lineRule="exact"/>
              <w:rPr>
                <w:sz w:val="20"/>
                <w:szCs w:val="20"/>
                <w:color w:val="auto"/>
              </w:rPr>
            </w:pPr>
            <w:r>
              <w:rPr>
                <w:rFonts w:ascii="Arial" w:cs="Arial" w:eastAsia="Arial" w:hAnsi="Arial"/>
                <w:sz w:val="12"/>
                <w:szCs w:val="12"/>
                <w:color w:val="auto"/>
              </w:rPr>
              <w:t>Dryden Senior Loan Fund,</w:t>
            </w:r>
          </w:p>
        </w:tc>
        <w:tc>
          <w:tcPr>
            <w:tcW w:w="284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w w:val="97"/>
              </w:rPr>
              <w:t>Structured Product ($1,500 par, due 7/2034)</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8/17/2022</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L + 6.50%</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9.24%</w:t>
            </w: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1,403</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1,230</w:t>
            </w:r>
          </w:p>
        </w:tc>
        <w:tc>
          <w:tcPr>
            <w:tcW w:w="9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5"/>
        </w:trPr>
        <w:tc>
          <w:tcPr>
            <w:tcW w:w="23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3"/>
                <w:szCs w:val="13"/>
                <w:color w:val="auto"/>
              </w:rPr>
              <w:t>Series 2020-86A</w:t>
            </w:r>
            <w:r>
              <w:rPr>
                <w:rFonts w:ascii="Arial" w:cs="Arial" w:eastAsia="Arial" w:hAnsi="Arial"/>
                <w:sz w:val="20"/>
                <w:szCs w:val="20"/>
                <w:color w:val="auto"/>
                <w:vertAlign w:val="superscript"/>
              </w:rPr>
              <w:t>(3)(4)(10)</w:t>
            </w:r>
          </w:p>
        </w:tc>
        <w:tc>
          <w:tcPr>
            <w:tcW w:w="284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98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340" w:type="dxa"/>
            <w:vAlign w:val="bottom"/>
            <w:gridSpan w:val="2"/>
          </w:tcPr>
          <w:p>
            <w:pPr>
              <w:spacing w:after="0" w:line="118" w:lineRule="exact"/>
              <w:rPr>
                <w:sz w:val="20"/>
                <w:szCs w:val="20"/>
                <w:color w:val="auto"/>
              </w:rPr>
            </w:pPr>
            <w:r>
              <w:rPr>
                <w:rFonts w:ascii="Arial" w:cs="Arial" w:eastAsia="Arial" w:hAnsi="Arial"/>
                <w:sz w:val="13"/>
                <w:szCs w:val="13"/>
                <w:color w:val="auto"/>
              </w:rPr>
              <w:t>Eaton CLO Ltd,</w:t>
            </w:r>
          </w:p>
        </w:tc>
        <w:tc>
          <w:tcPr>
            <w:tcW w:w="3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340" w:type="dxa"/>
            <w:vAlign w:val="bottom"/>
            <w:gridSpan w:val="2"/>
          </w:tcPr>
          <w:p>
            <w:pPr>
              <w:ind w:left="140"/>
              <w:spacing w:after="0" w:line="166" w:lineRule="exact"/>
              <w:rPr>
                <w:sz w:val="20"/>
                <w:szCs w:val="20"/>
                <w:color w:val="auto"/>
              </w:rPr>
            </w:pPr>
            <w:r>
              <w:rPr>
                <w:rFonts w:ascii="Arial" w:cs="Arial" w:eastAsia="Arial" w:hAnsi="Arial"/>
                <w:sz w:val="13"/>
                <w:szCs w:val="13"/>
                <w:color w:val="auto"/>
              </w:rPr>
              <w:t>Series 2015-1A</w:t>
            </w:r>
            <w:r>
              <w:rPr>
                <w:rFonts w:ascii="Arial" w:cs="Arial" w:eastAsia="Arial" w:hAnsi="Arial"/>
                <w:sz w:val="19"/>
                <w:szCs w:val="19"/>
                <w:color w:val="auto"/>
                <w:vertAlign w:val="superscript"/>
              </w:rPr>
              <w:t>(3)(4)(10)</w:t>
            </w:r>
          </w:p>
        </w:tc>
        <w:tc>
          <w:tcPr>
            <w:tcW w:w="2840" w:type="dxa"/>
            <w:vAlign w:val="bottom"/>
            <w:gridSpan w:val="2"/>
          </w:tcPr>
          <w:p>
            <w:pPr>
              <w:ind w:left="320"/>
              <w:spacing w:after="0"/>
              <w:rPr>
                <w:sz w:val="20"/>
                <w:szCs w:val="20"/>
                <w:color w:val="auto"/>
              </w:rPr>
            </w:pPr>
            <w:r>
              <w:rPr>
                <w:rFonts w:ascii="Arial" w:cs="Arial" w:eastAsia="Arial" w:hAnsi="Arial"/>
                <w:sz w:val="13"/>
                <w:szCs w:val="13"/>
                <w:color w:val="auto"/>
                <w:w w:val="97"/>
              </w:rPr>
              <w:t>Structured Product ($2,500 par, due 1/2030)</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6/23/2022</w:t>
            </w:r>
          </w:p>
        </w:tc>
        <w:tc>
          <w:tcPr>
            <w:tcW w:w="1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L + 2.50%</w:t>
            </w:r>
          </w:p>
        </w:tc>
        <w:tc>
          <w:tcPr>
            <w:tcW w:w="1660" w:type="dxa"/>
            <w:vAlign w:val="bottom"/>
          </w:tcPr>
          <w:p>
            <w:pPr>
              <w:jc w:val="right"/>
              <w:spacing w:after="0"/>
              <w:rPr>
                <w:sz w:val="20"/>
                <w:szCs w:val="20"/>
                <w:color w:val="auto"/>
              </w:rPr>
            </w:pPr>
            <w:r>
              <w:rPr>
                <w:rFonts w:ascii="Arial" w:cs="Arial" w:eastAsia="Arial" w:hAnsi="Arial"/>
                <w:sz w:val="13"/>
                <w:szCs w:val="13"/>
                <w:color w:val="auto"/>
              </w:rPr>
              <w:t>5.21%</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2,181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2,172</w:t>
            </w:r>
          </w:p>
        </w:tc>
        <w:tc>
          <w:tcPr>
            <w:tcW w:w="980" w:type="dxa"/>
            <w:vAlign w:val="bottom"/>
            <w:gridSpan w:val="3"/>
          </w:tcPr>
          <w:p>
            <w:pPr>
              <w:jc w:val="right"/>
              <w:ind w:right="4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18"/>
        </w:trPr>
        <w:tc>
          <w:tcPr>
            <w:tcW w:w="2340" w:type="dxa"/>
            <w:vAlign w:val="bottom"/>
            <w:gridSpan w:val="2"/>
            <w:shd w:val="clear" w:color="auto" w:fill="CCEEFF"/>
          </w:tcPr>
          <w:p>
            <w:pPr>
              <w:spacing w:after="0" w:line="118" w:lineRule="exact"/>
              <w:rPr>
                <w:sz w:val="20"/>
                <w:szCs w:val="20"/>
                <w:color w:val="auto"/>
              </w:rPr>
            </w:pPr>
            <w:r>
              <w:rPr>
                <w:rFonts w:ascii="Arial" w:cs="Arial" w:eastAsia="Arial" w:hAnsi="Arial"/>
                <w:sz w:val="13"/>
                <w:szCs w:val="13"/>
                <w:color w:val="auto"/>
              </w:rPr>
              <w:t>Eaton CLO Ltd,</w:t>
            </w:r>
          </w:p>
        </w:tc>
        <w:tc>
          <w:tcPr>
            <w:tcW w:w="320" w:type="dxa"/>
            <w:vAlign w:val="bottom"/>
            <w:shd w:val="clear" w:color="auto" w:fill="CCEEFF"/>
          </w:tcPr>
          <w:p>
            <w:pPr>
              <w:spacing w:after="0"/>
              <w:rPr>
                <w:sz w:val="10"/>
                <w:szCs w:val="10"/>
                <w:color w:val="auto"/>
              </w:rPr>
            </w:pPr>
          </w:p>
        </w:tc>
        <w:tc>
          <w:tcPr>
            <w:tcW w:w="2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340" w:type="dxa"/>
            <w:vAlign w:val="bottom"/>
            <w:gridSpan w:val="2"/>
            <w:shd w:val="clear" w:color="auto" w:fill="CCEEFF"/>
          </w:tcPr>
          <w:p>
            <w:pPr>
              <w:ind w:left="140"/>
              <w:spacing w:after="0" w:line="180" w:lineRule="exact"/>
              <w:rPr>
                <w:sz w:val="20"/>
                <w:szCs w:val="20"/>
                <w:color w:val="auto"/>
              </w:rPr>
            </w:pPr>
            <w:r>
              <w:rPr>
                <w:rFonts w:ascii="Arial" w:cs="Arial" w:eastAsia="Arial" w:hAnsi="Arial"/>
                <w:sz w:val="13"/>
                <w:szCs w:val="13"/>
                <w:color w:val="auto"/>
              </w:rPr>
              <w:t>Series 2020-1A</w:t>
            </w:r>
            <w:r>
              <w:rPr>
                <w:rFonts w:ascii="Arial" w:cs="Arial" w:eastAsia="Arial" w:hAnsi="Arial"/>
                <w:sz w:val="20"/>
                <w:szCs w:val="20"/>
                <w:color w:val="auto"/>
                <w:vertAlign w:val="superscript"/>
              </w:rPr>
              <w:t>(3)(4)(10)</w:t>
            </w:r>
          </w:p>
        </w:tc>
        <w:tc>
          <w:tcPr>
            <w:tcW w:w="28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w w:val="95"/>
              </w:rPr>
              <w:t>Structured Product ($1,000 par, due 10/2034)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8/11/2022</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L + 6.25%</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8.76%</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837</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08"/>
        </w:trPr>
        <w:tc>
          <w:tcPr>
            <w:tcW w:w="2340" w:type="dxa"/>
            <w:vAlign w:val="bottom"/>
            <w:gridSpan w:val="2"/>
          </w:tcPr>
          <w:p>
            <w:pPr>
              <w:spacing w:after="0" w:line="108" w:lineRule="exact"/>
              <w:rPr>
                <w:sz w:val="20"/>
                <w:szCs w:val="20"/>
                <w:color w:val="auto"/>
              </w:rPr>
            </w:pPr>
            <w:r>
              <w:rPr>
                <w:rFonts w:ascii="Arial" w:cs="Arial" w:eastAsia="Arial" w:hAnsi="Arial"/>
                <w:sz w:val="12"/>
                <w:szCs w:val="12"/>
                <w:color w:val="auto"/>
              </w:rPr>
              <w:t>GoldenTree CLO Ltd,</w:t>
            </w:r>
          </w:p>
        </w:tc>
        <w:tc>
          <w:tcPr>
            <w:tcW w:w="2840" w:type="dxa"/>
            <w:vAlign w:val="bottom"/>
            <w:gridSpan w:val="2"/>
            <w:vMerge w:val="restart"/>
          </w:tcPr>
          <w:p>
            <w:pPr>
              <w:ind w:left="320"/>
              <w:spacing w:after="0"/>
              <w:rPr>
                <w:sz w:val="20"/>
                <w:szCs w:val="20"/>
                <w:color w:val="auto"/>
              </w:rPr>
            </w:pPr>
            <w:r>
              <w:rPr>
                <w:rFonts w:ascii="Arial" w:cs="Arial" w:eastAsia="Arial" w:hAnsi="Arial"/>
                <w:sz w:val="13"/>
                <w:szCs w:val="13"/>
                <w:color w:val="auto"/>
                <w:w w:val="97"/>
              </w:rPr>
              <w:t>Structured Product ($1,000 par, due 4/2034)</w:t>
            </w: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6/17/2022</w:t>
            </w:r>
          </w:p>
        </w:tc>
        <w:tc>
          <w:tcPr>
            <w:tcW w:w="14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L + 6.50%</w:t>
            </w:r>
          </w:p>
        </w:tc>
        <w:tc>
          <w:tcPr>
            <w:tcW w:w="1660" w:type="dxa"/>
            <w:vAlign w:val="bottom"/>
            <w:vMerge w:val="restart"/>
          </w:tcPr>
          <w:p>
            <w:pPr>
              <w:jc w:val="right"/>
              <w:spacing w:after="0"/>
              <w:rPr>
                <w:sz w:val="20"/>
                <w:szCs w:val="20"/>
                <w:color w:val="auto"/>
              </w:rPr>
            </w:pPr>
            <w:r>
              <w:rPr>
                <w:rFonts w:ascii="Arial" w:cs="Arial" w:eastAsia="Arial" w:hAnsi="Arial"/>
                <w:sz w:val="13"/>
                <w:szCs w:val="13"/>
                <w:color w:val="auto"/>
              </w:rPr>
              <w:t>9.21%</w:t>
            </w: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916</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871</w:t>
            </w:r>
          </w:p>
        </w:tc>
        <w:tc>
          <w:tcPr>
            <w:tcW w:w="98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5"/>
        </w:trPr>
        <w:tc>
          <w:tcPr>
            <w:tcW w:w="2340" w:type="dxa"/>
            <w:vAlign w:val="bottom"/>
            <w:gridSpan w:val="2"/>
          </w:tcPr>
          <w:p>
            <w:pPr>
              <w:ind w:left="140"/>
              <w:spacing w:after="0" w:line="176" w:lineRule="exact"/>
              <w:rPr>
                <w:sz w:val="20"/>
                <w:szCs w:val="20"/>
                <w:color w:val="auto"/>
              </w:rPr>
            </w:pPr>
            <w:r>
              <w:rPr>
                <w:rFonts w:ascii="Arial" w:cs="Arial" w:eastAsia="Arial" w:hAnsi="Arial"/>
                <w:sz w:val="13"/>
                <w:szCs w:val="13"/>
                <w:color w:val="auto"/>
              </w:rPr>
              <w:t>Series 2020-7A</w:t>
            </w:r>
            <w:r>
              <w:rPr>
                <w:rFonts w:ascii="Arial" w:cs="Arial" w:eastAsia="Arial" w:hAnsi="Arial"/>
                <w:sz w:val="20"/>
                <w:szCs w:val="20"/>
                <w:color w:val="auto"/>
                <w:vertAlign w:val="superscript"/>
              </w:rPr>
              <w:t>(3)(4)(10)</w:t>
            </w:r>
          </w:p>
        </w:tc>
        <w:tc>
          <w:tcPr>
            <w:tcW w:w="284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340" w:type="dxa"/>
            <w:vAlign w:val="bottom"/>
            <w:gridSpan w:val="2"/>
            <w:shd w:val="clear" w:color="auto" w:fill="CCEEFF"/>
          </w:tcPr>
          <w:p>
            <w:pPr>
              <w:spacing w:after="0" w:line="118" w:lineRule="exact"/>
              <w:rPr>
                <w:sz w:val="20"/>
                <w:szCs w:val="20"/>
                <w:color w:val="auto"/>
              </w:rPr>
            </w:pPr>
            <w:r>
              <w:rPr>
                <w:rFonts w:ascii="Arial" w:cs="Arial" w:eastAsia="Arial" w:hAnsi="Arial"/>
                <w:sz w:val="13"/>
                <w:szCs w:val="13"/>
                <w:color w:val="auto"/>
              </w:rPr>
              <w:t>Gulf Stream Meridian,</w:t>
            </w:r>
          </w:p>
        </w:tc>
        <w:tc>
          <w:tcPr>
            <w:tcW w:w="320" w:type="dxa"/>
            <w:vAlign w:val="bottom"/>
            <w:shd w:val="clear" w:color="auto" w:fill="CCEEFF"/>
          </w:tcPr>
          <w:p>
            <w:pPr>
              <w:spacing w:after="0"/>
              <w:rPr>
                <w:sz w:val="10"/>
                <w:szCs w:val="10"/>
                <w:color w:val="auto"/>
              </w:rPr>
            </w:pPr>
          </w:p>
        </w:tc>
        <w:tc>
          <w:tcPr>
            <w:tcW w:w="2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340" w:type="dxa"/>
            <w:vAlign w:val="bottom"/>
            <w:gridSpan w:val="2"/>
            <w:shd w:val="clear" w:color="auto" w:fill="CCEEFF"/>
          </w:tcPr>
          <w:p>
            <w:pPr>
              <w:ind w:left="140"/>
              <w:spacing w:after="0" w:line="166" w:lineRule="exact"/>
              <w:rPr>
                <w:sz w:val="20"/>
                <w:szCs w:val="20"/>
                <w:color w:val="auto"/>
              </w:rPr>
            </w:pPr>
            <w:r>
              <w:rPr>
                <w:rFonts w:ascii="Arial" w:cs="Arial" w:eastAsia="Arial" w:hAnsi="Arial"/>
                <w:sz w:val="13"/>
                <w:szCs w:val="13"/>
                <w:color w:val="auto"/>
              </w:rPr>
              <w:t>Series 2021-4A</w:t>
            </w:r>
            <w:r>
              <w:rPr>
                <w:rFonts w:ascii="Arial" w:cs="Arial" w:eastAsia="Arial" w:hAnsi="Arial"/>
                <w:sz w:val="19"/>
                <w:szCs w:val="19"/>
                <w:color w:val="auto"/>
                <w:vertAlign w:val="superscript"/>
              </w:rPr>
              <w:t>(3)(4)(10)</w:t>
            </w:r>
          </w:p>
        </w:tc>
        <w:tc>
          <w:tcPr>
            <w:tcW w:w="28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w w:val="97"/>
              </w:rPr>
              <w:t>Structured Product ($1,015 par, due 7/2036)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6/3/2022</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L + 6.35%</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8.86%</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838</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18"/>
        </w:trPr>
        <w:tc>
          <w:tcPr>
            <w:tcW w:w="2340" w:type="dxa"/>
            <w:vAlign w:val="bottom"/>
            <w:gridSpan w:val="2"/>
          </w:tcPr>
          <w:p>
            <w:pPr>
              <w:spacing w:after="0" w:line="118" w:lineRule="exact"/>
              <w:rPr>
                <w:sz w:val="20"/>
                <w:szCs w:val="20"/>
                <w:color w:val="auto"/>
              </w:rPr>
            </w:pPr>
            <w:r>
              <w:rPr>
                <w:rFonts w:ascii="Arial" w:cs="Arial" w:eastAsia="Arial" w:hAnsi="Arial"/>
                <w:sz w:val="13"/>
                <w:szCs w:val="13"/>
                <w:color w:val="auto"/>
              </w:rPr>
              <w:t>Gulf Stream Meridian,</w:t>
            </w:r>
          </w:p>
        </w:tc>
        <w:tc>
          <w:tcPr>
            <w:tcW w:w="3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340" w:type="dxa"/>
            <w:vAlign w:val="bottom"/>
            <w:gridSpan w:val="2"/>
          </w:tcPr>
          <w:p>
            <w:pPr>
              <w:ind w:left="140"/>
              <w:spacing w:after="0" w:line="180" w:lineRule="exact"/>
              <w:rPr>
                <w:sz w:val="20"/>
                <w:szCs w:val="20"/>
                <w:color w:val="auto"/>
              </w:rPr>
            </w:pPr>
            <w:r>
              <w:rPr>
                <w:rFonts w:ascii="Arial" w:cs="Arial" w:eastAsia="Arial" w:hAnsi="Arial"/>
                <w:sz w:val="13"/>
                <w:szCs w:val="13"/>
                <w:color w:val="auto"/>
              </w:rPr>
              <w:t>Series 2021-6A</w:t>
            </w:r>
            <w:r>
              <w:rPr>
                <w:rFonts w:ascii="Arial" w:cs="Arial" w:eastAsia="Arial" w:hAnsi="Arial"/>
                <w:sz w:val="20"/>
                <w:szCs w:val="20"/>
                <w:color w:val="auto"/>
                <w:vertAlign w:val="superscript"/>
              </w:rPr>
              <w:t>(3)(4)(10)</w:t>
            </w:r>
          </w:p>
        </w:tc>
        <w:tc>
          <w:tcPr>
            <w:tcW w:w="2840" w:type="dxa"/>
            <w:vAlign w:val="bottom"/>
            <w:gridSpan w:val="2"/>
          </w:tcPr>
          <w:p>
            <w:pPr>
              <w:ind w:left="320"/>
              <w:spacing w:after="0"/>
              <w:rPr>
                <w:sz w:val="20"/>
                <w:szCs w:val="20"/>
                <w:color w:val="auto"/>
              </w:rPr>
            </w:pPr>
            <w:r>
              <w:rPr>
                <w:rFonts w:ascii="Arial" w:cs="Arial" w:eastAsia="Arial" w:hAnsi="Arial"/>
                <w:sz w:val="13"/>
                <w:szCs w:val="13"/>
                <w:color w:val="auto"/>
                <w:w w:val="97"/>
              </w:rPr>
              <w:t>Structured Product ($2,000 par, due 1/2037)</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9/12/2022</w:t>
            </w:r>
          </w:p>
        </w:tc>
        <w:tc>
          <w:tcPr>
            <w:tcW w:w="1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L + 6.36%</w:t>
            </w:r>
          </w:p>
        </w:tc>
        <w:tc>
          <w:tcPr>
            <w:tcW w:w="1660" w:type="dxa"/>
            <w:vAlign w:val="bottom"/>
          </w:tcPr>
          <w:p>
            <w:pPr>
              <w:jc w:val="right"/>
              <w:spacing w:after="0"/>
              <w:rPr>
                <w:sz w:val="20"/>
                <w:szCs w:val="20"/>
                <w:color w:val="auto"/>
              </w:rPr>
            </w:pPr>
            <w:r>
              <w:rPr>
                <w:rFonts w:ascii="Arial" w:cs="Arial" w:eastAsia="Arial" w:hAnsi="Arial"/>
                <w:sz w:val="13"/>
                <w:szCs w:val="13"/>
                <w:color w:val="auto"/>
              </w:rPr>
              <w:t>8.87%</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1,780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1,654</w:t>
            </w:r>
          </w:p>
        </w:tc>
        <w:tc>
          <w:tcPr>
            <w:tcW w:w="98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08"/>
        </w:trPr>
        <w:tc>
          <w:tcPr>
            <w:tcW w:w="2340" w:type="dxa"/>
            <w:vAlign w:val="bottom"/>
            <w:gridSpan w:val="2"/>
            <w:shd w:val="clear" w:color="auto" w:fill="CCEEFF"/>
          </w:tcPr>
          <w:p>
            <w:pPr>
              <w:spacing w:after="0" w:line="108" w:lineRule="exact"/>
              <w:rPr>
                <w:sz w:val="20"/>
                <w:szCs w:val="20"/>
                <w:color w:val="auto"/>
              </w:rPr>
            </w:pPr>
            <w:r>
              <w:rPr>
                <w:rFonts w:ascii="Arial" w:cs="Arial" w:eastAsia="Arial" w:hAnsi="Arial"/>
                <w:sz w:val="12"/>
                <w:szCs w:val="12"/>
                <w:color w:val="auto"/>
              </w:rPr>
              <w:t>Jefferson Mill CLO Ltd,</w:t>
            </w:r>
          </w:p>
        </w:tc>
        <w:tc>
          <w:tcPr>
            <w:tcW w:w="284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w w:val="95"/>
              </w:rPr>
              <w:t>Structured Product ($1,000 par, due 10/2031)</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5/23/2022</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L + 3.55%</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6.26%</w:t>
            </w: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898</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842</w:t>
            </w:r>
          </w:p>
        </w:tc>
        <w:tc>
          <w:tcPr>
            <w:tcW w:w="9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5"/>
        </w:trPr>
        <w:tc>
          <w:tcPr>
            <w:tcW w:w="23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3"/>
                <w:szCs w:val="13"/>
                <w:color w:val="auto"/>
              </w:rPr>
              <w:t>Series 2015-1A</w:t>
            </w:r>
            <w:r>
              <w:rPr>
                <w:rFonts w:ascii="Arial" w:cs="Arial" w:eastAsia="Arial" w:hAnsi="Arial"/>
                <w:sz w:val="20"/>
                <w:szCs w:val="20"/>
                <w:color w:val="auto"/>
                <w:vertAlign w:val="superscript"/>
              </w:rPr>
              <w:t>(3)(4)(10)</w:t>
            </w:r>
          </w:p>
        </w:tc>
        <w:tc>
          <w:tcPr>
            <w:tcW w:w="284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98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spacing w:after="0" w:line="149" w:lineRule="exact"/>
              <w:rPr>
                <w:sz w:val="20"/>
                <w:szCs w:val="20"/>
                <w:color w:val="auto"/>
              </w:rPr>
            </w:pPr>
            <w:r>
              <w:rPr>
                <w:rFonts w:ascii="Arial" w:cs="Arial" w:eastAsia="Arial" w:hAnsi="Arial"/>
                <w:sz w:val="12"/>
                <w:szCs w:val="12"/>
                <w:color w:val="auto"/>
              </w:rPr>
              <w:t>KKR CLO Ltd, 49A</w:t>
            </w:r>
            <w:r>
              <w:rPr>
                <w:rFonts w:ascii="Arial" w:cs="Arial" w:eastAsia="Arial" w:hAnsi="Arial"/>
                <w:sz w:val="17"/>
                <w:szCs w:val="17"/>
                <w:color w:val="auto"/>
                <w:vertAlign w:val="superscript"/>
              </w:rPr>
              <w:t>(3)(4)(10)</w:t>
            </w:r>
          </w:p>
        </w:tc>
        <w:tc>
          <w:tcPr>
            <w:tcW w:w="2840" w:type="dxa"/>
            <w:vAlign w:val="bottom"/>
            <w:gridSpan w:val="2"/>
          </w:tcPr>
          <w:p>
            <w:pPr>
              <w:ind w:left="320"/>
              <w:spacing w:after="0"/>
              <w:rPr>
                <w:sz w:val="20"/>
                <w:szCs w:val="20"/>
                <w:color w:val="auto"/>
              </w:rPr>
            </w:pPr>
            <w:r>
              <w:rPr>
                <w:rFonts w:ascii="Arial" w:cs="Arial" w:eastAsia="Arial" w:hAnsi="Arial"/>
                <w:sz w:val="13"/>
                <w:szCs w:val="13"/>
                <w:color w:val="auto"/>
                <w:w w:val="97"/>
              </w:rPr>
              <w:t>Structured Product ($1,000 par, due 7/2035)</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6/2/2022</w:t>
            </w:r>
          </w:p>
        </w:tc>
        <w:tc>
          <w:tcPr>
            <w:tcW w:w="14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L + 8.00%</w:t>
            </w:r>
          </w:p>
        </w:tc>
        <w:tc>
          <w:tcPr>
            <w:tcW w:w="1660" w:type="dxa"/>
            <w:vAlign w:val="bottom"/>
          </w:tcPr>
          <w:p>
            <w:pPr>
              <w:jc w:val="right"/>
              <w:spacing w:after="0"/>
              <w:rPr>
                <w:sz w:val="20"/>
                <w:szCs w:val="20"/>
                <w:color w:val="auto"/>
              </w:rPr>
            </w:pPr>
            <w:r>
              <w:rPr>
                <w:rFonts w:ascii="Arial" w:cs="Arial" w:eastAsia="Arial" w:hAnsi="Arial"/>
                <w:sz w:val="13"/>
                <w:szCs w:val="13"/>
                <w:color w:val="auto"/>
              </w:rPr>
              <w:t>10.17%</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961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917</w:t>
            </w:r>
          </w:p>
        </w:tc>
        <w:tc>
          <w:tcPr>
            <w:tcW w:w="98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18"/>
        </w:trPr>
        <w:tc>
          <w:tcPr>
            <w:tcW w:w="2340" w:type="dxa"/>
            <w:vAlign w:val="bottom"/>
            <w:gridSpan w:val="2"/>
            <w:shd w:val="clear" w:color="auto" w:fill="CCEEFF"/>
          </w:tcPr>
          <w:p>
            <w:pPr>
              <w:spacing w:after="0" w:line="118" w:lineRule="exact"/>
              <w:rPr>
                <w:sz w:val="20"/>
                <w:szCs w:val="20"/>
                <w:color w:val="auto"/>
              </w:rPr>
            </w:pPr>
            <w:r>
              <w:rPr>
                <w:rFonts w:ascii="Arial" w:cs="Arial" w:eastAsia="Arial" w:hAnsi="Arial"/>
                <w:sz w:val="13"/>
                <w:szCs w:val="13"/>
                <w:color w:val="auto"/>
              </w:rPr>
              <w:t>Madison Park CLO,</w:t>
            </w:r>
          </w:p>
        </w:tc>
        <w:tc>
          <w:tcPr>
            <w:tcW w:w="320" w:type="dxa"/>
            <w:vAlign w:val="bottom"/>
            <w:shd w:val="clear" w:color="auto" w:fill="CCEEFF"/>
          </w:tcPr>
          <w:p>
            <w:pPr>
              <w:spacing w:after="0"/>
              <w:rPr>
                <w:sz w:val="10"/>
                <w:szCs w:val="10"/>
                <w:color w:val="auto"/>
              </w:rPr>
            </w:pPr>
          </w:p>
        </w:tc>
        <w:tc>
          <w:tcPr>
            <w:tcW w:w="2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340" w:type="dxa"/>
            <w:vAlign w:val="bottom"/>
            <w:gridSpan w:val="2"/>
            <w:shd w:val="clear" w:color="auto" w:fill="CCEEFF"/>
          </w:tcPr>
          <w:p>
            <w:pPr>
              <w:ind w:left="140"/>
              <w:spacing w:after="0" w:line="166" w:lineRule="exact"/>
              <w:rPr>
                <w:sz w:val="20"/>
                <w:szCs w:val="20"/>
                <w:color w:val="auto"/>
              </w:rPr>
            </w:pPr>
            <w:r>
              <w:rPr>
                <w:rFonts w:ascii="Arial" w:cs="Arial" w:eastAsia="Arial" w:hAnsi="Arial"/>
                <w:sz w:val="13"/>
                <w:szCs w:val="13"/>
                <w:color w:val="auto"/>
              </w:rPr>
              <w:t>Series 2018-28A</w:t>
            </w:r>
            <w:r>
              <w:rPr>
                <w:rFonts w:ascii="Arial" w:cs="Arial" w:eastAsia="Arial" w:hAnsi="Arial"/>
                <w:sz w:val="19"/>
                <w:szCs w:val="19"/>
                <w:color w:val="auto"/>
                <w:vertAlign w:val="superscript"/>
              </w:rPr>
              <w:t>(3)(4)(10)</w:t>
            </w:r>
          </w:p>
        </w:tc>
        <w:tc>
          <w:tcPr>
            <w:tcW w:w="28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w w:val="97"/>
              </w:rPr>
              <w:t>Structured Product ($1,000 par, due 7/2030)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6/28/2022</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L + 5.25%</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7.76%</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18"/>
        </w:trPr>
        <w:tc>
          <w:tcPr>
            <w:tcW w:w="2340" w:type="dxa"/>
            <w:vAlign w:val="bottom"/>
            <w:gridSpan w:val="2"/>
          </w:tcPr>
          <w:p>
            <w:pPr>
              <w:spacing w:after="0" w:line="118" w:lineRule="exact"/>
              <w:rPr>
                <w:sz w:val="20"/>
                <w:szCs w:val="20"/>
                <w:color w:val="auto"/>
              </w:rPr>
            </w:pPr>
            <w:r>
              <w:rPr>
                <w:rFonts w:ascii="Arial" w:cs="Arial" w:eastAsia="Arial" w:hAnsi="Arial"/>
                <w:sz w:val="13"/>
                <w:szCs w:val="13"/>
                <w:color w:val="auto"/>
              </w:rPr>
              <w:t>Magnetite CLO Ltd,</w:t>
            </w:r>
          </w:p>
        </w:tc>
        <w:tc>
          <w:tcPr>
            <w:tcW w:w="3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340" w:type="dxa"/>
            <w:vAlign w:val="bottom"/>
            <w:gridSpan w:val="2"/>
          </w:tcPr>
          <w:p>
            <w:pPr>
              <w:ind w:left="140"/>
              <w:spacing w:after="0" w:line="180" w:lineRule="exact"/>
              <w:rPr>
                <w:sz w:val="20"/>
                <w:szCs w:val="20"/>
                <w:color w:val="auto"/>
              </w:rPr>
            </w:pPr>
            <w:r>
              <w:rPr>
                <w:rFonts w:ascii="Arial" w:cs="Arial" w:eastAsia="Arial" w:hAnsi="Arial"/>
                <w:sz w:val="13"/>
                <w:szCs w:val="13"/>
                <w:color w:val="auto"/>
              </w:rPr>
              <w:t>Series 2021-30A</w:t>
            </w:r>
            <w:r>
              <w:rPr>
                <w:rFonts w:ascii="Arial" w:cs="Arial" w:eastAsia="Arial" w:hAnsi="Arial"/>
                <w:sz w:val="20"/>
                <w:szCs w:val="20"/>
                <w:color w:val="auto"/>
                <w:vertAlign w:val="superscript"/>
              </w:rPr>
              <w:t>(3)(4)(10)</w:t>
            </w:r>
          </w:p>
        </w:tc>
        <w:tc>
          <w:tcPr>
            <w:tcW w:w="2840" w:type="dxa"/>
            <w:vAlign w:val="bottom"/>
            <w:gridSpan w:val="2"/>
          </w:tcPr>
          <w:p>
            <w:pPr>
              <w:ind w:left="320"/>
              <w:spacing w:after="0"/>
              <w:rPr>
                <w:sz w:val="20"/>
                <w:szCs w:val="20"/>
                <w:color w:val="auto"/>
              </w:rPr>
            </w:pPr>
            <w:r>
              <w:rPr>
                <w:rFonts w:ascii="Arial" w:cs="Arial" w:eastAsia="Arial" w:hAnsi="Arial"/>
                <w:sz w:val="13"/>
                <w:szCs w:val="13"/>
                <w:color w:val="auto"/>
                <w:w w:val="95"/>
              </w:rPr>
              <w:t>Structured Product ($1,000 par, due 10/2034)</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6/13/2022</w:t>
            </w:r>
          </w:p>
        </w:tc>
        <w:tc>
          <w:tcPr>
            <w:tcW w:w="1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L + 6.20%</w:t>
            </w:r>
          </w:p>
        </w:tc>
        <w:tc>
          <w:tcPr>
            <w:tcW w:w="1660" w:type="dxa"/>
            <w:vAlign w:val="bottom"/>
          </w:tcPr>
          <w:p>
            <w:pPr>
              <w:jc w:val="right"/>
              <w:spacing w:after="0"/>
              <w:rPr>
                <w:sz w:val="20"/>
                <w:szCs w:val="20"/>
                <w:color w:val="auto"/>
              </w:rPr>
            </w:pPr>
            <w:r>
              <w:rPr>
                <w:rFonts w:ascii="Arial" w:cs="Arial" w:eastAsia="Arial" w:hAnsi="Arial"/>
                <w:sz w:val="13"/>
                <w:szCs w:val="13"/>
                <w:color w:val="auto"/>
              </w:rPr>
              <w:t>8.98%</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916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864</w:t>
            </w:r>
          </w:p>
        </w:tc>
        <w:tc>
          <w:tcPr>
            <w:tcW w:w="98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08"/>
        </w:trPr>
        <w:tc>
          <w:tcPr>
            <w:tcW w:w="2340" w:type="dxa"/>
            <w:vAlign w:val="bottom"/>
            <w:gridSpan w:val="2"/>
            <w:shd w:val="clear" w:color="auto" w:fill="CCEEFF"/>
          </w:tcPr>
          <w:p>
            <w:pPr>
              <w:spacing w:after="0" w:line="108" w:lineRule="exact"/>
              <w:rPr>
                <w:sz w:val="20"/>
                <w:szCs w:val="20"/>
                <w:color w:val="auto"/>
              </w:rPr>
            </w:pPr>
            <w:r>
              <w:rPr>
                <w:rFonts w:ascii="Arial" w:cs="Arial" w:eastAsia="Arial" w:hAnsi="Arial"/>
                <w:sz w:val="12"/>
                <w:szCs w:val="12"/>
                <w:color w:val="auto"/>
              </w:rPr>
              <w:t>MidOcean Credit CLO Ltd,</w:t>
            </w:r>
          </w:p>
        </w:tc>
        <w:tc>
          <w:tcPr>
            <w:tcW w:w="284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w w:val="97"/>
              </w:rPr>
              <w:t>Structured Product ($3,500 par, due 4/2033)</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5/23/2022</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L + 3.52%</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6.23%</w:t>
            </w: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3,145</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2,919</w:t>
            </w:r>
          </w:p>
        </w:tc>
        <w:tc>
          <w:tcPr>
            <w:tcW w:w="9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75"/>
        </w:trPr>
        <w:tc>
          <w:tcPr>
            <w:tcW w:w="23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3"/>
                <w:szCs w:val="13"/>
                <w:color w:val="auto"/>
              </w:rPr>
              <w:t>Series 2016-6A</w:t>
            </w:r>
            <w:r>
              <w:rPr>
                <w:rFonts w:ascii="Arial" w:cs="Arial" w:eastAsia="Arial" w:hAnsi="Arial"/>
                <w:sz w:val="20"/>
                <w:szCs w:val="20"/>
                <w:color w:val="auto"/>
                <w:vertAlign w:val="superscript"/>
              </w:rPr>
              <w:t>(3)(4)(10)</w:t>
            </w:r>
          </w:p>
        </w:tc>
        <w:tc>
          <w:tcPr>
            <w:tcW w:w="284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98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340" w:type="dxa"/>
            <w:vAlign w:val="bottom"/>
            <w:gridSpan w:val="2"/>
          </w:tcPr>
          <w:p>
            <w:pPr>
              <w:spacing w:after="0" w:line="118" w:lineRule="exact"/>
              <w:rPr>
                <w:sz w:val="20"/>
                <w:szCs w:val="20"/>
                <w:color w:val="auto"/>
              </w:rPr>
            </w:pPr>
            <w:r>
              <w:rPr>
                <w:rFonts w:ascii="Arial" w:cs="Arial" w:eastAsia="Arial" w:hAnsi="Arial"/>
                <w:sz w:val="13"/>
                <w:szCs w:val="13"/>
                <w:color w:val="auto"/>
              </w:rPr>
              <w:t>MidOcean Credit CLO Ltd,</w:t>
            </w:r>
          </w:p>
        </w:tc>
        <w:tc>
          <w:tcPr>
            <w:tcW w:w="3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340" w:type="dxa"/>
            <w:vAlign w:val="bottom"/>
            <w:gridSpan w:val="2"/>
          </w:tcPr>
          <w:p>
            <w:pPr>
              <w:ind w:left="140"/>
              <w:spacing w:after="0" w:line="166" w:lineRule="exact"/>
              <w:rPr>
                <w:sz w:val="20"/>
                <w:szCs w:val="20"/>
                <w:color w:val="auto"/>
              </w:rPr>
            </w:pPr>
            <w:r>
              <w:rPr>
                <w:rFonts w:ascii="Arial" w:cs="Arial" w:eastAsia="Arial" w:hAnsi="Arial"/>
                <w:sz w:val="13"/>
                <w:szCs w:val="13"/>
                <w:color w:val="auto"/>
              </w:rPr>
              <w:t>Series 2018-9A</w:t>
            </w:r>
            <w:r>
              <w:rPr>
                <w:rFonts w:ascii="Arial" w:cs="Arial" w:eastAsia="Arial" w:hAnsi="Arial"/>
                <w:sz w:val="19"/>
                <w:szCs w:val="19"/>
                <w:color w:val="auto"/>
                <w:vertAlign w:val="superscript"/>
              </w:rPr>
              <w:t>(3)(4)(10)</w:t>
            </w:r>
          </w:p>
        </w:tc>
        <w:tc>
          <w:tcPr>
            <w:tcW w:w="2840" w:type="dxa"/>
            <w:vAlign w:val="bottom"/>
            <w:gridSpan w:val="2"/>
          </w:tcPr>
          <w:p>
            <w:pPr>
              <w:ind w:left="320"/>
              <w:spacing w:after="0"/>
              <w:rPr>
                <w:sz w:val="20"/>
                <w:szCs w:val="20"/>
                <w:color w:val="auto"/>
              </w:rPr>
            </w:pPr>
            <w:r>
              <w:rPr>
                <w:rFonts w:ascii="Arial" w:cs="Arial" w:eastAsia="Arial" w:hAnsi="Arial"/>
                <w:sz w:val="13"/>
                <w:szCs w:val="13"/>
                <w:color w:val="auto"/>
                <w:w w:val="97"/>
              </w:rPr>
              <w:t>Structured Product ($1,100 par, due 7/2031)</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6/1/2022</w:t>
            </w:r>
          </w:p>
        </w:tc>
        <w:tc>
          <w:tcPr>
            <w:tcW w:w="1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L + 6.05%</w:t>
            </w:r>
          </w:p>
        </w:tc>
        <w:tc>
          <w:tcPr>
            <w:tcW w:w="1660" w:type="dxa"/>
            <w:vAlign w:val="bottom"/>
          </w:tcPr>
          <w:p>
            <w:pPr>
              <w:jc w:val="right"/>
              <w:spacing w:after="0"/>
              <w:rPr>
                <w:sz w:val="20"/>
                <w:szCs w:val="20"/>
                <w:color w:val="auto"/>
              </w:rPr>
            </w:pPr>
            <w:r>
              <w:rPr>
                <w:rFonts w:ascii="Arial" w:cs="Arial" w:eastAsia="Arial" w:hAnsi="Arial"/>
                <w:sz w:val="13"/>
                <w:szCs w:val="13"/>
                <w:color w:val="auto"/>
              </w:rPr>
              <w:t>8.76%</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957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818</w:t>
            </w:r>
          </w:p>
        </w:tc>
        <w:tc>
          <w:tcPr>
            <w:tcW w:w="980" w:type="dxa"/>
            <w:vAlign w:val="bottom"/>
            <w:gridSpan w:val="3"/>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18"/>
        </w:trPr>
        <w:tc>
          <w:tcPr>
            <w:tcW w:w="2340" w:type="dxa"/>
            <w:vAlign w:val="bottom"/>
            <w:gridSpan w:val="2"/>
            <w:shd w:val="clear" w:color="auto" w:fill="CCEEFF"/>
          </w:tcPr>
          <w:p>
            <w:pPr>
              <w:spacing w:after="0" w:line="118" w:lineRule="exact"/>
              <w:rPr>
                <w:sz w:val="20"/>
                <w:szCs w:val="20"/>
                <w:color w:val="auto"/>
              </w:rPr>
            </w:pPr>
            <w:r>
              <w:rPr>
                <w:rFonts w:ascii="Arial" w:cs="Arial" w:eastAsia="Arial" w:hAnsi="Arial"/>
                <w:sz w:val="13"/>
                <w:szCs w:val="13"/>
                <w:color w:val="auto"/>
              </w:rPr>
              <w:t>Octagon 57 LLC,</w:t>
            </w:r>
          </w:p>
        </w:tc>
        <w:tc>
          <w:tcPr>
            <w:tcW w:w="320" w:type="dxa"/>
            <w:vAlign w:val="bottom"/>
            <w:shd w:val="clear" w:color="auto" w:fill="CCEEFF"/>
          </w:tcPr>
          <w:p>
            <w:pPr>
              <w:spacing w:after="0"/>
              <w:rPr>
                <w:sz w:val="10"/>
                <w:szCs w:val="10"/>
                <w:color w:val="auto"/>
              </w:rPr>
            </w:pPr>
          </w:p>
        </w:tc>
        <w:tc>
          <w:tcPr>
            <w:tcW w:w="2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340" w:type="dxa"/>
            <w:vAlign w:val="bottom"/>
            <w:gridSpan w:val="2"/>
            <w:shd w:val="clear" w:color="auto" w:fill="CCEEFF"/>
          </w:tcPr>
          <w:p>
            <w:pPr>
              <w:ind w:left="140"/>
              <w:spacing w:after="0" w:line="180" w:lineRule="exact"/>
              <w:rPr>
                <w:sz w:val="20"/>
                <w:szCs w:val="20"/>
                <w:color w:val="auto"/>
              </w:rPr>
            </w:pPr>
            <w:r>
              <w:rPr>
                <w:rFonts w:ascii="Arial" w:cs="Arial" w:eastAsia="Arial" w:hAnsi="Arial"/>
                <w:sz w:val="13"/>
                <w:szCs w:val="13"/>
                <w:color w:val="auto"/>
              </w:rPr>
              <w:t>Series 2021-1A</w:t>
            </w:r>
            <w:r>
              <w:rPr>
                <w:rFonts w:ascii="Arial" w:cs="Arial" w:eastAsia="Arial" w:hAnsi="Arial"/>
                <w:sz w:val="20"/>
                <w:szCs w:val="20"/>
                <w:color w:val="auto"/>
                <w:vertAlign w:val="superscript"/>
              </w:rPr>
              <w:t>(3)(4)(10)</w:t>
            </w:r>
          </w:p>
        </w:tc>
        <w:tc>
          <w:tcPr>
            <w:tcW w:w="28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w w:val="95"/>
              </w:rPr>
              <w:t>Structured Product ($1,000 par, due 10/2034)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5/24/2022</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L + 6.60%</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08"/>
        </w:trPr>
        <w:tc>
          <w:tcPr>
            <w:tcW w:w="2340" w:type="dxa"/>
            <w:vAlign w:val="bottom"/>
            <w:gridSpan w:val="2"/>
          </w:tcPr>
          <w:p>
            <w:pPr>
              <w:spacing w:after="0" w:line="108" w:lineRule="exact"/>
              <w:rPr>
                <w:sz w:val="20"/>
                <w:szCs w:val="20"/>
                <w:color w:val="auto"/>
              </w:rPr>
            </w:pPr>
            <w:r>
              <w:rPr>
                <w:rFonts w:ascii="Arial" w:cs="Arial" w:eastAsia="Arial" w:hAnsi="Arial"/>
                <w:sz w:val="12"/>
                <w:szCs w:val="12"/>
                <w:color w:val="auto"/>
              </w:rPr>
              <w:t>Octagon Investment Partners 18 Ltd,</w:t>
            </w:r>
          </w:p>
        </w:tc>
        <w:tc>
          <w:tcPr>
            <w:tcW w:w="2840" w:type="dxa"/>
            <w:vAlign w:val="bottom"/>
            <w:gridSpan w:val="2"/>
            <w:vMerge w:val="restart"/>
          </w:tcPr>
          <w:p>
            <w:pPr>
              <w:ind w:left="320"/>
              <w:spacing w:after="0"/>
              <w:rPr>
                <w:sz w:val="20"/>
                <w:szCs w:val="20"/>
                <w:color w:val="auto"/>
              </w:rPr>
            </w:pPr>
            <w:r>
              <w:rPr>
                <w:rFonts w:ascii="Arial" w:cs="Arial" w:eastAsia="Arial" w:hAnsi="Arial"/>
                <w:sz w:val="13"/>
                <w:szCs w:val="13"/>
                <w:color w:val="auto"/>
                <w:w w:val="97"/>
              </w:rPr>
              <w:t>Structured Product ($1,000 par, due 4/2031)</w:t>
            </w: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7/26/2022</w:t>
            </w:r>
          </w:p>
        </w:tc>
        <w:tc>
          <w:tcPr>
            <w:tcW w:w="14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L + 2.70%</w:t>
            </w:r>
          </w:p>
        </w:tc>
        <w:tc>
          <w:tcPr>
            <w:tcW w:w="1660" w:type="dxa"/>
            <w:vAlign w:val="bottom"/>
            <w:vMerge w:val="restart"/>
          </w:tcPr>
          <w:p>
            <w:pPr>
              <w:jc w:val="right"/>
              <w:spacing w:after="0"/>
              <w:rPr>
                <w:sz w:val="20"/>
                <w:szCs w:val="20"/>
                <w:color w:val="auto"/>
              </w:rPr>
            </w:pPr>
            <w:r>
              <w:rPr>
                <w:rFonts w:ascii="Arial" w:cs="Arial" w:eastAsia="Arial" w:hAnsi="Arial"/>
                <w:sz w:val="13"/>
                <w:szCs w:val="13"/>
                <w:color w:val="auto"/>
              </w:rPr>
              <w:t>5.44%</w:t>
            </w: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885</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856</w:t>
            </w:r>
          </w:p>
        </w:tc>
        <w:tc>
          <w:tcPr>
            <w:tcW w:w="98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5"/>
        </w:trPr>
        <w:tc>
          <w:tcPr>
            <w:tcW w:w="2340" w:type="dxa"/>
            <w:vAlign w:val="bottom"/>
            <w:gridSpan w:val="2"/>
          </w:tcPr>
          <w:p>
            <w:pPr>
              <w:ind w:left="140"/>
              <w:spacing w:after="0" w:line="176" w:lineRule="exact"/>
              <w:rPr>
                <w:sz w:val="20"/>
                <w:szCs w:val="20"/>
                <w:color w:val="auto"/>
              </w:rPr>
            </w:pPr>
            <w:r>
              <w:rPr>
                <w:rFonts w:ascii="Arial" w:cs="Arial" w:eastAsia="Arial" w:hAnsi="Arial"/>
                <w:sz w:val="13"/>
                <w:szCs w:val="13"/>
                <w:color w:val="auto"/>
              </w:rPr>
              <w:t>Series 2018-18A</w:t>
            </w:r>
            <w:r>
              <w:rPr>
                <w:rFonts w:ascii="Arial" w:cs="Arial" w:eastAsia="Arial" w:hAnsi="Arial"/>
                <w:sz w:val="20"/>
                <w:szCs w:val="20"/>
                <w:color w:val="auto"/>
                <w:vertAlign w:val="superscript"/>
              </w:rPr>
              <w:t>(3)(4)(10)</w:t>
            </w:r>
          </w:p>
        </w:tc>
        <w:tc>
          <w:tcPr>
            <w:tcW w:w="284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340" w:type="dxa"/>
            <w:vAlign w:val="bottom"/>
            <w:gridSpan w:val="2"/>
            <w:shd w:val="clear" w:color="auto" w:fill="CCEEFF"/>
          </w:tcPr>
          <w:p>
            <w:pPr>
              <w:spacing w:after="0" w:line="118" w:lineRule="exact"/>
              <w:rPr>
                <w:sz w:val="20"/>
                <w:szCs w:val="20"/>
                <w:color w:val="auto"/>
              </w:rPr>
            </w:pPr>
            <w:r>
              <w:rPr>
                <w:rFonts w:ascii="Arial" w:cs="Arial" w:eastAsia="Arial" w:hAnsi="Arial"/>
                <w:sz w:val="13"/>
                <w:szCs w:val="13"/>
                <w:color w:val="auto"/>
              </w:rPr>
              <w:t>Octagon Investment Partners 38 Ltd,</w:t>
            </w:r>
          </w:p>
        </w:tc>
        <w:tc>
          <w:tcPr>
            <w:tcW w:w="320" w:type="dxa"/>
            <w:vAlign w:val="bottom"/>
            <w:shd w:val="clear" w:color="auto" w:fill="CCEEFF"/>
          </w:tcPr>
          <w:p>
            <w:pPr>
              <w:spacing w:after="0"/>
              <w:rPr>
                <w:sz w:val="10"/>
                <w:szCs w:val="10"/>
                <w:color w:val="auto"/>
              </w:rPr>
            </w:pPr>
          </w:p>
        </w:tc>
        <w:tc>
          <w:tcPr>
            <w:tcW w:w="2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340" w:type="dxa"/>
            <w:vAlign w:val="bottom"/>
            <w:gridSpan w:val="2"/>
            <w:shd w:val="clear" w:color="auto" w:fill="CCEEFF"/>
          </w:tcPr>
          <w:p>
            <w:pPr>
              <w:ind w:left="140"/>
              <w:spacing w:after="0" w:line="166" w:lineRule="exact"/>
              <w:rPr>
                <w:sz w:val="20"/>
                <w:szCs w:val="20"/>
                <w:color w:val="auto"/>
              </w:rPr>
            </w:pPr>
            <w:r>
              <w:rPr>
                <w:rFonts w:ascii="Arial" w:cs="Arial" w:eastAsia="Arial" w:hAnsi="Arial"/>
                <w:sz w:val="13"/>
                <w:szCs w:val="13"/>
                <w:color w:val="auto"/>
              </w:rPr>
              <w:t>Series 2018-1A</w:t>
            </w:r>
            <w:r>
              <w:rPr>
                <w:rFonts w:ascii="Arial" w:cs="Arial" w:eastAsia="Arial" w:hAnsi="Arial"/>
                <w:sz w:val="19"/>
                <w:szCs w:val="19"/>
                <w:color w:val="auto"/>
                <w:vertAlign w:val="superscript"/>
              </w:rPr>
              <w:t>(3)(4)(10)</w:t>
            </w:r>
          </w:p>
        </w:tc>
        <w:tc>
          <w:tcPr>
            <w:tcW w:w="28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w w:val="97"/>
              </w:rPr>
              <w:t>Structured Product ($2,800 par, due 7/2030)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9/20/2022</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L + 2.95%</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2,430</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18"/>
        </w:trPr>
        <w:tc>
          <w:tcPr>
            <w:tcW w:w="2340" w:type="dxa"/>
            <w:vAlign w:val="bottom"/>
            <w:gridSpan w:val="2"/>
          </w:tcPr>
          <w:p>
            <w:pPr>
              <w:spacing w:after="0" w:line="118" w:lineRule="exact"/>
              <w:rPr>
                <w:sz w:val="20"/>
                <w:szCs w:val="20"/>
                <w:color w:val="auto"/>
              </w:rPr>
            </w:pPr>
            <w:r>
              <w:rPr>
                <w:rFonts w:ascii="Arial" w:cs="Arial" w:eastAsia="Arial" w:hAnsi="Arial"/>
                <w:sz w:val="13"/>
                <w:szCs w:val="13"/>
                <w:color w:val="auto"/>
              </w:rPr>
              <w:t>Park Avenue Institutional Advisers</w:t>
            </w:r>
          </w:p>
        </w:tc>
        <w:tc>
          <w:tcPr>
            <w:tcW w:w="3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340" w:type="dxa"/>
            <w:vAlign w:val="bottom"/>
            <w:gridSpan w:val="2"/>
          </w:tcPr>
          <w:p>
            <w:pPr>
              <w:ind w:left="140"/>
              <w:spacing w:after="0" w:line="180" w:lineRule="exact"/>
              <w:rPr>
                <w:sz w:val="20"/>
                <w:szCs w:val="20"/>
                <w:color w:val="auto"/>
              </w:rPr>
            </w:pPr>
            <w:r>
              <w:rPr>
                <w:rFonts w:ascii="Arial" w:cs="Arial" w:eastAsia="Arial" w:hAnsi="Arial"/>
                <w:sz w:val="13"/>
                <w:szCs w:val="13"/>
                <w:color w:val="auto"/>
              </w:rPr>
              <w:t>CLO Ltd, Series 2018-1A</w:t>
            </w:r>
            <w:r>
              <w:rPr>
                <w:rFonts w:ascii="Arial" w:cs="Arial" w:eastAsia="Arial" w:hAnsi="Arial"/>
                <w:sz w:val="20"/>
                <w:szCs w:val="20"/>
                <w:color w:val="auto"/>
                <w:vertAlign w:val="superscript"/>
              </w:rPr>
              <w:t>(3)(4)(10)</w:t>
            </w:r>
          </w:p>
        </w:tc>
        <w:tc>
          <w:tcPr>
            <w:tcW w:w="2840" w:type="dxa"/>
            <w:vAlign w:val="bottom"/>
            <w:gridSpan w:val="2"/>
          </w:tcPr>
          <w:p>
            <w:pPr>
              <w:ind w:left="320"/>
              <w:spacing w:after="0"/>
              <w:rPr>
                <w:sz w:val="20"/>
                <w:szCs w:val="20"/>
                <w:color w:val="auto"/>
              </w:rPr>
            </w:pPr>
            <w:r>
              <w:rPr>
                <w:rFonts w:ascii="Arial" w:cs="Arial" w:eastAsia="Arial" w:hAnsi="Arial"/>
                <w:sz w:val="13"/>
                <w:szCs w:val="13"/>
                <w:color w:val="auto"/>
                <w:w w:val="95"/>
              </w:rPr>
              <w:t>Structured Product ($1,000 par, due 10/2031)</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9/23/2022</w:t>
            </w:r>
          </w:p>
        </w:tc>
        <w:tc>
          <w:tcPr>
            <w:tcW w:w="1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L + 3.33%</w:t>
            </w:r>
          </w:p>
        </w:tc>
        <w:tc>
          <w:tcPr>
            <w:tcW w:w="1660" w:type="dxa"/>
            <w:vAlign w:val="bottom"/>
          </w:tcPr>
          <w:p>
            <w:pPr>
              <w:jc w:val="right"/>
              <w:spacing w:after="0"/>
              <w:rPr>
                <w:sz w:val="20"/>
                <w:szCs w:val="20"/>
                <w:color w:val="auto"/>
              </w:rPr>
            </w:pPr>
            <w:r>
              <w:rPr>
                <w:rFonts w:ascii="Arial" w:cs="Arial" w:eastAsia="Arial" w:hAnsi="Arial"/>
                <w:sz w:val="13"/>
                <w:szCs w:val="13"/>
                <w:color w:val="auto"/>
              </w:rPr>
              <w:t>6.04%</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857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856</w:t>
            </w:r>
          </w:p>
        </w:tc>
        <w:tc>
          <w:tcPr>
            <w:tcW w:w="98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08"/>
        </w:trPr>
        <w:tc>
          <w:tcPr>
            <w:tcW w:w="2340" w:type="dxa"/>
            <w:vAlign w:val="bottom"/>
            <w:gridSpan w:val="2"/>
            <w:shd w:val="clear" w:color="auto" w:fill="CCEEFF"/>
          </w:tcPr>
          <w:p>
            <w:pPr>
              <w:spacing w:after="0" w:line="108" w:lineRule="exact"/>
              <w:rPr>
                <w:sz w:val="20"/>
                <w:szCs w:val="20"/>
                <w:color w:val="auto"/>
              </w:rPr>
            </w:pPr>
            <w:r>
              <w:rPr>
                <w:rFonts w:ascii="Arial" w:cs="Arial" w:eastAsia="Arial" w:hAnsi="Arial"/>
                <w:sz w:val="12"/>
                <w:szCs w:val="12"/>
                <w:color w:val="auto"/>
              </w:rPr>
              <w:t>Pikes Peak CLO,</w:t>
            </w:r>
          </w:p>
        </w:tc>
        <w:tc>
          <w:tcPr>
            <w:tcW w:w="284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w w:val="95"/>
              </w:rPr>
              <w:t>Structured Product ($2,000 par, due 10/2034)</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8/31/2022</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L + 6.58%</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9.35%</w:t>
            </w: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1,778</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1,679</w:t>
            </w:r>
          </w:p>
        </w:tc>
        <w:tc>
          <w:tcPr>
            <w:tcW w:w="9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5"/>
        </w:trPr>
        <w:tc>
          <w:tcPr>
            <w:tcW w:w="23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3"/>
                <w:szCs w:val="13"/>
                <w:color w:val="auto"/>
              </w:rPr>
              <w:t>Series 2021-9A</w:t>
            </w:r>
            <w:r>
              <w:rPr>
                <w:rFonts w:ascii="Arial" w:cs="Arial" w:eastAsia="Arial" w:hAnsi="Arial"/>
                <w:sz w:val="20"/>
                <w:szCs w:val="20"/>
                <w:color w:val="auto"/>
                <w:vertAlign w:val="superscript"/>
              </w:rPr>
              <w:t>(3)(4)(10)</w:t>
            </w:r>
          </w:p>
        </w:tc>
        <w:tc>
          <w:tcPr>
            <w:tcW w:w="284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98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spacing w:after="0" w:line="149" w:lineRule="exact"/>
              <w:rPr>
                <w:sz w:val="20"/>
                <w:szCs w:val="20"/>
                <w:color w:val="auto"/>
              </w:rPr>
            </w:pPr>
            <w:r>
              <w:rPr>
                <w:rFonts w:ascii="Arial" w:cs="Arial" w:eastAsia="Arial" w:hAnsi="Arial"/>
                <w:sz w:val="12"/>
                <w:szCs w:val="12"/>
                <w:color w:val="auto"/>
              </w:rPr>
              <w:t>RR Ltd, Series 2020-8A</w:t>
            </w:r>
            <w:r>
              <w:rPr>
                <w:rFonts w:ascii="Arial" w:cs="Arial" w:eastAsia="Arial" w:hAnsi="Arial"/>
                <w:sz w:val="17"/>
                <w:szCs w:val="17"/>
                <w:color w:val="auto"/>
                <w:vertAlign w:val="superscript"/>
              </w:rPr>
              <w:t>(3)(4)(10)</w:t>
            </w:r>
          </w:p>
        </w:tc>
        <w:tc>
          <w:tcPr>
            <w:tcW w:w="2840" w:type="dxa"/>
            <w:vAlign w:val="bottom"/>
            <w:gridSpan w:val="2"/>
          </w:tcPr>
          <w:p>
            <w:pPr>
              <w:ind w:left="320"/>
              <w:spacing w:after="0"/>
              <w:rPr>
                <w:sz w:val="20"/>
                <w:szCs w:val="20"/>
                <w:color w:val="auto"/>
              </w:rPr>
            </w:pPr>
            <w:r>
              <w:rPr>
                <w:rFonts w:ascii="Arial" w:cs="Arial" w:eastAsia="Arial" w:hAnsi="Arial"/>
                <w:sz w:val="13"/>
                <w:szCs w:val="13"/>
                <w:color w:val="auto"/>
                <w:w w:val="97"/>
              </w:rPr>
              <w:t>Structured Product ($1,000 par, due 4/2033)</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8/22/2022</w:t>
            </w:r>
          </w:p>
        </w:tc>
        <w:tc>
          <w:tcPr>
            <w:tcW w:w="14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L + 6.40%</w:t>
            </w:r>
          </w:p>
        </w:tc>
        <w:tc>
          <w:tcPr>
            <w:tcW w:w="1660" w:type="dxa"/>
            <w:vAlign w:val="bottom"/>
          </w:tcPr>
          <w:p>
            <w:pPr>
              <w:jc w:val="right"/>
              <w:spacing w:after="0"/>
              <w:rPr>
                <w:sz w:val="20"/>
                <w:szCs w:val="20"/>
                <w:color w:val="auto"/>
              </w:rPr>
            </w:pPr>
            <w:r>
              <w:rPr>
                <w:rFonts w:ascii="Arial" w:cs="Arial" w:eastAsia="Arial" w:hAnsi="Arial"/>
                <w:sz w:val="13"/>
                <w:szCs w:val="13"/>
                <w:color w:val="auto"/>
              </w:rPr>
              <w:t>8.91%</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862</w:t>
            </w:r>
          </w:p>
        </w:tc>
        <w:tc>
          <w:tcPr>
            <w:tcW w:w="98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08"/>
        </w:trPr>
        <w:tc>
          <w:tcPr>
            <w:tcW w:w="2340" w:type="dxa"/>
            <w:vAlign w:val="bottom"/>
            <w:gridSpan w:val="2"/>
            <w:shd w:val="clear" w:color="auto" w:fill="CCEEFF"/>
          </w:tcPr>
          <w:p>
            <w:pPr>
              <w:spacing w:after="0" w:line="108" w:lineRule="exact"/>
              <w:rPr>
                <w:sz w:val="20"/>
                <w:szCs w:val="20"/>
                <w:color w:val="auto"/>
              </w:rPr>
            </w:pPr>
            <w:r>
              <w:rPr>
                <w:rFonts w:ascii="Arial" w:cs="Arial" w:eastAsia="Arial" w:hAnsi="Arial"/>
                <w:sz w:val="12"/>
                <w:szCs w:val="12"/>
                <w:color w:val="auto"/>
              </w:rPr>
              <w:t>Shackelton CLO Ltd,</w:t>
            </w:r>
          </w:p>
        </w:tc>
        <w:tc>
          <w:tcPr>
            <w:tcW w:w="284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w w:val="97"/>
              </w:rPr>
              <w:t>Structured Product ($1,000 par, due 7/2031)</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5/23/2022</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L + 3.33%</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5.84%</w:t>
            </w: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888</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845</w:t>
            </w:r>
          </w:p>
        </w:tc>
        <w:tc>
          <w:tcPr>
            <w:tcW w:w="9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5"/>
        </w:trPr>
        <w:tc>
          <w:tcPr>
            <w:tcW w:w="23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3"/>
                <w:szCs w:val="13"/>
                <w:color w:val="auto"/>
              </w:rPr>
              <w:t>Series 2015-7RA</w:t>
            </w:r>
            <w:r>
              <w:rPr>
                <w:rFonts w:ascii="Arial" w:cs="Arial" w:eastAsia="Arial" w:hAnsi="Arial"/>
                <w:sz w:val="20"/>
                <w:szCs w:val="20"/>
                <w:color w:val="auto"/>
                <w:vertAlign w:val="superscript"/>
              </w:rPr>
              <w:t>(3)(4)(10)</w:t>
            </w:r>
          </w:p>
        </w:tc>
        <w:tc>
          <w:tcPr>
            <w:tcW w:w="284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98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340" w:type="dxa"/>
            <w:vAlign w:val="bottom"/>
            <w:gridSpan w:val="2"/>
          </w:tcPr>
          <w:p>
            <w:pPr>
              <w:spacing w:after="0" w:line="118" w:lineRule="exact"/>
              <w:rPr>
                <w:sz w:val="20"/>
                <w:szCs w:val="20"/>
                <w:color w:val="auto"/>
              </w:rPr>
            </w:pPr>
            <w:r>
              <w:rPr>
                <w:rFonts w:ascii="Arial" w:cs="Arial" w:eastAsia="Arial" w:hAnsi="Arial"/>
                <w:sz w:val="13"/>
                <w:szCs w:val="13"/>
                <w:color w:val="auto"/>
              </w:rPr>
              <w:t>Signal Peak CLO LLC,</w:t>
            </w:r>
          </w:p>
        </w:tc>
        <w:tc>
          <w:tcPr>
            <w:tcW w:w="3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340" w:type="dxa"/>
            <w:vAlign w:val="bottom"/>
            <w:gridSpan w:val="2"/>
          </w:tcPr>
          <w:p>
            <w:pPr>
              <w:ind w:left="140"/>
              <w:spacing w:after="0" w:line="166" w:lineRule="exact"/>
              <w:rPr>
                <w:sz w:val="20"/>
                <w:szCs w:val="20"/>
                <w:color w:val="auto"/>
              </w:rPr>
            </w:pPr>
            <w:r>
              <w:rPr>
                <w:rFonts w:ascii="Arial" w:cs="Arial" w:eastAsia="Arial" w:hAnsi="Arial"/>
                <w:sz w:val="13"/>
                <w:szCs w:val="13"/>
                <w:color w:val="auto"/>
              </w:rPr>
              <w:t>Series 2018-5A</w:t>
            </w:r>
            <w:r>
              <w:rPr>
                <w:rFonts w:ascii="Arial" w:cs="Arial" w:eastAsia="Arial" w:hAnsi="Arial"/>
                <w:sz w:val="19"/>
                <w:szCs w:val="19"/>
                <w:color w:val="auto"/>
                <w:vertAlign w:val="superscript"/>
              </w:rPr>
              <w:t>(3)(4)(10)</w:t>
            </w:r>
          </w:p>
        </w:tc>
        <w:tc>
          <w:tcPr>
            <w:tcW w:w="2840" w:type="dxa"/>
            <w:vAlign w:val="bottom"/>
            <w:gridSpan w:val="2"/>
          </w:tcPr>
          <w:p>
            <w:pPr>
              <w:ind w:left="320"/>
              <w:spacing w:after="0"/>
              <w:rPr>
                <w:sz w:val="20"/>
                <w:szCs w:val="20"/>
                <w:color w:val="auto"/>
              </w:rPr>
            </w:pPr>
            <w:r>
              <w:rPr>
                <w:rFonts w:ascii="Arial" w:cs="Arial" w:eastAsia="Arial" w:hAnsi="Arial"/>
                <w:sz w:val="13"/>
                <w:szCs w:val="13"/>
                <w:color w:val="auto"/>
                <w:w w:val="97"/>
              </w:rPr>
              <w:t>Structured Product ($1,000 par, due 4/2031)</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8/9/2022</w:t>
            </w:r>
          </w:p>
        </w:tc>
        <w:tc>
          <w:tcPr>
            <w:tcW w:w="1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L + 5.65%</w:t>
            </w:r>
          </w:p>
        </w:tc>
        <w:tc>
          <w:tcPr>
            <w:tcW w:w="1660" w:type="dxa"/>
            <w:vAlign w:val="bottom"/>
          </w:tcPr>
          <w:p>
            <w:pPr>
              <w:jc w:val="right"/>
              <w:spacing w:after="0"/>
              <w:rPr>
                <w:sz w:val="20"/>
                <w:szCs w:val="20"/>
                <w:color w:val="auto"/>
              </w:rPr>
            </w:pPr>
            <w:r>
              <w:rPr>
                <w:rFonts w:ascii="Arial" w:cs="Arial" w:eastAsia="Arial" w:hAnsi="Arial"/>
                <w:sz w:val="13"/>
                <w:szCs w:val="13"/>
                <w:color w:val="auto"/>
              </w:rPr>
              <w:t>8.43%</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888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829</w:t>
            </w:r>
          </w:p>
        </w:tc>
        <w:tc>
          <w:tcPr>
            <w:tcW w:w="98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18"/>
        </w:trPr>
        <w:tc>
          <w:tcPr>
            <w:tcW w:w="2340" w:type="dxa"/>
            <w:vAlign w:val="bottom"/>
            <w:gridSpan w:val="2"/>
            <w:shd w:val="clear" w:color="auto" w:fill="CCEEFF"/>
          </w:tcPr>
          <w:p>
            <w:pPr>
              <w:spacing w:after="0" w:line="118" w:lineRule="exact"/>
              <w:rPr>
                <w:sz w:val="20"/>
                <w:szCs w:val="20"/>
                <w:color w:val="auto"/>
              </w:rPr>
            </w:pPr>
            <w:r>
              <w:rPr>
                <w:rFonts w:ascii="Arial" w:cs="Arial" w:eastAsia="Arial" w:hAnsi="Arial"/>
                <w:sz w:val="13"/>
                <w:szCs w:val="13"/>
                <w:color w:val="auto"/>
              </w:rPr>
              <w:t>Southwick Park CLO Ltd,</w:t>
            </w:r>
          </w:p>
        </w:tc>
        <w:tc>
          <w:tcPr>
            <w:tcW w:w="320" w:type="dxa"/>
            <w:vAlign w:val="bottom"/>
            <w:shd w:val="clear" w:color="auto" w:fill="CCEEFF"/>
          </w:tcPr>
          <w:p>
            <w:pPr>
              <w:spacing w:after="0"/>
              <w:rPr>
                <w:sz w:val="10"/>
                <w:szCs w:val="10"/>
                <w:color w:val="auto"/>
              </w:rPr>
            </w:pPr>
          </w:p>
        </w:tc>
        <w:tc>
          <w:tcPr>
            <w:tcW w:w="2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340" w:type="dxa"/>
            <w:vAlign w:val="bottom"/>
            <w:gridSpan w:val="2"/>
            <w:shd w:val="clear" w:color="auto" w:fill="CCEEFF"/>
          </w:tcPr>
          <w:p>
            <w:pPr>
              <w:ind w:left="140"/>
              <w:spacing w:after="0" w:line="180" w:lineRule="exact"/>
              <w:rPr>
                <w:sz w:val="20"/>
                <w:szCs w:val="20"/>
                <w:color w:val="auto"/>
              </w:rPr>
            </w:pPr>
            <w:r>
              <w:rPr>
                <w:rFonts w:ascii="Arial" w:cs="Arial" w:eastAsia="Arial" w:hAnsi="Arial"/>
                <w:sz w:val="13"/>
                <w:szCs w:val="13"/>
                <w:color w:val="auto"/>
              </w:rPr>
              <w:t>Series 2019-4A</w:t>
            </w:r>
            <w:r>
              <w:rPr>
                <w:rFonts w:ascii="Arial" w:cs="Arial" w:eastAsia="Arial" w:hAnsi="Arial"/>
                <w:sz w:val="20"/>
                <w:szCs w:val="20"/>
                <w:color w:val="auto"/>
                <w:vertAlign w:val="superscript"/>
              </w:rPr>
              <w:t>(3)(4)(10)</w:t>
            </w:r>
          </w:p>
        </w:tc>
        <w:tc>
          <w:tcPr>
            <w:tcW w:w="28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w w:val="97"/>
              </w:rPr>
              <w:t>Structured Product ($1,000 par, due 7/2032)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5/25/2022</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L + 6.25%</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8.96%</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08"/>
        </w:trPr>
        <w:tc>
          <w:tcPr>
            <w:tcW w:w="2340" w:type="dxa"/>
            <w:vAlign w:val="bottom"/>
            <w:gridSpan w:val="2"/>
          </w:tcPr>
          <w:p>
            <w:pPr>
              <w:spacing w:after="0" w:line="108" w:lineRule="exact"/>
              <w:rPr>
                <w:sz w:val="20"/>
                <w:szCs w:val="20"/>
                <w:color w:val="auto"/>
              </w:rPr>
            </w:pPr>
            <w:r>
              <w:rPr>
                <w:rFonts w:ascii="Arial" w:cs="Arial" w:eastAsia="Arial" w:hAnsi="Arial"/>
                <w:sz w:val="12"/>
                <w:szCs w:val="12"/>
                <w:color w:val="auto"/>
              </w:rPr>
              <w:t>Stewart Park CLO Ltd,</w:t>
            </w:r>
          </w:p>
        </w:tc>
        <w:tc>
          <w:tcPr>
            <w:tcW w:w="2840" w:type="dxa"/>
            <w:vAlign w:val="bottom"/>
            <w:gridSpan w:val="2"/>
            <w:vMerge w:val="restart"/>
          </w:tcPr>
          <w:p>
            <w:pPr>
              <w:ind w:left="320"/>
              <w:spacing w:after="0"/>
              <w:rPr>
                <w:sz w:val="20"/>
                <w:szCs w:val="20"/>
                <w:color w:val="auto"/>
              </w:rPr>
            </w:pPr>
            <w:r>
              <w:rPr>
                <w:rFonts w:ascii="Arial" w:cs="Arial" w:eastAsia="Arial" w:hAnsi="Arial"/>
                <w:sz w:val="13"/>
                <w:szCs w:val="13"/>
                <w:color w:val="auto"/>
                <w:w w:val="97"/>
              </w:rPr>
              <w:t>Structured Product ($1,000 par, due 1/2030)</w:t>
            </w: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7/25/2022</w:t>
            </w:r>
          </w:p>
        </w:tc>
        <w:tc>
          <w:tcPr>
            <w:tcW w:w="14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L + 2.60%</w:t>
            </w:r>
          </w:p>
        </w:tc>
        <w:tc>
          <w:tcPr>
            <w:tcW w:w="1660" w:type="dxa"/>
            <w:vAlign w:val="bottom"/>
            <w:vMerge w:val="restart"/>
          </w:tcPr>
          <w:p>
            <w:pPr>
              <w:jc w:val="right"/>
              <w:spacing w:after="0"/>
              <w:rPr>
                <w:sz w:val="20"/>
                <w:szCs w:val="20"/>
                <w:color w:val="auto"/>
              </w:rPr>
            </w:pPr>
            <w:r>
              <w:rPr>
                <w:rFonts w:ascii="Arial" w:cs="Arial" w:eastAsia="Arial" w:hAnsi="Arial"/>
                <w:sz w:val="13"/>
                <w:szCs w:val="13"/>
                <w:color w:val="auto"/>
              </w:rPr>
              <w:t>5.11%</w:t>
            </w: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889</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865</w:t>
            </w:r>
          </w:p>
        </w:tc>
        <w:tc>
          <w:tcPr>
            <w:tcW w:w="98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5"/>
        </w:trPr>
        <w:tc>
          <w:tcPr>
            <w:tcW w:w="2340" w:type="dxa"/>
            <w:vAlign w:val="bottom"/>
            <w:gridSpan w:val="2"/>
          </w:tcPr>
          <w:p>
            <w:pPr>
              <w:ind w:left="140"/>
              <w:spacing w:after="0" w:line="176" w:lineRule="exact"/>
              <w:rPr>
                <w:sz w:val="20"/>
                <w:szCs w:val="20"/>
                <w:color w:val="auto"/>
              </w:rPr>
            </w:pPr>
            <w:r>
              <w:rPr>
                <w:rFonts w:ascii="Arial" w:cs="Arial" w:eastAsia="Arial" w:hAnsi="Arial"/>
                <w:sz w:val="13"/>
                <w:szCs w:val="13"/>
                <w:color w:val="auto"/>
              </w:rPr>
              <w:t>Series 2015-1A</w:t>
            </w:r>
            <w:r>
              <w:rPr>
                <w:rFonts w:ascii="Arial" w:cs="Arial" w:eastAsia="Arial" w:hAnsi="Arial"/>
                <w:sz w:val="20"/>
                <w:szCs w:val="20"/>
                <w:color w:val="auto"/>
                <w:vertAlign w:val="superscript"/>
              </w:rPr>
              <w:t>(3)(4)(10)</w:t>
            </w:r>
          </w:p>
        </w:tc>
        <w:tc>
          <w:tcPr>
            <w:tcW w:w="284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340" w:type="dxa"/>
            <w:vAlign w:val="bottom"/>
            <w:gridSpan w:val="2"/>
            <w:shd w:val="clear" w:color="auto" w:fill="CCEEFF"/>
          </w:tcPr>
          <w:p>
            <w:pPr>
              <w:spacing w:after="0" w:line="118" w:lineRule="exact"/>
              <w:rPr>
                <w:sz w:val="20"/>
                <w:szCs w:val="20"/>
                <w:color w:val="auto"/>
              </w:rPr>
            </w:pPr>
            <w:r>
              <w:rPr>
                <w:rFonts w:ascii="Arial" w:cs="Arial" w:eastAsia="Arial" w:hAnsi="Arial"/>
                <w:sz w:val="13"/>
                <w:szCs w:val="13"/>
                <w:color w:val="auto"/>
              </w:rPr>
              <w:t>Voya CLO Ltd,</w:t>
            </w:r>
          </w:p>
        </w:tc>
        <w:tc>
          <w:tcPr>
            <w:tcW w:w="320" w:type="dxa"/>
            <w:vAlign w:val="bottom"/>
            <w:shd w:val="clear" w:color="auto" w:fill="CCEEFF"/>
          </w:tcPr>
          <w:p>
            <w:pPr>
              <w:spacing w:after="0"/>
              <w:rPr>
                <w:sz w:val="10"/>
                <w:szCs w:val="10"/>
                <w:color w:val="auto"/>
              </w:rPr>
            </w:pPr>
          </w:p>
        </w:tc>
        <w:tc>
          <w:tcPr>
            <w:tcW w:w="2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340" w:type="dxa"/>
            <w:vAlign w:val="bottom"/>
            <w:gridSpan w:val="2"/>
            <w:shd w:val="clear" w:color="auto" w:fill="CCEEFF"/>
          </w:tcPr>
          <w:p>
            <w:pPr>
              <w:ind w:left="140"/>
              <w:spacing w:after="0" w:line="166" w:lineRule="exact"/>
              <w:rPr>
                <w:sz w:val="20"/>
                <w:szCs w:val="20"/>
                <w:color w:val="auto"/>
              </w:rPr>
            </w:pPr>
            <w:r>
              <w:rPr>
                <w:rFonts w:ascii="Arial" w:cs="Arial" w:eastAsia="Arial" w:hAnsi="Arial"/>
                <w:sz w:val="13"/>
                <w:szCs w:val="13"/>
                <w:color w:val="auto"/>
              </w:rPr>
              <w:t>Series 2018-3A</w:t>
            </w:r>
            <w:r>
              <w:rPr>
                <w:rFonts w:ascii="Arial" w:cs="Arial" w:eastAsia="Arial" w:hAnsi="Arial"/>
                <w:sz w:val="19"/>
                <w:szCs w:val="19"/>
                <w:color w:val="auto"/>
                <w:vertAlign w:val="superscript"/>
              </w:rPr>
              <w:t>(3)(4)(10)</w:t>
            </w:r>
          </w:p>
        </w:tc>
        <w:tc>
          <w:tcPr>
            <w:tcW w:w="28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w w:val="95"/>
              </w:rPr>
              <w:t>Structured Product ($2,750 par, due 10/2031)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6/22/2022</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L + 5.75%</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8.26%</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2,151</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18"/>
        </w:trPr>
        <w:tc>
          <w:tcPr>
            <w:tcW w:w="2340" w:type="dxa"/>
            <w:vAlign w:val="bottom"/>
            <w:gridSpan w:val="2"/>
          </w:tcPr>
          <w:p>
            <w:pPr>
              <w:spacing w:after="0" w:line="118" w:lineRule="exact"/>
              <w:rPr>
                <w:sz w:val="20"/>
                <w:szCs w:val="20"/>
                <w:color w:val="auto"/>
              </w:rPr>
            </w:pPr>
            <w:r>
              <w:rPr>
                <w:rFonts w:ascii="Arial" w:cs="Arial" w:eastAsia="Arial" w:hAnsi="Arial"/>
                <w:sz w:val="13"/>
                <w:szCs w:val="13"/>
                <w:color w:val="auto"/>
              </w:rPr>
              <w:t>Whitebox CLO I Ltd,</w:t>
            </w:r>
          </w:p>
        </w:tc>
        <w:tc>
          <w:tcPr>
            <w:tcW w:w="3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340" w:type="dxa"/>
            <w:vAlign w:val="bottom"/>
            <w:gridSpan w:val="2"/>
          </w:tcPr>
          <w:p>
            <w:pPr>
              <w:ind w:left="140"/>
              <w:spacing w:after="0" w:line="180" w:lineRule="exact"/>
              <w:rPr>
                <w:sz w:val="20"/>
                <w:szCs w:val="20"/>
                <w:color w:val="auto"/>
              </w:rPr>
            </w:pPr>
            <w:r>
              <w:rPr>
                <w:rFonts w:ascii="Arial" w:cs="Arial" w:eastAsia="Arial" w:hAnsi="Arial"/>
                <w:sz w:val="13"/>
                <w:szCs w:val="13"/>
                <w:color w:val="auto"/>
              </w:rPr>
              <w:t>Series 2020-2A</w:t>
            </w:r>
            <w:r>
              <w:rPr>
                <w:rFonts w:ascii="Arial" w:cs="Arial" w:eastAsia="Arial" w:hAnsi="Arial"/>
                <w:sz w:val="20"/>
                <w:szCs w:val="20"/>
                <w:color w:val="auto"/>
                <w:vertAlign w:val="superscript"/>
              </w:rPr>
              <w:t>(3)(4)(10)</w:t>
            </w:r>
          </w:p>
        </w:tc>
        <w:tc>
          <w:tcPr>
            <w:tcW w:w="2840" w:type="dxa"/>
            <w:vAlign w:val="bottom"/>
            <w:gridSpan w:val="2"/>
          </w:tcPr>
          <w:p>
            <w:pPr>
              <w:ind w:left="320"/>
              <w:spacing w:after="0"/>
              <w:rPr>
                <w:sz w:val="20"/>
                <w:szCs w:val="20"/>
                <w:color w:val="auto"/>
              </w:rPr>
            </w:pPr>
            <w:r>
              <w:rPr>
                <w:rFonts w:ascii="Arial" w:cs="Arial" w:eastAsia="Arial" w:hAnsi="Arial"/>
                <w:sz w:val="13"/>
                <w:szCs w:val="13"/>
                <w:color w:val="auto"/>
                <w:w w:val="95"/>
              </w:rPr>
              <w:t>Structured Product ($1,125 par, due 10/2034)</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7/12/2022</w:t>
            </w:r>
          </w:p>
        </w:tc>
        <w:tc>
          <w:tcPr>
            <w:tcW w:w="1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L + 3.35%</w:t>
            </w:r>
          </w:p>
        </w:tc>
        <w:tc>
          <w:tcPr>
            <w:tcW w:w="1660" w:type="dxa"/>
            <w:vAlign w:val="bottom"/>
          </w:tcPr>
          <w:p>
            <w:pPr>
              <w:jc w:val="right"/>
              <w:spacing w:after="0"/>
              <w:rPr>
                <w:sz w:val="20"/>
                <w:szCs w:val="20"/>
                <w:color w:val="auto"/>
              </w:rPr>
            </w:pPr>
            <w:r>
              <w:rPr>
                <w:rFonts w:ascii="Arial" w:cs="Arial" w:eastAsia="Arial" w:hAnsi="Arial"/>
                <w:sz w:val="13"/>
                <w:szCs w:val="13"/>
                <w:color w:val="auto"/>
              </w:rPr>
              <w:t>6.13%</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1,021</w:t>
            </w:r>
          </w:p>
        </w:tc>
        <w:tc>
          <w:tcPr>
            <w:tcW w:w="98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08"/>
        </w:trPr>
        <w:tc>
          <w:tcPr>
            <w:tcW w:w="2340" w:type="dxa"/>
            <w:vAlign w:val="bottom"/>
            <w:gridSpan w:val="2"/>
            <w:shd w:val="clear" w:color="auto" w:fill="CCEEFF"/>
          </w:tcPr>
          <w:p>
            <w:pPr>
              <w:spacing w:after="0" w:line="108" w:lineRule="exact"/>
              <w:rPr>
                <w:sz w:val="20"/>
                <w:szCs w:val="20"/>
                <w:color w:val="auto"/>
              </w:rPr>
            </w:pPr>
            <w:r>
              <w:rPr>
                <w:rFonts w:ascii="Arial" w:cs="Arial" w:eastAsia="Arial" w:hAnsi="Arial"/>
                <w:sz w:val="12"/>
                <w:szCs w:val="12"/>
                <w:color w:val="auto"/>
              </w:rPr>
              <w:t>Wind River CLO Ltd,</w:t>
            </w:r>
          </w:p>
        </w:tc>
        <w:tc>
          <w:tcPr>
            <w:tcW w:w="284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w w:val="97"/>
              </w:rPr>
              <w:t>Structured Product ($1,500 par, due 1/2031)</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6/23/2022</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L + 2.90%</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5.41%</w:t>
            </w: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1,330</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1,290</w:t>
            </w:r>
          </w:p>
        </w:tc>
        <w:tc>
          <w:tcPr>
            <w:tcW w:w="9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76"/>
        </w:trPr>
        <w:tc>
          <w:tcPr>
            <w:tcW w:w="23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3"/>
                <w:szCs w:val="13"/>
                <w:color w:val="auto"/>
              </w:rPr>
              <w:t>Series 2014-2A</w:t>
            </w:r>
            <w:r>
              <w:rPr>
                <w:rFonts w:ascii="Arial" w:cs="Arial" w:eastAsia="Arial" w:hAnsi="Arial"/>
                <w:sz w:val="20"/>
                <w:szCs w:val="20"/>
                <w:color w:val="auto"/>
                <w:vertAlign w:val="superscript"/>
              </w:rPr>
              <w:t>(3)(4)(10)</w:t>
            </w:r>
          </w:p>
        </w:tc>
        <w:tc>
          <w:tcPr>
            <w:tcW w:w="284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98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340" w:type="dxa"/>
            <w:vAlign w:val="bottom"/>
            <w:gridSpan w:val="2"/>
          </w:tcPr>
          <w:p>
            <w:pPr>
              <w:spacing w:after="0" w:line="118" w:lineRule="exact"/>
              <w:rPr>
                <w:sz w:val="20"/>
                <w:szCs w:val="20"/>
                <w:color w:val="auto"/>
              </w:rPr>
            </w:pPr>
            <w:r>
              <w:rPr>
                <w:rFonts w:ascii="Arial" w:cs="Arial" w:eastAsia="Arial" w:hAnsi="Arial"/>
                <w:sz w:val="13"/>
                <w:szCs w:val="13"/>
                <w:color w:val="auto"/>
              </w:rPr>
              <w:t>Wind River CLO Ltd,</w:t>
            </w:r>
          </w:p>
        </w:tc>
        <w:tc>
          <w:tcPr>
            <w:tcW w:w="3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340" w:type="dxa"/>
            <w:vAlign w:val="bottom"/>
            <w:gridSpan w:val="2"/>
          </w:tcPr>
          <w:p>
            <w:pPr>
              <w:ind w:left="140"/>
              <w:spacing w:after="0" w:line="166" w:lineRule="exact"/>
              <w:rPr>
                <w:sz w:val="20"/>
                <w:szCs w:val="20"/>
                <w:color w:val="auto"/>
              </w:rPr>
            </w:pPr>
            <w:r>
              <w:rPr>
                <w:rFonts w:ascii="Arial" w:cs="Arial" w:eastAsia="Arial" w:hAnsi="Arial"/>
                <w:sz w:val="13"/>
                <w:szCs w:val="13"/>
                <w:color w:val="auto"/>
              </w:rPr>
              <w:t>Series 2017-1A</w:t>
            </w:r>
            <w:r>
              <w:rPr>
                <w:rFonts w:ascii="Arial" w:cs="Arial" w:eastAsia="Arial" w:hAnsi="Arial"/>
                <w:sz w:val="19"/>
                <w:szCs w:val="19"/>
                <w:color w:val="auto"/>
                <w:vertAlign w:val="superscript"/>
              </w:rPr>
              <w:t>(3)(4)(10)</w:t>
            </w:r>
          </w:p>
        </w:tc>
        <w:tc>
          <w:tcPr>
            <w:tcW w:w="2840" w:type="dxa"/>
            <w:vAlign w:val="bottom"/>
            <w:gridSpan w:val="2"/>
          </w:tcPr>
          <w:p>
            <w:pPr>
              <w:ind w:left="320"/>
              <w:spacing w:after="0"/>
              <w:rPr>
                <w:sz w:val="20"/>
                <w:szCs w:val="20"/>
                <w:color w:val="auto"/>
              </w:rPr>
            </w:pPr>
            <w:r>
              <w:rPr>
                <w:rFonts w:ascii="Arial" w:cs="Arial" w:eastAsia="Arial" w:hAnsi="Arial"/>
                <w:sz w:val="13"/>
                <w:szCs w:val="13"/>
                <w:color w:val="auto"/>
                <w:w w:val="97"/>
              </w:rPr>
              <w:t>Structured Product ($3,000 par, due 4/2036)</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7/14/2022</w:t>
            </w:r>
          </w:p>
        </w:tc>
        <w:tc>
          <w:tcPr>
            <w:tcW w:w="1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L + 3.72%</w:t>
            </w:r>
          </w:p>
        </w:tc>
        <w:tc>
          <w:tcPr>
            <w:tcW w:w="1660" w:type="dxa"/>
            <w:vAlign w:val="bottom"/>
          </w:tcPr>
          <w:p>
            <w:pPr>
              <w:jc w:val="right"/>
              <w:spacing w:after="0"/>
              <w:rPr>
                <w:sz w:val="20"/>
                <w:szCs w:val="20"/>
                <w:color w:val="auto"/>
              </w:rPr>
            </w:pPr>
            <w:r>
              <w:rPr>
                <w:rFonts w:ascii="Arial" w:cs="Arial" w:eastAsia="Arial" w:hAnsi="Arial"/>
                <w:sz w:val="13"/>
                <w:szCs w:val="13"/>
                <w:color w:val="auto"/>
              </w:rPr>
              <w:t>6.46%</w:t>
            </w:r>
          </w:p>
        </w:tc>
        <w:tc>
          <w:tcPr>
            <w:tcW w:w="8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2,591</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2,649</w:t>
            </w:r>
          </w:p>
        </w:tc>
        <w:tc>
          <w:tcPr>
            <w:tcW w:w="98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9"/>
        </w:trPr>
        <w:tc>
          <w:tcPr>
            <w:tcW w:w="7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54,520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51,962</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29"/>
        </w:trPr>
        <w:tc>
          <w:tcPr>
            <w:tcW w:w="234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Total Equity and Other</w:t>
            </w:r>
          </w:p>
        </w:tc>
        <w:tc>
          <w:tcPr>
            <w:tcW w:w="3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340" w:type="dxa"/>
            <w:vAlign w:val="bottom"/>
            <w:gridSpan w:val="2"/>
          </w:tcPr>
          <w:p>
            <w:pPr>
              <w:ind w:left="140"/>
              <w:spacing w:after="0"/>
              <w:rPr>
                <w:sz w:val="20"/>
                <w:szCs w:val="20"/>
                <w:color w:val="auto"/>
              </w:rPr>
            </w:pPr>
            <w:r>
              <w:rPr>
                <w:rFonts w:ascii="Arial" w:cs="Arial" w:eastAsia="Arial" w:hAnsi="Arial"/>
                <w:sz w:val="13"/>
                <w:szCs w:val="13"/>
                <w:b w:val="1"/>
                <w:bCs w:val="1"/>
                <w:color w:val="auto"/>
              </w:rPr>
              <w:t>Investments</w:t>
            </w:r>
          </w:p>
        </w:tc>
        <w:tc>
          <w:tcPr>
            <w:tcW w:w="3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193,718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216,311</w:t>
            </w:r>
          </w:p>
        </w:tc>
        <w:tc>
          <w:tcPr>
            <w:tcW w:w="980" w:type="dxa"/>
            <w:vAlign w:val="bottom"/>
            <w:gridSpan w:val="3"/>
          </w:tcPr>
          <w:p>
            <w:pPr>
              <w:jc w:val="right"/>
              <w:ind w:right="40"/>
              <w:spacing w:after="0"/>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Investments</w:t>
            </w:r>
          </w:p>
        </w:tc>
        <w:tc>
          <w:tcPr>
            <w:tcW w:w="32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u w:val="single" w:color="auto"/>
                <w:color w:val="auto"/>
                <w:w w:val="92"/>
              </w:rPr>
              <w:t>$</w:t>
            </w:r>
            <w:r>
              <w:rPr>
                <w:rFonts w:ascii="Arial" w:cs="Arial" w:eastAsia="Arial" w:hAnsi="Arial"/>
                <w:sz w:val="13"/>
                <w:szCs w:val="13"/>
                <w:color w:val="auto"/>
                <w:w w:val="92"/>
              </w:rPr>
              <w:t>2,792,773</w:t>
            </w: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2,806,063</w:t>
            </w:r>
          </w:p>
        </w:tc>
        <w:tc>
          <w:tcPr>
            <w:tcW w:w="140" w:type="dxa"/>
            <w:vAlign w:val="bottom"/>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211.2%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498"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020"/>
          </w:cols>
          <w:pgMar w:left="440" w:top="498" w:right="439" w:bottom="1440" w:gutter="0" w:footer="0" w:header="0"/>
          <w:type w:val="continuous"/>
        </w:sectPr>
      </w:pPr>
    </w:p>
    <w:bookmarkStart w:id="78" w:name="page79"/>
    <w:bookmarkEnd w:id="78"/>
    <w:tbl>
      <w:tblPr>
        <w:tblLayout w:type="fixed"/>
        <w:tblInd w:w="4"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11"/>
          </w:tcPr>
          <w:p>
            <w:pPr>
              <w:jc w:val="right"/>
              <w:ind w:right="720"/>
              <w:spacing w:after="0"/>
              <w:rPr>
                <w:sz w:val="20"/>
                <w:szCs w:val="20"/>
                <w:color w:val="auto"/>
              </w:rPr>
            </w:pPr>
            <w:r>
              <w:rPr>
                <w:rFonts w:ascii="Arial" w:cs="Arial" w:eastAsia="Arial" w:hAnsi="Arial"/>
                <w:sz w:val="14"/>
                <w:szCs w:val="14"/>
                <w:b w:val="1"/>
                <w:bCs w:val="1"/>
                <w:color w:val="auto"/>
                <w:w w:val="92"/>
              </w:rPr>
              <w:t>Interest Rate Swaps as of September 30, 2022</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Company</w:t>
            </w:r>
          </w:p>
        </w:tc>
        <w:tc>
          <w:tcPr>
            <w:tcW w:w="8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Company</w:t>
            </w: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Notional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0"/>
                <w:szCs w:val="10"/>
                <w:color w:val="auto"/>
              </w:rPr>
            </w:pPr>
          </w:p>
        </w:tc>
        <w:tc>
          <w:tcPr>
            <w:tcW w:w="7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Upfront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72"/>
              <w:spacing w:after="0" w:line="119" w:lineRule="exact"/>
              <w:rPr>
                <w:sz w:val="20"/>
                <w:szCs w:val="20"/>
                <w:color w:val="auto"/>
              </w:rPr>
            </w:pPr>
            <w:r>
              <w:rPr>
                <w:rFonts w:ascii="Arial" w:cs="Arial" w:eastAsia="Arial" w:hAnsi="Arial"/>
                <w:sz w:val="13"/>
                <w:szCs w:val="13"/>
                <w:b w:val="1"/>
                <w:bCs w:val="1"/>
                <w:color w:val="auto"/>
              </w:rPr>
              <w:t>Change in</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40" w:type="dxa"/>
            <w:vAlign w:val="bottom"/>
            <w:vMerge w:val="restart"/>
          </w:tcPr>
          <w:p>
            <w:pPr>
              <w:spacing w:after="0"/>
              <w:rPr>
                <w:sz w:val="12"/>
                <w:szCs w:val="12"/>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6"/>
              </w:rPr>
              <w:t>Maturity Date</w:t>
            </w:r>
          </w:p>
        </w:tc>
        <w:tc>
          <w:tcPr>
            <w:tcW w:w="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7"/>
              </w:rPr>
              <w:t>Market</w:t>
            </w: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(Payments) /</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81"/>
              <w:spacing w:after="0" w:line="149"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5"/>
              </w:rPr>
              <w:t>Receives</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5"/>
              </w:rPr>
              <w:t>Pays</w:t>
            </w:r>
          </w:p>
        </w:tc>
        <w:tc>
          <w:tcPr>
            <w:tcW w:w="6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Receipts</w:t>
            </w:r>
          </w:p>
        </w:tc>
        <w:tc>
          <w:tcPr>
            <w:tcW w:w="1140" w:type="dxa"/>
            <w:vAlign w:val="bottom"/>
            <w:gridSpan w:val="4"/>
          </w:tcPr>
          <w:p>
            <w:pPr>
              <w:ind w:left="60"/>
              <w:spacing w:after="0"/>
              <w:rPr>
                <w:sz w:val="20"/>
                <w:szCs w:val="20"/>
                <w:color w:val="auto"/>
              </w:rPr>
            </w:pPr>
            <w:r>
              <w:rPr>
                <w:rFonts w:ascii="Arial" w:cs="Arial" w:eastAsia="Arial" w:hAnsi="Arial"/>
                <w:sz w:val="14"/>
                <w:szCs w:val="14"/>
                <w:b w:val="1"/>
                <w:bCs w:val="1"/>
                <w:color w:val="auto"/>
                <w:w w:val="97"/>
              </w:rPr>
              <w:t>Gains / (Losses)</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8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Interest rate swap</w:t>
            </w:r>
            <w:r>
              <w:rPr>
                <w:rFonts w:ascii="Arial" w:cs="Arial" w:eastAsia="Arial" w:hAnsi="Arial"/>
                <w:sz w:val="24"/>
                <w:szCs w:val="24"/>
                <w:color w:val="auto"/>
                <w:vertAlign w:val="superscript"/>
              </w:rPr>
              <w:t>(a)</w:t>
            </w:r>
          </w:p>
        </w:tc>
        <w:tc>
          <w:tcPr>
            <w:tcW w:w="14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3"/>
              </w:rPr>
              <w:t>L + 1.99%</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1/22/2023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0" w:type="dxa"/>
            <w:vAlign w:val="bottom"/>
          </w:tcPr>
          <w:p>
            <w:pPr>
              <w:spacing w:after="0"/>
              <w:rPr>
                <w:sz w:val="1"/>
                <w:szCs w:val="1"/>
                <w:color w:val="auto"/>
              </w:rPr>
            </w:pPr>
          </w:p>
        </w:tc>
      </w:tr>
      <w:tr>
        <w:trPr>
          <w:trHeight w:val="216"/>
        </w:trPr>
        <w:tc>
          <w:tcPr>
            <w:tcW w:w="3180" w:type="dxa"/>
            <w:vAlign w:val="bottom"/>
          </w:tcPr>
          <w:p>
            <w:pPr>
              <w:spacing w:after="0" w:line="216" w:lineRule="exact"/>
              <w:rPr>
                <w:sz w:val="20"/>
                <w:szCs w:val="20"/>
                <w:color w:val="auto"/>
              </w:rPr>
            </w:pPr>
            <w:r>
              <w:rPr>
                <w:rFonts w:ascii="Arial" w:cs="Arial" w:eastAsia="Arial" w:hAnsi="Arial"/>
                <w:sz w:val="17"/>
                <w:szCs w:val="17"/>
                <w:color w:val="auto"/>
              </w:rPr>
              <w:t>Interest rate swap</w:t>
            </w:r>
            <w:r>
              <w:rPr>
                <w:rFonts w:ascii="Arial" w:cs="Arial" w:eastAsia="Arial" w:hAnsi="Arial"/>
                <w:sz w:val="25"/>
                <w:szCs w:val="25"/>
                <w:color w:val="auto"/>
                <w:vertAlign w:val="superscript"/>
              </w:rPr>
              <w:t>(a)(e)</w:t>
            </w:r>
          </w:p>
        </w:tc>
        <w:tc>
          <w:tcPr>
            <w:tcW w:w="2300" w:type="dxa"/>
            <w:vAlign w:val="bottom"/>
            <w:gridSpan w:val="3"/>
          </w:tcPr>
          <w:p>
            <w:pPr>
              <w:jc w:val="center"/>
              <w:ind w:left="1250"/>
              <w:spacing w:after="0"/>
              <w:rPr>
                <w:sz w:val="20"/>
                <w:szCs w:val="20"/>
                <w:color w:val="auto"/>
              </w:rPr>
            </w:pPr>
            <w:r>
              <w:rPr>
                <w:rFonts w:ascii="Arial" w:cs="Arial" w:eastAsia="Arial" w:hAnsi="Arial"/>
                <w:sz w:val="18"/>
                <w:szCs w:val="18"/>
                <w:color w:val="auto"/>
                <w:w w:val="93"/>
              </w:rPr>
              <w:t>L + 2.28%</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3.875%</w:t>
            </w:r>
          </w:p>
        </w:tc>
        <w:tc>
          <w:tcPr>
            <w:tcW w:w="6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11/1/2024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Interest rate swap</w:t>
            </w:r>
            <w:r>
              <w:rPr>
                <w:rFonts w:ascii="Arial" w:cs="Arial" w:eastAsia="Arial" w:hAnsi="Arial"/>
                <w:sz w:val="25"/>
                <w:szCs w:val="25"/>
                <w:color w:val="auto"/>
                <w:vertAlign w:val="superscript"/>
              </w:rPr>
              <w:t>(a)(b)</w:t>
            </w:r>
          </w:p>
        </w:tc>
        <w:tc>
          <w:tcPr>
            <w:tcW w:w="2200" w:type="dxa"/>
            <w:vAlign w:val="bottom"/>
            <w:gridSpan w:val="2"/>
            <w:shd w:val="clear" w:color="auto" w:fill="CCEEFF"/>
          </w:tcPr>
          <w:p>
            <w:pPr>
              <w:jc w:val="center"/>
              <w:ind w:left="1370"/>
              <w:spacing w:after="0"/>
              <w:rPr>
                <w:sz w:val="20"/>
                <w:szCs w:val="20"/>
                <w:color w:val="auto"/>
              </w:rPr>
            </w:pPr>
            <w:r>
              <w:rPr>
                <w:rFonts w:ascii="Arial" w:cs="Arial" w:eastAsia="Arial" w:hAnsi="Arial"/>
                <w:sz w:val="18"/>
                <w:szCs w:val="18"/>
                <w:color w:val="auto"/>
                <w:w w:val="90"/>
              </w:rPr>
              <w:t>4.50%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3"/>
              </w:rPr>
              <w:t>L + 2.37%</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8/1/2022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16"/>
        </w:trPr>
        <w:tc>
          <w:tcPr>
            <w:tcW w:w="3180" w:type="dxa"/>
            <w:vAlign w:val="bottom"/>
          </w:tcPr>
          <w:p>
            <w:pPr>
              <w:spacing w:after="0" w:line="216" w:lineRule="exact"/>
              <w:rPr>
                <w:sz w:val="20"/>
                <w:szCs w:val="20"/>
                <w:color w:val="auto"/>
              </w:rPr>
            </w:pPr>
            <w:r>
              <w:rPr>
                <w:rFonts w:ascii="Arial" w:cs="Arial" w:eastAsia="Arial" w:hAnsi="Arial"/>
                <w:sz w:val="17"/>
                <w:szCs w:val="17"/>
                <w:color w:val="auto"/>
              </w:rPr>
              <w:t>Interest rate swap</w:t>
            </w:r>
            <w:r>
              <w:rPr>
                <w:rFonts w:ascii="Arial" w:cs="Arial" w:eastAsia="Arial" w:hAnsi="Arial"/>
                <w:sz w:val="25"/>
                <w:szCs w:val="25"/>
                <w:color w:val="auto"/>
                <w:vertAlign w:val="superscript"/>
              </w:rPr>
              <w:t>(a)(b)</w:t>
            </w:r>
          </w:p>
        </w:tc>
        <w:tc>
          <w:tcPr>
            <w:tcW w:w="2200" w:type="dxa"/>
            <w:vAlign w:val="bottom"/>
            <w:gridSpan w:val="2"/>
          </w:tcPr>
          <w:p>
            <w:pPr>
              <w:jc w:val="center"/>
              <w:ind w:left="1370"/>
              <w:spacing w:after="0"/>
              <w:rPr>
                <w:sz w:val="20"/>
                <w:szCs w:val="20"/>
                <w:color w:val="auto"/>
              </w:rPr>
            </w:pPr>
            <w:r>
              <w:rPr>
                <w:rFonts w:ascii="Arial" w:cs="Arial" w:eastAsia="Arial" w:hAnsi="Arial"/>
                <w:sz w:val="18"/>
                <w:szCs w:val="18"/>
                <w:color w:val="auto"/>
                <w:w w:val="90"/>
              </w:rPr>
              <w:t>4.50%</w:t>
            </w:r>
          </w:p>
        </w:tc>
        <w:tc>
          <w:tcPr>
            <w:tcW w:w="100" w:type="dxa"/>
            <w:vAlign w:val="bottom"/>
          </w:tcPr>
          <w:p>
            <w:pPr>
              <w:spacing w:after="0"/>
              <w:rPr>
                <w:sz w:val="18"/>
                <w:szCs w:val="18"/>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L + 1.59%</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8/1/2022</w:t>
            </w:r>
          </w:p>
        </w:tc>
        <w:tc>
          <w:tcPr>
            <w:tcW w:w="2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Interest rate swap</w:t>
            </w:r>
            <w:r>
              <w:rPr>
                <w:rFonts w:ascii="Arial" w:cs="Arial" w:eastAsia="Arial" w:hAnsi="Arial"/>
                <w:sz w:val="25"/>
                <w:szCs w:val="25"/>
                <w:color w:val="auto"/>
                <w:vertAlign w:val="superscript"/>
              </w:rPr>
              <w:t>(a)(b)</w:t>
            </w:r>
          </w:p>
        </w:tc>
        <w:tc>
          <w:tcPr>
            <w:tcW w:w="2200" w:type="dxa"/>
            <w:vAlign w:val="bottom"/>
            <w:gridSpan w:val="2"/>
            <w:shd w:val="clear" w:color="auto" w:fill="CCEEFF"/>
          </w:tcPr>
          <w:p>
            <w:pPr>
              <w:jc w:val="center"/>
              <w:ind w:left="1370"/>
              <w:spacing w:after="0"/>
              <w:rPr>
                <w:sz w:val="20"/>
                <w:szCs w:val="20"/>
                <w:color w:val="auto"/>
              </w:rPr>
            </w:pPr>
            <w:r>
              <w:rPr>
                <w:rFonts w:ascii="Arial" w:cs="Arial" w:eastAsia="Arial" w:hAnsi="Arial"/>
                <w:sz w:val="18"/>
                <w:szCs w:val="18"/>
                <w:color w:val="auto"/>
                <w:w w:val="90"/>
              </w:rPr>
              <w:t>4.50%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3"/>
              </w:rPr>
              <w:t>L + 1.60%</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8/1/2022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3180" w:type="dxa"/>
            <w:vAlign w:val="bottom"/>
          </w:tcPr>
          <w:p>
            <w:pPr>
              <w:spacing w:after="0" w:line="216" w:lineRule="exact"/>
              <w:rPr>
                <w:sz w:val="20"/>
                <w:szCs w:val="20"/>
                <w:color w:val="auto"/>
              </w:rPr>
            </w:pPr>
            <w:r>
              <w:rPr>
                <w:rFonts w:ascii="Arial" w:cs="Arial" w:eastAsia="Arial" w:hAnsi="Arial"/>
                <w:sz w:val="17"/>
                <w:szCs w:val="17"/>
                <w:color w:val="auto"/>
              </w:rPr>
              <w:t>Interest rate swap</w:t>
            </w:r>
            <w:r>
              <w:rPr>
                <w:rFonts w:ascii="Arial" w:cs="Arial" w:eastAsia="Arial" w:hAnsi="Arial"/>
                <w:sz w:val="25"/>
                <w:szCs w:val="25"/>
                <w:color w:val="auto"/>
                <w:vertAlign w:val="superscript"/>
              </w:rPr>
              <w:t>(a)(b)</w:t>
            </w:r>
          </w:p>
        </w:tc>
        <w:tc>
          <w:tcPr>
            <w:tcW w:w="2300" w:type="dxa"/>
            <w:vAlign w:val="bottom"/>
            <w:gridSpan w:val="3"/>
          </w:tcPr>
          <w:p>
            <w:pPr>
              <w:jc w:val="center"/>
              <w:ind w:left="1250"/>
              <w:spacing w:after="0"/>
              <w:rPr>
                <w:sz w:val="20"/>
                <w:szCs w:val="20"/>
                <w:color w:val="auto"/>
              </w:rPr>
            </w:pPr>
            <w:r>
              <w:rPr>
                <w:rFonts w:ascii="Arial" w:cs="Arial" w:eastAsia="Arial" w:hAnsi="Arial"/>
                <w:sz w:val="18"/>
                <w:szCs w:val="18"/>
                <w:color w:val="auto"/>
                <w:w w:val="93"/>
              </w:rPr>
              <w:t>L + 2.11%</w:t>
            </w: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6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8/1/2022</w:t>
            </w:r>
          </w:p>
        </w:tc>
        <w:tc>
          <w:tcPr>
            <w:tcW w:w="2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1,252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Interest rate swap</w:t>
            </w:r>
            <w:r>
              <w:rPr>
                <w:rFonts w:ascii="Arial" w:cs="Arial" w:eastAsia="Arial" w:hAnsi="Arial"/>
                <w:sz w:val="25"/>
                <w:szCs w:val="25"/>
                <w:color w:val="auto"/>
                <w:vertAlign w:val="superscript"/>
              </w:rPr>
              <w:t>(a)(b)</w:t>
            </w:r>
          </w:p>
        </w:tc>
        <w:tc>
          <w:tcPr>
            <w:tcW w:w="2300" w:type="dxa"/>
            <w:vAlign w:val="bottom"/>
            <w:gridSpan w:val="3"/>
            <w:shd w:val="clear" w:color="auto" w:fill="CCEEFF"/>
          </w:tcPr>
          <w:p>
            <w:pPr>
              <w:jc w:val="center"/>
              <w:ind w:left="1250"/>
              <w:spacing w:after="0"/>
              <w:rPr>
                <w:sz w:val="20"/>
                <w:szCs w:val="20"/>
                <w:color w:val="auto"/>
              </w:rPr>
            </w:pPr>
            <w:r>
              <w:rPr>
                <w:rFonts w:ascii="Arial" w:cs="Arial" w:eastAsia="Arial" w:hAnsi="Arial"/>
                <w:sz w:val="18"/>
                <w:szCs w:val="18"/>
                <w:color w:val="auto"/>
                <w:w w:val="93"/>
              </w:rPr>
              <w:t>L + 2.11%</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w:t>
            </w: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8/1/2022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3180" w:type="dxa"/>
            <w:vAlign w:val="bottom"/>
          </w:tcPr>
          <w:p>
            <w:pPr>
              <w:spacing w:after="0" w:line="216" w:lineRule="exact"/>
              <w:rPr>
                <w:sz w:val="20"/>
                <w:szCs w:val="20"/>
                <w:color w:val="auto"/>
              </w:rPr>
            </w:pPr>
            <w:r>
              <w:rPr>
                <w:rFonts w:ascii="Arial" w:cs="Arial" w:eastAsia="Arial" w:hAnsi="Arial"/>
                <w:sz w:val="17"/>
                <w:szCs w:val="17"/>
                <w:color w:val="auto"/>
              </w:rPr>
              <w:t>Interest rate swap</w:t>
            </w:r>
            <w:r>
              <w:rPr>
                <w:rFonts w:ascii="Arial" w:cs="Arial" w:eastAsia="Arial" w:hAnsi="Arial"/>
                <w:sz w:val="25"/>
                <w:szCs w:val="25"/>
                <w:color w:val="auto"/>
                <w:vertAlign w:val="superscript"/>
              </w:rPr>
              <w:t>(a)(b)</w:t>
            </w:r>
          </w:p>
        </w:tc>
        <w:tc>
          <w:tcPr>
            <w:tcW w:w="2300" w:type="dxa"/>
            <w:vAlign w:val="bottom"/>
            <w:gridSpan w:val="3"/>
          </w:tcPr>
          <w:p>
            <w:pPr>
              <w:jc w:val="center"/>
              <w:ind w:left="1250"/>
              <w:spacing w:after="0"/>
              <w:rPr>
                <w:sz w:val="20"/>
                <w:szCs w:val="20"/>
                <w:color w:val="auto"/>
              </w:rPr>
            </w:pPr>
            <w:r>
              <w:rPr>
                <w:rFonts w:ascii="Arial" w:cs="Arial" w:eastAsia="Arial" w:hAnsi="Arial"/>
                <w:sz w:val="18"/>
                <w:szCs w:val="18"/>
                <w:color w:val="auto"/>
                <w:w w:val="93"/>
              </w:rPr>
              <w:t>L + 2.11%</w:t>
            </w: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6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8/1/2022</w:t>
            </w:r>
          </w:p>
        </w:tc>
        <w:tc>
          <w:tcPr>
            <w:tcW w:w="20" w:type="dxa"/>
            <w:vAlign w:val="bottom"/>
          </w:tcPr>
          <w:p>
            <w:pPr>
              <w:spacing w:after="0"/>
              <w:rPr>
                <w:sz w:val="19"/>
                <w:szCs w:val="19"/>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904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Interest rate swap</w:t>
            </w:r>
            <w:r>
              <w:rPr>
                <w:rFonts w:ascii="Arial" w:cs="Arial" w:eastAsia="Arial" w:hAnsi="Arial"/>
                <w:sz w:val="25"/>
                <w:szCs w:val="25"/>
                <w:color w:val="auto"/>
                <w:vertAlign w:val="superscript"/>
              </w:rPr>
              <w:t>(a)</w:t>
            </w:r>
          </w:p>
        </w:tc>
        <w:tc>
          <w:tcPr>
            <w:tcW w:w="1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L</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0.16%</w:t>
            </w: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7/30/2022</w:t>
            </w:r>
          </w:p>
        </w:tc>
        <w:tc>
          <w:tcPr>
            <w:tcW w:w="2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80" w:type="dxa"/>
            <w:vAlign w:val="bottom"/>
          </w:tcPr>
          <w:p>
            <w:pPr>
              <w:spacing w:after="0"/>
              <w:rPr>
                <w:sz w:val="20"/>
                <w:szCs w:val="20"/>
                <w:color w:val="auto"/>
              </w:rPr>
            </w:pPr>
            <w:r>
              <w:rPr>
                <w:rFonts w:ascii="Arial" w:cs="Arial" w:eastAsia="Arial" w:hAnsi="Arial"/>
                <w:sz w:val="18"/>
                <w:szCs w:val="18"/>
                <w:color w:val="auto"/>
              </w:rPr>
              <w:t>Total</w:t>
            </w:r>
          </w:p>
        </w:tc>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152,500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2,252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r>
              <w:rPr>
                <w:rFonts w:ascii="Arial" w:cs="Arial" w:eastAsia="Arial" w:hAnsi="Arial"/>
                <w:sz w:val="26"/>
                <w:szCs w:val="26"/>
                <w:color w:val="auto"/>
                <w:vertAlign w:val="superscript"/>
              </w:rPr>
              <w:t>(a)(c)(d)</w:t>
            </w:r>
          </w:p>
        </w:tc>
        <w:tc>
          <w:tcPr>
            <w:tcW w:w="2200" w:type="dxa"/>
            <w:vAlign w:val="bottom"/>
            <w:gridSpan w:val="2"/>
            <w:shd w:val="clear" w:color="auto" w:fill="CCEEFF"/>
          </w:tcPr>
          <w:p>
            <w:pPr>
              <w:jc w:val="center"/>
              <w:ind w:left="1350"/>
              <w:spacing w:after="0"/>
              <w:rPr>
                <w:sz w:val="20"/>
                <w:szCs w:val="20"/>
                <w:color w:val="auto"/>
              </w:rPr>
            </w:pPr>
            <w:r>
              <w:rPr>
                <w:rFonts w:ascii="Arial" w:cs="Arial" w:eastAsia="Arial" w:hAnsi="Arial"/>
                <w:sz w:val="18"/>
                <w:szCs w:val="18"/>
                <w:color w:val="auto"/>
                <w:w w:val="91"/>
              </w:rPr>
              <w:t>3.875%</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3"/>
              </w:rPr>
              <w:t>L + 2.25%</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11/1/2024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(16,878)</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(20,874)</w:t>
            </w:r>
          </w:p>
        </w:tc>
        <w:tc>
          <w:tcPr>
            <w:tcW w:w="0" w:type="dxa"/>
            <w:vAlign w:val="bottom"/>
          </w:tcPr>
          <w:p>
            <w:pPr>
              <w:spacing w:after="0"/>
              <w:rPr>
                <w:sz w:val="1"/>
                <w:szCs w:val="1"/>
                <w:color w:val="auto"/>
              </w:rPr>
            </w:pPr>
          </w:p>
        </w:tc>
      </w:tr>
      <w:tr>
        <w:trPr>
          <w:trHeight w:val="216"/>
        </w:trPr>
        <w:tc>
          <w:tcPr>
            <w:tcW w:w="3180" w:type="dxa"/>
            <w:vAlign w:val="bottom"/>
          </w:tcPr>
          <w:p>
            <w:pPr>
              <w:spacing w:after="0" w:line="216" w:lineRule="exact"/>
              <w:rPr>
                <w:sz w:val="20"/>
                <w:szCs w:val="20"/>
                <w:color w:val="auto"/>
              </w:rPr>
            </w:pPr>
            <w:r>
              <w:rPr>
                <w:rFonts w:ascii="Arial" w:cs="Arial" w:eastAsia="Arial" w:hAnsi="Arial"/>
                <w:sz w:val="17"/>
                <w:szCs w:val="17"/>
                <w:color w:val="auto"/>
              </w:rPr>
              <w:t>Interest rate swap</w:t>
            </w:r>
            <w:r>
              <w:rPr>
                <w:rFonts w:ascii="Arial" w:cs="Arial" w:eastAsia="Arial" w:hAnsi="Arial"/>
                <w:sz w:val="25"/>
                <w:szCs w:val="25"/>
                <w:color w:val="auto"/>
                <w:vertAlign w:val="superscript"/>
              </w:rPr>
              <w:t>(a)(c)(d)</w:t>
            </w:r>
          </w:p>
        </w:tc>
        <w:tc>
          <w:tcPr>
            <w:tcW w:w="2200" w:type="dxa"/>
            <w:vAlign w:val="bottom"/>
            <w:gridSpan w:val="2"/>
          </w:tcPr>
          <w:p>
            <w:pPr>
              <w:jc w:val="center"/>
              <w:ind w:left="1350"/>
              <w:spacing w:after="0"/>
              <w:rPr>
                <w:sz w:val="20"/>
                <w:szCs w:val="20"/>
                <w:color w:val="auto"/>
              </w:rPr>
            </w:pPr>
            <w:r>
              <w:rPr>
                <w:rFonts w:ascii="Arial" w:cs="Arial" w:eastAsia="Arial" w:hAnsi="Arial"/>
                <w:sz w:val="18"/>
                <w:szCs w:val="18"/>
                <w:color w:val="auto"/>
                <w:w w:val="91"/>
              </w:rPr>
              <w:t>3.875%</w:t>
            </w:r>
          </w:p>
        </w:tc>
        <w:tc>
          <w:tcPr>
            <w:tcW w:w="100" w:type="dxa"/>
            <w:vAlign w:val="bottom"/>
          </w:tcPr>
          <w:p>
            <w:pPr>
              <w:spacing w:after="0"/>
              <w:rPr>
                <w:sz w:val="18"/>
                <w:szCs w:val="18"/>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L + 2.46%</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11/1/2024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(3,023)</w:t>
            </w:r>
          </w:p>
        </w:tc>
        <w:tc>
          <w:tcPr>
            <w:tcW w:w="12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Interest rate swap</w:t>
            </w:r>
            <w:r>
              <w:rPr>
                <w:rFonts w:ascii="Arial" w:cs="Arial" w:eastAsia="Arial" w:hAnsi="Arial"/>
                <w:sz w:val="25"/>
                <w:szCs w:val="25"/>
                <w:color w:val="auto"/>
                <w:vertAlign w:val="superscript"/>
              </w:rPr>
              <w:t>(a)(c)</w:t>
            </w:r>
          </w:p>
        </w:tc>
        <w:tc>
          <w:tcPr>
            <w:tcW w:w="2200" w:type="dxa"/>
            <w:vAlign w:val="bottom"/>
            <w:gridSpan w:val="2"/>
            <w:shd w:val="clear" w:color="auto" w:fill="CCEEFF"/>
          </w:tcPr>
          <w:p>
            <w:pPr>
              <w:jc w:val="center"/>
              <w:ind w:left="1370"/>
              <w:spacing w:after="0"/>
              <w:rPr>
                <w:sz w:val="20"/>
                <w:szCs w:val="20"/>
                <w:color w:val="auto"/>
              </w:rPr>
            </w:pPr>
            <w:r>
              <w:rPr>
                <w:rFonts w:ascii="Arial" w:cs="Arial" w:eastAsia="Arial" w:hAnsi="Arial"/>
                <w:sz w:val="18"/>
                <w:szCs w:val="18"/>
                <w:color w:val="auto"/>
                <w:w w:val="90"/>
              </w:rPr>
              <w:t>2.50%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3"/>
              </w:rPr>
              <w:t>L + 1.91%</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8/1/2026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(38,361)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(28,122)</w:t>
            </w:r>
          </w:p>
        </w:tc>
        <w:tc>
          <w:tcPr>
            <w:tcW w:w="0" w:type="dxa"/>
            <w:vAlign w:val="bottom"/>
          </w:tcPr>
          <w:p>
            <w:pPr>
              <w:spacing w:after="0"/>
              <w:rPr>
                <w:sz w:val="1"/>
                <w:szCs w:val="1"/>
                <w:color w:val="auto"/>
              </w:rPr>
            </w:pPr>
          </w:p>
        </w:tc>
      </w:tr>
      <w:tr>
        <w:trPr>
          <w:trHeight w:val="223"/>
        </w:trPr>
        <w:tc>
          <w:tcPr>
            <w:tcW w:w="3180" w:type="dxa"/>
            <w:vAlign w:val="bottom"/>
          </w:tcPr>
          <w:p>
            <w:pPr>
              <w:spacing w:after="0"/>
              <w:rPr>
                <w:sz w:val="20"/>
                <w:szCs w:val="20"/>
                <w:color w:val="auto"/>
              </w:rPr>
            </w:pPr>
            <w:r>
              <w:rPr>
                <w:rFonts w:ascii="Arial" w:cs="Arial" w:eastAsia="Arial" w:hAnsi="Arial"/>
                <w:sz w:val="18"/>
                <w:szCs w:val="18"/>
                <w:color w:val="auto"/>
              </w:rPr>
              <w:t>Total</w:t>
            </w:r>
          </w:p>
        </w:tc>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650,000</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(58,262)</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Cash collateral</w:t>
            </w:r>
          </w:p>
        </w:tc>
        <w:tc>
          <w:tcPr>
            <w:tcW w:w="1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61,592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80" w:type="dxa"/>
            <w:vAlign w:val="bottom"/>
          </w:tcPr>
          <w:p>
            <w:pPr>
              <w:ind w:left="360"/>
              <w:spacing w:after="0"/>
              <w:rPr>
                <w:sz w:val="20"/>
                <w:szCs w:val="20"/>
                <w:color w:val="auto"/>
              </w:rPr>
            </w:pPr>
            <w:r>
              <w:rPr>
                <w:rFonts w:ascii="Arial" w:cs="Arial" w:eastAsia="Arial" w:hAnsi="Arial"/>
                <w:sz w:val="18"/>
                <w:szCs w:val="18"/>
                <w:b w:val="1"/>
                <w:bCs w:val="1"/>
                <w:color w:val="auto"/>
              </w:rPr>
              <w:t>Total derivatives</w:t>
            </w:r>
          </w:p>
        </w:tc>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802,500</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2,662</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(59,580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ind w:left="984" w:hanging="544"/>
        <w:spacing w:after="0"/>
        <w:tabs>
          <w:tab w:leader="none" w:pos="984"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23" w:lineRule="exact"/>
        <w:rPr>
          <w:rFonts w:ascii="Arial" w:cs="Arial" w:eastAsia="Arial" w:hAnsi="Arial"/>
          <w:sz w:val="18"/>
          <w:szCs w:val="18"/>
          <w:color w:val="auto"/>
        </w:rPr>
      </w:pPr>
    </w:p>
    <w:p>
      <w:pPr>
        <w:ind w:left="984" w:hanging="544"/>
        <w:spacing w:after="0"/>
        <w:tabs>
          <w:tab w:leader="none" w:pos="984"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Interest rate swap was terminated or matured during the period.</w:t>
      </w:r>
    </w:p>
    <w:p>
      <w:pPr>
        <w:spacing w:after="0" w:line="9" w:lineRule="exact"/>
        <w:rPr>
          <w:rFonts w:ascii="Arial" w:cs="Arial" w:eastAsia="Arial" w:hAnsi="Arial"/>
          <w:sz w:val="18"/>
          <w:szCs w:val="18"/>
          <w:color w:val="auto"/>
        </w:rPr>
      </w:pPr>
    </w:p>
    <w:p>
      <w:pPr>
        <w:ind w:left="984" w:right="200" w:hanging="544"/>
        <w:spacing w:after="0" w:line="250" w:lineRule="auto"/>
        <w:tabs>
          <w:tab w:leader="none" w:pos="984"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Instrument is used in a hedge accounting relationship. The associated change in fair value is recorded along with the change in fair value of the hedged item within interest expense.</w:t>
      </w:r>
    </w:p>
    <w:p>
      <w:pPr>
        <w:ind w:left="984" w:right="320" w:hanging="544"/>
        <w:spacing w:after="0" w:line="265" w:lineRule="auto"/>
        <w:tabs>
          <w:tab w:leader="none" w:pos="984" w:val="left"/>
        </w:tabs>
        <w:numPr>
          <w:ilvl w:val="1"/>
          <w:numId w:val="54"/>
        </w:numPr>
        <w:rPr>
          <w:rFonts w:ascii="Arial" w:cs="Arial" w:eastAsia="Arial" w:hAnsi="Arial"/>
          <w:sz w:val="17"/>
          <w:szCs w:val="17"/>
          <w:color w:val="auto"/>
        </w:rPr>
      </w:pPr>
      <w:r>
        <w:rPr>
          <w:rFonts w:ascii="Arial" w:cs="Arial" w:eastAsia="Arial" w:hAnsi="Arial"/>
          <w:sz w:val="17"/>
          <w:szCs w:val="17"/>
          <w:color w:val="auto"/>
        </w:rPr>
        <w:t>$2.5 million in aggregate notional value of these instruments is no longer designated as instruments in a hedge accounting relationship. The associated change in fair value of the de-designated portion is recorded within unrealized gain/(loss).</w:t>
      </w:r>
    </w:p>
    <w:p>
      <w:pPr>
        <w:ind w:left="984" w:right="640" w:hanging="544"/>
        <w:spacing w:after="0" w:line="250" w:lineRule="auto"/>
        <w:tabs>
          <w:tab w:leader="none" w:pos="984"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fair market value of this instrument is presented net with the $2.5 million in aggregate notional value of instruments no longer designated as instruments in a hedge accounting relationship.</w:t>
      </w:r>
    </w:p>
    <w:p>
      <w:pPr>
        <w:ind w:left="444" w:hanging="444"/>
        <w:spacing w:after="0"/>
        <w:tabs>
          <w:tab w:leader="none" w:pos="4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9" w:lineRule="exact"/>
        <w:rPr>
          <w:rFonts w:ascii="Arial" w:cs="Arial" w:eastAsia="Arial" w:hAnsi="Arial"/>
          <w:sz w:val="18"/>
          <w:szCs w:val="18"/>
          <w:color w:val="auto"/>
        </w:rPr>
      </w:pPr>
    </w:p>
    <w:p>
      <w:pPr>
        <w:ind w:left="444" w:right="140" w:hanging="444"/>
        <w:spacing w:after="0" w:line="250" w:lineRule="auto"/>
        <w:tabs>
          <w:tab w:leader="none" w:pos="4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44" w:right="60" w:hanging="444"/>
        <w:spacing w:after="0" w:line="265" w:lineRule="auto"/>
        <w:tabs>
          <w:tab w:leader="none" w:pos="444"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Investment contains a variable rate structure, subject to an interest rate floor. Variable rate investments bear interest at a rate that may be determined by reference to either London Interbank Offered Rate (“LIBOR” or “L”), Euro Interbank Offer Rate (“Euribor” or “E”),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September 30, 2022.</w:t>
      </w:r>
    </w:p>
    <w:p>
      <w:pPr>
        <w:spacing w:after="0" w:line="1" w:lineRule="exact"/>
        <w:rPr>
          <w:rFonts w:ascii="Arial" w:cs="Arial" w:eastAsia="Arial" w:hAnsi="Arial"/>
          <w:sz w:val="17"/>
          <w:szCs w:val="17"/>
          <w:color w:val="auto"/>
        </w:rPr>
      </w:pPr>
    </w:p>
    <w:p>
      <w:pPr>
        <w:ind w:left="444" w:right="20" w:hanging="444"/>
        <w:spacing w:after="0" w:line="265" w:lineRule="auto"/>
        <w:tabs>
          <w:tab w:leader="none" w:pos="444"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12.5% of total assets as of September 30, 2022.</w:t>
      </w:r>
    </w:p>
    <w:p>
      <w:pPr>
        <w:ind w:left="444" w:right="180" w:hanging="444"/>
        <w:spacing w:after="0" w:line="273" w:lineRule="auto"/>
        <w:tabs>
          <w:tab w:leader="none" w:pos="444"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4"/>
          </w:cols>
          <w:pgMar w:left="436" w:top="508" w:right="439" w:bottom="1440" w:gutter="0" w:footer="0" w:header="0"/>
        </w:sectPr>
      </w:pPr>
    </w:p>
    <w:bookmarkStart w:id="79" w:name="page80"/>
    <w:bookmarkEnd w:id="79"/>
    <w:p>
      <w:pPr>
        <w:jc w:val="both"/>
        <w:ind w:left="444" w:right="340" w:hanging="444"/>
        <w:spacing w:after="0" w:line="263" w:lineRule="auto"/>
        <w:tabs>
          <w:tab w:leader="none" w:pos="444"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Under the 1940 Act, the Company is deemed to be an “Affiliated Person” of, as defined in the 1940 Act, a portfolio company, as the Company owns more than 5% of a portfolio company’s outstanding voting securities. Transactions during the nine months ended September 30, 2022 in which the Company was an Affiliated Person of a portfolio company are as follows:</w:t>
      </w:r>
    </w:p>
    <w:p>
      <w:pPr>
        <w:spacing w:after="0" w:line="28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Non-controlled, Affiliated Investments during the nine months ended September 30, 2022</w:t>
      </w:r>
    </w:p>
    <w:p>
      <w:pPr>
        <w:spacing w:after="0" w:line="257"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5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Fair</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8"/>
        </w:trPr>
        <w:tc>
          <w:tcPr>
            <w:tcW w:w="5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Value at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108"/>
              <w:spacing w:after="0"/>
              <w:rPr>
                <w:sz w:val="20"/>
                <w:szCs w:val="20"/>
                <w:color w:val="auto"/>
              </w:rPr>
            </w:pPr>
            <w:r>
              <w:rPr>
                <w:rFonts w:ascii="Arial" w:cs="Arial" w:eastAsia="Arial" w:hAnsi="Arial"/>
                <w:sz w:val="13"/>
                <w:szCs w:val="13"/>
                <w:b w:val="1"/>
                <w:bCs w:val="1"/>
                <w:color w:val="auto"/>
                <w:w w:val="99"/>
              </w:rPr>
              <w:t>Net Change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Value at</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5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0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2"/>
              </w:rPr>
              <w:t>December 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Gross</w:t>
            </w:r>
          </w:p>
        </w:tc>
        <w:tc>
          <w:tcPr>
            <w:tcW w:w="160" w:type="dxa"/>
            <w:vAlign w:val="bottom"/>
          </w:tcPr>
          <w:p>
            <w:pPr>
              <w:spacing w:after="0"/>
              <w:rPr>
                <w:sz w:val="12"/>
                <w:szCs w:val="12"/>
                <w:color w:val="auto"/>
              </w:rPr>
            </w:pPr>
          </w:p>
        </w:tc>
        <w:tc>
          <w:tcPr>
            <w:tcW w:w="760" w:type="dxa"/>
            <w:vAlign w:val="bottom"/>
            <w:gridSpan w:val="2"/>
          </w:tcPr>
          <w:p>
            <w:pPr>
              <w:jc w:val="right"/>
              <w:ind w:right="319"/>
              <w:spacing w:after="0"/>
              <w:rPr>
                <w:sz w:val="20"/>
                <w:szCs w:val="20"/>
                <w:color w:val="auto"/>
              </w:rPr>
            </w:pPr>
            <w:r>
              <w:rPr>
                <w:rFonts w:ascii="Arial" w:cs="Arial" w:eastAsia="Arial" w:hAnsi="Arial"/>
                <w:sz w:val="13"/>
                <w:szCs w:val="13"/>
                <w:b w:val="1"/>
                <w:bCs w:val="1"/>
                <w:color w:val="auto"/>
              </w:rPr>
              <w:t>Gross</w:t>
            </w:r>
          </w:p>
        </w:tc>
        <w:tc>
          <w:tcPr>
            <w:tcW w:w="1000" w:type="dxa"/>
            <w:vAlign w:val="bottom"/>
            <w:gridSpan w:val="4"/>
          </w:tcPr>
          <w:p>
            <w:pPr>
              <w:ind w:left="80"/>
              <w:spacing w:after="0"/>
              <w:rPr>
                <w:sz w:val="20"/>
                <w:szCs w:val="20"/>
                <w:color w:val="auto"/>
              </w:rPr>
            </w:pPr>
            <w:r>
              <w:rPr>
                <w:rFonts w:ascii="Arial" w:cs="Arial" w:eastAsia="Arial" w:hAnsi="Arial"/>
                <w:sz w:val="13"/>
                <w:szCs w:val="13"/>
                <w:b w:val="1"/>
                <w:bCs w:val="1"/>
                <w:color w:val="auto"/>
              </w:rPr>
              <w:t>In Unrealized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30"/>
              <w:spacing w:after="0"/>
              <w:rPr>
                <w:sz w:val="20"/>
                <w:szCs w:val="20"/>
                <w:color w:val="auto"/>
              </w:rPr>
            </w:pPr>
            <w:r>
              <w:rPr>
                <w:rFonts w:ascii="Arial" w:cs="Arial" w:eastAsia="Arial" w:hAnsi="Arial"/>
                <w:sz w:val="13"/>
                <w:szCs w:val="13"/>
                <w:b w:val="1"/>
                <w:bCs w:val="1"/>
                <w:color w:val="auto"/>
                <w:w w:val="90"/>
              </w:rPr>
              <w:t>Realized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4"/>
              </w:rPr>
              <w:t>September 30,</w:t>
            </w: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rPr>
              <w:t>Dividend</w:t>
            </w:r>
          </w:p>
        </w:tc>
        <w:tc>
          <w:tcPr>
            <w:tcW w:w="500" w:type="dxa"/>
            <w:vAlign w:val="bottom"/>
            <w:gridSpan w:val="3"/>
          </w:tcPr>
          <w:p>
            <w:pPr>
              <w:spacing w:after="0"/>
              <w:rPr>
                <w:sz w:val="20"/>
                <w:szCs w:val="20"/>
                <w:color w:val="auto"/>
              </w:rPr>
            </w:pPr>
            <w:r>
              <w:rPr>
                <w:rFonts w:ascii="Arial" w:cs="Arial" w:eastAsia="Arial" w:hAnsi="Arial"/>
                <w:sz w:val="13"/>
                <w:szCs w:val="13"/>
                <w:b w:val="1"/>
                <w:bCs w:val="1"/>
                <w:color w:val="auto"/>
              </w:rPr>
              <w:t>Interest</w:t>
            </w:r>
          </w:p>
        </w:tc>
      </w:tr>
      <w:tr>
        <w:trPr>
          <w:trHeight w:val="161"/>
        </w:trPr>
        <w:tc>
          <w:tcPr>
            <w:tcW w:w="560" w:type="dxa"/>
            <w:vAlign w:val="bottom"/>
          </w:tcPr>
          <w:p>
            <w:pPr>
              <w:spacing w:after="0"/>
              <w:rPr>
                <w:sz w:val="20"/>
                <w:szCs w:val="20"/>
                <w:color w:val="auto"/>
              </w:rPr>
            </w:pPr>
            <w:r>
              <w:rPr>
                <w:rFonts w:ascii="Arial" w:cs="Arial" w:eastAsia="Arial" w:hAnsi="Arial"/>
                <w:sz w:val="13"/>
                <w:szCs w:val="13"/>
                <w:b w:val="1"/>
                <w:bCs w:val="1"/>
                <w:color w:val="auto"/>
                <w:w w:val="91"/>
              </w:rPr>
              <w:t>Company</w:t>
            </w:r>
          </w:p>
        </w:tc>
        <w:tc>
          <w:tcPr>
            <w:tcW w:w="2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31"/>
              <w:spacing w:after="0"/>
              <w:rPr>
                <w:sz w:val="20"/>
                <w:szCs w:val="20"/>
                <w:color w:val="auto"/>
              </w:rPr>
            </w:pPr>
            <w:r>
              <w:rPr>
                <w:rFonts w:ascii="Arial" w:cs="Arial" w:eastAsia="Arial" w:hAnsi="Arial"/>
                <w:sz w:val="13"/>
                <w:szCs w:val="13"/>
                <w:b w:val="1"/>
                <w:bCs w:val="1"/>
                <w:color w:val="auto"/>
                <w:w w:val="89"/>
              </w:rPr>
              <w:t>2021</w:t>
            </w:r>
          </w:p>
        </w:tc>
        <w:tc>
          <w:tcPr>
            <w:tcW w:w="20" w:type="dxa"/>
            <w:vAlign w:val="bottom"/>
          </w:tcPr>
          <w:p>
            <w:pPr>
              <w:spacing w:after="0"/>
              <w:rPr>
                <w:sz w:val="14"/>
                <w:szCs w:val="14"/>
                <w:color w:val="auto"/>
              </w:rPr>
            </w:pPr>
          </w:p>
        </w:tc>
        <w:tc>
          <w:tcPr>
            <w:tcW w:w="1000" w:type="dxa"/>
            <w:vAlign w:val="bottom"/>
            <w:gridSpan w:val="4"/>
          </w:tcPr>
          <w:p>
            <w:pPr>
              <w:ind w:left="160"/>
              <w:spacing w:after="0" w:line="162" w:lineRule="exact"/>
              <w:rPr>
                <w:sz w:val="20"/>
                <w:szCs w:val="20"/>
                <w:color w:val="auto"/>
              </w:rPr>
            </w:pPr>
            <w:r>
              <w:rPr>
                <w:rFonts w:ascii="Arial" w:cs="Arial" w:eastAsia="Arial" w:hAnsi="Arial"/>
                <w:sz w:val="12"/>
                <w:szCs w:val="12"/>
                <w:b w:val="1"/>
                <w:bCs w:val="1"/>
                <w:color w:val="auto"/>
              </w:rPr>
              <w:t>Additions</w:t>
            </w:r>
            <w:r>
              <w:rPr>
                <w:rFonts w:ascii="Arial" w:cs="Arial" w:eastAsia="Arial" w:hAnsi="Arial"/>
                <w:sz w:val="18"/>
                <w:szCs w:val="18"/>
                <w:b w:val="1"/>
                <w:bCs w:val="1"/>
                <w:color w:val="auto"/>
                <w:vertAlign w:val="superscript"/>
              </w:rPr>
              <w:t>(a)</w:t>
            </w:r>
          </w:p>
        </w:tc>
        <w:tc>
          <w:tcPr>
            <w:tcW w:w="920" w:type="dxa"/>
            <w:vAlign w:val="bottom"/>
            <w:gridSpan w:val="3"/>
          </w:tcPr>
          <w:p>
            <w:pPr>
              <w:ind w:left="20"/>
              <w:spacing w:after="0" w:line="162" w:lineRule="exact"/>
              <w:rPr>
                <w:sz w:val="20"/>
                <w:szCs w:val="20"/>
                <w:color w:val="auto"/>
              </w:rPr>
            </w:pPr>
            <w:r>
              <w:rPr>
                <w:rFonts w:ascii="Arial" w:cs="Arial" w:eastAsia="Arial" w:hAnsi="Arial"/>
                <w:sz w:val="12"/>
                <w:szCs w:val="12"/>
                <w:b w:val="1"/>
                <w:bCs w:val="1"/>
                <w:color w:val="auto"/>
              </w:rPr>
              <w:t>Reductions</w:t>
            </w:r>
            <w:r>
              <w:rPr>
                <w:rFonts w:ascii="Arial" w:cs="Arial" w:eastAsia="Arial" w:hAnsi="Arial"/>
                <w:sz w:val="18"/>
                <w:szCs w:val="18"/>
                <w:b w:val="1"/>
                <w:bCs w:val="1"/>
                <w:color w:val="auto"/>
                <w:vertAlign w:val="superscript"/>
              </w:rPr>
              <w:t>(b)</w:t>
            </w:r>
          </w:p>
        </w:tc>
        <w:tc>
          <w:tcPr>
            <w:tcW w:w="80" w:type="dxa"/>
            <w:vAlign w:val="bottom"/>
          </w:tcPr>
          <w:p>
            <w:pPr>
              <w:spacing w:after="0"/>
              <w:rPr>
                <w:sz w:val="14"/>
                <w:szCs w:val="14"/>
                <w:color w:val="auto"/>
              </w:rPr>
            </w:pPr>
          </w:p>
        </w:tc>
        <w:tc>
          <w:tcPr>
            <w:tcW w:w="920" w:type="dxa"/>
            <w:vAlign w:val="bottom"/>
            <w:gridSpan w:val="3"/>
          </w:tcPr>
          <w:p>
            <w:pPr>
              <w:jc w:val="right"/>
              <w:ind w:right="108"/>
              <w:spacing w:after="0"/>
              <w:rPr>
                <w:sz w:val="20"/>
                <w:szCs w:val="20"/>
                <w:color w:val="auto"/>
              </w:rPr>
            </w:pPr>
            <w:r>
              <w:rPr>
                <w:rFonts w:ascii="Arial" w:cs="Arial" w:eastAsia="Arial" w:hAnsi="Arial"/>
                <w:sz w:val="13"/>
                <w:szCs w:val="13"/>
                <w:b w:val="1"/>
                <w:bCs w:val="1"/>
                <w:color w:val="auto"/>
              </w:rPr>
              <w:t>Gain/(Loss)</w:t>
            </w:r>
          </w:p>
        </w:tc>
        <w:tc>
          <w:tcPr>
            <w:tcW w:w="780" w:type="dxa"/>
            <w:vAlign w:val="bottom"/>
            <w:gridSpan w:val="3"/>
          </w:tcPr>
          <w:p>
            <w:pPr>
              <w:ind w:left="100"/>
              <w:spacing w:after="0"/>
              <w:rPr>
                <w:sz w:val="20"/>
                <w:szCs w:val="20"/>
                <w:color w:val="auto"/>
              </w:rPr>
            </w:pPr>
            <w:r>
              <w:rPr>
                <w:rFonts w:ascii="Arial" w:cs="Arial" w:eastAsia="Arial" w:hAnsi="Arial"/>
                <w:sz w:val="13"/>
                <w:szCs w:val="13"/>
                <w:b w:val="1"/>
                <w:bCs w:val="1"/>
                <w:color w:val="auto"/>
                <w:w w:val="92"/>
              </w:rPr>
              <w:t>Gain/(Loss)</w:t>
            </w:r>
          </w:p>
        </w:tc>
        <w:tc>
          <w:tcPr>
            <w:tcW w:w="880" w:type="dxa"/>
            <w:vAlign w:val="bottom"/>
            <w:gridSpan w:val="4"/>
          </w:tcPr>
          <w:p>
            <w:pPr>
              <w:ind w:left="160"/>
              <w:spacing w:after="0"/>
              <w:rPr>
                <w:sz w:val="20"/>
                <w:szCs w:val="20"/>
                <w:color w:val="auto"/>
              </w:rPr>
            </w:pPr>
            <w:r>
              <w:rPr>
                <w:rFonts w:ascii="Arial" w:cs="Arial" w:eastAsia="Arial" w:hAnsi="Arial"/>
                <w:sz w:val="13"/>
                <w:szCs w:val="13"/>
                <w:b w:val="1"/>
                <w:bCs w:val="1"/>
                <w:color w:val="auto"/>
              </w:rPr>
              <w:t>Transfers</w:t>
            </w:r>
          </w:p>
        </w:tc>
        <w:tc>
          <w:tcPr>
            <w:tcW w:w="140" w:type="dxa"/>
            <w:vAlign w:val="bottom"/>
          </w:tcPr>
          <w:p>
            <w:pPr>
              <w:spacing w:after="0"/>
              <w:rPr>
                <w:sz w:val="14"/>
                <w:szCs w:val="14"/>
                <w:color w:val="auto"/>
              </w:rPr>
            </w:pPr>
          </w:p>
        </w:tc>
        <w:tc>
          <w:tcPr>
            <w:tcW w:w="680" w:type="dxa"/>
            <w:vAlign w:val="bottom"/>
          </w:tcPr>
          <w:p>
            <w:pPr>
              <w:jc w:val="center"/>
              <w:ind w:right="51"/>
              <w:spacing w:after="0"/>
              <w:rPr>
                <w:sz w:val="20"/>
                <w:szCs w:val="20"/>
                <w:color w:val="auto"/>
              </w:rPr>
            </w:pPr>
            <w:r>
              <w:rPr>
                <w:rFonts w:ascii="Arial" w:cs="Arial" w:eastAsia="Arial" w:hAnsi="Arial"/>
                <w:sz w:val="13"/>
                <w:szCs w:val="13"/>
                <w:b w:val="1"/>
                <w:bCs w:val="1"/>
                <w:color w:val="auto"/>
                <w:w w:val="96"/>
              </w:rPr>
              <w:t>2022</w:t>
            </w:r>
          </w:p>
        </w:tc>
        <w:tc>
          <w:tcPr>
            <w:tcW w:w="18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b w:val="1"/>
                <w:bCs w:val="1"/>
                <w:color w:val="auto"/>
              </w:rPr>
              <w:t>Income</w:t>
            </w:r>
          </w:p>
        </w:tc>
        <w:tc>
          <w:tcPr>
            <w:tcW w:w="500" w:type="dxa"/>
            <w:vAlign w:val="bottom"/>
            <w:gridSpan w:val="3"/>
          </w:tcPr>
          <w:p>
            <w:pPr>
              <w:ind w:left="20"/>
              <w:spacing w:after="0"/>
              <w:rPr>
                <w:sz w:val="20"/>
                <w:szCs w:val="20"/>
                <w:color w:val="auto"/>
              </w:rPr>
            </w:pPr>
            <w:r>
              <w:rPr>
                <w:rFonts w:ascii="Arial" w:cs="Arial" w:eastAsia="Arial" w:hAnsi="Arial"/>
                <w:sz w:val="13"/>
                <w:szCs w:val="13"/>
                <w:b w:val="1"/>
                <w:bCs w:val="1"/>
                <w:color w:val="auto"/>
              </w:rPr>
              <w:t>Income</w:t>
            </w:r>
          </w:p>
        </w:tc>
      </w:tr>
      <w:tr>
        <w:trPr>
          <w:trHeight w:val="20"/>
        </w:trPr>
        <w:tc>
          <w:tcPr>
            <w:tcW w:w="56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34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MD America Energy, LLC</w:t>
            </w:r>
            <w:r>
              <w:rPr>
                <w:rFonts w:ascii="Arial" w:cs="Arial" w:eastAsia="Arial" w:hAnsi="Arial"/>
                <w:sz w:val="10"/>
                <w:szCs w:val="10"/>
                <w:color w:val="auto"/>
              </w:rPr>
              <w:t>(c)</w:t>
            </w:r>
          </w:p>
        </w:tc>
        <w:tc>
          <w:tcPr>
            <w:tcW w:w="10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27,017</w:t>
            </w:r>
          </w:p>
        </w:tc>
        <w:tc>
          <w:tcPr>
            <w:tcW w:w="280" w:type="dxa"/>
            <w:vAlign w:val="bottom"/>
            <w:gridSpan w:val="2"/>
            <w:shd w:val="clear" w:color="auto" w:fill="CCEEFF"/>
          </w:tcPr>
          <w:p>
            <w:pPr>
              <w:ind w:left="160"/>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59"/>
              <w:spacing w:after="0" w:line="142" w:lineRule="exact"/>
              <w:rPr>
                <w:sz w:val="20"/>
                <w:szCs w:val="20"/>
                <w:color w:val="auto"/>
              </w:rPr>
            </w:pPr>
            <w:r>
              <w:rPr>
                <w:rFonts w:ascii="Arial" w:cs="Arial" w:eastAsia="Arial" w:hAnsi="Arial"/>
                <w:sz w:val="14"/>
                <w:szCs w:val="14"/>
                <w:color w:val="auto"/>
              </w:rPr>
              <w:t>(12,667)</w:t>
            </w:r>
          </w:p>
        </w:tc>
        <w:tc>
          <w:tcPr>
            <w:tcW w:w="30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(14,350)</w:t>
            </w:r>
          </w:p>
        </w:tc>
        <w:tc>
          <w:tcPr>
            <w:tcW w:w="18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13,673</w:t>
            </w:r>
          </w:p>
        </w:tc>
        <w:tc>
          <w:tcPr>
            <w:tcW w:w="360" w:type="dxa"/>
            <w:vAlign w:val="bottom"/>
            <w:gridSpan w:val="2"/>
            <w:shd w:val="clear" w:color="auto" w:fill="CCEEFF"/>
          </w:tcPr>
          <w:p>
            <w:pPr>
              <w:ind w:left="160"/>
              <w:spacing w:after="0" w:line="142"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ind w:left="480"/>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133</w:t>
            </w:r>
          </w:p>
        </w:tc>
      </w:tr>
      <w:tr>
        <w:trPr>
          <w:trHeight w:val="156"/>
        </w:trPr>
        <w:tc>
          <w:tcPr>
            <w:tcW w:w="3440" w:type="dxa"/>
            <w:vAlign w:val="bottom"/>
            <w:gridSpan w:val="2"/>
          </w:tcPr>
          <w:p>
            <w:pPr>
              <w:spacing w:after="0" w:line="155" w:lineRule="exact"/>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27,017</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ind w:left="340"/>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(12,667</w:t>
            </w:r>
          </w:p>
        </w:tc>
        <w:tc>
          <w:tcPr>
            <w:tcW w:w="140" w:type="dxa"/>
            <w:vAlign w:val="bottom"/>
          </w:tcPr>
          <w:p>
            <w:pPr>
              <w:jc w:val="right"/>
              <w:ind w:right="59"/>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(14,350</w:t>
            </w:r>
          </w:p>
        </w:tc>
        <w:tc>
          <w:tcPr>
            <w:tcW w:w="14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w w:val="84"/>
              </w:rPr>
              <w:t>)</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13,673</w:t>
            </w:r>
          </w:p>
        </w:tc>
        <w:tc>
          <w:tcPr>
            <w:tcW w:w="1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ind w:left="480"/>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133</w:t>
            </w:r>
          </w:p>
        </w:tc>
        <w:tc>
          <w:tcPr>
            <w:tcW w:w="40" w:type="dxa"/>
            <w:vAlign w:val="bottom"/>
          </w:tcPr>
          <w:p>
            <w:pPr>
              <w:spacing w:after="0"/>
              <w:rPr>
                <w:sz w:val="13"/>
                <w:szCs w:val="13"/>
                <w:color w:val="auto"/>
              </w:rPr>
            </w:pPr>
          </w:p>
        </w:tc>
      </w:tr>
      <w:tr>
        <w:trPr>
          <w:trHeight w:val="20"/>
        </w:trPr>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984" w:right="180" w:hanging="544"/>
        <w:spacing w:after="0" w:line="258" w:lineRule="auto"/>
        <w:tabs>
          <w:tab w:leader="none" w:pos="984" w:val="left"/>
        </w:tabs>
        <w:numPr>
          <w:ilvl w:val="1"/>
          <w:numId w:val="57"/>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984" w:right="20" w:hanging="544"/>
        <w:spacing w:after="0" w:line="250" w:lineRule="auto"/>
        <w:tabs>
          <w:tab w:leader="none" w:pos="984" w:val="left"/>
        </w:tabs>
        <w:numPr>
          <w:ilvl w:val="1"/>
          <w:numId w:val="57"/>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1" w:lineRule="exact"/>
        <w:rPr>
          <w:rFonts w:ascii="Arial" w:cs="Arial" w:eastAsia="Arial" w:hAnsi="Arial"/>
          <w:sz w:val="18"/>
          <w:szCs w:val="18"/>
          <w:color w:val="auto"/>
        </w:rPr>
      </w:pPr>
    </w:p>
    <w:p>
      <w:pPr>
        <w:ind w:left="984" w:hanging="544"/>
        <w:spacing w:after="0"/>
        <w:tabs>
          <w:tab w:leader="none" w:pos="984" w:val="left"/>
        </w:tabs>
        <w:numPr>
          <w:ilvl w:val="1"/>
          <w:numId w:val="57"/>
        </w:numPr>
        <w:rPr>
          <w:rFonts w:ascii="Arial" w:cs="Arial" w:eastAsia="Arial" w:hAnsi="Arial"/>
          <w:sz w:val="18"/>
          <w:szCs w:val="18"/>
          <w:color w:val="auto"/>
        </w:rPr>
      </w:pPr>
      <w:r>
        <w:rPr>
          <w:rFonts w:ascii="Arial" w:cs="Arial" w:eastAsia="Arial" w:hAnsi="Arial"/>
          <w:sz w:val="18"/>
          <w:szCs w:val="18"/>
          <w:color w:val="auto"/>
        </w:rPr>
        <w:t>Includes investment in SMPA Holdings, LLC of 15,000 common equity units.</w:t>
      </w:r>
    </w:p>
    <w:p>
      <w:pPr>
        <w:spacing w:after="0" w:line="237" w:lineRule="exact"/>
        <w:rPr>
          <w:rFonts w:ascii="Arial" w:cs="Arial" w:eastAsia="Arial" w:hAnsi="Arial"/>
          <w:sz w:val="18"/>
          <w:szCs w:val="18"/>
          <w:color w:val="auto"/>
        </w:rPr>
      </w:pPr>
    </w:p>
    <w:p>
      <w:pPr>
        <w:ind w:left="444" w:right="260" w:hanging="444"/>
        <w:spacing w:after="0" w:line="257" w:lineRule="auto"/>
        <w:tabs>
          <w:tab w:leader="none" w:pos="4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nine months ended September 30, 2022 in which the Company was an Affiliated Person of and was deemed to Control a portfolio company are as follows:</w:t>
      </w:r>
    </w:p>
    <w:p>
      <w:pPr>
        <w:spacing w:after="0" w:line="29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Controlled, Affiliated Investments during the nine months ended September 30, 2022</w:t>
      </w:r>
    </w:p>
    <w:p>
      <w:pPr>
        <w:spacing w:after="0" w:line="257"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5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50"/>
              <w:spacing w:after="0"/>
              <w:rPr>
                <w:sz w:val="20"/>
                <w:szCs w:val="20"/>
                <w:color w:val="auto"/>
              </w:rPr>
            </w:pPr>
            <w:r>
              <w:rPr>
                <w:rFonts w:ascii="Arial" w:cs="Arial" w:eastAsia="Arial" w:hAnsi="Arial"/>
                <w:sz w:val="13"/>
                <w:szCs w:val="13"/>
                <w:b w:val="1"/>
                <w:bCs w:val="1"/>
                <w:color w:val="auto"/>
              </w:rPr>
              <w:t>Fair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5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50"/>
              <w:spacing w:after="0"/>
              <w:rPr>
                <w:sz w:val="20"/>
                <w:szCs w:val="20"/>
                <w:color w:val="auto"/>
              </w:rPr>
            </w:pPr>
            <w:r>
              <w:rPr>
                <w:rFonts w:ascii="Arial" w:cs="Arial" w:eastAsia="Arial" w:hAnsi="Arial"/>
                <w:sz w:val="13"/>
                <w:szCs w:val="13"/>
                <w:b w:val="1"/>
                <w:bCs w:val="1"/>
                <w:color w:val="auto"/>
                <w:w w:val="96"/>
              </w:rPr>
              <w:t>Value at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Net Change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Value at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5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December 31,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80"/>
              <w:spacing w:after="0"/>
              <w:rPr>
                <w:sz w:val="20"/>
                <w:szCs w:val="20"/>
                <w:color w:val="auto"/>
              </w:rPr>
            </w:pPr>
            <w:r>
              <w:rPr>
                <w:rFonts w:ascii="Arial" w:cs="Arial" w:eastAsia="Arial" w:hAnsi="Arial"/>
                <w:sz w:val="13"/>
                <w:szCs w:val="13"/>
                <w:b w:val="1"/>
                <w:bCs w:val="1"/>
                <w:color w:val="auto"/>
              </w:rPr>
              <w:t>Gross</w:t>
            </w:r>
          </w:p>
        </w:tc>
        <w:tc>
          <w:tcPr>
            <w:tcW w:w="80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In Unrealized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29"/>
              <w:spacing w:after="0"/>
              <w:rPr>
                <w:sz w:val="20"/>
                <w:szCs w:val="20"/>
                <w:color w:val="auto"/>
              </w:rPr>
            </w:pPr>
            <w:r>
              <w:rPr>
                <w:rFonts w:ascii="Arial" w:cs="Arial" w:eastAsia="Arial" w:hAnsi="Arial"/>
                <w:sz w:val="13"/>
                <w:szCs w:val="13"/>
                <w:b w:val="1"/>
                <w:bCs w:val="1"/>
                <w:color w:val="auto"/>
                <w:w w:val="90"/>
              </w:rPr>
              <w:t>Realized</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2"/>
              </w:rPr>
              <w:t>September 30,</w:t>
            </w:r>
          </w:p>
        </w:tc>
        <w:tc>
          <w:tcPr>
            <w:tcW w:w="440" w:type="dxa"/>
            <w:vAlign w:val="bottom"/>
            <w:gridSpan w:val="2"/>
          </w:tcPr>
          <w:p>
            <w:pPr>
              <w:ind w:left="60"/>
              <w:spacing w:after="0"/>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2"/>
                <w:szCs w:val="12"/>
                <w:color w:val="auto"/>
              </w:rPr>
            </w:pPr>
          </w:p>
        </w:tc>
        <w:tc>
          <w:tcPr>
            <w:tcW w:w="500" w:type="dxa"/>
            <w:vAlign w:val="bottom"/>
            <w:gridSpan w:val="2"/>
          </w:tcPr>
          <w:p>
            <w:pPr>
              <w:spacing w:after="0"/>
              <w:rPr>
                <w:sz w:val="20"/>
                <w:szCs w:val="20"/>
                <w:color w:val="auto"/>
              </w:rPr>
            </w:pPr>
            <w:r>
              <w:rPr>
                <w:rFonts w:ascii="Arial" w:cs="Arial" w:eastAsia="Arial" w:hAnsi="Arial"/>
                <w:sz w:val="13"/>
                <w:szCs w:val="13"/>
                <w:b w:val="1"/>
                <w:bCs w:val="1"/>
                <w:color w:val="auto"/>
              </w:rPr>
              <w:t>Interest</w:t>
            </w:r>
          </w:p>
        </w:tc>
      </w:tr>
      <w:tr>
        <w:trPr>
          <w:trHeight w:val="161"/>
        </w:trPr>
        <w:tc>
          <w:tcPr>
            <w:tcW w:w="560" w:type="dxa"/>
            <w:vAlign w:val="bottom"/>
          </w:tcPr>
          <w:p>
            <w:pPr>
              <w:spacing w:after="0"/>
              <w:rPr>
                <w:sz w:val="20"/>
                <w:szCs w:val="20"/>
                <w:color w:val="auto"/>
              </w:rPr>
            </w:pPr>
            <w:r>
              <w:rPr>
                <w:rFonts w:ascii="Arial" w:cs="Arial" w:eastAsia="Arial" w:hAnsi="Arial"/>
                <w:sz w:val="13"/>
                <w:szCs w:val="13"/>
                <w:b w:val="1"/>
                <w:bCs w:val="1"/>
                <w:color w:val="auto"/>
                <w:w w:val="91"/>
              </w:rPr>
              <w:t>Company</w:t>
            </w: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50"/>
              <w:spacing w:after="0"/>
              <w:rPr>
                <w:sz w:val="20"/>
                <w:szCs w:val="20"/>
                <w:color w:val="auto"/>
              </w:rPr>
            </w:pPr>
            <w:r>
              <w:rPr>
                <w:rFonts w:ascii="Arial" w:cs="Arial" w:eastAsia="Arial" w:hAnsi="Arial"/>
                <w:sz w:val="13"/>
                <w:szCs w:val="13"/>
                <w:b w:val="1"/>
                <w:bCs w:val="1"/>
                <w:color w:val="auto"/>
                <w:w w:val="96"/>
              </w:rPr>
              <w:t>2021</w:t>
            </w:r>
          </w:p>
        </w:tc>
        <w:tc>
          <w:tcPr>
            <w:tcW w:w="180" w:type="dxa"/>
            <w:vAlign w:val="bottom"/>
          </w:tcPr>
          <w:p>
            <w:pPr>
              <w:spacing w:after="0"/>
              <w:rPr>
                <w:sz w:val="14"/>
                <w:szCs w:val="14"/>
                <w:color w:val="auto"/>
              </w:rPr>
            </w:pPr>
          </w:p>
        </w:tc>
        <w:tc>
          <w:tcPr>
            <w:tcW w:w="780" w:type="dxa"/>
            <w:vAlign w:val="bottom"/>
            <w:gridSpan w:val="3"/>
          </w:tcPr>
          <w:p>
            <w:pPr>
              <w:spacing w:after="0" w:line="162" w:lineRule="exact"/>
              <w:rPr>
                <w:sz w:val="20"/>
                <w:szCs w:val="20"/>
                <w:color w:val="auto"/>
              </w:rPr>
            </w:pPr>
            <w:r>
              <w:rPr>
                <w:rFonts w:ascii="Arial" w:cs="Arial" w:eastAsia="Arial" w:hAnsi="Arial"/>
                <w:sz w:val="12"/>
                <w:szCs w:val="12"/>
                <w:b w:val="1"/>
                <w:bCs w:val="1"/>
                <w:color w:val="auto"/>
              </w:rPr>
              <w:t>Additions</w:t>
            </w:r>
            <w:r>
              <w:rPr>
                <w:rFonts w:ascii="Arial" w:cs="Arial" w:eastAsia="Arial" w:hAnsi="Arial"/>
                <w:sz w:val="18"/>
                <w:szCs w:val="18"/>
                <w:b w:val="1"/>
                <w:bCs w:val="1"/>
                <w:color w:val="auto"/>
                <w:vertAlign w:val="superscript"/>
              </w:rPr>
              <w:t>(a)</w:t>
            </w:r>
          </w:p>
        </w:tc>
        <w:tc>
          <w:tcPr>
            <w:tcW w:w="1100" w:type="dxa"/>
            <w:vAlign w:val="bottom"/>
            <w:gridSpan w:val="4"/>
          </w:tcPr>
          <w:p>
            <w:pPr>
              <w:ind w:left="100"/>
              <w:spacing w:after="0" w:line="162" w:lineRule="exact"/>
              <w:rPr>
                <w:sz w:val="20"/>
                <w:szCs w:val="20"/>
                <w:color w:val="auto"/>
              </w:rPr>
            </w:pPr>
            <w:r>
              <w:rPr>
                <w:rFonts w:ascii="Arial" w:cs="Arial" w:eastAsia="Arial" w:hAnsi="Arial"/>
                <w:sz w:val="12"/>
                <w:szCs w:val="12"/>
                <w:b w:val="1"/>
                <w:bCs w:val="1"/>
                <w:color w:val="auto"/>
              </w:rPr>
              <w:t>Reductions</w:t>
            </w:r>
            <w:r>
              <w:rPr>
                <w:rFonts w:ascii="Arial" w:cs="Arial" w:eastAsia="Arial" w:hAnsi="Arial"/>
                <w:sz w:val="18"/>
                <w:szCs w:val="18"/>
                <w:b w:val="1"/>
                <w:bCs w:val="1"/>
                <w:color w:val="auto"/>
                <w:vertAlign w:val="superscript"/>
              </w:rPr>
              <w:t>(b)</w:t>
            </w:r>
          </w:p>
        </w:tc>
        <w:tc>
          <w:tcPr>
            <w:tcW w:w="800" w:type="dxa"/>
            <w:vAlign w:val="bottom"/>
            <w:gridSpan w:val="2"/>
          </w:tcPr>
          <w:p>
            <w:pPr>
              <w:jc w:val="right"/>
              <w:spacing w:after="0"/>
              <w:rPr>
                <w:sz w:val="20"/>
                <w:szCs w:val="20"/>
                <w:color w:val="auto"/>
              </w:rPr>
            </w:pPr>
            <w:r>
              <w:rPr>
                <w:rFonts w:ascii="Arial" w:cs="Arial" w:eastAsia="Arial" w:hAnsi="Arial"/>
                <w:sz w:val="13"/>
                <w:szCs w:val="13"/>
                <w:b w:val="1"/>
                <w:bCs w:val="1"/>
                <w:color w:val="auto"/>
              </w:rPr>
              <w:t>Gain/(Loss)</w:t>
            </w:r>
          </w:p>
        </w:tc>
        <w:tc>
          <w:tcPr>
            <w:tcW w:w="860" w:type="dxa"/>
            <w:vAlign w:val="bottom"/>
            <w:gridSpan w:val="3"/>
          </w:tcPr>
          <w:p>
            <w:pPr>
              <w:ind w:left="180"/>
              <w:spacing w:after="0"/>
              <w:rPr>
                <w:sz w:val="20"/>
                <w:szCs w:val="20"/>
                <w:color w:val="auto"/>
              </w:rPr>
            </w:pPr>
            <w:r>
              <w:rPr>
                <w:rFonts w:ascii="Arial" w:cs="Arial" w:eastAsia="Arial" w:hAnsi="Arial"/>
                <w:sz w:val="13"/>
                <w:szCs w:val="13"/>
                <w:b w:val="1"/>
                <w:bCs w:val="1"/>
                <w:color w:val="auto"/>
                <w:w w:val="92"/>
              </w:rPr>
              <w:t>Gain/(Loss)</w:t>
            </w:r>
          </w:p>
        </w:tc>
        <w:tc>
          <w:tcPr>
            <w:tcW w:w="740" w:type="dxa"/>
            <w:vAlign w:val="bottom"/>
            <w:gridSpan w:val="3"/>
          </w:tcPr>
          <w:p>
            <w:pPr>
              <w:ind w:left="180"/>
              <w:spacing w:after="0"/>
              <w:rPr>
                <w:sz w:val="20"/>
                <w:szCs w:val="20"/>
                <w:color w:val="auto"/>
              </w:rPr>
            </w:pPr>
            <w:r>
              <w:rPr>
                <w:rFonts w:ascii="Arial" w:cs="Arial" w:eastAsia="Arial" w:hAnsi="Arial"/>
                <w:sz w:val="13"/>
                <w:szCs w:val="13"/>
                <w:b w:val="1"/>
                <w:bCs w:val="1"/>
                <w:color w:val="auto"/>
                <w:w w:val="91"/>
              </w:rPr>
              <w:t>Transfers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50"/>
              <w:spacing w:after="0"/>
              <w:rPr>
                <w:sz w:val="20"/>
                <w:szCs w:val="20"/>
                <w:color w:val="auto"/>
              </w:rPr>
            </w:pPr>
            <w:r>
              <w:rPr>
                <w:rFonts w:ascii="Arial" w:cs="Arial" w:eastAsia="Arial" w:hAnsi="Arial"/>
                <w:sz w:val="13"/>
                <w:szCs w:val="13"/>
                <w:b w:val="1"/>
                <w:bCs w:val="1"/>
                <w:color w:val="auto"/>
                <w:w w:val="89"/>
              </w:rPr>
              <w:t>2022</w:t>
            </w:r>
          </w:p>
        </w:tc>
        <w:tc>
          <w:tcPr>
            <w:tcW w:w="180" w:type="dxa"/>
            <w:vAlign w:val="bottom"/>
          </w:tcPr>
          <w:p>
            <w:pPr>
              <w:spacing w:after="0"/>
              <w:rPr>
                <w:sz w:val="14"/>
                <w:szCs w:val="14"/>
                <w:color w:val="auto"/>
              </w:rPr>
            </w:pPr>
          </w:p>
        </w:tc>
        <w:tc>
          <w:tcPr>
            <w:tcW w:w="440" w:type="dxa"/>
            <w:vAlign w:val="bottom"/>
            <w:gridSpan w:val="2"/>
          </w:tcPr>
          <w:p>
            <w:pPr>
              <w:spacing w:after="0"/>
              <w:rPr>
                <w:sz w:val="20"/>
                <w:szCs w:val="20"/>
                <w:color w:val="auto"/>
              </w:rPr>
            </w:pPr>
            <w:r>
              <w:rPr>
                <w:rFonts w:ascii="Arial" w:cs="Arial" w:eastAsia="Arial" w:hAnsi="Arial"/>
                <w:sz w:val="13"/>
                <w:szCs w:val="13"/>
                <w:b w:val="1"/>
                <w:bCs w:val="1"/>
                <w:color w:val="auto"/>
                <w:w w:val="92"/>
              </w:rPr>
              <w:t>Income</w:t>
            </w:r>
          </w:p>
        </w:tc>
        <w:tc>
          <w:tcPr>
            <w:tcW w:w="18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w:t>
            </w:r>
          </w:p>
        </w:tc>
      </w:tr>
      <w:tr>
        <w:trPr>
          <w:trHeight w:val="20"/>
        </w:trPr>
        <w:tc>
          <w:tcPr>
            <w:tcW w:w="56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5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IRGSE</w:t>
            </w:r>
          </w:p>
        </w:tc>
        <w:tc>
          <w:tcPr>
            <w:tcW w:w="28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Holding Corp.</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59,779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center"/>
              <w:ind w:left="69"/>
              <w:spacing w:after="0" w:line="142" w:lineRule="exact"/>
              <w:rPr>
                <w:sz w:val="20"/>
                <w:szCs w:val="20"/>
                <w:color w:val="auto"/>
              </w:rPr>
            </w:pPr>
            <w:r>
              <w:rPr>
                <w:rFonts w:ascii="Arial" w:cs="Arial" w:eastAsia="Arial" w:hAnsi="Arial"/>
                <w:sz w:val="14"/>
                <w:szCs w:val="14"/>
                <w:color w:val="auto"/>
                <w:w w:val="91"/>
              </w:rPr>
              <w:t>2,500</w:t>
            </w:r>
          </w:p>
        </w:tc>
        <w:tc>
          <w:tcPr>
            <w:tcW w:w="24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00"/>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1"/>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7,990</w:t>
            </w:r>
          </w:p>
        </w:tc>
        <w:tc>
          <w:tcPr>
            <w:tcW w:w="260" w:type="dxa"/>
            <w:vAlign w:val="bottom"/>
            <w:gridSpan w:val="2"/>
            <w:shd w:val="clear" w:color="auto" w:fill="CCEEFF"/>
          </w:tcPr>
          <w:p>
            <w:pPr>
              <w:ind w:left="180"/>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1"/>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70,269</w:t>
            </w: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680" w:type="dxa"/>
            <w:vAlign w:val="bottom"/>
            <w:gridSpan w:val="3"/>
            <w:shd w:val="clear" w:color="auto" w:fill="CCEEFF"/>
          </w:tcPr>
          <w:p>
            <w:pPr>
              <w:ind w:left="180"/>
              <w:spacing w:after="0" w:line="142" w:lineRule="exact"/>
              <w:rPr>
                <w:sz w:val="20"/>
                <w:szCs w:val="20"/>
                <w:color w:val="auto"/>
              </w:rPr>
            </w:pPr>
            <w:r>
              <w:rPr>
                <w:rFonts w:ascii="Arial" w:cs="Arial" w:eastAsia="Arial" w:hAnsi="Arial"/>
                <w:sz w:val="14"/>
                <w:szCs w:val="14"/>
                <w:color w:val="auto"/>
              </w:rPr>
              <w:t>$ 3,520</w:t>
            </w:r>
          </w:p>
        </w:tc>
      </w:tr>
      <w:tr>
        <w:trPr>
          <w:trHeight w:val="155"/>
        </w:trPr>
        <w:tc>
          <w:tcPr>
            <w:tcW w:w="3440" w:type="dxa"/>
            <w:vAlign w:val="bottom"/>
            <w:gridSpan w:val="2"/>
          </w:tcPr>
          <w:p>
            <w:pPr>
              <w:spacing w:after="0" w:line="149" w:lineRule="exact"/>
              <w:rPr>
                <w:sz w:val="20"/>
                <w:szCs w:val="20"/>
                <w:color w:val="auto"/>
              </w:rPr>
            </w:pPr>
            <w:r>
              <w:rPr>
                <w:rFonts w:ascii="Arial" w:cs="Arial" w:eastAsia="Arial" w:hAnsi="Arial"/>
                <w:sz w:val="14"/>
                <w:szCs w:val="14"/>
                <w:color w:val="auto"/>
              </w:rPr>
              <w:t>Mississippi Resources, LLC</w:t>
            </w:r>
          </w:p>
        </w:tc>
        <w:tc>
          <w:tcPr>
            <w:tcW w:w="120" w:type="dxa"/>
            <w:vAlign w:val="bottom"/>
          </w:tcPr>
          <w:p>
            <w:pPr>
              <w:spacing w:after="0"/>
              <w:rPr>
                <w:sz w:val="13"/>
                <w:szCs w:val="13"/>
                <w:color w:val="auto"/>
              </w:rPr>
            </w:pPr>
          </w:p>
        </w:tc>
        <w:tc>
          <w:tcPr>
            <w:tcW w:w="680" w:type="dxa"/>
            <w:vAlign w:val="bottom"/>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center"/>
              <w:ind w:left="10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(1,553)</w:t>
            </w:r>
          </w:p>
        </w:tc>
        <w:tc>
          <w:tcPr>
            <w:tcW w:w="280" w:type="dxa"/>
            <w:vAlign w:val="bottom"/>
          </w:tcPr>
          <w:p>
            <w:pPr>
              <w:spacing w:after="0"/>
              <w:rPr>
                <w:sz w:val="13"/>
                <w:szCs w:val="13"/>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1,498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2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r>
      <w:tr>
        <w:trPr>
          <w:trHeight w:val="148"/>
        </w:trPr>
        <w:tc>
          <w:tcPr>
            <w:tcW w:w="3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59,779</w:t>
            </w: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shd w:val="clear" w:color="auto" w:fill="CCEEFF"/>
          </w:tcPr>
          <w:p>
            <w:pPr>
              <w:jc w:val="center"/>
              <w:ind w:left="169"/>
              <w:spacing w:after="0" w:line="149" w:lineRule="exact"/>
              <w:rPr>
                <w:sz w:val="20"/>
                <w:szCs w:val="20"/>
                <w:color w:val="auto"/>
              </w:rPr>
            </w:pPr>
            <w:r>
              <w:rPr>
                <w:rFonts w:ascii="Arial" w:cs="Arial" w:eastAsia="Arial" w:hAnsi="Arial"/>
                <w:sz w:val="14"/>
                <w:szCs w:val="14"/>
                <w:b w:val="1"/>
                <w:bCs w:val="1"/>
                <w:color w:val="auto"/>
                <w:w w:val="91"/>
              </w:rPr>
              <w:t>2,500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CCEEFF"/>
          </w:tcPr>
          <w:p>
            <w:pPr>
              <w:ind w:left="260"/>
              <w:spacing w:after="0" w:line="149" w:lineRule="exact"/>
              <w:rPr>
                <w:sz w:val="20"/>
                <w:szCs w:val="20"/>
                <w:color w:val="auto"/>
              </w:rPr>
            </w:pPr>
            <w:r>
              <w:rPr>
                <w:rFonts w:ascii="Arial" w:cs="Arial" w:eastAsia="Arial" w:hAnsi="Arial"/>
                <w:sz w:val="14"/>
                <w:szCs w:val="14"/>
                <w:b w:val="1"/>
                <w:bCs w:val="1"/>
                <w:color w:val="auto"/>
                <w:w w:val="81"/>
              </w:rPr>
              <w:t>(1,553)</w:t>
            </w:r>
          </w:p>
        </w:tc>
        <w:tc>
          <w:tcPr>
            <w:tcW w:w="220" w:type="dxa"/>
            <w:vAlign w:val="bottom"/>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31"/>
              <w:spacing w:after="0" w:line="149"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9,488</w:t>
            </w: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55</w:t>
            </w:r>
          </w:p>
        </w:tc>
        <w:tc>
          <w:tcPr>
            <w:tcW w:w="180" w:type="dxa"/>
            <w:vAlign w:val="bottom"/>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70,269</w:t>
            </w:r>
          </w:p>
        </w:tc>
        <w:tc>
          <w:tcPr>
            <w:tcW w:w="18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w:t>
            </w:r>
          </w:p>
        </w:tc>
        <w:tc>
          <w:tcPr>
            <w:tcW w:w="180" w:type="dxa"/>
            <w:vAlign w:val="bottom"/>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4"/>
              </w:rPr>
              <w:t>$ 3,520</w:t>
            </w:r>
          </w:p>
        </w:tc>
        <w:tc>
          <w:tcPr>
            <w:tcW w:w="40" w:type="dxa"/>
            <w:vAlign w:val="bottom"/>
            <w:shd w:val="clear" w:color="auto" w:fill="CCEEFF"/>
          </w:tcPr>
          <w:p>
            <w:pPr>
              <w:spacing w:after="0"/>
              <w:rPr>
                <w:sz w:val="12"/>
                <w:szCs w:val="12"/>
                <w:color w:val="auto"/>
              </w:rPr>
            </w:pPr>
          </w:p>
        </w:tc>
      </w:tr>
      <w:tr>
        <w:trPr>
          <w:trHeight w:val="20"/>
        </w:trPr>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984" w:right="180" w:hanging="544"/>
        <w:spacing w:after="0" w:line="258" w:lineRule="auto"/>
        <w:tabs>
          <w:tab w:leader="none" w:pos="984" w:val="left"/>
        </w:tabs>
        <w:numPr>
          <w:ilvl w:val="1"/>
          <w:numId w:val="59"/>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984" w:right="20" w:hanging="544"/>
        <w:spacing w:after="0" w:line="255" w:lineRule="auto"/>
        <w:tabs>
          <w:tab w:leader="none" w:pos="984" w:val="left"/>
        </w:tabs>
        <w:numPr>
          <w:ilvl w:val="1"/>
          <w:numId w:val="59"/>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216" w:lineRule="exact"/>
        <w:rPr>
          <w:rFonts w:ascii="Arial" w:cs="Arial" w:eastAsia="Arial" w:hAnsi="Arial"/>
          <w:sz w:val="18"/>
          <w:szCs w:val="18"/>
          <w:color w:val="auto"/>
        </w:rPr>
      </w:pPr>
    </w:p>
    <w:p>
      <w:pPr>
        <w:ind w:left="444" w:right="460" w:hanging="444"/>
        <w:spacing w:after="0" w:line="277" w:lineRule="auto"/>
        <w:tabs>
          <w:tab w:leader="none" w:pos="444"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of September 30, 2022, the estimated cost basis of investments for U.S. federal tax purposes was $2,807,880, resulting in estimated gross unrealized gains and losses of $117,489 and $109,905, respectively.</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4"/>
          </w:cols>
          <w:pgMar w:left="436" w:top="517" w:right="439" w:bottom="1440" w:gutter="0" w:footer="0" w:header="0"/>
        </w:sectPr>
      </w:pPr>
    </w:p>
    <w:bookmarkStart w:id="80" w:name="page81"/>
    <w:bookmarkEnd w:id="80"/>
    <w:p>
      <w:pPr>
        <w:ind w:left="444" w:hanging="444"/>
        <w:spacing w:after="0" w:line="255" w:lineRule="auto"/>
        <w:tabs>
          <w:tab w:leader="none" w:pos="444"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 xml:space="preserve">In accordance with Financial Accounting Standards Board Accounting Standards Codification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2" w:lineRule="exact"/>
        <w:rPr>
          <w:rFonts w:ascii="Arial" w:cs="Arial" w:eastAsia="Arial" w:hAnsi="Arial"/>
          <w:sz w:val="18"/>
          <w:szCs w:val="18"/>
          <w:color w:val="auto"/>
        </w:rPr>
      </w:pPr>
    </w:p>
    <w:p>
      <w:pPr>
        <w:ind w:left="444" w:right="740" w:hanging="444"/>
        <w:spacing w:after="0" w:line="250" w:lineRule="auto"/>
        <w:tabs>
          <w:tab w:leader="none" w:pos="44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444" w:right="740" w:hanging="444"/>
        <w:spacing w:after="0" w:line="250" w:lineRule="auto"/>
        <w:tabs>
          <w:tab w:leader="none" w:pos="44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ind w:left="444" w:hanging="444"/>
        <w:spacing w:after="0"/>
        <w:tabs>
          <w:tab w:leader="none" w:pos="44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investment is non-income producing.</w:t>
      </w:r>
    </w:p>
    <w:p>
      <w:pPr>
        <w:spacing w:after="0" w:line="9" w:lineRule="exact"/>
        <w:rPr>
          <w:rFonts w:ascii="Arial" w:cs="Arial" w:eastAsia="Arial" w:hAnsi="Arial"/>
          <w:sz w:val="18"/>
          <w:szCs w:val="18"/>
          <w:color w:val="auto"/>
        </w:rPr>
      </w:pPr>
    </w:p>
    <w:p>
      <w:pPr>
        <w:ind w:left="444" w:right="200" w:hanging="444"/>
        <w:spacing w:after="0" w:line="250" w:lineRule="auto"/>
        <w:tabs>
          <w:tab w:leader="none" w:pos="444"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or a portion of this security was acquired in a transaction exempt from registration under the Securities Act, and may be deemed to be “restricted securities” under the Securities Act. As of September 30, 2022, the aggregate fair value of these securities is $70,609 or 5.3% of the Company’s net assets.</w:t>
      </w:r>
    </w:p>
    <w:p>
      <w:pPr>
        <w:spacing w:after="0" w:line="1" w:lineRule="exact"/>
        <w:rPr>
          <w:rFonts w:ascii="Arial" w:cs="Arial" w:eastAsia="Arial" w:hAnsi="Arial"/>
          <w:sz w:val="18"/>
          <w:szCs w:val="18"/>
          <w:color w:val="auto"/>
        </w:rPr>
      </w:pPr>
    </w:p>
    <w:p>
      <w:pPr>
        <w:ind w:left="444" w:hanging="444"/>
        <w:spacing w:after="0"/>
        <w:tabs>
          <w:tab w:leader="none" w:pos="444" w:val="left"/>
        </w:tabs>
        <w:numPr>
          <w:ilvl w:val="0"/>
          <w:numId w:val="61"/>
        </w:numPr>
        <w:rPr>
          <w:rFonts w:ascii="Arial" w:cs="Arial" w:eastAsia="Arial" w:hAnsi="Arial"/>
          <w:sz w:val="18"/>
          <w:szCs w:val="18"/>
          <w:color w:val="auto"/>
        </w:rPr>
      </w:pPr>
      <w:r>
        <w:rPr>
          <w:rFonts w:ascii="Arial" w:cs="Arial" w:eastAsia="Arial" w:hAnsi="Arial"/>
          <w:sz w:val="18"/>
          <w:szCs w:val="18"/>
          <w:color w:val="auto"/>
        </w:rPr>
        <w:t>Ownership of equity investments may occur through a holding company or partnership.</w:t>
      </w:r>
    </w:p>
    <w:p>
      <w:pPr>
        <w:spacing w:after="0" w:line="9" w:lineRule="exact"/>
        <w:rPr>
          <w:rFonts w:ascii="Arial" w:cs="Arial" w:eastAsia="Arial" w:hAnsi="Arial"/>
          <w:sz w:val="18"/>
          <w:szCs w:val="18"/>
          <w:color w:val="auto"/>
        </w:rPr>
      </w:pPr>
    </w:p>
    <w:p>
      <w:pPr>
        <w:ind w:left="444" w:hanging="444"/>
        <w:spacing w:after="0"/>
        <w:tabs>
          <w:tab w:leader="none" w:pos="444"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Investment is on non-accrual status as of September 30, 2022.</w:t>
      </w:r>
    </w:p>
    <w:p>
      <w:pPr>
        <w:spacing w:after="0" w:line="143"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04"/>
          </w:cols>
          <w:pgMar w:left="436" w:top="517" w:right="55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DETERMINATION OF NET ASSET VALUE</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 in Part I, Item 1 of our 2021 Annual Report incorporated by reference in this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jc w:val="both"/>
        <w:ind w:right="80" w:firstLine="440"/>
        <w:spacing w:after="0" w:line="311" w:lineRule="auto"/>
        <w:rPr>
          <w:sz w:val="20"/>
          <w:szCs w:val="20"/>
          <w:color w:val="auto"/>
        </w:rPr>
      </w:pPr>
      <w:r>
        <w:rPr>
          <w:rFonts w:ascii="Arial" w:cs="Arial" w:eastAsia="Arial" w:hAnsi="Arial"/>
          <w:sz w:val="16"/>
          <w:szCs w:val="16"/>
          <w:color w:val="auto"/>
        </w:rPr>
        <w:t>In connection with certain future offerings of shares of our common stock, our Board or an authorized committee of our Board will be required to make the determination that we are not selling shares of our common stock at a price below the then-current net asset value of our common stock at the time at which the sale is made. Our Board or an authorized committee will consider the following factors, among others, in making a determination:</w:t>
      </w:r>
    </w:p>
    <w:p>
      <w:pPr>
        <w:spacing w:after="0" w:line="54" w:lineRule="exact"/>
        <w:rPr>
          <w:sz w:val="20"/>
          <w:szCs w:val="20"/>
          <w:color w:val="auto"/>
        </w:rPr>
      </w:pPr>
    </w:p>
    <w:p>
      <w:pPr>
        <w:ind w:left="980" w:hanging="433"/>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130" w:lineRule="exact"/>
        <w:rPr>
          <w:rFonts w:ascii="Arial" w:cs="Arial" w:eastAsia="Arial" w:hAnsi="Arial"/>
          <w:sz w:val="18"/>
          <w:szCs w:val="18"/>
          <w:color w:val="auto"/>
        </w:rPr>
      </w:pPr>
    </w:p>
    <w:p>
      <w:pPr>
        <w:ind w:left="980" w:right="60" w:hanging="433"/>
        <w:spacing w:after="0" w:line="286" w:lineRule="auto"/>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70" w:lineRule="exact"/>
        <w:rPr>
          <w:rFonts w:ascii="Arial" w:cs="Arial" w:eastAsia="Arial" w:hAnsi="Arial"/>
          <w:sz w:val="17"/>
          <w:szCs w:val="17"/>
          <w:color w:val="auto"/>
        </w:rPr>
      </w:pPr>
    </w:p>
    <w:p>
      <w:pPr>
        <w:ind w:left="980" w:right="60" w:hanging="433"/>
        <w:spacing w:after="0" w:line="25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88" w:lineRule="exact"/>
        <w:rPr>
          <w:sz w:val="20"/>
          <w:szCs w:val="20"/>
          <w:color w:val="auto"/>
        </w:rPr>
      </w:pPr>
    </w:p>
    <w:p>
      <w:pPr>
        <w:ind w:right="320" w:firstLine="440"/>
        <w:spacing w:after="0" w:line="34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513" w:right="45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SALES OF COMMON STOCK BELOW NET ASSET VALUE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Pursuant to approval granted at a special meeting of stockholders held on May 26, 2022, we are currently permitted to sell or otherwise issue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at a price below our then-current net asset value per share, subject to the approval of our Board and certain other conditions.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stockholder approval expires on May 26, 2023. We intend to propose the extension of this approval in future years.</w:t>
      </w:r>
    </w:p>
    <w:p>
      <w:pPr>
        <w:spacing w:after="0" w:line="211"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Except for such authorizations as otherwise may be required with respect to a particular issuance under applicable law, New York Stock Exchange rules or our certificate of incorporation, no further authorization from stockholders will be solicited or required prior to a sale or other issuance of shares of common stock at a price below net asset value per share in accordance with the terms of the approval. However, will would only issue shares of our common stock at a price below net asset value per share if the following conditions are met:</w:t>
      </w:r>
    </w:p>
    <w:p>
      <w:pPr>
        <w:spacing w:after="0" w:line="77" w:lineRule="exact"/>
        <w:rPr>
          <w:sz w:val="20"/>
          <w:szCs w:val="20"/>
          <w:color w:val="auto"/>
        </w:rPr>
      </w:pPr>
    </w:p>
    <w:p>
      <w:pPr>
        <w:ind w:left="980" w:hanging="433"/>
        <w:spacing w:after="0"/>
        <w:tabs>
          <w:tab w:leader="none" w:pos="9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 “required majority” of our directors have determined that any such sale would be in the best interests of us and our stockholders;</w:t>
      </w:r>
    </w:p>
    <w:p>
      <w:pPr>
        <w:spacing w:after="0" w:line="142" w:lineRule="exact"/>
        <w:rPr>
          <w:rFonts w:ascii="Arial" w:cs="Arial" w:eastAsia="Arial" w:hAnsi="Arial"/>
          <w:sz w:val="17"/>
          <w:szCs w:val="17"/>
          <w:color w:val="auto"/>
        </w:rPr>
      </w:pPr>
    </w:p>
    <w:p>
      <w:pPr>
        <w:ind w:left="980" w:right="120" w:hanging="433"/>
        <w:spacing w:after="0" w:line="25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“required majority” of our directors, in consultation with any underwriter or underwriters of the offering if it is to be underwritten, have determined in good faith, and as of a time immediately prior to the first solicitation by us or on our behalf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93" w:lineRule="exact"/>
        <w:rPr>
          <w:rFonts w:ascii="Arial" w:cs="Arial" w:eastAsia="Arial" w:hAnsi="Arial"/>
          <w:sz w:val="18"/>
          <w:szCs w:val="18"/>
          <w:color w:val="auto"/>
        </w:rPr>
      </w:pPr>
    </w:p>
    <w:p>
      <w:pPr>
        <w:ind w:left="980" w:hanging="433"/>
        <w:spacing w:after="0"/>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number of shares to be issued does not exceed 25% of our then-outstanding common stock immediately prior to each such offering.</w:t>
      </w:r>
    </w:p>
    <w:p>
      <w:pPr>
        <w:spacing w:after="0" w:line="248"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Under the 1940 Act, a “required majority” of directors means both a majority of our directors who have no financial interest in the transaction and a majority of our independent directors. For these purposes, directors will not be deemed to have a financial interest solely by reason of their ownership of our common stock.</w:t>
      </w:r>
    </w:p>
    <w:p>
      <w:pPr>
        <w:spacing w:after="0" w:line="184"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There is no limit on the percentage below net asset value per share at which shares may be sold by us or the number of offerings, each for up to 25% of our then-outstanding common stock, that we may conduct under the approval for the one-year period that authorization is granted.</w:t>
      </w:r>
    </w:p>
    <w:p>
      <w:pPr>
        <w:spacing w:after="0" w:line="12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In making a determination that an offering of common stock at a price below its net asset value per share pursuant to the approval is in our and our stockholders’ best interests, our Board will consider a variety of factors including:</w:t>
      </w:r>
    </w:p>
    <w:p>
      <w:pPr>
        <w:spacing w:after="0" w:line="76" w:lineRule="exact"/>
        <w:rPr>
          <w:sz w:val="20"/>
          <w:szCs w:val="20"/>
          <w:color w:val="auto"/>
        </w:rPr>
      </w:pPr>
    </w:p>
    <w:p>
      <w:pPr>
        <w:ind w:left="980" w:right="100" w:hanging="433"/>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effect that an offering at a price below net asset value per share would have on our stockholders, including the potential dilution to the net asset value per share of our common stock our stockholders would experience as a result of the offering;</w:t>
      </w:r>
    </w:p>
    <w:p>
      <w:pPr>
        <w:spacing w:after="0" w:line="75" w:lineRule="exact"/>
        <w:rPr>
          <w:rFonts w:ascii="Arial" w:cs="Arial" w:eastAsia="Arial" w:hAnsi="Arial"/>
          <w:sz w:val="18"/>
          <w:szCs w:val="18"/>
          <w:color w:val="auto"/>
        </w:rPr>
      </w:pPr>
    </w:p>
    <w:p>
      <w:pPr>
        <w:ind w:left="980" w:right="240" w:hanging="433"/>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our most recently determined net asset value per share;</w:t>
      </w:r>
    </w:p>
    <w:p>
      <w:pPr>
        <w:spacing w:after="0" w:line="75" w:lineRule="exact"/>
        <w:rPr>
          <w:rFonts w:ascii="Arial" w:cs="Arial" w:eastAsia="Arial" w:hAnsi="Arial"/>
          <w:sz w:val="18"/>
          <w:szCs w:val="18"/>
          <w:color w:val="auto"/>
        </w:rPr>
      </w:pPr>
    </w:p>
    <w:p>
      <w:pPr>
        <w:ind w:left="980" w:right="300" w:hanging="433"/>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net asset value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shares of our common stock;</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during the current financial market difficulties;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of our common stock in the offering;</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 and</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leverage available to us.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513" w:right="459" w:bottom="1440" w:gutter="0" w:footer="0" w:header="0"/>
        </w:sectPr>
      </w:pPr>
    </w:p>
    <w:bookmarkStart w:id="83" w:name="page84"/>
    <w:bookmarkEnd w:id="83"/>
    <w:p>
      <w:pPr>
        <w:ind w:right="32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Our Board will also consider any possible conflict of interest due to the fact that the proceeds from the issuance of additional shares of our common stock would increase the management fees that we pay to the Adviser, as such fees are based on the amount of our gross assets, as it would regardless of whether we offer shares of common stock at a price below our net asset value per share or above our net asset value per share.</w:t>
      </w:r>
    </w:p>
    <w:p>
      <w:pPr>
        <w:spacing w:after="0" w:line="149" w:lineRule="exact"/>
        <w:rPr>
          <w:sz w:val="20"/>
          <w:szCs w:val="20"/>
          <w:color w:val="auto"/>
        </w:rPr>
      </w:pPr>
    </w:p>
    <w:p>
      <w:pPr>
        <w:ind w:right="220" w:firstLine="440"/>
        <w:spacing w:after="0" w:line="269" w:lineRule="auto"/>
        <w:rPr>
          <w:sz w:val="20"/>
          <w:szCs w:val="20"/>
          <w:color w:val="auto"/>
        </w:rPr>
      </w:pPr>
      <w:r>
        <w:rPr>
          <w:rFonts w:ascii="Arial" w:cs="Arial" w:eastAsia="Arial" w:hAnsi="Arial"/>
          <w:sz w:val="17"/>
          <w:szCs w:val="17"/>
          <w:color w:val="auto"/>
        </w:rPr>
        <w:t>We will not sell shares of our common stock under this prospectus or an accompanying prospectus supplement without first filing a new post-effective amendment to the registration statement if the cumulative dilution to our net asset value per share from offerings under the registration statement, as amended by any post-effective amendments, exceeds 15%. This limit will be measured separately for each offering pursuant to the registration statement, as amended by any post-effective amendments, by calculating the percentage dilution or accretion to aggregate net asset value from that offering and then summing the percentage from each offering. For example, if our most recently determined net asset value per share at the time of the first offering is $16.00 and we have 60 million shares of common stock outstanding, the sale of 12 million shares of common stock at net proceeds to us of $8.00 per share (a 50% discount) would produce dilution of 8.33%. If we subsequently determined that our net asset value per share increased to $17.00 on the then 72 million shares of common stock outstanding and then made an additional offering, we could, for example, sell approximately an additional 11.07 million shares of common stock at net proceeds to us of $8.50 per share, which would produce dilution of 6.67%, before we would reach the aggregate 15% limit.</w:t>
      </w:r>
    </w:p>
    <w:p>
      <w:pPr>
        <w:spacing w:after="0" w:line="185"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Sales by us of our common stock at a discount from net asset value per share pose potential risks for our existing stockholders whether or not they participate in the offering, as well as for new investors who participate in the offering. Any sale of common stock at a price below net asset value per share would result in an immediate dilution to existing common stockholders who do not participate in such sale on at least a pro rata basis.</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Examples of Dilutive Effect of the Issuance of Shares Below net asset value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two headings and accompanying tables explain and provide hypothetical examples on the impact of a public offering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common stock at a price less than net asset value on two different types of investors:</w:t>
      </w:r>
    </w:p>
    <w:p>
      <w:pPr>
        <w:spacing w:after="0" w:line="116" w:lineRule="exact"/>
        <w:rPr>
          <w:sz w:val="20"/>
          <w:szCs w:val="20"/>
          <w:color w:val="auto"/>
        </w:rPr>
      </w:pPr>
    </w:p>
    <w:p>
      <w:pPr>
        <w:ind w:left="980" w:hanging="433"/>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 and</w:t>
      </w:r>
    </w:p>
    <w:p>
      <w:pPr>
        <w:spacing w:after="0" w:line="130" w:lineRule="exact"/>
        <w:rPr>
          <w:rFonts w:ascii="Arial" w:cs="Arial" w:eastAsia="Arial" w:hAnsi="Arial"/>
          <w:sz w:val="18"/>
          <w:szCs w:val="18"/>
          <w:color w:val="auto"/>
        </w:rPr>
      </w:pPr>
    </w:p>
    <w:p>
      <w:pPr>
        <w:ind w:left="980" w:right="640" w:hanging="433"/>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existing stockholders who purchase a relatively small amount of shares in the offering or a relatively large amount of shares in the offering.</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 placement of common stock at a price less than net asset value to a third party in a private placement would have an impact substantially similar to the impact on existing stockholders who do not purchase any shares in the public offering described below.</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Impact on Existing Stockholders Who Do Not Participate in the Offering</w:t>
      </w:r>
    </w:p>
    <w:p>
      <w:pPr>
        <w:spacing w:after="0" w:line="117"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Our existing stockholders who do not participate in an offering below net asset value per share or who do not buy additional shares in the secondary market at the same or lower price as we obtain in the offering (after expenses and commissions) face the greatest potential risks. These stockholders will experience an immediate decrease in the net asset value of the shares they hold and their net asset value per share. These stockholders will also experience a disproportionately greater decrease in their participation in our earnings and assets and their voting power than the increase we will experience in its assets, potential earning power and voting interests due to the offering. These stockholders may also experience a decline in the market price of their shares, which often reflects to some degree announced or potential increases and decreases in net asset value. This decrease could be more pronounced as the size of the offering and level of discounts increase. There is no maximum level of discount from net asset value at which we may sell shares pursuant to this authority.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517" w:right="479" w:bottom="1440" w:gutter="0" w:footer="0" w:header="0"/>
        </w:sectPr>
      </w:pPr>
    </w:p>
    <w:bookmarkStart w:id="84" w:name="page85"/>
    <w:bookmarkEnd w:id="84"/>
    <w:p>
      <w:pPr>
        <w:jc w:val="both"/>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w:t>
      </w:r>
    </w:p>
    <w:p>
      <w:pPr>
        <w:spacing w:after="0" w:line="184"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The examples below assume that the issuer has 75.8 million shares outstanding, $2.6 billion in total assets and $1.3 billion in total liabilities (all figures correspond to actual data for us as of December 31, 2021). The net asset value and net asset value per share are thus $1.3 billion and $16.84 per share as of December 31, 2021. The chart illustrates the dilutive effect on Stockholder A of (a) an offering of 3.8 million shares of common stock (5% of the outstanding shares) at $16.00 per share after offering expenses and commissions (a 5% discount from net asset value per share), (b) an offering of</w:t>
      </w:r>
    </w:p>
    <w:p>
      <w:pPr>
        <w:spacing w:after="0" w:line="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7.6 million shares of common stock (10% of the outstanding shares) at $15.16 per share after offering expenses and commissions (a 10% discount from net asset value per share), (c) an offering of 15.2 million shares of common stock (20% of the outstanding shares) at $13.47 per share after offering expenses and commissions (a 20% discount from net asset value per share), and (d) an offering of 18.9 million shares of common stock (25% of the outstanding shares) at $12.63 per share after offering expenses and commissions (a 25% discount from net asset value per share). The prospectus pursuant to which any discounted offering is made will include a chart based on the actual number of shares of common stock in such offering and the actual discount to the most recently determined net asset value. It is not possible to predict the level of market price decline that may occur.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4"/>
          </w:tcPr>
          <w:p>
            <w:pPr>
              <w:jc w:val="center"/>
              <w:ind w:right="280"/>
              <w:spacing w:after="0"/>
              <w:rPr>
                <w:sz w:val="20"/>
                <w:szCs w:val="20"/>
                <w:color w:val="auto"/>
              </w:rPr>
            </w:pPr>
            <w:r>
              <w:rPr>
                <w:rFonts w:ascii="Arial" w:cs="Arial" w:eastAsia="Arial" w:hAnsi="Arial"/>
                <w:sz w:val="12"/>
                <w:szCs w:val="12"/>
                <w:b w:val="1"/>
                <w:bCs w:val="1"/>
                <w:color w:val="auto"/>
                <w:w w:val="90"/>
              </w:rPr>
              <w:t>Example 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5"/>
          </w:tcPr>
          <w:p>
            <w:pPr>
              <w:jc w:val="center"/>
              <w:ind w:right="340"/>
              <w:spacing w:after="0"/>
              <w:rPr>
                <w:sz w:val="20"/>
                <w:szCs w:val="20"/>
                <w:color w:val="auto"/>
              </w:rPr>
            </w:pPr>
            <w:r>
              <w:rPr>
                <w:rFonts w:ascii="Arial" w:cs="Arial" w:eastAsia="Arial" w:hAnsi="Arial"/>
                <w:sz w:val="12"/>
                <w:szCs w:val="12"/>
                <w:b w:val="1"/>
                <w:bCs w:val="1"/>
                <w:color w:val="auto"/>
                <w:w w:val="87"/>
              </w:rPr>
              <w:t>Example 2</w:t>
            </w:r>
          </w:p>
        </w:tc>
        <w:tc>
          <w:tcPr>
            <w:tcW w:w="60" w:type="dxa"/>
            <w:vAlign w:val="bottom"/>
          </w:tcPr>
          <w:p>
            <w:pPr>
              <w:spacing w:after="0"/>
              <w:rPr>
                <w:sz w:val="12"/>
                <w:szCs w:val="12"/>
                <w:color w:val="auto"/>
              </w:rPr>
            </w:pPr>
          </w:p>
        </w:tc>
        <w:tc>
          <w:tcPr>
            <w:tcW w:w="1400" w:type="dxa"/>
            <w:vAlign w:val="bottom"/>
            <w:gridSpan w:val="5"/>
          </w:tcPr>
          <w:p>
            <w:pPr>
              <w:jc w:val="center"/>
              <w:ind w:right="280"/>
              <w:spacing w:after="0"/>
              <w:rPr>
                <w:sz w:val="20"/>
                <w:szCs w:val="20"/>
                <w:color w:val="auto"/>
              </w:rPr>
            </w:pPr>
            <w:r>
              <w:rPr>
                <w:rFonts w:ascii="Arial" w:cs="Arial" w:eastAsia="Arial" w:hAnsi="Arial"/>
                <w:sz w:val="12"/>
                <w:szCs w:val="12"/>
                <w:b w:val="1"/>
                <w:bCs w:val="1"/>
                <w:color w:val="auto"/>
                <w:w w:val="87"/>
              </w:rPr>
              <w:t>Example 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4"/>
          </w:tcPr>
          <w:p>
            <w:pPr>
              <w:jc w:val="center"/>
              <w:ind w:right="260"/>
              <w:spacing w:after="0"/>
              <w:rPr>
                <w:sz w:val="20"/>
                <w:szCs w:val="20"/>
                <w:color w:val="auto"/>
              </w:rPr>
            </w:pPr>
            <w:r>
              <w:rPr>
                <w:rFonts w:ascii="Arial" w:cs="Arial" w:eastAsia="Arial" w:hAnsi="Arial"/>
                <w:sz w:val="12"/>
                <w:szCs w:val="12"/>
                <w:b w:val="1"/>
                <w:bCs w:val="1"/>
                <w:color w:val="auto"/>
                <w:w w:val="90"/>
              </w:rPr>
              <w:t>Example 4</w:t>
            </w:r>
          </w:p>
        </w:tc>
      </w:tr>
      <w:tr>
        <w:trPr>
          <w:trHeight w:val="120"/>
        </w:trPr>
        <w:tc>
          <w:tcPr>
            <w:tcW w:w="4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jc w:val="center"/>
              <w:ind w:right="18"/>
              <w:spacing w:after="0" w:line="121" w:lineRule="exact"/>
              <w:rPr>
                <w:sz w:val="20"/>
                <w:szCs w:val="20"/>
                <w:color w:val="auto"/>
              </w:rPr>
            </w:pPr>
            <w:r>
              <w:rPr>
                <w:rFonts w:ascii="Arial" w:cs="Arial" w:eastAsia="Arial" w:hAnsi="Arial"/>
                <w:sz w:val="12"/>
                <w:szCs w:val="12"/>
                <w:b w:val="1"/>
                <w:bCs w:val="1"/>
                <w:color w:val="auto"/>
                <w:w w:val="93"/>
              </w:rPr>
              <w:t>5% Offering at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4"/>
          </w:tcPr>
          <w:p>
            <w:pPr>
              <w:jc w:val="center"/>
              <w:ind w:right="60"/>
              <w:spacing w:after="0" w:line="121" w:lineRule="exact"/>
              <w:rPr>
                <w:sz w:val="20"/>
                <w:szCs w:val="20"/>
                <w:color w:val="auto"/>
              </w:rPr>
            </w:pPr>
            <w:r>
              <w:rPr>
                <w:rFonts w:ascii="Arial" w:cs="Arial" w:eastAsia="Arial" w:hAnsi="Arial"/>
                <w:sz w:val="12"/>
                <w:szCs w:val="12"/>
                <w:b w:val="1"/>
                <w:bCs w:val="1"/>
                <w:color w:val="auto"/>
                <w:w w:val="93"/>
              </w:rPr>
              <w:t>10% Offering at</w:t>
            </w:r>
          </w:p>
        </w:tc>
        <w:tc>
          <w:tcPr>
            <w:tcW w:w="3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4"/>
          </w:tcPr>
          <w:p>
            <w:pPr>
              <w:jc w:val="center"/>
              <w:ind w:right="40"/>
              <w:spacing w:after="0" w:line="121" w:lineRule="exact"/>
              <w:rPr>
                <w:sz w:val="20"/>
                <w:szCs w:val="20"/>
                <w:color w:val="auto"/>
              </w:rPr>
            </w:pPr>
            <w:r>
              <w:rPr>
                <w:rFonts w:ascii="Arial" w:cs="Arial" w:eastAsia="Arial" w:hAnsi="Arial"/>
                <w:sz w:val="12"/>
                <w:szCs w:val="12"/>
                <w:b w:val="1"/>
                <w:bCs w:val="1"/>
                <w:color w:val="auto"/>
                <w:w w:val="93"/>
              </w:rPr>
              <w:t>20% Offering at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jc w:val="center"/>
              <w:ind w:right="18"/>
              <w:spacing w:after="0" w:line="121" w:lineRule="exact"/>
              <w:rPr>
                <w:sz w:val="20"/>
                <w:szCs w:val="20"/>
                <w:color w:val="auto"/>
              </w:rPr>
            </w:pPr>
            <w:r>
              <w:rPr>
                <w:rFonts w:ascii="Arial" w:cs="Arial" w:eastAsia="Arial" w:hAnsi="Arial"/>
                <w:sz w:val="12"/>
                <w:szCs w:val="12"/>
                <w:b w:val="1"/>
                <w:bCs w:val="1"/>
                <w:color w:val="auto"/>
                <w:w w:val="93"/>
              </w:rPr>
              <w:t>25% Offering at</w:t>
            </w:r>
          </w:p>
        </w:tc>
        <w:tc>
          <w:tcPr>
            <w:tcW w:w="180" w:type="dxa"/>
            <w:vAlign w:val="bottom"/>
          </w:tcPr>
          <w:p>
            <w:pPr>
              <w:spacing w:after="0"/>
              <w:rPr>
                <w:sz w:val="10"/>
                <w:szCs w:val="10"/>
                <w:color w:val="auto"/>
              </w:rPr>
            </w:pPr>
          </w:p>
        </w:tc>
      </w:tr>
      <w:tr>
        <w:trPr>
          <w:trHeight w:val="143"/>
        </w:trPr>
        <w:tc>
          <w:tcPr>
            <w:tcW w:w="4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Prior to</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4"/>
          </w:tcPr>
          <w:p>
            <w:pPr>
              <w:jc w:val="center"/>
              <w:ind w:right="280"/>
              <w:spacing w:after="0"/>
              <w:rPr>
                <w:sz w:val="20"/>
                <w:szCs w:val="20"/>
                <w:color w:val="auto"/>
              </w:rPr>
            </w:pPr>
            <w:r>
              <w:rPr>
                <w:rFonts w:ascii="Arial" w:cs="Arial" w:eastAsia="Arial" w:hAnsi="Arial"/>
                <w:sz w:val="12"/>
                <w:szCs w:val="12"/>
                <w:b w:val="1"/>
                <w:bCs w:val="1"/>
                <w:color w:val="auto"/>
                <w:w w:val="91"/>
              </w:rPr>
              <w:t>5% Discount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5"/>
          </w:tcPr>
          <w:p>
            <w:pPr>
              <w:jc w:val="center"/>
              <w:ind w:right="360"/>
              <w:spacing w:after="0"/>
              <w:rPr>
                <w:sz w:val="20"/>
                <w:szCs w:val="20"/>
                <w:color w:val="auto"/>
              </w:rPr>
            </w:pPr>
            <w:r>
              <w:rPr>
                <w:rFonts w:ascii="Arial" w:cs="Arial" w:eastAsia="Arial" w:hAnsi="Arial"/>
                <w:sz w:val="12"/>
                <w:szCs w:val="12"/>
                <w:b w:val="1"/>
                <w:bCs w:val="1"/>
                <w:color w:val="auto"/>
                <w:w w:val="88"/>
              </w:rPr>
              <w:t>10% Discount</w:t>
            </w:r>
          </w:p>
        </w:tc>
        <w:tc>
          <w:tcPr>
            <w:tcW w:w="60" w:type="dxa"/>
            <w:vAlign w:val="bottom"/>
          </w:tcPr>
          <w:p>
            <w:pPr>
              <w:spacing w:after="0"/>
              <w:rPr>
                <w:sz w:val="12"/>
                <w:szCs w:val="12"/>
                <w:color w:val="auto"/>
              </w:rPr>
            </w:pPr>
          </w:p>
        </w:tc>
        <w:tc>
          <w:tcPr>
            <w:tcW w:w="1400" w:type="dxa"/>
            <w:vAlign w:val="bottom"/>
            <w:gridSpan w:val="5"/>
          </w:tcPr>
          <w:p>
            <w:pPr>
              <w:jc w:val="center"/>
              <w:ind w:right="260"/>
              <w:spacing w:after="0"/>
              <w:rPr>
                <w:sz w:val="20"/>
                <w:szCs w:val="20"/>
                <w:color w:val="auto"/>
              </w:rPr>
            </w:pPr>
            <w:r>
              <w:rPr>
                <w:rFonts w:ascii="Arial" w:cs="Arial" w:eastAsia="Arial" w:hAnsi="Arial"/>
                <w:sz w:val="12"/>
                <w:szCs w:val="12"/>
                <w:b w:val="1"/>
                <w:bCs w:val="1"/>
                <w:color w:val="auto"/>
                <w:w w:val="88"/>
              </w:rPr>
              <w:t>20% Discount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4"/>
          </w:tcPr>
          <w:p>
            <w:pPr>
              <w:jc w:val="center"/>
              <w:ind w:right="260"/>
              <w:spacing w:after="0"/>
              <w:rPr>
                <w:sz w:val="20"/>
                <w:szCs w:val="20"/>
                <w:color w:val="auto"/>
              </w:rPr>
            </w:pPr>
            <w:r>
              <w:rPr>
                <w:rFonts w:ascii="Arial" w:cs="Arial" w:eastAsia="Arial" w:hAnsi="Arial"/>
                <w:sz w:val="12"/>
                <w:szCs w:val="12"/>
                <w:b w:val="1"/>
                <w:bCs w:val="1"/>
                <w:color w:val="auto"/>
                <w:w w:val="88"/>
              </w:rPr>
              <w:t>25% Discount</w:t>
            </w:r>
          </w:p>
        </w:tc>
      </w:tr>
      <w:tr>
        <w:trPr>
          <w:trHeight w:val="120"/>
        </w:trPr>
        <w:tc>
          <w:tcPr>
            <w:tcW w:w="4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260"/>
              <w:spacing w:after="0" w:line="121" w:lineRule="exact"/>
              <w:rPr>
                <w:sz w:val="20"/>
                <w:szCs w:val="20"/>
                <w:color w:val="auto"/>
              </w:rPr>
            </w:pPr>
            <w:r>
              <w:rPr>
                <w:rFonts w:ascii="Arial" w:cs="Arial" w:eastAsia="Arial" w:hAnsi="Arial"/>
                <w:sz w:val="12"/>
                <w:szCs w:val="12"/>
                <w:b w:val="1"/>
                <w:bCs w:val="1"/>
                <w:color w:val="auto"/>
                <w:w w:val="81"/>
              </w:rPr>
              <w:t>Sale Below</w:t>
            </w: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300"/>
              <w:spacing w:after="0" w:line="121" w:lineRule="exact"/>
              <w:rPr>
                <w:sz w:val="20"/>
                <w:szCs w:val="20"/>
                <w:color w:val="auto"/>
              </w:rPr>
            </w:pPr>
            <w:r>
              <w:rPr>
                <w:rFonts w:ascii="Arial" w:cs="Arial" w:eastAsia="Arial" w:hAnsi="Arial"/>
                <w:sz w:val="12"/>
                <w:szCs w:val="12"/>
                <w:b w:val="1"/>
                <w:bCs w:val="1"/>
                <w:color w:val="auto"/>
                <w:w w:val="82"/>
              </w:rPr>
              <w:t>Following</w:t>
            </w:r>
          </w:p>
        </w:tc>
        <w:tc>
          <w:tcPr>
            <w:tcW w:w="380" w:type="dxa"/>
            <w:vAlign w:val="bottom"/>
            <w:tcBorders>
              <w:top w:val="single" w:sz="8" w:color="auto"/>
            </w:tcBorders>
          </w:tcPr>
          <w:p>
            <w:pPr>
              <w:jc w:val="right"/>
              <w:ind w:right="58"/>
              <w:spacing w:after="0" w:line="121" w:lineRule="exact"/>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ind w:right="220"/>
              <w:spacing w:after="0" w:line="121" w:lineRule="exact"/>
              <w:rPr>
                <w:sz w:val="20"/>
                <w:szCs w:val="20"/>
                <w:color w:val="auto"/>
              </w:rPr>
            </w:pPr>
            <w:r>
              <w:rPr>
                <w:rFonts w:ascii="Arial" w:cs="Arial" w:eastAsia="Arial" w:hAnsi="Arial"/>
                <w:sz w:val="12"/>
                <w:szCs w:val="12"/>
                <w:b w:val="1"/>
                <w:bCs w:val="1"/>
                <w:color w:val="auto"/>
                <w:w w:val="85"/>
              </w:rPr>
              <w:t>Following</w:t>
            </w:r>
          </w:p>
        </w:tc>
        <w:tc>
          <w:tcPr>
            <w:tcW w:w="400" w:type="dxa"/>
            <w:vAlign w:val="bottom"/>
            <w:tcBorders>
              <w:top w:val="single" w:sz="8" w:color="auto"/>
            </w:tcBorders>
            <w:gridSpan w:val="2"/>
          </w:tcPr>
          <w:p>
            <w:pPr>
              <w:jc w:val="right"/>
              <w:ind w:right="120"/>
              <w:spacing w:after="0" w:line="121" w:lineRule="exact"/>
              <w:rPr>
                <w:sz w:val="20"/>
                <w:szCs w:val="20"/>
                <w:color w:val="auto"/>
              </w:rPr>
            </w:pPr>
            <w:r>
              <w:rPr>
                <w:rFonts w:ascii="Arial" w:cs="Arial" w:eastAsia="Arial" w:hAnsi="Arial"/>
                <w:sz w:val="12"/>
                <w:szCs w:val="12"/>
                <w:b w:val="1"/>
                <w:bCs w:val="1"/>
                <w:color w:val="auto"/>
              </w:rPr>
              <w:t>%</w:t>
            </w:r>
          </w:p>
        </w:tc>
        <w:tc>
          <w:tcPr>
            <w:tcW w:w="3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right"/>
              <w:ind w:right="240"/>
              <w:spacing w:after="0" w:line="121" w:lineRule="exact"/>
              <w:rPr>
                <w:sz w:val="20"/>
                <w:szCs w:val="20"/>
                <w:color w:val="auto"/>
              </w:rPr>
            </w:pPr>
            <w:r>
              <w:rPr>
                <w:rFonts w:ascii="Arial" w:cs="Arial" w:eastAsia="Arial" w:hAnsi="Arial"/>
                <w:sz w:val="12"/>
                <w:szCs w:val="12"/>
                <w:b w:val="1"/>
                <w:bCs w:val="1"/>
                <w:color w:val="auto"/>
                <w:w w:val="85"/>
              </w:rPr>
              <w:t>Following</w:t>
            </w:r>
          </w:p>
        </w:tc>
        <w:tc>
          <w:tcPr>
            <w:tcW w:w="440" w:type="dxa"/>
            <w:vAlign w:val="bottom"/>
            <w:tcBorders>
              <w:top w:val="single" w:sz="8" w:color="auto"/>
            </w:tcBorders>
            <w:gridSpan w:val="2"/>
          </w:tcPr>
          <w:p>
            <w:pPr>
              <w:jc w:val="right"/>
              <w:ind w:right="120"/>
              <w:spacing w:after="0" w:line="121" w:lineRule="exact"/>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280"/>
              <w:spacing w:after="0" w:line="121" w:lineRule="exact"/>
              <w:rPr>
                <w:sz w:val="20"/>
                <w:szCs w:val="20"/>
                <w:color w:val="auto"/>
              </w:rPr>
            </w:pPr>
            <w:r>
              <w:rPr>
                <w:rFonts w:ascii="Arial" w:cs="Arial" w:eastAsia="Arial" w:hAnsi="Arial"/>
                <w:sz w:val="12"/>
                <w:szCs w:val="12"/>
                <w:b w:val="1"/>
                <w:bCs w:val="1"/>
                <w:color w:val="auto"/>
                <w:w w:val="85"/>
              </w:rPr>
              <w:t>Following</w:t>
            </w:r>
          </w:p>
        </w:tc>
        <w:tc>
          <w:tcPr>
            <w:tcW w:w="400" w:type="dxa"/>
            <w:vAlign w:val="bottom"/>
            <w:tcBorders>
              <w:top w:val="single" w:sz="8" w:color="auto"/>
            </w:tcBorders>
          </w:tcPr>
          <w:p>
            <w:pPr>
              <w:jc w:val="right"/>
              <w:ind w:right="78"/>
              <w:spacing w:after="0" w:line="121"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0"/>
                <w:szCs w:val="10"/>
                <w:color w:val="auto"/>
              </w:rPr>
            </w:pPr>
          </w:p>
        </w:tc>
      </w:tr>
      <w:tr>
        <w:trPr>
          <w:trHeight w:val="143"/>
        </w:trPr>
        <w:tc>
          <w:tcPr>
            <w:tcW w:w="4120" w:type="dxa"/>
            <w:vAlign w:val="bottom"/>
          </w:tcPr>
          <w:p>
            <w:pPr>
              <w:spacing w:after="0"/>
              <w:rPr>
                <w:sz w:val="12"/>
                <w:szCs w:val="12"/>
                <w:color w:val="auto"/>
              </w:rPr>
            </w:pP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w w:val="99"/>
              </w:rPr>
              <w:t>net asset value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Sale</w:t>
            </w:r>
          </w:p>
        </w:tc>
        <w:tc>
          <w:tcPr>
            <w:tcW w:w="6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6"/>
              </w:rPr>
              <w:t>Change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Sale</w:t>
            </w:r>
          </w:p>
        </w:tc>
        <w:tc>
          <w:tcPr>
            <w:tcW w:w="70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w w:val="86"/>
              </w:rPr>
              <w:t>Change</w:t>
            </w:r>
          </w:p>
        </w:tc>
        <w:tc>
          <w:tcPr>
            <w:tcW w:w="60" w:type="dxa"/>
            <w:vAlign w:val="bottom"/>
          </w:tcPr>
          <w:p>
            <w:pPr>
              <w:spacing w:after="0"/>
              <w:rPr>
                <w:sz w:val="12"/>
                <w:szCs w:val="12"/>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Sale</w:t>
            </w:r>
          </w:p>
        </w:tc>
        <w:tc>
          <w:tcPr>
            <w:tcW w:w="66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86"/>
              </w:rPr>
              <w:t>Change</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Sale</w:t>
            </w:r>
          </w:p>
        </w:tc>
        <w:tc>
          <w:tcPr>
            <w:tcW w:w="5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Change</w:t>
            </w:r>
          </w:p>
        </w:tc>
      </w:tr>
      <w:tr>
        <w:trPr>
          <w:trHeight w:val="128"/>
        </w:trPr>
        <w:tc>
          <w:tcPr>
            <w:tcW w:w="412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Offering Price</w:t>
            </w: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35"/>
        </w:trPr>
        <w:tc>
          <w:tcPr>
            <w:tcW w:w="4120" w:type="dxa"/>
            <w:vAlign w:val="bottom"/>
          </w:tcPr>
          <w:p>
            <w:pPr>
              <w:spacing w:after="0" w:line="135" w:lineRule="exact"/>
              <w:rPr>
                <w:sz w:val="20"/>
                <w:szCs w:val="20"/>
                <w:color w:val="auto"/>
              </w:rPr>
            </w:pPr>
            <w:r>
              <w:rPr>
                <w:rFonts w:ascii="Arial" w:cs="Arial" w:eastAsia="Arial" w:hAnsi="Arial"/>
                <w:sz w:val="13"/>
                <w:szCs w:val="13"/>
                <w:color w:val="auto"/>
              </w:rPr>
              <w:t>Price per Share to Public</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16.84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15.95</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14.18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13.29</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4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Proceeds per Share to Issuer</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16.00</w:t>
            </w: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15.16</w:t>
            </w: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13.47</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12.63</w:t>
            </w: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35"/>
        </w:trPr>
        <w:tc>
          <w:tcPr>
            <w:tcW w:w="4120" w:type="dxa"/>
            <w:vAlign w:val="bottom"/>
          </w:tcPr>
          <w:p>
            <w:pPr>
              <w:spacing w:after="0" w:line="135" w:lineRule="exact"/>
              <w:rPr>
                <w:sz w:val="20"/>
                <w:szCs w:val="20"/>
                <w:color w:val="auto"/>
              </w:rPr>
            </w:pPr>
            <w:r>
              <w:rPr>
                <w:rFonts w:ascii="Arial" w:cs="Arial" w:eastAsia="Arial" w:hAnsi="Arial"/>
                <w:sz w:val="13"/>
                <w:szCs w:val="13"/>
                <w:b w:val="1"/>
                <w:bCs w:val="1"/>
                <w:color w:val="auto"/>
              </w:rPr>
              <w:t>Decrease/Increase to Net Asset Value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4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Offered</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3,788,577</w:t>
            </w: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6"/>
              </w:rPr>
              <w:t>7,577,154</w:t>
            </w: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6"/>
              </w:rPr>
              <w:t>15,154,308</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18,942,886</w:t>
            </w: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35"/>
        </w:trPr>
        <w:tc>
          <w:tcPr>
            <w:tcW w:w="4120" w:type="dxa"/>
            <w:vAlign w:val="bottom"/>
          </w:tcPr>
          <w:p>
            <w:pPr>
              <w:spacing w:after="0" w:line="135" w:lineRule="exact"/>
              <w:rPr>
                <w:sz w:val="20"/>
                <w:szCs w:val="20"/>
                <w:color w:val="auto"/>
              </w:rPr>
            </w:pPr>
            <w:r>
              <w:rPr>
                <w:rFonts w:ascii="Arial" w:cs="Arial" w:eastAsia="Arial" w:hAnsi="Arial"/>
                <w:sz w:val="13"/>
                <w:szCs w:val="13"/>
                <w:color w:val="auto"/>
              </w:rPr>
              <w:t>Total Shares Outstanding</w:t>
            </w: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w w:val="95"/>
              </w:rPr>
              <w:t>75,771,542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82"/>
              </w:rPr>
              <w:t>79,560,119</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86"/>
              </w:rPr>
              <w:t>83,348,696</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w w:val="86"/>
              </w:rPr>
              <w:t>90,925,850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82"/>
              </w:rPr>
              <w:t>94,714,428</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4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Asset Value per Share</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16.84</w:t>
            </w:r>
          </w:p>
        </w:tc>
        <w:tc>
          <w:tcPr>
            <w:tcW w:w="16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16.80</w:t>
            </w:r>
          </w:p>
        </w:tc>
        <w:tc>
          <w:tcPr>
            <w:tcW w:w="2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(0.25%)</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16.69</w:t>
            </w:r>
          </w:p>
        </w:tc>
        <w:tc>
          <w:tcPr>
            <w:tcW w:w="7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(0.92%)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16.28</w:t>
            </w:r>
          </w:p>
        </w:tc>
        <w:tc>
          <w:tcPr>
            <w:tcW w:w="16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(3.34%)</w:t>
            </w:r>
          </w:p>
        </w:tc>
        <w:tc>
          <w:tcPr>
            <w:tcW w:w="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16.00</w:t>
            </w:r>
          </w:p>
        </w:tc>
        <w:tc>
          <w:tcPr>
            <w:tcW w:w="2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(5.01%)</w:t>
            </w:r>
          </w:p>
        </w:tc>
      </w:tr>
      <w:tr>
        <w:trPr>
          <w:trHeight w:val="135"/>
        </w:trPr>
        <w:tc>
          <w:tcPr>
            <w:tcW w:w="4120" w:type="dxa"/>
            <w:vAlign w:val="bottom"/>
          </w:tcPr>
          <w:p>
            <w:pPr>
              <w:spacing w:after="0" w:line="135" w:lineRule="exact"/>
              <w:rPr>
                <w:sz w:val="20"/>
                <w:szCs w:val="20"/>
                <w:color w:val="auto"/>
              </w:rPr>
            </w:pPr>
            <w:r>
              <w:rPr>
                <w:rFonts w:ascii="Arial" w:cs="Arial" w:eastAsia="Arial" w:hAnsi="Arial"/>
                <w:sz w:val="13"/>
                <w:szCs w:val="13"/>
                <w:b w:val="1"/>
                <w:bCs w:val="1"/>
                <w:color w:val="auto"/>
              </w:rPr>
              <w:t>Dilution to Nonparticipating Stockholder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4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Held by Stockholder A</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75,772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75,772</w:t>
            </w:r>
          </w:p>
        </w:tc>
        <w:tc>
          <w:tcPr>
            <w:tcW w:w="2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0.00%</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75,772</w:t>
            </w:r>
          </w:p>
        </w:tc>
        <w:tc>
          <w:tcPr>
            <w:tcW w:w="70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0.00%</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75,772</w:t>
            </w:r>
          </w:p>
        </w:tc>
        <w:tc>
          <w:tcPr>
            <w:tcW w:w="16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0.00%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75,772</w:t>
            </w:r>
          </w:p>
        </w:tc>
        <w:tc>
          <w:tcPr>
            <w:tcW w:w="2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0.00%</w:t>
            </w:r>
          </w:p>
        </w:tc>
      </w:tr>
      <w:tr>
        <w:trPr>
          <w:trHeight w:val="135"/>
        </w:trPr>
        <w:tc>
          <w:tcPr>
            <w:tcW w:w="4120" w:type="dxa"/>
            <w:vAlign w:val="bottom"/>
          </w:tcPr>
          <w:p>
            <w:pPr>
              <w:spacing w:after="0" w:line="135" w:lineRule="exact"/>
              <w:rPr>
                <w:sz w:val="20"/>
                <w:szCs w:val="20"/>
                <w:color w:val="auto"/>
              </w:rPr>
            </w:pPr>
            <w:r>
              <w:rPr>
                <w:rFonts w:ascii="Arial" w:cs="Arial" w:eastAsia="Arial" w:hAnsi="Arial"/>
                <w:sz w:val="13"/>
                <w:szCs w:val="13"/>
                <w:color w:val="auto"/>
              </w:rPr>
              <w:t>Percentage Held by Stockholder A</w:t>
            </w:r>
          </w:p>
        </w:tc>
        <w:tc>
          <w:tcPr>
            <w:tcW w:w="8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0.10%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0.10%</w:t>
            </w: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(4.76%)</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0.09%</w:t>
            </w:r>
          </w:p>
        </w:tc>
        <w:tc>
          <w:tcPr>
            <w:tcW w:w="7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(9.09%)</w:t>
            </w:r>
          </w:p>
        </w:tc>
        <w:tc>
          <w:tcPr>
            <w:tcW w:w="6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0.08%</w:t>
            </w:r>
          </w:p>
        </w:tc>
        <w:tc>
          <w:tcPr>
            <w:tcW w:w="66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(16.67%)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0.08%</w:t>
            </w:r>
          </w:p>
        </w:tc>
        <w:tc>
          <w:tcPr>
            <w:tcW w:w="5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8"/>
              </w:rPr>
              <w:t>(20.00%)</w:t>
            </w:r>
          </w:p>
        </w:tc>
      </w:tr>
      <w:tr>
        <w:trPr>
          <w:trHeight w:val="135"/>
        </w:trPr>
        <w:tc>
          <w:tcPr>
            <w:tcW w:w="4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Total Net Asset Value Held by Stockholder A</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1,275,848</w:t>
            </w:r>
          </w:p>
        </w:tc>
        <w:tc>
          <w:tcPr>
            <w:tcW w:w="16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1,272,824</w:t>
            </w:r>
          </w:p>
        </w:tc>
        <w:tc>
          <w:tcPr>
            <w:tcW w:w="2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(0.24%)</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6"/>
              </w:rPr>
              <w:t>1,264,268</w:t>
            </w:r>
          </w:p>
        </w:tc>
        <w:tc>
          <w:tcPr>
            <w:tcW w:w="7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(0.91%)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6"/>
              </w:rPr>
              <w:t>1,233,346</w:t>
            </w:r>
          </w:p>
        </w:tc>
        <w:tc>
          <w:tcPr>
            <w:tcW w:w="16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(3.33%)</w:t>
            </w:r>
          </w:p>
        </w:tc>
        <w:tc>
          <w:tcPr>
            <w:tcW w:w="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1,212,084</w:t>
            </w:r>
          </w:p>
        </w:tc>
        <w:tc>
          <w:tcPr>
            <w:tcW w:w="2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(5.00%)</w:t>
            </w:r>
          </w:p>
        </w:tc>
      </w:tr>
      <w:tr>
        <w:trPr>
          <w:trHeight w:val="135"/>
        </w:trPr>
        <w:tc>
          <w:tcPr>
            <w:tcW w:w="4120" w:type="dxa"/>
            <w:vAlign w:val="bottom"/>
          </w:tcPr>
          <w:p>
            <w:pPr>
              <w:spacing w:after="0" w:line="135" w:lineRule="exact"/>
              <w:rPr>
                <w:sz w:val="20"/>
                <w:szCs w:val="20"/>
                <w:color w:val="auto"/>
              </w:rPr>
            </w:pPr>
            <w:r>
              <w:rPr>
                <w:rFonts w:ascii="Arial" w:cs="Arial" w:eastAsia="Arial" w:hAnsi="Arial"/>
                <w:sz w:val="13"/>
                <w:szCs w:val="13"/>
                <w:color w:val="auto"/>
              </w:rPr>
              <w:t>Total Investment by Stockholder A (Assumed to be $16.84 per Share)</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1,275,848</w:t>
            </w:r>
          </w:p>
        </w:tc>
        <w:tc>
          <w:tcPr>
            <w:tcW w:w="160" w:type="dxa"/>
            <w:vAlign w:val="bottom"/>
          </w:tcPr>
          <w:p>
            <w:pPr>
              <w:spacing w:after="0"/>
              <w:rPr>
                <w:sz w:val="11"/>
                <w:szCs w:val="11"/>
                <w:color w:val="auto"/>
              </w:rPr>
            </w:pP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3"/>
              </w:rPr>
              <w:t>1,275,848</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6"/>
              </w:rPr>
              <w:t>1,275,848</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w w:val="96"/>
              </w:rPr>
              <w:t>1,275,848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3"/>
              </w:rPr>
              <w:t>1,275,848</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4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Total Dilution to Stockholder A (Total Net Asset Value Less Total Investment)</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(3,023)</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(11,579)</w:t>
            </w: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(42,501)</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(63,763)</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21"/>
        </w:trPr>
        <w:tc>
          <w:tcPr>
            <w:tcW w:w="4120" w:type="dxa"/>
            <w:vAlign w:val="bottom"/>
          </w:tcPr>
          <w:p>
            <w:pPr>
              <w:spacing w:after="0" w:line="121" w:lineRule="exact"/>
              <w:rPr>
                <w:sz w:val="20"/>
                <w:szCs w:val="20"/>
                <w:color w:val="auto"/>
              </w:rPr>
            </w:pPr>
            <w:r>
              <w:rPr>
                <w:rFonts w:ascii="Arial" w:cs="Arial" w:eastAsia="Arial" w:hAnsi="Arial"/>
                <w:sz w:val="13"/>
                <w:szCs w:val="13"/>
                <w:color w:val="auto"/>
                <w:w w:val="90"/>
              </w:rPr>
              <w:t>Investment per Share Held by Stockholder A (Assumed to be $16.84 per Share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49"/>
        </w:trPr>
        <w:tc>
          <w:tcPr>
            <w:tcW w:w="4120" w:type="dxa"/>
            <w:vAlign w:val="bottom"/>
          </w:tcPr>
          <w:p>
            <w:pPr>
              <w:ind w:left="120"/>
              <w:spacing w:after="0"/>
              <w:rPr>
                <w:sz w:val="20"/>
                <w:szCs w:val="20"/>
                <w:color w:val="auto"/>
              </w:rPr>
            </w:pPr>
            <w:r>
              <w:rPr>
                <w:rFonts w:ascii="Arial" w:cs="Arial" w:eastAsia="Arial" w:hAnsi="Arial"/>
                <w:sz w:val="13"/>
                <w:szCs w:val="13"/>
                <w:color w:val="auto"/>
              </w:rPr>
              <w:t>on Shares Held Prior to Sale)</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16.84</w:t>
            </w:r>
          </w:p>
        </w:tc>
        <w:tc>
          <w:tcPr>
            <w:tcW w:w="160" w:type="dxa"/>
            <w:vAlign w:val="bottom"/>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16.84</w:t>
            </w:r>
          </w:p>
        </w:tc>
        <w:tc>
          <w:tcPr>
            <w:tcW w:w="22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0.00%</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16.84</w:t>
            </w:r>
          </w:p>
        </w:tc>
        <w:tc>
          <w:tcPr>
            <w:tcW w:w="700" w:type="dxa"/>
            <w:vAlign w:val="bottom"/>
            <w:gridSpan w:val="3"/>
          </w:tcPr>
          <w:p>
            <w:pPr>
              <w:jc w:val="right"/>
              <w:ind w:right="180"/>
              <w:spacing w:after="0"/>
              <w:rPr>
                <w:sz w:val="20"/>
                <w:szCs w:val="20"/>
                <w:color w:val="auto"/>
              </w:rPr>
            </w:pPr>
            <w:r>
              <w:rPr>
                <w:rFonts w:ascii="Arial" w:cs="Arial" w:eastAsia="Arial" w:hAnsi="Arial"/>
                <w:sz w:val="13"/>
                <w:szCs w:val="13"/>
                <w:color w:val="auto"/>
              </w:rPr>
              <w:t>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16.84</w:t>
            </w:r>
          </w:p>
        </w:tc>
        <w:tc>
          <w:tcPr>
            <w:tcW w:w="160" w:type="dxa"/>
            <w:vAlign w:val="bottom"/>
          </w:tcPr>
          <w:p>
            <w:pPr>
              <w:spacing w:after="0"/>
              <w:rPr>
                <w:sz w:val="12"/>
                <w:szCs w:val="12"/>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3"/>
                <w:szCs w:val="13"/>
                <w:color w:val="auto"/>
              </w:rPr>
              <w:t>0.00%</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16.84</w:t>
            </w:r>
          </w:p>
        </w:tc>
        <w:tc>
          <w:tcPr>
            <w:tcW w:w="22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0.00%</w:t>
            </w:r>
          </w:p>
        </w:tc>
      </w:tr>
      <w:tr>
        <w:trPr>
          <w:trHeight w:val="135"/>
        </w:trPr>
        <w:tc>
          <w:tcPr>
            <w:tcW w:w="4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Asset Value per Share Held by Stockholder A</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16.80</w:t>
            </w: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16.69</w:t>
            </w: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16.28</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16.00</w:t>
            </w: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21"/>
        </w:trPr>
        <w:tc>
          <w:tcPr>
            <w:tcW w:w="4120" w:type="dxa"/>
            <w:vAlign w:val="bottom"/>
          </w:tcPr>
          <w:p>
            <w:pPr>
              <w:spacing w:after="0" w:line="121" w:lineRule="exact"/>
              <w:rPr>
                <w:sz w:val="20"/>
                <w:szCs w:val="20"/>
                <w:color w:val="auto"/>
              </w:rPr>
            </w:pPr>
            <w:r>
              <w:rPr>
                <w:rFonts w:ascii="Arial" w:cs="Arial" w:eastAsia="Arial" w:hAnsi="Arial"/>
                <w:sz w:val="13"/>
                <w:szCs w:val="13"/>
                <w:color w:val="auto"/>
                <w:w w:val="95"/>
              </w:rPr>
              <w:t>Dilution per Share Held by Stockholder A (Net Asset Value per Share Less</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49"/>
        </w:trPr>
        <w:tc>
          <w:tcPr>
            <w:tcW w:w="4120" w:type="dxa"/>
            <w:vAlign w:val="bottom"/>
          </w:tcPr>
          <w:p>
            <w:pPr>
              <w:ind w:left="120"/>
              <w:spacing w:after="0"/>
              <w:rPr>
                <w:sz w:val="20"/>
                <w:szCs w:val="20"/>
                <w:color w:val="auto"/>
              </w:rPr>
            </w:pPr>
            <w:r>
              <w:rPr>
                <w:rFonts w:ascii="Arial" w:cs="Arial" w:eastAsia="Arial" w:hAnsi="Arial"/>
                <w:sz w:val="13"/>
                <w:szCs w:val="13"/>
                <w:color w:val="auto"/>
              </w:rPr>
              <w:t>Investment per Share)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(0.04)</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(0.15)</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(0.56)</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(0.84)</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21"/>
        </w:trPr>
        <w:tc>
          <w:tcPr>
            <w:tcW w:w="41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9"/>
              </w:rPr>
              <w:t>Percentage Dilution to Stockholder A (Dilution per Share Divided by Investment</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49"/>
        </w:trPr>
        <w:tc>
          <w:tcPr>
            <w:tcW w:w="4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per Share)</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(0.25%)</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(0.92%)</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(3.34%)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(5.01%)</w:t>
            </w: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Impact on Existing Stockholders Who Do Participate in the Offering</w:t>
      </w:r>
    </w:p>
    <w:p>
      <w:pPr>
        <w:spacing w:after="0" w:line="117" w:lineRule="exact"/>
        <w:rPr>
          <w:sz w:val="20"/>
          <w:szCs w:val="20"/>
          <w:color w:val="auto"/>
        </w:rPr>
      </w:pPr>
    </w:p>
    <w:p>
      <w:pPr>
        <w:jc w:val="both"/>
        <w:ind w:right="40" w:firstLine="440"/>
        <w:spacing w:after="0" w:line="277" w:lineRule="auto"/>
        <w:rPr>
          <w:sz w:val="20"/>
          <w:szCs w:val="20"/>
          <w:color w:val="auto"/>
        </w:rPr>
      </w:pPr>
      <w:r>
        <w:rPr>
          <w:rFonts w:ascii="Arial" w:cs="Arial" w:eastAsia="Arial" w:hAnsi="Arial"/>
          <w:sz w:val="18"/>
          <w:szCs w:val="18"/>
          <w:color w:val="auto"/>
        </w:rPr>
        <w:t>Our existing stockholders who participate in an offering below net asset value or who buy additional shares in the secondary market at the same or lower price as we obtain in the offering (after expenses and commissions)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517" w:right="439" w:bottom="1440" w:gutter="0" w:footer="0" w:header="0"/>
        </w:sectPr>
      </w:pPr>
    </w:p>
    <w:bookmarkStart w:id="85" w:name="page86"/>
    <w:bookmarkEnd w:id="85"/>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7174865" cy="68580"/>
                    </a:xfrm>
                    <a:prstGeom prst="rect">
                      <a:avLst/>
                    </a:prstGeom>
                    <a:noFill/>
                  </pic:spPr>
                </pic:pic>
              </a:graphicData>
            </a:graphic>
          </wp:anchor>
        </w:drawing>
        <w:t>will experience the same types of net asset value per share dilution as the nonparticipating stockholders, albeit at a lower level, to the extent they purchase less than the same percentage of the discounted offering as their interest in shares of our common stock immediately prior to the offering. The level of net asset value per share dilution will decrease as the number of shares such stockholders purchase increases. Existing stockholders who buy more than such percentage will experience net asset value per share dilution on their existing shares but will, in contrast to existing stockholders who purchase less than their proportionate share of the offering, experience an increase (often called accretion) in average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net asset value per share dilution as described above in such subsequent offerings. These stockholders may also experience a decline in the market price of their shares, which often reflects to some degree announced or potential decreases in net asset value per share. This decrease could be more pronounced as the size of the offering and level of discounts increases. There is no maximum level of discount from net asset value at which the Company may sell shares pursuant to this authority.</w:t>
      </w:r>
    </w:p>
    <w:p>
      <w:pPr>
        <w:spacing w:after="0" w:line="186"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15.2 million shares) rather than its 0.10% proportionate share and (b) 150% of such percentage (i.e., 0.15% of an offering of 15.2 million shares) rather than its 0.10% proportionate share. The prospectus pursuant to which any discounted offering is made will include a chart for these examples based on the actual number of shares in such offering and the actual discount from the most recently determined net asset value. It is not possible to predict the level of market price decline that may occur. These examples are provided for illustrative purposes only.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Prior to Sale</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20" w:type="dxa"/>
            <w:vAlign w:val="bottom"/>
            <w:gridSpan w:val="4"/>
          </w:tcPr>
          <w:p>
            <w:pPr>
              <w:ind w:left="180"/>
              <w:spacing w:after="0"/>
              <w:rPr>
                <w:sz w:val="20"/>
                <w:szCs w:val="20"/>
                <w:color w:val="auto"/>
              </w:rPr>
            </w:pPr>
            <w:r>
              <w:rPr>
                <w:rFonts w:ascii="Arial" w:cs="Arial" w:eastAsia="Arial" w:hAnsi="Arial"/>
                <w:sz w:val="14"/>
                <w:szCs w:val="14"/>
                <w:b w:val="1"/>
                <w:bCs w:val="1"/>
                <w:color w:val="auto"/>
              </w:rPr>
              <w:t>50% Participation</w:t>
            </w:r>
          </w:p>
        </w:tc>
        <w:tc>
          <w:tcPr>
            <w:tcW w:w="80" w:type="dxa"/>
            <w:vAlign w:val="bottom"/>
          </w:tcPr>
          <w:p>
            <w:pPr>
              <w:spacing w:after="0"/>
              <w:rPr>
                <w:sz w:val="14"/>
                <w:szCs w:val="14"/>
                <w:color w:val="auto"/>
              </w:rPr>
            </w:pPr>
          </w:p>
        </w:tc>
        <w:tc>
          <w:tcPr>
            <w:tcW w:w="18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5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w w:val="98"/>
              </w:rPr>
              <w:t>Following</w:t>
            </w:r>
          </w:p>
        </w:tc>
        <w:tc>
          <w:tcPr>
            <w:tcW w:w="460" w:type="dxa"/>
            <w:vAlign w:val="bottom"/>
            <w:tcBorders>
              <w:top w:val="single" w:sz="8" w:color="auto"/>
            </w:tcBorders>
          </w:tcPr>
          <w:p>
            <w:pPr>
              <w:jc w:val="right"/>
              <w:ind w:right="65"/>
              <w:spacing w:after="0" w:line="119" w:lineRule="exact"/>
              <w:rPr>
                <w:sz w:val="20"/>
                <w:szCs w:val="20"/>
                <w:color w:val="auto"/>
              </w:rPr>
            </w:pPr>
            <w:r>
              <w:rPr>
                <w:rFonts w:ascii="Arial" w:cs="Arial" w:eastAsia="Arial" w:hAnsi="Arial"/>
                <w:sz w:val="13"/>
                <w:szCs w:val="13"/>
                <w:b w:val="1"/>
                <w:bCs w:val="1"/>
                <w:color w:val="auto"/>
              </w:rPr>
              <w:t>%</w:t>
            </w:r>
          </w:p>
        </w:tc>
        <w:tc>
          <w:tcPr>
            <w:tcW w:w="4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w w:val="98"/>
              </w:rPr>
              <w:t>Following</w:t>
            </w:r>
          </w:p>
        </w:tc>
        <w:tc>
          <w:tcPr>
            <w:tcW w:w="480" w:type="dxa"/>
            <w:vAlign w:val="bottom"/>
            <w:tcBorders>
              <w:top w:val="single" w:sz="8" w:color="auto"/>
            </w:tcBorders>
          </w:tcPr>
          <w:p>
            <w:pPr>
              <w:jc w:val="right"/>
              <w:ind w:right="85"/>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Below net asset value</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Sale</w:t>
            </w: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4"/>
                <w:szCs w:val="1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55"/>
        </w:trPr>
        <w:tc>
          <w:tcPr>
            <w:tcW w:w="534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Offering Price</w:t>
            </w:r>
          </w:p>
        </w:tc>
        <w:tc>
          <w:tcPr>
            <w:tcW w:w="18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300"/>
              <w:spacing w:after="0" w:line="162" w:lineRule="exact"/>
              <w:rPr>
                <w:sz w:val="20"/>
                <w:szCs w:val="20"/>
                <w:color w:val="auto"/>
              </w:rPr>
            </w:pPr>
            <w:r>
              <w:rPr>
                <w:rFonts w:ascii="Arial" w:cs="Arial" w:eastAsia="Arial" w:hAnsi="Arial"/>
                <w:sz w:val="15"/>
                <w:szCs w:val="15"/>
                <w:color w:val="auto"/>
              </w:rPr>
              <w:t>Price per Share to Public</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14.18</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14.18</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Net Proceeds per Share to Issuer</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13.47</w:t>
            </w: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13.47</w:t>
            </w: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tcPr>
          <w:p>
            <w:pPr>
              <w:spacing w:after="0" w:line="162" w:lineRule="exact"/>
              <w:rPr>
                <w:sz w:val="20"/>
                <w:szCs w:val="20"/>
                <w:color w:val="auto"/>
              </w:rPr>
            </w:pPr>
            <w:r>
              <w:rPr>
                <w:rFonts w:ascii="Arial" w:cs="Arial" w:eastAsia="Arial" w:hAnsi="Arial"/>
                <w:sz w:val="15"/>
                <w:szCs w:val="15"/>
                <w:b w:val="1"/>
                <w:bCs w:val="1"/>
                <w:color w:val="auto"/>
              </w:rPr>
              <w:t>Decrease/Increase to Net Asset Value</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Shares Offered</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w w:val="90"/>
              </w:rPr>
              <w:t>15,154,308</w:t>
            </w: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0"/>
              </w:rPr>
              <w:t>15,154,308</w:t>
            </w: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300"/>
              <w:spacing w:after="0" w:line="162" w:lineRule="exact"/>
              <w:rPr>
                <w:sz w:val="20"/>
                <w:szCs w:val="20"/>
                <w:color w:val="auto"/>
              </w:rPr>
            </w:pPr>
            <w:r>
              <w:rPr>
                <w:rFonts w:ascii="Arial" w:cs="Arial" w:eastAsia="Arial" w:hAnsi="Arial"/>
                <w:sz w:val="15"/>
                <w:szCs w:val="15"/>
                <w:color w:val="auto"/>
              </w:rPr>
              <w:t>Total Shares Outstanding</w:t>
            </w:r>
          </w:p>
        </w:tc>
        <w:tc>
          <w:tcPr>
            <w:tcW w:w="180" w:type="dxa"/>
            <w:vAlign w:val="bottom"/>
          </w:tcPr>
          <w:p>
            <w:pPr>
              <w:spacing w:after="0"/>
              <w:rPr>
                <w:sz w:val="14"/>
                <w:szCs w:val="14"/>
                <w:color w:val="auto"/>
              </w:rPr>
            </w:pPr>
          </w:p>
        </w:tc>
        <w:tc>
          <w:tcPr>
            <w:tcW w:w="140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75,771,542</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w w:val="90"/>
              </w:rPr>
              <w:t>90,925,850</w:t>
            </w:r>
          </w:p>
        </w:tc>
        <w:tc>
          <w:tcPr>
            <w:tcW w:w="92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20.00%</w:t>
            </w:r>
          </w:p>
        </w:tc>
        <w:tc>
          <w:tcPr>
            <w:tcW w:w="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w w:val="90"/>
              </w:rPr>
              <w:t>90,925,850</w:t>
            </w:r>
          </w:p>
        </w:tc>
        <w:tc>
          <w:tcPr>
            <w:tcW w:w="400" w:type="dxa"/>
            <w:vAlign w:val="bottom"/>
          </w:tcPr>
          <w:p>
            <w:pPr>
              <w:spacing w:after="0"/>
              <w:rPr>
                <w:sz w:val="14"/>
                <w:szCs w:val="14"/>
                <w:color w:val="auto"/>
              </w:rPr>
            </w:pPr>
          </w:p>
        </w:tc>
        <w:tc>
          <w:tcPr>
            <w:tcW w:w="7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20.00%</w:t>
            </w: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Net Asset Value per Share</w:t>
            </w:r>
          </w:p>
        </w:tc>
        <w:tc>
          <w:tcPr>
            <w:tcW w:w="1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16.84</w:t>
            </w:r>
          </w:p>
        </w:tc>
        <w:tc>
          <w:tcPr>
            <w:tcW w:w="2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16.28</w:t>
            </w:r>
          </w:p>
        </w:tc>
        <w:tc>
          <w:tcPr>
            <w:tcW w:w="92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(3.34)%</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16.28</w:t>
            </w:r>
          </w:p>
        </w:tc>
        <w:tc>
          <w:tcPr>
            <w:tcW w:w="4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(3.34)%</w:t>
            </w:r>
          </w:p>
        </w:tc>
        <w:tc>
          <w:tcPr>
            <w:tcW w:w="0" w:type="dxa"/>
            <w:vAlign w:val="bottom"/>
          </w:tcPr>
          <w:p>
            <w:pPr>
              <w:spacing w:after="0"/>
              <w:rPr>
                <w:sz w:val="1"/>
                <w:szCs w:val="1"/>
                <w:color w:val="auto"/>
              </w:rPr>
            </w:pPr>
          </w:p>
        </w:tc>
      </w:tr>
      <w:tr>
        <w:trPr>
          <w:trHeight w:val="162"/>
        </w:trPr>
        <w:tc>
          <w:tcPr>
            <w:tcW w:w="5340" w:type="dxa"/>
            <w:vAlign w:val="bottom"/>
          </w:tcPr>
          <w:p>
            <w:pPr>
              <w:spacing w:after="0" w:line="162" w:lineRule="exact"/>
              <w:rPr>
                <w:sz w:val="20"/>
                <w:szCs w:val="20"/>
                <w:color w:val="auto"/>
              </w:rPr>
            </w:pPr>
            <w:r>
              <w:rPr>
                <w:rFonts w:ascii="Arial" w:cs="Arial" w:eastAsia="Arial" w:hAnsi="Arial"/>
                <w:sz w:val="15"/>
                <w:szCs w:val="15"/>
                <w:b w:val="1"/>
                <w:bCs w:val="1"/>
                <w:color w:val="auto"/>
                <w:w w:val="96"/>
              </w:rPr>
              <w:t>Dilution/Accretion to Participating Stockholder Shares Held by Stockholder A</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Shares Held by Stockholder A</w:t>
            </w:r>
          </w:p>
        </w:tc>
        <w:tc>
          <w:tcPr>
            <w:tcW w:w="1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75,772</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83,349</w:t>
            </w:r>
          </w:p>
        </w:tc>
        <w:tc>
          <w:tcPr>
            <w:tcW w:w="9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10.00%</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98,503</w:t>
            </w:r>
          </w:p>
        </w:tc>
        <w:tc>
          <w:tcPr>
            <w:tcW w:w="4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30.00%</w:t>
            </w:r>
          </w:p>
        </w:tc>
        <w:tc>
          <w:tcPr>
            <w:tcW w:w="0" w:type="dxa"/>
            <w:vAlign w:val="bottom"/>
          </w:tcPr>
          <w:p>
            <w:pPr>
              <w:spacing w:after="0"/>
              <w:rPr>
                <w:sz w:val="1"/>
                <w:szCs w:val="1"/>
                <w:color w:val="auto"/>
              </w:rPr>
            </w:pPr>
          </w:p>
        </w:tc>
      </w:tr>
      <w:tr>
        <w:trPr>
          <w:trHeight w:val="162"/>
        </w:trPr>
        <w:tc>
          <w:tcPr>
            <w:tcW w:w="5340" w:type="dxa"/>
            <w:vAlign w:val="bottom"/>
          </w:tcPr>
          <w:p>
            <w:pPr>
              <w:ind w:left="300"/>
              <w:spacing w:after="0" w:line="162" w:lineRule="exact"/>
              <w:rPr>
                <w:sz w:val="20"/>
                <w:szCs w:val="20"/>
                <w:color w:val="auto"/>
              </w:rPr>
            </w:pPr>
            <w:r>
              <w:rPr>
                <w:rFonts w:ascii="Arial" w:cs="Arial" w:eastAsia="Arial" w:hAnsi="Arial"/>
                <w:sz w:val="15"/>
                <w:szCs w:val="15"/>
                <w:color w:val="auto"/>
              </w:rPr>
              <w:t>Percentage Held by Stockholder A</w:t>
            </w:r>
          </w:p>
        </w:tc>
        <w:tc>
          <w:tcPr>
            <w:tcW w:w="180" w:type="dxa"/>
            <w:vAlign w:val="bottom"/>
          </w:tcPr>
          <w:p>
            <w:pPr>
              <w:spacing w:after="0"/>
              <w:rPr>
                <w:sz w:val="14"/>
                <w:szCs w:val="14"/>
                <w:color w:val="auto"/>
              </w:rPr>
            </w:pPr>
          </w:p>
        </w:tc>
        <w:tc>
          <w:tcPr>
            <w:tcW w:w="14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0.10%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0.09%</w:t>
            </w:r>
          </w:p>
        </w:tc>
        <w:tc>
          <w:tcPr>
            <w:tcW w:w="92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(8.33)%</w:t>
            </w:r>
          </w:p>
        </w:tc>
        <w:tc>
          <w:tcPr>
            <w:tcW w:w="80" w:type="dxa"/>
            <w:vAlign w:val="bottom"/>
          </w:tcPr>
          <w:p>
            <w:pPr>
              <w:spacing w:after="0"/>
              <w:rPr>
                <w:sz w:val="14"/>
                <w:szCs w:val="14"/>
                <w:color w:val="auto"/>
              </w:rPr>
            </w:pPr>
          </w:p>
        </w:tc>
        <w:tc>
          <w:tcPr>
            <w:tcW w:w="110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0.11%</w:t>
            </w:r>
          </w:p>
        </w:tc>
        <w:tc>
          <w:tcPr>
            <w:tcW w:w="7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8.33%</w:t>
            </w: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Total Net Asset Value Held by Stockholder A</w:t>
            </w:r>
          </w:p>
        </w:tc>
        <w:tc>
          <w:tcPr>
            <w:tcW w:w="1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1,275,848</w:t>
            </w:r>
          </w:p>
        </w:tc>
        <w:tc>
          <w:tcPr>
            <w:tcW w:w="2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1,356,680</w:t>
            </w:r>
          </w:p>
        </w:tc>
        <w:tc>
          <w:tcPr>
            <w:tcW w:w="9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6.34%</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1,603,348</w:t>
            </w:r>
          </w:p>
        </w:tc>
        <w:tc>
          <w:tcPr>
            <w:tcW w:w="4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25.67%</w:t>
            </w:r>
          </w:p>
        </w:tc>
        <w:tc>
          <w:tcPr>
            <w:tcW w:w="0" w:type="dxa"/>
            <w:vAlign w:val="bottom"/>
          </w:tcPr>
          <w:p>
            <w:pPr>
              <w:spacing w:after="0"/>
              <w:rPr>
                <w:sz w:val="1"/>
                <w:szCs w:val="1"/>
                <w:color w:val="auto"/>
              </w:rPr>
            </w:pPr>
          </w:p>
        </w:tc>
      </w:tr>
      <w:tr>
        <w:trPr>
          <w:trHeight w:val="149"/>
        </w:trPr>
        <w:tc>
          <w:tcPr>
            <w:tcW w:w="5340" w:type="dxa"/>
            <w:vAlign w:val="bottom"/>
          </w:tcPr>
          <w:p>
            <w:pPr>
              <w:ind w:left="300"/>
              <w:spacing w:after="0" w:line="149" w:lineRule="exact"/>
              <w:rPr>
                <w:sz w:val="20"/>
                <w:szCs w:val="20"/>
                <w:color w:val="auto"/>
              </w:rPr>
            </w:pPr>
            <w:r>
              <w:rPr>
                <w:rFonts w:ascii="Arial" w:cs="Arial" w:eastAsia="Arial" w:hAnsi="Arial"/>
                <w:sz w:val="15"/>
                <w:szCs w:val="15"/>
                <w:color w:val="auto"/>
              </w:rPr>
              <w:t>Total Investment by Stockholder A (Assumed to be $17.16 per Share on</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340" w:type="dxa"/>
            <w:vAlign w:val="bottom"/>
          </w:tcPr>
          <w:p>
            <w:pPr>
              <w:ind w:left="460"/>
              <w:spacing w:after="0"/>
              <w:rPr>
                <w:sz w:val="20"/>
                <w:szCs w:val="20"/>
                <w:color w:val="auto"/>
              </w:rPr>
            </w:pPr>
            <w:r>
              <w:rPr>
                <w:rFonts w:ascii="Arial" w:cs="Arial" w:eastAsia="Arial" w:hAnsi="Arial"/>
                <w:sz w:val="15"/>
                <w:szCs w:val="15"/>
                <w:color w:val="auto"/>
              </w:rPr>
              <w:t>Shares Held Prior to Sale)</w:t>
            </w: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5"/>
                <w:szCs w:val="15"/>
                <w:color w:val="auto"/>
              </w:rPr>
              <w:t>1,275,848</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5"/>
                <w:szCs w:val="15"/>
                <w:color w:val="auto"/>
              </w:rPr>
              <w:t>1,383,300</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1,598,204</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340" w:type="dxa"/>
            <w:vAlign w:val="bottom"/>
            <w:shd w:val="clear" w:color="auto" w:fill="CCEEFF"/>
          </w:tcPr>
          <w:p>
            <w:pPr>
              <w:ind w:left="300"/>
              <w:spacing w:after="0" w:line="149" w:lineRule="exact"/>
              <w:rPr>
                <w:sz w:val="20"/>
                <w:szCs w:val="20"/>
                <w:color w:val="auto"/>
              </w:rPr>
            </w:pPr>
            <w:r>
              <w:rPr>
                <w:rFonts w:ascii="Arial" w:cs="Arial" w:eastAsia="Arial" w:hAnsi="Arial"/>
                <w:sz w:val="15"/>
                <w:szCs w:val="15"/>
                <w:color w:val="auto"/>
              </w:rPr>
              <w:t>Total Dilution/Accretion to Stockholder A (Total Net Asset Value Less Total</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340" w:type="dxa"/>
            <w:vAlign w:val="bottom"/>
            <w:shd w:val="clear" w:color="auto" w:fill="CCEEFF"/>
          </w:tcPr>
          <w:p>
            <w:pPr>
              <w:ind w:left="460"/>
              <w:spacing w:after="0"/>
              <w:rPr>
                <w:sz w:val="20"/>
                <w:szCs w:val="20"/>
                <w:color w:val="auto"/>
              </w:rPr>
            </w:pPr>
            <w:r>
              <w:rPr>
                <w:rFonts w:ascii="Arial" w:cs="Arial" w:eastAsia="Arial" w:hAnsi="Arial"/>
                <w:sz w:val="15"/>
                <w:szCs w:val="15"/>
                <w:color w:val="auto"/>
              </w:rPr>
              <w:t>Investment)</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(26,620)</w:t>
            </w:r>
          </w:p>
        </w:tc>
        <w:tc>
          <w:tcPr>
            <w:tcW w:w="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5,144</w:t>
            </w: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340" w:type="dxa"/>
            <w:vAlign w:val="bottom"/>
          </w:tcPr>
          <w:p>
            <w:pPr>
              <w:ind w:left="300"/>
              <w:spacing w:after="0" w:line="149" w:lineRule="exact"/>
              <w:rPr>
                <w:sz w:val="20"/>
                <w:szCs w:val="20"/>
                <w:color w:val="auto"/>
              </w:rPr>
            </w:pPr>
            <w:r>
              <w:rPr>
                <w:rFonts w:ascii="Arial" w:cs="Arial" w:eastAsia="Arial" w:hAnsi="Arial"/>
                <w:sz w:val="15"/>
                <w:szCs w:val="15"/>
                <w:color w:val="auto"/>
              </w:rPr>
              <w:t>Investment per Share Held by Stockholder A (Assumed to be $17.16 per</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340" w:type="dxa"/>
            <w:vAlign w:val="bottom"/>
          </w:tcPr>
          <w:p>
            <w:pPr>
              <w:ind w:left="460"/>
              <w:spacing w:after="0"/>
              <w:rPr>
                <w:sz w:val="20"/>
                <w:szCs w:val="20"/>
                <w:color w:val="auto"/>
              </w:rPr>
            </w:pPr>
            <w:r>
              <w:rPr>
                <w:rFonts w:ascii="Arial" w:cs="Arial" w:eastAsia="Arial" w:hAnsi="Arial"/>
                <w:sz w:val="15"/>
                <w:szCs w:val="15"/>
                <w:color w:val="auto"/>
              </w:rPr>
              <w:t>Share on Shares Held Prior to Sale)</w:t>
            </w: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5"/>
                <w:szCs w:val="15"/>
                <w:color w:val="auto"/>
              </w:rPr>
              <w:t>16.84</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5"/>
                <w:szCs w:val="15"/>
                <w:color w:val="auto"/>
              </w:rPr>
              <w:t>16.60</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(1.45)%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16.22</w:t>
            </w:r>
          </w:p>
        </w:tc>
        <w:tc>
          <w:tcPr>
            <w:tcW w:w="40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(3.65)%</w:t>
            </w: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Net Asset Value per Share Held by Stockholder A</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16.28</w:t>
            </w: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16.28</w:t>
            </w: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40" w:type="dxa"/>
            <w:vAlign w:val="bottom"/>
          </w:tcPr>
          <w:p>
            <w:pPr>
              <w:ind w:left="300"/>
              <w:spacing w:after="0" w:line="149" w:lineRule="exact"/>
              <w:rPr>
                <w:sz w:val="20"/>
                <w:szCs w:val="20"/>
                <w:color w:val="auto"/>
              </w:rPr>
            </w:pPr>
            <w:r>
              <w:rPr>
                <w:rFonts w:ascii="Arial" w:cs="Arial" w:eastAsia="Arial" w:hAnsi="Arial"/>
                <w:sz w:val="15"/>
                <w:szCs w:val="15"/>
                <w:color w:val="auto"/>
              </w:rPr>
              <w:t>Dilution/Accretion per Share Held by Stockholder A (Net Asset Value per</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340" w:type="dxa"/>
            <w:vAlign w:val="bottom"/>
          </w:tcPr>
          <w:p>
            <w:pPr>
              <w:ind w:left="460"/>
              <w:spacing w:after="0"/>
              <w:rPr>
                <w:sz w:val="20"/>
                <w:szCs w:val="20"/>
                <w:color w:val="auto"/>
              </w:rPr>
            </w:pPr>
            <w:r>
              <w:rPr>
                <w:rFonts w:ascii="Arial" w:cs="Arial" w:eastAsia="Arial" w:hAnsi="Arial"/>
                <w:sz w:val="15"/>
                <w:szCs w:val="15"/>
                <w:color w:val="auto"/>
              </w:rPr>
              <w:t>Share Less Investment per Share)</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5"/>
                <w:szCs w:val="15"/>
                <w:color w:val="auto"/>
              </w:rPr>
              <w:t>(0.32)</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0.05</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340" w:type="dxa"/>
            <w:vAlign w:val="bottom"/>
            <w:shd w:val="clear" w:color="auto" w:fill="CCEEFF"/>
          </w:tcPr>
          <w:p>
            <w:pPr>
              <w:ind w:left="300"/>
              <w:spacing w:after="0" w:line="149" w:lineRule="exact"/>
              <w:rPr>
                <w:sz w:val="20"/>
                <w:szCs w:val="20"/>
                <w:color w:val="auto"/>
              </w:rPr>
            </w:pPr>
            <w:r>
              <w:rPr>
                <w:rFonts w:ascii="Arial" w:cs="Arial" w:eastAsia="Arial" w:hAnsi="Arial"/>
                <w:sz w:val="15"/>
                <w:szCs w:val="15"/>
                <w:color w:val="auto"/>
              </w:rPr>
              <w:t>Percentage Dilution/Accretion to Stockholder A (Dilution per Share Divided</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340" w:type="dxa"/>
            <w:vAlign w:val="bottom"/>
            <w:shd w:val="clear" w:color="auto" w:fill="CCEEFF"/>
          </w:tcPr>
          <w:p>
            <w:pPr>
              <w:ind w:left="460"/>
              <w:spacing w:after="0"/>
              <w:rPr>
                <w:sz w:val="20"/>
                <w:szCs w:val="20"/>
                <w:color w:val="auto"/>
              </w:rPr>
            </w:pPr>
            <w:r>
              <w:rPr>
                <w:rFonts w:ascii="Arial" w:cs="Arial" w:eastAsia="Arial" w:hAnsi="Arial"/>
                <w:sz w:val="15"/>
                <w:szCs w:val="15"/>
                <w:color w:val="auto"/>
              </w:rPr>
              <w:t>by Investment per Share)</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(1.92)%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0.32%</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517" w:right="4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Impact on New Investors</w:t>
      </w:r>
    </w:p>
    <w:p>
      <w:pPr>
        <w:spacing w:after="0" w:line="23"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Investors who are not currently stockholders and who participate in an offering of shares of our common stock at a price below net asset value per share, but whose investment per share is greater than the resulting net asset value per share due to selling compensation and expenses paid by us, will experience an immediate decrease, although small, in the net asset value of their shares and their net asset value per share compared to the price they pay for their shares. Investors who are not currently stockholders and who participate in an offering of shares of our common stock at a price below net asset value per share and whose investment per share is also less than the resulting net asset value per share due to selling compensation and expenses paid by us being significantly less than the discount per share, will experience an immediate increase in the net asset value of their shares and their net asset value per share compared to the price they pay for their shares. These investors will experience a disproportionately greater participation in our earnings and assets and their voting power than our increase in assets, potential earning power and voting interests due to such offering.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69" w:lineRule="exact"/>
        <w:rPr>
          <w:sz w:val="20"/>
          <w:szCs w:val="20"/>
          <w:color w:val="auto"/>
        </w:rPr>
      </w:pPr>
    </w:p>
    <w:p>
      <w:pPr>
        <w:ind w:right="80" w:firstLine="440"/>
        <w:spacing w:after="0" w:line="289" w:lineRule="auto"/>
        <w:rPr>
          <w:sz w:val="20"/>
          <w:szCs w:val="20"/>
          <w:color w:val="auto"/>
        </w:rPr>
      </w:pPr>
      <w:r>
        <w:rPr>
          <w:rFonts w:ascii="Arial" w:cs="Arial" w:eastAsia="Arial" w:hAnsi="Arial"/>
          <w:sz w:val="16"/>
          <w:szCs w:val="16"/>
          <w:color w:val="auto"/>
        </w:rPr>
        <w:t>The example assumes that the issuer has 75.8 million shares outstanding, $2.6 billion in total assets and $1.3 billion in total liabilities. The current net asset value and NAV per share are thus $1.3 billion and $16.84 per share. The chart illustrates the dilutive effect on Stockholder A of (a) an offering of 3.8 million shares of common stock (5% of the outstanding shares) at $16.00 per share after offering expenses and commissions (a 5% discount from NAV per share), (b) an offering of 7.6 million shares of common stock (10% of the outstanding shares) at $15.16 per share after offering expenses and commissions (a 10% discount from NAV per share), (c) an offering of 15.2 million shares of common stock (20% of the outstanding shares) at $13.47 per share after offering expenses and commissions (a 20% discount from NAV per share), and (d) an offering of 18.9 million shares of common stock (25% of the outstanding shares) at $12.63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 It is not possible to predict the level of market price decline that may occur.</w:t>
      </w:r>
    </w:p>
    <w:p>
      <w:pPr>
        <w:spacing w:after="0" w:line="166"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The following chart illustrates the level of dilution or accretion for new investors that would be experienced by a new investor in the same hypothetical 5%, 10%, 20% and 25% discounted offerings as described in the first chart above. The illustration is for a new investor who purchases the same percentage (0.10%) of the shares in the offering as Stockholder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 These examples are provided for illustrative purposes only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left="296"/>
              <w:spacing w:after="0"/>
              <w:rPr>
                <w:sz w:val="20"/>
                <w:szCs w:val="20"/>
                <w:color w:val="auto"/>
              </w:rPr>
            </w:pPr>
            <w:r>
              <w:rPr>
                <w:rFonts w:ascii="Arial" w:cs="Arial" w:eastAsia="Arial" w:hAnsi="Arial"/>
                <w:sz w:val="14"/>
                <w:szCs w:val="14"/>
                <w:b w:val="1"/>
                <w:bCs w:val="1"/>
                <w:color w:val="auto"/>
                <w:w w:val="95"/>
              </w:rPr>
              <w:t>Example 1</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left="316"/>
              <w:spacing w:after="0"/>
              <w:rPr>
                <w:sz w:val="20"/>
                <w:szCs w:val="20"/>
                <w:color w:val="auto"/>
              </w:rPr>
            </w:pPr>
            <w:r>
              <w:rPr>
                <w:rFonts w:ascii="Arial" w:cs="Arial" w:eastAsia="Arial" w:hAnsi="Arial"/>
                <w:sz w:val="14"/>
                <w:szCs w:val="14"/>
                <w:b w:val="1"/>
                <w:bCs w:val="1"/>
                <w:color w:val="auto"/>
                <w:w w:val="95"/>
              </w:rPr>
              <w:t>Example 2</w:t>
            </w: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left="296"/>
              <w:spacing w:after="0"/>
              <w:rPr>
                <w:sz w:val="20"/>
                <w:szCs w:val="20"/>
                <w:color w:val="auto"/>
              </w:rPr>
            </w:pPr>
            <w:r>
              <w:rPr>
                <w:rFonts w:ascii="Arial" w:cs="Arial" w:eastAsia="Arial" w:hAnsi="Arial"/>
                <w:sz w:val="14"/>
                <w:szCs w:val="14"/>
                <w:b w:val="1"/>
                <w:bCs w:val="1"/>
                <w:color w:val="auto"/>
                <w:w w:val="95"/>
              </w:rPr>
              <w:t>Example 3</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left="296"/>
              <w:spacing w:after="0"/>
              <w:rPr>
                <w:sz w:val="20"/>
                <w:szCs w:val="20"/>
                <w:color w:val="auto"/>
              </w:rPr>
            </w:pPr>
            <w:r>
              <w:rPr>
                <w:rFonts w:ascii="Arial" w:cs="Arial" w:eastAsia="Arial" w:hAnsi="Arial"/>
                <w:sz w:val="14"/>
                <w:szCs w:val="14"/>
                <w:b w:val="1"/>
                <w:bCs w:val="1"/>
                <w:color w:val="auto"/>
                <w:w w:val="95"/>
              </w:rPr>
              <w:t>Example 4</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19"/>
        </w:trPr>
        <w:tc>
          <w:tcPr>
            <w:tcW w:w="2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rPr>
              <w:t>5% Offering at 5%</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4"/>
          </w:tcPr>
          <w:p>
            <w:pPr>
              <w:jc w:val="center"/>
              <w:ind w:right="100"/>
              <w:spacing w:after="0" w:line="119" w:lineRule="exact"/>
              <w:rPr>
                <w:sz w:val="20"/>
                <w:szCs w:val="20"/>
                <w:color w:val="auto"/>
              </w:rPr>
            </w:pPr>
            <w:r>
              <w:rPr>
                <w:rFonts w:ascii="Arial" w:cs="Arial" w:eastAsia="Arial" w:hAnsi="Arial"/>
                <w:sz w:val="13"/>
                <w:szCs w:val="13"/>
                <w:b w:val="1"/>
                <w:bCs w:val="1"/>
                <w:color w:val="auto"/>
              </w:rPr>
              <w:t>10% Offering at</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rPr>
              <w:t>20% Offering at</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25% Offering at</w:t>
            </w:r>
          </w:p>
        </w:tc>
        <w:tc>
          <w:tcPr>
            <w:tcW w:w="260" w:type="dxa"/>
            <w:vAlign w:val="bottom"/>
          </w:tcPr>
          <w:p>
            <w:pPr>
              <w:spacing w:after="0"/>
              <w:rPr>
                <w:sz w:val="10"/>
                <w:szCs w:val="10"/>
                <w:color w:val="auto"/>
              </w:rPr>
            </w:pPr>
          </w:p>
        </w:tc>
      </w:tr>
      <w:tr>
        <w:trPr>
          <w:trHeight w:val="171"/>
        </w:trPr>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Prior to</w:t>
            </w:r>
          </w:p>
        </w:tc>
        <w:tc>
          <w:tcPr>
            <w:tcW w:w="100" w:type="dxa"/>
            <w:vAlign w:val="bottom"/>
          </w:tcPr>
          <w:p>
            <w:pPr>
              <w:spacing w:after="0"/>
              <w:rPr>
                <w:sz w:val="14"/>
                <w:szCs w:val="14"/>
                <w:color w:val="auto"/>
              </w:rPr>
            </w:pPr>
          </w:p>
        </w:tc>
        <w:tc>
          <w:tcPr>
            <w:tcW w:w="1080" w:type="dxa"/>
            <w:vAlign w:val="bottom"/>
            <w:gridSpan w:val="2"/>
          </w:tcPr>
          <w:p>
            <w:pPr>
              <w:jc w:val="center"/>
              <w:ind w:left="296"/>
              <w:spacing w:after="0"/>
              <w:rPr>
                <w:sz w:val="20"/>
                <w:szCs w:val="20"/>
                <w:color w:val="auto"/>
              </w:rPr>
            </w:pPr>
            <w:r>
              <w:rPr>
                <w:rFonts w:ascii="Arial" w:cs="Arial" w:eastAsia="Arial" w:hAnsi="Arial"/>
                <w:sz w:val="14"/>
                <w:szCs w:val="14"/>
                <w:b w:val="1"/>
                <w:bCs w:val="1"/>
                <w:color w:val="auto"/>
                <w:w w:val="90"/>
              </w:rPr>
              <w:t>Discount</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10% Discount</w:t>
            </w:r>
          </w:p>
        </w:tc>
        <w:tc>
          <w:tcPr>
            <w:tcW w:w="100" w:type="dxa"/>
            <w:vAlign w:val="bottom"/>
          </w:tcPr>
          <w:p>
            <w:pPr>
              <w:spacing w:after="0"/>
              <w:rPr>
                <w:sz w:val="14"/>
                <w:szCs w:val="14"/>
                <w:color w:val="auto"/>
              </w:rPr>
            </w:pPr>
          </w:p>
        </w:tc>
        <w:tc>
          <w:tcPr>
            <w:tcW w:w="18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20% Discount</w:t>
            </w:r>
          </w:p>
        </w:tc>
        <w:tc>
          <w:tcPr>
            <w:tcW w:w="100" w:type="dxa"/>
            <w:vAlign w:val="bottom"/>
          </w:tcPr>
          <w:p>
            <w:pPr>
              <w:spacing w:after="0"/>
              <w:rPr>
                <w:sz w:val="14"/>
                <w:szCs w:val="14"/>
                <w:color w:val="auto"/>
              </w:rPr>
            </w:pPr>
          </w:p>
        </w:tc>
        <w:tc>
          <w:tcPr>
            <w:tcW w:w="18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25% Discount</w:t>
            </w:r>
          </w:p>
        </w:tc>
      </w:tr>
      <w:tr>
        <w:trPr>
          <w:trHeight w:val="119"/>
        </w:trPr>
        <w:tc>
          <w:tcPr>
            <w:tcW w:w="2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7"/>
              </w:rPr>
              <w:t>Sale</w:t>
            </w: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0"/>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0"/>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0"/>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r>
      <w:tr>
        <w:trPr>
          <w:trHeight w:val="171"/>
        </w:trPr>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Below NAV</w:t>
            </w:r>
          </w:p>
        </w:tc>
        <w:tc>
          <w:tcPr>
            <w:tcW w:w="100" w:type="dxa"/>
            <w:vAlign w:val="bottom"/>
          </w:tcPr>
          <w:p>
            <w:pPr>
              <w:spacing w:after="0"/>
              <w:rPr>
                <w:sz w:val="14"/>
                <w:szCs w:val="14"/>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Change</w:t>
            </w: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Offering Price</w:t>
            </w: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w w:val="99"/>
              </w:rPr>
              <w:t>Price per Share to Public</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16.84</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15.95</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14.18</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13.29</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Net Proceeds per Share to</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Issuer</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15.16</w:t>
            </w: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13.47</w:t>
            </w:r>
          </w:p>
        </w:tc>
        <w:tc>
          <w:tcPr>
            <w:tcW w:w="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198"/>
        </w:trPr>
        <w:tc>
          <w:tcPr>
            <w:tcW w:w="2000" w:type="dxa"/>
            <w:vAlign w:val="bottom"/>
          </w:tcPr>
          <w:p>
            <w:pPr>
              <w:spacing w:after="0" w:line="198" w:lineRule="exact"/>
              <w:rPr>
                <w:sz w:val="20"/>
                <w:szCs w:val="20"/>
                <w:color w:val="auto"/>
              </w:rPr>
            </w:pPr>
            <w:r>
              <w:rPr>
                <w:rFonts w:ascii="Arial" w:cs="Arial" w:eastAsia="Arial" w:hAnsi="Arial"/>
                <w:sz w:val="18"/>
                <w:szCs w:val="18"/>
                <w:b w:val="1"/>
                <w:bCs w:val="1"/>
                <w:color w:val="auto"/>
              </w:rPr>
              <w:t>Decrease/Increase to</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2000" w:type="dxa"/>
            <w:vAlign w:val="bottom"/>
          </w:tcPr>
          <w:p>
            <w:pPr>
              <w:ind w:left="180"/>
              <w:spacing w:after="0"/>
              <w:rPr>
                <w:sz w:val="20"/>
                <w:szCs w:val="20"/>
                <w:color w:val="auto"/>
              </w:rPr>
            </w:pPr>
            <w:r>
              <w:rPr>
                <w:rFonts w:ascii="Arial" w:cs="Arial" w:eastAsia="Arial" w:hAnsi="Arial"/>
                <w:sz w:val="18"/>
                <w:szCs w:val="18"/>
                <w:b w:val="1"/>
                <w:bCs w:val="1"/>
                <w:color w:val="auto"/>
              </w:rPr>
              <w:t>Net Asset Value</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w w:val="96"/>
              </w:rPr>
              <w:t>Total Shares Outstanding</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75,771,542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79,560,119</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83,348,696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90,925,850</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94,714,428</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Shares Offered</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3,788,577</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7,577,154</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15,154,308</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18,942,886</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w w:val="92"/>
              </w:rPr>
              <w:t>Net Asset Value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16.69</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(5.01)%</w:t>
            </w:r>
          </w:p>
        </w:tc>
      </w:tr>
      <w:tr>
        <w:trPr>
          <w:trHeight w:val="198"/>
        </w:trPr>
        <w:tc>
          <w:tcPr>
            <w:tcW w:w="2000" w:type="dxa"/>
            <w:vAlign w:val="bottom"/>
          </w:tcPr>
          <w:p>
            <w:pPr>
              <w:spacing w:after="0" w:line="198" w:lineRule="exact"/>
              <w:rPr>
                <w:sz w:val="20"/>
                <w:szCs w:val="20"/>
                <w:color w:val="auto"/>
              </w:rPr>
            </w:pPr>
            <w:r>
              <w:rPr>
                <w:rFonts w:ascii="Arial" w:cs="Arial" w:eastAsia="Arial" w:hAnsi="Arial"/>
                <w:sz w:val="18"/>
                <w:szCs w:val="18"/>
                <w:b w:val="1"/>
                <w:bCs w:val="1"/>
                <w:color w:val="auto"/>
              </w:rPr>
              <w:t>Dilution/Accretion to</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2000" w:type="dxa"/>
            <w:vAlign w:val="bottom"/>
          </w:tcPr>
          <w:p>
            <w:pPr>
              <w:ind w:left="180"/>
              <w:spacing w:after="0"/>
              <w:rPr>
                <w:sz w:val="20"/>
                <w:szCs w:val="20"/>
                <w:color w:val="auto"/>
              </w:rPr>
            </w:pPr>
            <w:r>
              <w:rPr>
                <w:rFonts w:ascii="Arial" w:cs="Arial" w:eastAsia="Arial" w:hAnsi="Arial"/>
                <w:sz w:val="18"/>
                <w:szCs w:val="18"/>
                <w:b w:val="1"/>
                <w:bCs w:val="1"/>
                <w:color w:val="auto"/>
              </w:rPr>
              <w:t>New Investor A</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Held</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by Investor A</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7,577</w:t>
            </w: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15,154</w:t>
            </w:r>
          </w:p>
        </w:tc>
        <w:tc>
          <w:tcPr>
            <w:tcW w:w="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18,943</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202"/>
        </w:trPr>
        <w:tc>
          <w:tcPr>
            <w:tcW w:w="2000" w:type="dxa"/>
            <w:vAlign w:val="bottom"/>
          </w:tcPr>
          <w:p>
            <w:pPr>
              <w:spacing w:after="0" w:line="201" w:lineRule="exact"/>
              <w:rPr>
                <w:sz w:val="20"/>
                <w:szCs w:val="20"/>
                <w:color w:val="auto"/>
              </w:rPr>
            </w:pPr>
            <w:r>
              <w:rPr>
                <w:rFonts w:ascii="Arial" w:cs="Arial" w:eastAsia="Arial" w:hAnsi="Arial"/>
                <w:sz w:val="18"/>
                <w:szCs w:val="18"/>
                <w:color w:val="auto"/>
              </w:rPr>
              <w:t>Percentage Held by</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2000" w:type="dxa"/>
            <w:vAlign w:val="bottom"/>
          </w:tcPr>
          <w:p>
            <w:pPr>
              <w:ind w:left="180"/>
              <w:spacing w:after="0"/>
              <w:rPr>
                <w:sz w:val="20"/>
                <w:szCs w:val="20"/>
                <w:color w:val="auto"/>
              </w:rPr>
            </w:pPr>
            <w:r>
              <w:rPr>
                <w:rFonts w:ascii="Arial" w:cs="Arial" w:eastAsia="Arial" w:hAnsi="Arial"/>
                <w:sz w:val="18"/>
                <w:szCs w:val="18"/>
                <w:color w:val="auto"/>
              </w:rPr>
              <w:t>Investor A</w:t>
            </w:r>
          </w:p>
        </w:tc>
        <w:tc>
          <w:tcPr>
            <w:tcW w:w="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Net Asset Value</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Held by Investor 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63,641</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126,426</w:t>
            </w: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246,668</w:t>
            </w:r>
          </w:p>
        </w:tc>
        <w:tc>
          <w:tcPr>
            <w:tcW w:w="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303,019</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202"/>
        </w:trPr>
        <w:tc>
          <w:tcPr>
            <w:tcW w:w="2000" w:type="dxa"/>
            <w:vAlign w:val="bottom"/>
          </w:tcPr>
          <w:p>
            <w:pPr>
              <w:spacing w:after="0" w:line="201" w:lineRule="exact"/>
              <w:rPr>
                <w:sz w:val="20"/>
                <w:szCs w:val="20"/>
                <w:color w:val="auto"/>
              </w:rPr>
            </w:pPr>
            <w:r>
              <w:rPr>
                <w:rFonts w:ascii="Arial" w:cs="Arial" w:eastAsia="Arial" w:hAnsi="Arial"/>
                <w:sz w:val="18"/>
                <w:szCs w:val="18"/>
                <w:color w:val="auto"/>
              </w:rPr>
              <w:t>Total Investment by</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16"/>
        </w:trPr>
        <w:tc>
          <w:tcPr>
            <w:tcW w:w="2000" w:type="dxa"/>
            <w:vAlign w:val="bottom"/>
          </w:tcPr>
          <w:p>
            <w:pPr>
              <w:ind w:left="180"/>
              <w:spacing w:after="0"/>
              <w:rPr>
                <w:sz w:val="20"/>
                <w:szCs w:val="20"/>
                <w:color w:val="auto"/>
              </w:rPr>
            </w:pPr>
            <w:r>
              <w:rPr>
                <w:rFonts w:ascii="Arial" w:cs="Arial" w:eastAsia="Arial" w:hAnsi="Arial"/>
                <w:sz w:val="18"/>
                <w:szCs w:val="18"/>
                <w:color w:val="auto"/>
              </w:rPr>
              <w:t>Investor A (At Price to</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2000" w:type="dxa"/>
            <w:vAlign w:val="bottom"/>
          </w:tcPr>
          <w:p>
            <w:pPr>
              <w:ind w:left="180"/>
              <w:spacing w:after="0"/>
              <w:rPr>
                <w:sz w:val="20"/>
                <w:szCs w:val="20"/>
                <w:color w:val="auto"/>
              </w:rPr>
            </w:pPr>
            <w:r>
              <w:rPr>
                <w:rFonts w:ascii="Arial" w:cs="Arial" w:eastAsia="Arial" w:hAnsi="Arial"/>
                <w:sz w:val="18"/>
                <w:szCs w:val="18"/>
                <w:color w:val="auto"/>
              </w:rPr>
              <w:t>Public)</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63,800</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120,884</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214,904</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251,841</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Dilution/Accretion</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6"/>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to Investor A (Total Net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Asset Value Less Total</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30"/>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5,543</w:t>
            </w: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31,764</w:t>
            </w:r>
          </w:p>
        </w:tc>
        <w:tc>
          <w:tcPr>
            <w:tcW w:w="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51,179</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202"/>
        </w:trPr>
        <w:tc>
          <w:tcPr>
            <w:tcW w:w="2000" w:type="dxa"/>
            <w:vAlign w:val="bottom"/>
          </w:tcPr>
          <w:p>
            <w:pPr>
              <w:spacing w:after="0" w:line="201" w:lineRule="exact"/>
              <w:rPr>
                <w:sz w:val="20"/>
                <w:szCs w:val="20"/>
                <w:color w:val="auto"/>
              </w:rPr>
            </w:pPr>
            <w:r>
              <w:rPr>
                <w:rFonts w:ascii="Arial" w:cs="Arial" w:eastAsia="Arial" w:hAnsi="Arial"/>
                <w:sz w:val="18"/>
                <w:szCs w:val="18"/>
                <w:color w:val="auto"/>
              </w:rPr>
              <w:t>Investment per Share</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2000" w:type="dxa"/>
            <w:vAlign w:val="bottom"/>
          </w:tcPr>
          <w:p>
            <w:pPr>
              <w:ind w:left="180"/>
              <w:spacing w:after="0"/>
              <w:rPr>
                <w:sz w:val="20"/>
                <w:szCs w:val="20"/>
                <w:color w:val="auto"/>
              </w:rPr>
            </w:pPr>
            <w:r>
              <w:rPr>
                <w:rFonts w:ascii="Arial" w:cs="Arial" w:eastAsia="Arial" w:hAnsi="Arial"/>
                <w:sz w:val="18"/>
                <w:szCs w:val="18"/>
                <w:color w:val="auto"/>
              </w:rPr>
              <w:t>Held by Investor A</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16.84</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15.95</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14.18</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13.29</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Net Asset Value per Share</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Held by Investor A</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16.69</w:t>
            </w: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16.28</w:t>
            </w:r>
          </w:p>
        </w:tc>
        <w:tc>
          <w:tcPr>
            <w:tcW w:w="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202"/>
        </w:trPr>
        <w:tc>
          <w:tcPr>
            <w:tcW w:w="2000" w:type="dxa"/>
            <w:vAlign w:val="bottom"/>
          </w:tcPr>
          <w:p>
            <w:pPr>
              <w:spacing w:after="0" w:line="201" w:lineRule="exact"/>
              <w:rPr>
                <w:sz w:val="20"/>
                <w:szCs w:val="20"/>
                <w:color w:val="auto"/>
              </w:rPr>
            </w:pPr>
            <w:r>
              <w:rPr>
                <w:rFonts w:ascii="Arial" w:cs="Arial" w:eastAsia="Arial" w:hAnsi="Arial"/>
                <w:sz w:val="18"/>
                <w:szCs w:val="18"/>
                <w:color w:val="auto"/>
              </w:rPr>
              <w:t>Dilution/Accretion per</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16"/>
        </w:trPr>
        <w:tc>
          <w:tcPr>
            <w:tcW w:w="2000" w:type="dxa"/>
            <w:vAlign w:val="bottom"/>
          </w:tcPr>
          <w:p>
            <w:pPr>
              <w:ind w:left="180"/>
              <w:spacing w:after="0"/>
              <w:rPr>
                <w:sz w:val="20"/>
                <w:szCs w:val="20"/>
                <w:color w:val="auto"/>
              </w:rPr>
            </w:pPr>
            <w:r>
              <w:rPr>
                <w:rFonts w:ascii="Arial" w:cs="Arial" w:eastAsia="Arial" w:hAnsi="Arial"/>
                <w:sz w:val="18"/>
                <w:szCs w:val="18"/>
                <w:color w:val="auto"/>
                <w:w w:val="98"/>
              </w:rPr>
              <w:t>Share Held by Investor</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00" w:type="dxa"/>
            <w:vAlign w:val="bottom"/>
          </w:tcPr>
          <w:p>
            <w:pPr>
              <w:ind w:left="180"/>
              <w:spacing w:after="0"/>
              <w:rPr>
                <w:sz w:val="20"/>
                <w:szCs w:val="20"/>
                <w:color w:val="auto"/>
              </w:rPr>
            </w:pPr>
            <w:r>
              <w:rPr>
                <w:rFonts w:ascii="Arial" w:cs="Arial" w:eastAsia="Arial" w:hAnsi="Arial"/>
                <w:sz w:val="18"/>
                <w:szCs w:val="18"/>
                <w:color w:val="auto"/>
                <w:w w:val="98"/>
              </w:rPr>
              <w:t>A (Net Asset Value per</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00" w:type="dxa"/>
            <w:vAlign w:val="bottom"/>
          </w:tcPr>
          <w:p>
            <w:pPr>
              <w:ind w:left="180"/>
              <w:spacing w:after="0"/>
              <w:rPr>
                <w:sz w:val="20"/>
                <w:szCs w:val="20"/>
                <w:color w:val="auto"/>
              </w:rPr>
            </w:pPr>
            <w:r>
              <w:rPr>
                <w:rFonts w:ascii="Arial" w:cs="Arial" w:eastAsia="Arial" w:hAnsi="Arial"/>
                <w:sz w:val="18"/>
                <w:szCs w:val="18"/>
                <w:color w:val="auto"/>
                <w:w w:val="97"/>
              </w:rPr>
              <w:t>Share Less Investment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2000" w:type="dxa"/>
            <w:vAlign w:val="bottom"/>
          </w:tcPr>
          <w:p>
            <w:pPr>
              <w:ind w:left="180"/>
              <w:spacing w:after="0"/>
              <w:rPr>
                <w:sz w:val="20"/>
                <w:szCs w:val="20"/>
                <w:color w:val="auto"/>
              </w:rPr>
            </w:pPr>
            <w:r>
              <w:rPr>
                <w:rFonts w:ascii="Arial" w:cs="Arial" w:eastAsia="Arial" w:hAnsi="Arial"/>
                <w:sz w:val="18"/>
                <w:szCs w:val="18"/>
                <w:color w:val="auto"/>
              </w:rPr>
              <w:t>per Share)</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0.73</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2.10</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2.70</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Percentage</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6"/>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Dilution/Accretion to</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Investor A (Dilution</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Share Divided by</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30"/>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per Share)</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14.78%</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20.32%</w:t>
            </w:r>
          </w:p>
        </w:tc>
      </w:tr>
    </w:tbl>
    <w:p>
      <w:pPr>
        <w:sectPr>
          <w:pgSz w:w="11900" w:h="16838" w:orient="portrait"/>
          <w:cols w:equalWidth="0" w:num="1">
            <w:col w:w="11020"/>
          </w:cols>
          <w:pgMar w:left="440" w:top="517" w:right="439" w:bottom="0" w:gutter="0" w:footer="0" w:header="0"/>
        </w:sectPr>
      </w:pPr>
    </w:p>
    <w:bookmarkStart w:id="87" w:name="page88"/>
    <w:bookmarkEnd w:id="87"/>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9019"/>
          </w:cols>
          <w:pgMar w:left="1440" w:top="125" w:right="1440"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DIVIDEND REINVESTMENT PLAN</w:t>
      </w:r>
    </w:p>
    <w:p>
      <w:pPr>
        <w:spacing w:after="0" w:line="229"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information under the heading “Dividend Reinvestment Plan” in Part I, Item I of our 2021 Annual Report is incorporated by reference in this prospectus.</w:t>
      </w:r>
    </w:p>
    <w:p>
      <w:pPr>
        <w:spacing w:after="0" w:line="170"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 income tax consequences as stockholders who elect to receive their cash dividends or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66"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All correspondence concerning the plan should be directed to the plan administrator by mail at American Stock Transfer &amp; Trust Company, LLC, Transfer Agency—Sixth Street Specialty Lending, 6201 15th Avenue, Brooklyn, NY 11219.</w:t>
      </w:r>
    </w:p>
    <w:p>
      <w:pPr>
        <w:spacing w:after="0" w:line="170"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0"/>
          </w:cols>
          <w:pgMar w:left="440" w:top="513" w:right="47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7174865" cy="68580"/>
                    </a:xfrm>
                    <a:prstGeom prst="rect">
                      <a:avLst/>
                    </a:prstGeom>
                    <a:noFill/>
                  </pic:spPr>
                </pic:pic>
              </a:graphicData>
            </a:graphic>
          </wp:anchor>
        </w:drawing>
        <w:t>MATERIAL U.S. FEDERAL INCOME TAX CONSIDERATIONS</w:t>
      </w:r>
    </w:p>
    <w:p>
      <w:pPr>
        <w:spacing w:after="0" w:line="229" w:lineRule="exact"/>
        <w:rPr>
          <w:sz w:val="20"/>
          <w:szCs w:val="20"/>
          <w:color w:val="auto"/>
        </w:rPr>
      </w:pPr>
    </w:p>
    <w:p>
      <w:pPr>
        <w:ind w:right="180" w:firstLine="440"/>
        <w:spacing w:after="0" w:line="275" w:lineRule="auto"/>
        <w:rPr>
          <w:sz w:val="20"/>
          <w:szCs w:val="20"/>
          <w:color w:val="auto"/>
        </w:rPr>
      </w:pPr>
      <w:r>
        <w:rPr>
          <w:rFonts w:ascii="Arial" w:cs="Arial" w:eastAsia="Arial" w:hAnsi="Arial"/>
          <w:sz w:val="17"/>
          <w:szCs w:val="17"/>
          <w:color w:val="auto"/>
        </w:rPr>
        <w:t>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w:t>
      </w:r>
    </w:p>
    <w:p>
      <w:pPr>
        <w:spacing w:after="0" w:line="82" w:lineRule="exact"/>
        <w:rPr>
          <w:sz w:val="20"/>
          <w:szCs w:val="20"/>
          <w:color w:val="auto"/>
        </w:rPr>
      </w:pPr>
    </w:p>
    <w:p>
      <w:pPr>
        <w:ind w:left="980" w:hanging="433"/>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stockholders subject to the alternative minimum tax;</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tax-exempt organizations (except as discussed below);</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pension plans (except as discussed below);</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trusts (except as discussed below);</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entities taxed as partnerships or partners therein;</w:t>
      </w:r>
    </w:p>
    <w:p>
      <w:pPr>
        <w:spacing w:after="0" w:line="130" w:lineRule="exact"/>
        <w:rPr>
          <w:rFonts w:ascii="Arial" w:cs="Arial" w:eastAsia="Arial" w:hAnsi="Arial"/>
          <w:sz w:val="18"/>
          <w:szCs w:val="18"/>
          <w:color w:val="auto"/>
        </w:rPr>
      </w:pPr>
    </w:p>
    <w:p>
      <w:pPr>
        <w:ind w:left="980" w:right="80" w:hanging="433"/>
        <w:spacing w:after="0" w:line="277"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holding shares of common stock or preferred stock as part of a “straddle,” “hedge,” “conversion transaction,” “synthetic security” or other integrated investment;</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who received our stock as compensation;</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who hold our stock on behalf of another person as a nominee;</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who are “controlled foreign corporations;”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U.S. expatriates, or</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U.S. stockholders (as defined below) who have a “functional currency” other than the U.S. dollar.</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Finally, this summary does not address other U.S. federal tax consequences (such as estate, gift and Medicare contribution tax consequences), the alternative minimum tax or any state, local or foreign tax consequences.</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discussion below is based upon the provisions of the Code, and U.S.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w:t>
      </w:r>
    </w:p>
    <w:p>
      <w:pPr>
        <w:spacing w:after="0" w:line="187" w:lineRule="exact"/>
        <w:rPr>
          <w:sz w:val="20"/>
          <w:szCs w:val="20"/>
          <w:color w:val="auto"/>
        </w:rPr>
      </w:pPr>
    </w:p>
    <w:p>
      <w:pPr>
        <w:ind w:right="240" w:firstLine="440"/>
        <w:spacing w:after="0" w:line="255" w:lineRule="auto"/>
        <w:rPr>
          <w:sz w:val="20"/>
          <w:szCs w:val="20"/>
          <w:color w:val="auto"/>
        </w:rPr>
      </w:pPr>
      <w:r>
        <w:rPr>
          <w:rFonts w:ascii="Arial" w:cs="Arial" w:eastAsia="Arial" w:hAnsi="Arial"/>
          <w:sz w:val="18"/>
          <w:szCs w:val="18"/>
          <w:color w:val="auto"/>
        </w:rPr>
        <w:t>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w:t>
      </w:r>
    </w:p>
    <w:p>
      <w:pPr>
        <w:spacing w:after="0" w:line="192"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For purposes of this discussion under the heading “Material U.S. Federal Income Tax Considerations,” a “U.S. stockholder” is a beneficial owner of shares of our common stock or preferred stock that is, for U.S. federal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513" w:right="459" w:bottom="1440" w:gutter="0" w:footer="0" w:header="0"/>
        </w:sectPr>
      </w:pPr>
    </w:p>
    <w:bookmarkStart w:id="90" w:name="page91"/>
    <w:bookmarkEnd w:id="9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income tax purposes, an individual who is a citizen or resident of the United States or a domestic corporation or otherwise subject to U.S. federal income tax on a net income basis in respect of our stock.</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A “Non-U.S. stockholder” is a beneficial owner of shares of our common stock or preferred stock that is not a U.S. stockholder and not an entity taxed as a partnership.</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Investment Company Classification</w:t>
      </w:r>
    </w:p>
    <w:p>
      <w:pPr>
        <w:spacing w:after="0" w:line="121"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131" w:lineRule="exact"/>
        <w:rPr>
          <w:sz w:val="20"/>
          <w:szCs w:val="20"/>
          <w:color w:val="auto"/>
        </w:rPr>
      </w:pPr>
    </w:p>
    <w:p>
      <w:pPr>
        <w:ind w:left="980" w:hanging="433"/>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130" w:lineRule="exact"/>
        <w:rPr>
          <w:rFonts w:ascii="Arial" w:cs="Arial" w:eastAsia="Arial" w:hAnsi="Arial"/>
          <w:sz w:val="18"/>
          <w:szCs w:val="18"/>
          <w:color w:val="auto"/>
        </w:rPr>
      </w:pPr>
    </w:p>
    <w:p>
      <w:pPr>
        <w:ind w:left="980" w:right="200" w:hanging="433"/>
        <w:spacing w:after="0" w:line="277"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maintain diversified holdings so that, subject to certain exceptions and cure periods, at the end of each quarter of our taxable year:</w:t>
      </w:r>
    </w:p>
    <w:p>
      <w:pPr>
        <w:spacing w:after="0" w:line="142" w:lineRule="exact"/>
        <w:rPr>
          <w:rFonts w:ascii="Arial" w:cs="Arial" w:eastAsia="Arial" w:hAnsi="Arial"/>
          <w:sz w:val="17"/>
          <w:szCs w:val="17"/>
          <w:color w:val="auto"/>
        </w:rPr>
      </w:pPr>
    </w:p>
    <w:p>
      <w:pPr>
        <w:ind w:left="1420" w:right="60" w:hanging="322"/>
        <w:spacing w:after="0" w:line="259" w:lineRule="auto"/>
        <w:tabs>
          <w:tab w:leader="none" w:pos="14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92" w:lineRule="exact"/>
        <w:rPr>
          <w:rFonts w:ascii="Arial" w:cs="Arial" w:eastAsia="Arial" w:hAnsi="Arial"/>
          <w:sz w:val="18"/>
          <w:szCs w:val="18"/>
          <w:color w:val="auto"/>
        </w:rPr>
      </w:pPr>
    </w:p>
    <w:p>
      <w:pPr>
        <w:jc w:val="both"/>
        <w:ind w:left="1420" w:hanging="322"/>
        <w:spacing w:after="0" w:line="286" w:lineRule="auto"/>
        <w:tabs>
          <w:tab w:leader="none" w:pos="1420" w:val="left"/>
        </w:tabs>
        <w:numPr>
          <w:ilvl w:val="1"/>
          <w:numId w:val="67"/>
        </w:numPr>
        <w:rPr>
          <w:rFonts w:ascii="Arial" w:cs="Arial" w:eastAsia="Arial" w:hAnsi="Arial"/>
          <w:sz w:val="17"/>
          <w:szCs w:val="17"/>
          <w:color w:val="auto"/>
        </w:rPr>
      </w:pPr>
      <w:r>
        <w:rPr>
          <w:rFonts w:ascii="Arial" w:cs="Arial" w:eastAsia="Arial" w:hAnsi="Arial"/>
          <w:sz w:val="17"/>
          <w:szCs w:val="17"/>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65" w:lineRule="exact"/>
        <w:rPr>
          <w:sz w:val="20"/>
          <w:szCs w:val="20"/>
          <w:color w:val="auto"/>
        </w:rPr>
      </w:pPr>
    </w:p>
    <w:p>
      <w:pPr>
        <w:jc w:val="both"/>
        <w:ind w:right="260" w:firstLine="440"/>
        <w:spacing w:after="0" w:line="287" w:lineRule="auto"/>
        <w:rPr>
          <w:sz w:val="20"/>
          <w:szCs w:val="20"/>
          <w:color w:val="auto"/>
        </w:rPr>
      </w:pPr>
      <w:r>
        <w:rPr>
          <w:rFonts w:ascii="Arial" w:cs="Arial" w:eastAsia="Arial" w:hAnsi="Arial"/>
          <w:sz w:val="16"/>
          <w:szCs w:val="16"/>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w:t>
      </w:r>
    </w:p>
    <w:p>
      <w:pPr>
        <w:spacing w:after="0" w:line="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61" w:lineRule="exact"/>
        <w:rPr>
          <w:sz w:val="20"/>
          <w:szCs w:val="20"/>
          <w:color w:val="auto"/>
        </w:rPr>
      </w:pPr>
    </w:p>
    <w:p>
      <w:pPr>
        <w:ind w:left="980" w:hanging="433"/>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30" w:lineRule="exact"/>
        <w:rPr>
          <w:rFonts w:ascii="Arial" w:cs="Arial" w:eastAsia="Arial" w:hAnsi="Arial"/>
          <w:sz w:val="18"/>
          <w:szCs w:val="18"/>
          <w:color w:val="auto"/>
        </w:rPr>
      </w:pPr>
    </w:p>
    <w:p>
      <w:pPr>
        <w:ind w:left="980" w:right="300" w:hanging="433"/>
        <w:spacing w:after="0" w:line="27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517" w:right="459" w:bottom="1440" w:gutter="0" w:footer="0" w:header="0"/>
        </w:sectPr>
      </w:pPr>
    </w:p>
    <w:bookmarkStart w:id="91" w:name="page92"/>
    <w:bookmarkEnd w:id="91"/>
    <w:p>
      <w:pPr>
        <w:ind w:right="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We generally expect to distribute substantially all of our earnings on a quarterly basis, but will reinvest dividends on behalf of those investors that do not elect to receive their dividends in cash. See “Price Range of Common Stock and Distributions” and “Dividend Reinvestment Plan” for a description of our dividend policy and obligations. One or more of the considerations described below, however, could result in the deferral of dividend distributions until the end of the fiscal year:</w:t>
      </w:r>
    </w:p>
    <w:p>
      <w:pPr>
        <w:spacing w:after="0" w:line="92" w:lineRule="exact"/>
        <w:rPr>
          <w:sz w:val="20"/>
          <w:szCs w:val="20"/>
          <w:color w:val="auto"/>
        </w:rPr>
      </w:pPr>
    </w:p>
    <w:p>
      <w:pPr>
        <w:ind w:left="980" w:right="140" w:hanging="433"/>
        <w:spacing w:after="0" w:line="259"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92" w:lineRule="exact"/>
        <w:rPr>
          <w:rFonts w:ascii="Arial" w:cs="Arial" w:eastAsia="Arial" w:hAnsi="Arial"/>
          <w:sz w:val="18"/>
          <w:szCs w:val="18"/>
          <w:color w:val="auto"/>
        </w:rPr>
      </w:pPr>
    </w:p>
    <w:p>
      <w:pPr>
        <w:ind w:left="980" w:right="660" w:hanging="433"/>
        <w:spacing w:after="0" w:line="308" w:lineRule="auto"/>
        <w:tabs>
          <w:tab w:leader="none" w:pos="9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46"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76"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65" w:lineRule="exact"/>
        <w:rPr>
          <w:sz w:val="20"/>
          <w:szCs w:val="20"/>
          <w:color w:val="auto"/>
        </w:rPr>
      </w:pPr>
    </w:p>
    <w:p>
      <w:pPr>
        <w:ind w:right="220" w:firstLine="440"/>
        <w:spacing w:after="0" w:line="308" w:lineRule="auto"/>
        <w:rPr>
          <w:sz w:val="20"/>
          <w:szCs w:val="20"/>
          <w:color w:val="auto"/>
        </w:rPr>
      </w:pPr>
      <w:r>
        <w:rPr>
          <w:rFonts w:ascii="Arial" w:cs="Arial" w:eastAsia="Arial" w:hAnsi="Arial"/>
          <w:sz w:val="17"/>
          <w:szCs w:val="17"/>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Under Section 988 of the Code, gains or losses attributable to fluctuations in exchange rates between the time we accrue income or receivables or expenses or other liabilities denominated in a foreign currency and the time we actually collect such income or receivables or pay such liabilities are generally treated as ordinary income or loss. Similarly, gains or losses on foreign currency, foreign currency forward contracts, certain foreign currency options or futures contracts and the disposition of debt securities denominated in foreign currency, to the extent attributable to fluctuations in exchange rates between the acquisition and disposition dates, are also treated as ordinary income or loss.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In this regard, it is anticipated that our distributions generally will not be attributable to dividends received by us and, therefore, generally will not qualify for the reduced rates that may be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517" w:right="459" w:bottom="1440" w:gutter="0" w:footer="0" w:header="0"/>
        </w:sectPr>
      </w:pPr>
    </w:p>
    <w:bookmarkStart w:id="92" w:name="page93"/>
    <w:bookmarkEnd w:id="92"/>
    <w:p>
      <w:pPr>
        <w:ind w:right="3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U.S. stockholders as long-term capital gain regardless of how long particular U.S. stockholders have held their shares. Distributions in excess of our current and accumulated earnings and profits first will reduce a U.S. stockholder’s adjusted tax basis in such U.S. stockholder’s common stock or preferred stock and, after the adjusted tax basis is reduced to zero, will constitute capital gains to such U.S. stockholder.</w:t>
      </w:r>
    </w:p>
    <w:p>
      <w:pPr>
        <w:spacing w:after="0" w:line="165" w:lineRule="exact"/>
        <w:rPr>
          <w:sz w:val="20"/>
          <w:szCs w:val="20"/>
          <w:color w:val="auto"/>
        </w:rPr>
      </w:pPr>
    </w:p>
    <w:p>
      <w:pPr>
        <w:jc w:val="both"/>
        <w:ind w:right="160" w:firstLine="440"/>
        <w:spacing w:after="0" w:line="279" w:lineRule="auto"/>
        <w:rPr>
          <w:sz w:val="20"/>
          <w:szCs w:val="20"/>
          <w:color w:val="auto"/>
        </w:rPr>
      </w:pPr>
      <w:r>
        <w:rPr>
          <w:rFonts w:ascii="Arial" w:cs="Arial" w:eastAsia="Arial" w:hAnsi="Arial"/>
          <w:sz w:val="17"/>
          <w:szCs w:val="17"/>
          <w:color w:val="auto"/>
        </w:rPr>
        <w:t>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during the quarter ended December 31 of the previous calendar year. In addition, we may elect to relate any undistributed investment company taxable income or net capital gains eligible for distribution as a dividend back to our immediately prior taxable year if we:</w:t>
      </w:r>
    </w:p>
    <w:p>
      <w:pPr>
        <w:spacing w:after="0" w:line="77" w:lineRule="exact"/>
        <w:rPr>
          <w:sz w:val="20"/>
          <w:szCs w:val="20"/>
          <w:color w:val="auto"/>
        </w:rPr>
      </w:pPr>
    </w:p>
    <w:p>
      <w:pPr>
        <w:ind w:left="980" w:right="420" w:hanging="433"/>
        <w:spacing w:after="0" w:line="277"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distribute such amount in the 12-month period following the close of such prior taxable year; and</w:t>
      </w:r>
    </w:p>
    <w:p>
      <w:pPr>
        <w:spacing w:after="0" w:line="130" w:lineRule="exact"/>
        <w:rPr>
          <w:rFonts w:ascii="Arial" w:cs="Arial" w:eastAsia="Arial" w:hAnsi="Arial"/>
          <w:sz w:val="18"/>
          <w:szCs w:val="18"/>
          <w:color w:val="auto"/>
        </w:rPr>
      </w:pPr>
    </w:p>
    <w:p>
      <w:pPr>
        <w:ind w:left="980" w:right="360" w:hanging="433"/>
        <w:spacing w:after="0" w:line="277"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make an election in our U.S. federal corporate income tax return for the taxable year in which such undistributed investment company taxable income or net capital gains were recognized.</w:t>
      </w:r>
    </w:p>
    <w:p>
      <w:pPr>
        <w:spacing w:after="0" w:line="170" w:lineRule="exact"/>
        <w:rPr>
          <w:sz w:val="20"/>
          <w:szCs w:val="20"/>
          <w:color w:val="auto"/>
        </w:rPr>
      </w:pPr>
    </w:p>
    <w:p>
      <w:pPr>
        <w:ind w:right="360" w:firstLine="440"/>
        <w:spacing w:after="0" w:line="308" w:lineRule="auto"/>
        <w:rPr>
          <w:sz w:val="20"/>
          <w:szCs w:val="20"/>
          <w:color w:val="auto"/>
        </w:rPr>
      </w:pPr>
      <w:r>
        <w:rPr>
          <w:rFonts w:ascii="Arial" w:cs="Arial" w:eastAsia="Arial" w:hAnsi="Arial"/>
          <w:sz w:val="17"/>
          <w:szCs w:val="17"/>
          <w:color w:val="auto"/>
        </w:rPr>
        <w:t>Any such election will not alter the general rule that a U.S. stockholder will be treated as receiving a dividend in the taxable year in which the dividend is distributed, subject to the October, November, or December dividend declaration rule discussed immediately above.</w:t>
      </w:r>
    </w:p>
    <w:p>
      <w:pPr>
        <w:spacing w:after="0" w:line="146"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8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86"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84"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If a U.S. stockholder sells or otherwise disposes of shares of our common stock or preferred stock, the U.S. stockholder will recognize gain or loss equal to the difference between its adjusted tax basis in the shares sold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517" w:right="459" w:bottom="1440" w:gutter="0" w:footer="0" w:header="0"/>
        </w:sectPr>
      </w:pPr>
    </w:p>
    <w:bookmarkStart w:id="93" w:name="page94"/>
    <w:bookmarkEnd w:id="9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w:t>
      </w:r>
    </w:p>
    <w:p>
      <w:pPr>
        <w:spacing w:after="0" w:line="192"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From time to time, we may offer to repurchase our outstanding shares. Stockholders who tender all shares held, or considered to be held, by them will be treated as having sold their shares and generally will realize a capital gain or loss. If a stockholder tenders fewer than all of its shares or fewer than all shares tendered are repurchased, such stockholder may be treated as having received a taxable dividend upon the tender of its shares. In such a case, there is a risk that non-tendering stockholders, and stockholders who tender some but not all of their shares or fewer than all of whose shares are repurchased, in each case whose percentage interests in us increase as a result of such tender, will be treated as having received a taxable distribution from us. The extent of such risk will vary depending upon the particular circumstances of the tender offer, and in particular whether such offer is a single and isolated event or is part of a plan for periodically redeeming shares.</w:t>
      </w:r>
    </w:p>
    <w:p>
      <w:pPr>
        <w:spacing w:after="0" w:line="177" w:lineRule="exact"/>
        <w:rPr>
          <w:sz w:val="20"/>
          <w:szCs w:val="20"/>
          <w:color w:val="auto"/>
        </w:rPr>
      </w:pPr>
    </w:p>
    <w:p>
      <w:pPr>
        <w:ind w:right="260" w:firstLine="440"/>
        <w:spacing w:after="0" w:line="279" w:lineRule="auto"/>
        <w:rPr>
          <w:sz w:val="20"/>
          <w:szCs w:val="20"/>
          <w:color w:val="auto"/>
        </w:rPr>
      </w:pPr>
      <w:r>
        <w:rPr>
          <w:rFonts w:ascii="Arial" w:cs="Arial" w:eastAsia="Arial" w:hAnsi="Arial"/>
          <w:sz w:val="17"/>
          <w:szCs w:val="17"/>
          <w:color w:val="auto"/>
        </w:rPr>
        <w:t>We will send to each of our U.S. stockholders, as promptly as possible after the end of each calendar year, a notice detailing, on a per share and per distribution basis, the amounts of such distributions includible in such U.S. stockholder’s taxable income for such year as ordinary dividends and capital gain dividends. In addition, the federal tax status of each year’s distributions generally will be reported to the IRS. Distributions may also be subject to additional state, local and foreign taxes depending on a U.S. stockholder’s particular situation.</w:t>
      </w:r>
    </w:p>
    <w:p>
      <w:pPr>
        <w:spacing w:after="0" w:line="171"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Under applicable U.S. Treasury regulations, if a U.S. stockholder recognizes a loss with respect to our common stock or preferred stock of</w:t>
      </w:r>
    </w:p>
    <w:p>
      <w:pPr>
        <w:spacing w:after="0" w:line="3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exempted from this reporting requirement, but under current guidance, U.S. stockholders of a RIC are not exempted.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w:t>
      </w:r>
    </w:p>
    <w:p>
      <w:pPr>
        <w:spacing w:after="0" w:line="168"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Limitation with Respect to Certain U.S. Stockholders on Deductions for Certain Fees and Expenses</w:t>
      </w:r>
    </w:p>
    <w:p>
      <w:pPr>
        <w:spacing w:after="0" w:line="117" w:lineRule="exact"/>
        <w:rPr>
          <w:sz w:val="20"/>
          <w:szCs w:val="20"/>
          <w:color w:val="auto"/>
        </w:rPr>
      </w:pPr>
    </w:p>
    <w:p>
      <w:pPr>
        <w:ind w:right="40" w:firstLine="440"/>
        <w:spacing w:after="0" w:line="288" w:lineRule="auto"/>
        <w:rPr>
          <w:sz w:val="20"/>
          <w:szCs w:val="20"/>
          <w:color w:val="auto"/>
        </w:rPr>
      </w:pPr>
      <w:r>
        <w:rPr>
          <w:rFonts w:ascii="Arial" w:cs="Arial" w:eastAsia="Arial" w:hAnsi="Arial"/>
          <w:sz w:val="16"/>
          <w:szCs w:val="16"/>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not deductible by individuals, trusts or estates for taxable years beginning after December 31, 2017 and before January 1, 2026.</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517" w:right="4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Taxation of Tax-Exempt U.S. Stockholders</w:t>
      </w:r>
    </w:p>
    <w:p>
      <w:pPr>
        <w:spacing w:after="0" w:line="121" w:lineRule="exact"/>
        <w:rPr>
          <w:sz w:val="20"/>
          <w:szCs w:val="20"/>
          <w:color w:val="auto"/>
        </w:rPr>
      </w:pPr>
    </w:p>
    <w:p>
      <w:pPr>
        <w:ind w:right="160" w:firstLine="440"/>
        <w:spacing w:after="0" w:line="290" w:lineRule="auto"/>
        <w:rPr>
          <w:sz w:val="20"/>
          <w:szCs w:val="20"/>
          <w:color w:val="auto"/>
        </w:rPr>
      </w:pPr>
      <w:r>
        <w:rPr>
          <w:rFonts w:ascii="Arial" w:cs="Arial" w:eastAsia="Arial" w:hAnsi="Arial"/>
          <w:sz w:val="16"/>
          <w:szCs w:val="16"/>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w:t>
      </w:r>
    </w:p>
    <w:p>
      <w:pPr>
        <w:spacing w:after="0" w:line="187"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Distributions of our investment company taxable income that we pay to a Non-U.S. stockholder will be subject to U.S. withholding tax at a 30% rate to the extent of our current or accumulated earnings and profits unless (i) such dividends qualify for the pass-through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w:t>
      </w:r>
    </w:p>
    <w:p>
      <w:pPr>
        <w:spacing w:after="0" w:line="176"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92"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At the end of 2015, Congress permanently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paid in connection with our “qualified short-term capital gains” (generally, the excess of our net short-term capital gain over our net long-term capital loss for such taxable year) qualify for an exemption from U.S. withholding tax. As a result, dividends that we designate as “interest-related dividends” or “short-term capital gain dividends” generally will be exempt from U.S. withholding tax if the underlying income is U.S.-source and the Non-U.S. stockholder could have received the underlying income free of tax. To the extent dividends are paid that do not qualify for this exemption (e.g., dividends related to foreign-source income or other income not treated as qualified net interest income or qualified short-term capital gains),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their eligibility for a reduced rate or exemption as described above.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40"/>
          </w:cols>
          <w:pgMar w:left="440" w:top="513" w:right="519" w:bottom="1440" w:gutter="0" w:footer="0" w:header="0"/>
        </w:sectPr>
      </w:pPr>
    </w:p>
    <w:bookmarkStart w:id="95" w:name="page96"/>
    <w:bookmarkEnd w:id="95"/>
    <w:p>
      <w:pPr>
        <w:ind w:right="1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W-8BEN-E or other applicable tax certification establishing its entitlement to the exemption or reduced rate, or otherwise establishing an exemption from backup withholding.</w:t>
      </w:r>
    </w:p>
    <w:p>
      <w:pPr>
        <w:spacing w:after="0" w:line="188"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81"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In the case of distributions made by the Company (other than capital gain dividends),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under an agreement it has entered into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81"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A RIC is a corporation for U.S. federal income tax purposes. Under current law, a Non-U.S. stockholder will not be considered to be engaged in the conduct of a business in the United States solely by reason of its ownership in a RIC.</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Non-U.S. stockholders should consult their own tax advisors with respect to the U.S. federal income tax and withholding tax, and state, local and foreign tax consequences of an investment in the shares of our common stock or preferred stock.</w:t>
      </w:r>
    </w:p>
    <w:p>
      <w:pPr>
        <w:spacing w:after="0" w:line="170"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color w:val="auto"/>
        </w:rPr>
        <w:t>U.S. information reporting requirements will apply and backup withholding will not apply to dividends paid on our shares to a Non-U.S. stockholder, provided the Non-U.S. stockholder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0"/>
          </w:cols>
          <w:pgMar w:left="440" w:top="517" w:right="479" w:bottom="1440" w:gutter="0" w:footer="0" w:header="0"/>
        </w:sectPr>
      </w:pPr>
    </w:p>
    <w:bookmarkStart w:id="96" w:name="page97"/>
    <w:bookmarkEnd w:id="96"/>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517" w:right="45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7174865" cy="68580"/>
                    </a:xfrm>
                    <a:prstGeom prst="rect">
                      <a:avLst/>
                    </a:prstGeom>
                    <a:noFill/>
                  </pic:spPr>
                </pic:pic>
              </a:graphicData>
            </a:graphic>
          </wp:anchor>
        </w:drawing>
        <w:t>DESCRIPTION OF OUR SECURITIES</w:t>
      </w:r>
    </w:p>
    <w:p>
      <w:pPr>
        <w:spacing w:after="0" w:line="229"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material terms and conditions for each security.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The following description is based on relevant portions of the Delaware General Corporate Law, or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right="240" w:firstLine="440"/>
        <w:spacing w:after="0" w:line="286" w:lineRule="auto"/>
        <w:rPr>
          <w:sz w:val="20"/>
          <w:szCs w:val="20"/>
          <w:color w:val="auto"/>
        </w:rPr>
      </w:pPr>
      <w:r>
        <w:rPr>
          <w:rFonts w:ascii="Arial" w:cs="Arial" w:eastAsia="Arial" w:hAnsi="Arial"/>
          <w:sz w:val="17"/>
          <w:szCs w:val="17"/>
          <w:color w:val="auto"/>
        </w:rPr>
        <w:t>Under the terms of our restated certificate of incorporation, which was adopted on June 15, 2020, our authorized capital stock consists of 400,000,000 shares of common stock, par value $0.01 per share, of which 81,389,287 shares are outstanding as of January 12, 2023, and 100,000,000 shares of preferred stock, par value $0.01 per share, of which no shares are outstanding as of January 12, 2023.</w:t>
      </w:r>
    </w:p>
    <w:p>
      <w:pPr>
        <w:spacing w:after="0" w:line="165"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presents our outstanding classes of securities as of January 12, 2023: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960" w:type="dxa"/>
            <w:vAlign w:val="bottom"/>
            <w:gridSpan w:val="2"/>
            <w:vMerge w:val="restart"/>
          </w:tcPr>
          <w:p>
            <w:pPr>
              <w:jc w:val="center"/>
              <w:ind w:right="1060"/>
              <w:spacing w:after="0"/>
              <w:rPr>
                <w:sz w:val="20"/>
                <w:szCs w:val="20"/>
                <w:color w:val="auto"/>
              </w:rPr>
            </w:pPr>
            <w:r>
              <w:rPr>
                <w:rFonts w:ascii="Arial" w:cs="Arial" w:eastAsia="Arial" w:hAnsi="Arial"/>
                <w:sz w:val="14"/>
                <w:szCs w:val="14"/>
                <w:b w:val="1"/>
                <w:bCs w:val="1"/>
                <w:color w:val="auto"/>
                <w:w w:val="95"/>
              </w:rPr>
              <w:t>Amount Held by Us or for Our</w:t>
            </w:r>
          </w:p>
        </w:tc>
        <w:tc>
          <w:tcPr>
            <w:tcW w:w="2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Amount Outstanding Exclusive of</w:t>
            </w:r>
          </w:p>
        </w:tc>
        <w:tc>
          <w:tcPr>
            <w:tcW w:w="0" w:type="dxa"/>
            <w:vAlign w:val="bottom"/>
          </w:tcPr>
          <w:p>
            <w:pPr>
              <w:spacing w:after="0"/>
              <w:rPr>
                <w:sz w:val="1"/>
                <w:szCs w:val="1"/>
                <w:color w:val="auto"/>
              </w:rPr>
            </w:pPr>
          </w:p>
        </w:tc>
      </w:tr>
      <w:tr>
        <w:trPr>
          <w:trHeight w:val="148"/>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Amount Authorized</w:t>
            </w:r>
          </w:p>
        </w:tc>
        <w:tc>
          <w:tcPr>
            <w:tcW w:w="800" w:type="dxa"/>
            <w:vAlign w:val="bottom"/>
          </w:tcPr>
          <w:p>
            <w:pPr>
              <w:spacing w:after="0"/>
              <w:rPr>
                <w:sz w:val="12"/>
                <w:szCs w:val="12"/>
                <w:color w:val="auto"/>
              </w:rPr>
            </w:pPr>
          </w:p>
        </w:tc>
        <w:tc>
          <w:tcPr>
            <w:tcW w:w="2960" w:type="dxa"/>
            <w:vAlign w:val="bottom"/>
            <w:gridSpan w:val="2"/>
            <w:vMerge w:val="continue"/>
          </w:tcPr>
          <w:p>
            <w:pPr>
              <w:spacing w:after="0"/>
              <w:rPr>
                <w:sz w:val="12"/>
                <w:szCs w:val="12"/>
                <w:color w:val="auto"/>
              </w:rPr>
            </w:pPr>
          </w:p>
        </w:tc>
        <w:tc>
          <w:tcPr>
            <w:tcW w:w="21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Amount Held by Us or for Our</w:t>
            </w:r>
          </w:p>
        </w:tc>
        <w:tc>
          <w:tcPr>
            <w:tcW w:w="0" w:type="dxa"/>
            <w:vAlign w:val="bottom"/>
          </w:tcPr>
          <w:p>
            <w:pPr>
              <w:spacing w:after="0"/>
              <w:rPr>
                <w:sz w:val="1"/>
                <w:szCs w:val="1"/>
                <w:color w:val="auto"/>
              </w:rPr>
            </w:pPr>
          </w:p>
        </w:tc>
      </w:tr>
      <w:tr>
        <w:trPr>
          <w:trHeight w:val="171"/>
        </w:trPr>
        <w:tc>
          <w:tcPr>
            <w:tcW w:w="3880" w:type="dxa"/>
            <w:vAlign w:val="bottom"/>
            <w:gridSpan w:val="2"/>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296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2"/>
              </w:rPr>
              <w:t>Account</w:t>
            </w:r>
          </w:p>
        </w:tc>
        <w:tc>
          <w:tcPr>
            <w:tcW w:w="2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Account</w:t>
            </w: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400,000,000</w:t>
            </w:r>
          </w:p>
        </w:tc>
        <w:tc>
          <w:tcPr>
            <w:tcW w:w="8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664,250</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81,389,287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Under the terms of our certificate of incorporation, our Board is authorized to issue shares of preferred stock in one or more series without stockholder approval. See “Description of Our Preferred Stock.”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0"/>
          </w:cols>
          <w:pgMar w:left="440" w:top="513" w:right="439" w:bottom="1440" w:gutter="0" w:footer="0" w:header="0"/>
        </w:sectPr>
      </w:pPr>
    </w:p>
    <w:bookmarkStart w:id="98" w:name="page99"/>
    <w:bookmarkEnd w:id="98"/>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certification of incorporation limits our directors’ liability to the fullest extent permitted under Delaware corporate law and the 1940 Act.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Specifically, our directors will not be personally liable to us or our stockholders for any breach of fiduciary duty as a director, except for any liability:</w:t>
      </w:r>
    </w:p>
    <w:p>
      <w:pPr>
        <w:spacing w:after="0" w:line="128" w:lineRule="exact"/>
        <w:rPr>
          <w:sz w:val="20"/>
          <w:szCs w:val="20"/>
          <w:color w:val="auto"/>
        </w:rPr>
      </w:pPr>
    </w:p>
    <w:p>
      <w:pPr>
        <w:ind w:left="980" w:hanging="54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30" w:lineRule="exact"/>
        <w:rPr>
          <w:rFonts w:ascii="Arial" w:cs="Arial" w:eastAsia="Arial" w:hAnsi="Arial"/>
          <w:sz w:val="18"/>
          <w:szCs w:val="18"/>
          <w:color w:val="auto"/>
        </w:rPr>
      </w:pPr>
    </w:p>
    <w:p>
      <w:pPr>
        <w:ind w:left="980" w:right="220" w:hanging="544"/>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willful misconduct, gross negligence, bad faith, reckless disregard or a knowing violation of law,</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under Section 174 of the DGCL, which relates to unlawful payment of dividends or unlawful stock purchases or redemptions, or</w:t>
      </w:r>
    </w:p>
    <w:p>
      <w:pPr>
        <w:spacing w:after="0" w:line="142" w:lineRule="exact"/>
        <w:rPr>
          <w:rFonts w:ascii="Arial" w:cs="Arial" w:eastAsia="Arial" w:hAnsi="Arial"/>
          <w:sz w:val="17"/>
          <w:szCs w:val="17"/>
          <w:color w:val="auto"/>
        </w:rPr>
      </w:pPr>
    </w:p>
    <w:p>
      <w:pPr>
        <w:ind w:left="980" w:hanging="54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87" w:lineRule="exact"/>
        <w:rPr>
          <w:sz w:val="20"/>
          <w:szCs w:val="20"/>
          <w:color w:val="auto"/>
        </w:rPr>
      </w:pPr>
    </w:p>
    <w:p>
      <w:pPr>
        <w:ind w:right="80" w:firstLine="440"/>
        <w:spacing w:after="0" w:line="290" w:lineRule="auto"/>
        <w:rPr>
          <w:sz w:val="20"/>
          <w:szCs w:val="20"/>
          <w:color w:val="auto"/>
        </w:rPr>
      </w:pPr>
      <w:r>
        <w:rPr>
          <w:rFonts w:ascii="Arial" w:cs="Arial" w:eastAsia="Arial" w:hAnsi="Arial"/>
          <w:sz w:val="16"/>
          <w:szCs w:val="16"/>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65" w:lineRule="exact"/>
        <w:rPr>
          <w:sz w:val="20"/>
          <w:szCs w:val="20"/>
          <w:color w:val="auto"/>
        </w:rPr>
      </w:pPr>
    </w:p>
    <w:p>
      <w:pPr>
        <w:jc w:val="both"/>
        <w:ind w:right="100" w:firstLine="440"/>
        <w:spacing w:after="0" w:line="259" w:lineRule="auto"/>
        <w:rPr>
          <w:sz w:val="20"/>
          <w:szCs w:val="20"/>
          <w:color w:val="auto"/>
        </w:rPr>
      </w:pPr>
      <w:r>
        <w:rPr>
          <w:rFonts w:ascii="Arial" w:cs="Arial" w:eastAsia="Arial" w:hAnsi="Arial"/>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7"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84" w:lineRule="exact"/>
        <w:rPr>
          <w:sz w:val="20"/>
          <w:szCs w:val="20"/>
          <w:color w:val="auto"/>
        </w:rPr>
      </w:pPr>
    </w:p>
    <w:p>
      <w:pPr>
        <w:jc w:val="both"/>
        <w:ind w:right="340" w:firstLine="440"/>
        <w:spacing w:after="0" w:line="263"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517" w:right="459" w:bottom="1440" w:gutter="0" w:footer="0" w:header="0"/>
        </w:sectPr>
      </w:pPr>
    </w:p>
    <w:bookmarkStart w:id="99" w:name="page100"/>
    <w:bookmarkEnd w:id="99"/>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to the extent applicable. Any repeal or modification of our certificate of incorporation by our stockholders will 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84" w:lineRule="exact"/>
        <w:rPr>
          <w:sz w:val="20"/>
          <w:szCs w:val="20"/>
          <w:color w:val="auto"/>
        </w:rPr>
      </w:pPr>
    </w:p>
    <w:p>
      <w:pPr>
        <w:ind w:right="680" w:firstLine="440"/>
        <w:spacing w:after="0" w:line="308" w:lineRule="auto"/>
        <w:rPr>
          <w:sz w:val="20"/>
          <w:szCs w:val="20"/>
          <w:color w:val="auto"/>
        </w:rPr>
      </w:pPr>
      <w:r>
        <w:rPr>
          <w:rFonts w:ascii="Arial" w:cs="Arial" w:eastAsia="Arial" w:hAnsi="Arial"/>
          <w:sz w:val="17"/>
          <w:szCs w:val="17"/>
          <w:color w:val="auto"/>
        </w:rPr>
        <w:t>Under the Investment Advisory Agreement, we have, to the extent permitted by applicable law, indemnified the Adviser and certain of its affiliates, as described under “Management Agreements—Indemnification” in Part I, Item 1 of our 2021 Annual Report.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65"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certificate of incorporation and bylaws provide that:</w:t>
      </w:r>
    </w:p>
    <w:p>
      <w:pPr>
        <w:spacing w:after="0" w:line="131" w:lineRule="exact"/>
        <w:rPr>
          <w:sz w:val="20"/>
          <w:szCs w:val="20"/>
          <w:color w:val="auto"/>
        </w:rPr>
      </w:pPr>
    </w:p>
    <w:p>
      <w:pPr>
        <w:ind w:left="980" w:right="260" w:hanging="433"/>
        <w:spacing w:after="0" w:line="277"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Board be divided into three classes, as nearly equal in size as possible, with staggered three-year terms (and the number of directors shall not be fewer than four or greater than nine);</w:t>
      </w:r>
    </w:p>
    <w:p>
      <w:pPr>
        <w:spacing w:after="0" w:line="75" w:lineRule="exact"/>
        <w:rPr>
          <w:rFonts w:ascii="Arial" w:cs="Arial" w:eastAsia="Arial" w:hAnsi="Arial"/>
          <w:sz w:val="18"/>
          <w:szCs w:val="18"/>
          <w:color w:val="auto"/>
        </w:rPr>
      </w:pPr>
    </w:p>
    <w:p>
      <w:pPr>
        <w:ind w:left="980" w:right="40" w:hanging="433"/>
        <w:spacing w:after="0" w:line="277"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75" w:lineRule="exact"/>
        <w:rPr>
          <w:rFonts w:ascii="Arial" w:cs="Arial" w:eastAsia="Arial" w:hAnsi="Arial"/>
          <w:sz w:val="18"/>
          <w:szCs w:val="18"/>
          <w:color w:val="auto"/>
        </w:rPr>
      </w:pPr>
    </w:p>
    <w:p>
      <w:pPr>
        <w:ind w:left="980" w:right="100" w:hanging="433"/>
        <w:spacing w:after="0" w:line="277"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w:t>
      </w:r>
    </w:p>
    <w:p>
      <w:pPr>
        <w:spacing w:after="0" w:line="170"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bylaws also provide that:</w:t>
      </w:r>
    </w:p>
    <w:p>
      <w:pPr>
        <w:spacing w:after="0" w:line="131" w:lineRule="exact"/>
        <w:rPr>
          <w:sz w:val="20"/>
          <w:szCs w:val="20"/>
          <w:color w:val="auto"/>
        </w:rPr>
      </w:pPr>
    </w:p>
    <w:p>
      <w:pPr>
        <w:ind w:left="980" w:hanging="433"/>
        <w:spacing w:after="0" w:line="277"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517" w:right="459" w:bottom="1440" w:gutter="0" w:footer="0" w:header="0"/>
        </w:sectPr>
      </w:pPr>
    </w:p>
    <w:bookmarkStart w:id="100" w:name="page101"/>
    <w:bookmarkEnd w:id="100"/>
    <w:p>
      <w:pPr>
        <w:ind w:left="980" w:hanging="433"/>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special meetings of the stockholders may only be called by our Board, Chairman, or a Chief Executive Officer.</w:t>
      </w:r>
    </w:p>
    <w:p>
      <w:pPr>
        <w:spacing w:after="0" w:line="225" w:lineRule="exact"/>
        <w:rPr>
          <w:sz w:val="20"/>
          <w:szCs w:val="20"/>
          <w:color w:val="auto"/>
        </w:rPr>
      </w:pPr>
    </w:p>
    <w:p>
      <w:pPr>
        <w:ind w:right="100" w:firstLine="440"/>
        <w:spacing w:after="0" w:line="270" w:lineRule="auto"/>
        <w:rPr>
          <w:sz w:val="20"/>
          <w:szCs w:val="20"/>
          <w:color w:val="auto"/>
        </w:rPr>
      </w:pPr>
      <w:r>
        <w:rPr>
          <w:rFonts w:ascii="Arial" w:cs="Arial" w:eastAsia="Arial" w:hAnsi="Arial"/>
          <w:sz w:val="17"/>
          <w:szCs w:val="17"/>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8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8" w:lineRule="exact"/>
        <w:rPr>
          <w:sz w:val="20"/>
          <w:szCs w:val="20"/>
          <w:color w:val="auto"/>
        </w:rPr>
      </w:pPr>
    </w:p>
    <w:p>
      <w:pPr>
        <w:ind w:right="160" w:firstLine="440"/>
        <w:spacing w:after="0" w:line="311" w:lineRule="auto"/>
        <w:rPr>
          <w:sz w:val="20"/>
          <w:szCs w:val="20"/>
          <w:color w:val="auto"/>
        </w:rPr>
      </w:pPr>
      <w:r>
        <w:rPr>
          <w:rFonts w:ascii="Arial" w:cs="Arial" w:eastAsia="Arial" w:hAnsi="Arial"/>
          <w:sz w:val="16"/>
          <w:szCs w:val="16"/>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49"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7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10% holder transactions subject to these special approval requirements are:</w:t>
      </w:r>
    </w:p>
    <w:p>
      <w:pPr>
        <w:spacing w:after="0" w:line="131" w:lineRule="exact"/>
        <w:rPr>
          <w:sz w:val="20"/>
          <w:szCs w:val="20"/>
          <w:color w:val="auto"/>
        </w:rPr>
      </w:pPr>
    </w:p>
    <w:p>
      <w:pPr>
        <w:ind w:left="980" w:hanging="433"/>
        <w:spacing w:after="0"/>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merger or consolidation of us or any subsidiary of ours with or into any principal stockholder;</w:t>
      </w:r>
    </w:p>
    <w:p>
      <w:pPr>
        <w:spacing w:after="0" w:line="130" w:lineRule="exact"/>
        <w:rPr>
          <w:rFonts w:ascii="Arial" w:cs="Arial" w:eastAsia="Arial" w:hAnsi="Arial"/>
          <w:sz w:val="18"/>
          <w:szCs w:val="18"/>
          <w:color w:val="auto"/>
        </w:rPr>
      </w:pPr>
    </w:p>
    <w:p>
      <w:pPr>
        <w:ind w:left="980" w:right="100" w:hanging="433"/>
        <w:spacing w:after="0" w:line="311" w:lineRule="auto"/>
        <w:tabs>
          <w:tab w:leader="none" w:pos="9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54" w:lineRule="exact"/>
        <w:rPr>
          <w:rFonts w:ascii="Arial" w:cs="Arial" w:eastAsia="Arial" w:hAnsi="Arial"/>
          <w:sz w:val="16"/>
          <w:szCs w:val="16"/>
          <w:color w:val="auto"/>
        </w:rPr>
      </w:pPr>
    </w:p>
    <w:p>
      <w:pPr>
        <w:ind w:left="980" w:right="40" w:hanging="433"/>
        <w:spacing w:after="0" w:line="263"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20"/>
          </w:cols>
          <w:pgMar w:left="440" w:top="517" w:right="439" w:bottom="1440" w:gutter="0" w:footer="0" w:header="0"/>
        </w:sectPr>
      </w:pPr>
    </w:p>
    <w:bookmarkStart w:id="101" w:name="page102"/>
    <w:bookmarkEnd w:id="101"/>
    <w:p>
      <w:pPr>
        <w:ind w:left="980" w:hanging="433"/>
        <w:spacing w:after="0" w:line="286" w:lineRule="auto"/>
        <w:tabs>
          <w:tab w:leader="none" w:pos="980" w:val="left"/>
        </w:tabs>
        <w:numPr>
          <w:ilvl w:val="0"/>
          <w:numId w:val="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65"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1940 Act defines “a majority of the outstanding voting securities” as the lesser of:</w:t>
      </w:r>
    </w:p>
    <w:p>
      <w:pPr>
        <w:spacing w:after="0" w:line="131" w:lineRule="exact"/>
        <w:rPr>
          <w:sz w:val="20"/>
          <w:szCs w:val="20"/>
          <w:color w:val="auto"/>
        </w:rPr>
      </w:pPr>
    </w:p>
    <w:p>
      <w:pPr>
        <w:ind w:left="980" w:right="40" w:hanging="433"/>
        <w:spacing w:after="0" w:line="277" w:lineRule="auto"/>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67% or more of the company’s voting stock present at a meeting if more than 50% of the outstanding voting securities of the company are present or represented by proxy; and</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more than 50% of the outstanding voting securities of the company.</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87" w:lineRule="exact"/>
        <w:rPr>
          <w:sz w:val="20"/>
          <w:szCs w:val="20"/>
          <w:color w:val="auto"/>
        </w:rPr>
      </w:pPr>
    </w:p>
    <w:p>
      <w:pPr>
        <w:ind w:right="480" w:firstLine="440"/>
        <w:spacing w:after="0" w:line="342" w:lineRule="auto"/>
        <w:rPr>
          <w:sz w:val="20"/>
          <w:szCs w:val="20"/>
          <w:color w:val="auto"/>
        </w:rPr>
      </w:pPr>
      <w:r>
        <w:rPr>
          <w:rFonts w:ascii="Arial" w:cs="Arial" w:eastAsia="Arial" w:hAnsi="Arial"/>
          <w:sz w:val="16"/>
          <w:szCs w:val="16"/>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80"/>
          </w:cols>
          <w:pgMar w:left="440" w:top="517" w:right="47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DESCRIPTION OF OUR PREFERRED STOCK</w:t>
      </w:r>
    </w:p>
    <w:p>
      <w:pPr>
        <w:spacing w:after="0" w:line="229"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In addition to shares of common stock, we have 100,000,000 shares of preferred stock authorized under our certificate of incorporation,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64" w:lineRule="exact"/>
        <w:rPr>
          <w:sz w:val="20"/>
          <w:szCs w:val="20"/>
          <w:color w:val="auto"/>
        </w:rPr>
      </w:pPr>
    </w:p>
    <w:p>
      <w:pPr>
        <w:ind w:right="260" w:firstLine="440"/>
        <w:spacing w:after="0" w:line="296" w:lineRule="auto"/>
        <w:rPr>
          <w:sz w:val="20"/>
          <w:szCs w:val="20"/>
          <w:color w:val="auto"/>
        </w:rPr>
      </w:pPr>
      <w:r>
        <w:rPr>
          <w:rFonts w:ascii="Arial" w:cs="Arial" w:eastAsia="Arial" w:hAnsi="Arial"/>
          <w:sz w:val="16"/>
          <w:szCs w:val="16"/>
          <w:color w:val="auto"/>
        </w:rPr>
        <w:t>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67" w:lineRule="exact"/>
        <w:rPr>
          <w:sz w:val="20"/>
          <w:szCs w:val="20"/>
          <w:color w:val="auto"/>
        </w:rPr>
      </w:pPr>
    </w:p>
    <w:p>
      <w:pPr>
        <w:ind w:left="980" w:right="460" w:hanging="433"/>
        <w:spacing w:after="0" w:line="308" w:lineRule="auto"/>
        <w:tabs>
          <w:tab w:leader="none" w:pos="9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immediately after issuance and before any distribution is made with respect to common stock, we must meet a coverage ratio of total assets (less total liabilities other than indebtedness) to total indebtedness plus preferred stock, of at least 150%; and</w:t>
      </w:r>
    </w:p>
    <w:p>
      <w:pPr>
        <w:spacing w:after="0" w:line="51" w:lineRule="exact"/>
        <w:rPr>
          <w:rFonts w:ascii="Arial" w:cs="Arial" w:eastAsia="Arial" w:hAnsi="Arial"/>
          <w:sz w:val="17"/>
          <w:szCs w:val="17"/>
          <w:color w:val="auto"/>
        </w:rPr>
      </w:pPr>
    </w:p>
    <w:p>
      <w:pPr>
        <w:jc w:val="both"/>
        <w:ind w:left="980" w:right="140" w:hanging="433"/>
        <w:spacing w:after="0" w:line="342" w:lineRule="auto"/>
        <w:tabs>
          <w:tab w:leader="none" w:pos="9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features of the preferred stock are further limited by the requirements applicable to RICs under the Code.</w:t>
      </w:r>
    </w:p>
    <w:p>
      <w:pPr>
        <w:spacing w:after="0" w:line="225"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For any series of preferred stock that we may issue, our Board will determine and the amendment to our certificate of incorporation and the prospectus supplement relating to such series will describe:</w:t>
      </w:r>
    </w:p>
    <w:p>
      <w:pPr>
        <w:spacing w:after="0" w:line="76" w:lineRule="exact"/>
        <w:rPr>
          <w:sz w:val="20"/>
          <w:szCs w:val="20"/>
          <w:color w:val="auto"/>
        </w:rPr>
      </w:pPr>
    </w:p>
    <w:p>
      <w:pPr>
        <w:ind w:left="980" w:hanging="433"/>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980" w:right="120" w:hanging="433"/>
        <w:spacing w:after="0" w:line="277"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participating or non-participating;</w:t>
      </w:r>
    </w:p>
    <w:p>
      <w:pPr>
        <w:spacing w:after="0" w:line="75" w:lineRule="exact"/>
        <w:rPr>
          <w:rFonts w:ascii="Arial" w:cs="Arial" w:eastAsia="Arial" w:hAnsi="Arial"/>
          <w:sz w:val="18"/>
          <w:szCs w:val="18"/>
          <w:color w:val="auto"/>
        </w:rPr>
      </w:pPr>
    </w:p>
    <w:p>
      <w:pPr>
        <w:ind w:left="980" w:right="260" w:hanging="433"/>
        <w:spacing w:after="0" w:line="277"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 including adjustments to the conversion price of such series;</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rights and preferences, if any, of holders of shares of such series upon our liquidation, dissolution or winding up of our affairs;</w:t>
      </w:r>
    </w:p>
    <w:p>
      <w:pPr>
        <w:spacing w:after="0" w:line="142" w:lineRule="exact"/>
        <w:rPr>
          <w:rFonts w:ascii="Arial" w:cs="Arial" w:eastAsia="Arial" w:hAnsi="Arial"/>
          <w:sz w:val="17"/>
          <w:szCs w:val="17"/>
          <w:color w:val="auto"/>
        </w:rPr>
      </w:pPr>
    </w:p>
    <w:p>
      <w:pPr>
        <w:ind w:left="980" w:hanging="433"/>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980" w:right="180" w:hanging="433"/>
        <w:spacing w:after="0" w:line="277"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980" w:right="760" w:hanging="433"/>
        <w:spacing w:after="0" w:line="277"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other relative powers, preferences and participating, optional or special rights of shares of such series, and the qualifications, limitations or restrictions thereof.</w:t>
      </w:r>
    </w:p>
    <w:p>
      <w:pPr>
        <w:spacing w:after="0" w:line="170" w:lineRule="exact"/>
        <w:rPr>
          <w:sz w:val="20"/>
          <w:szCs w:val="20"/>
          <w:color w:val="auto"/>
        </w:rPr>
      </w:pPr>
    </w:p>
    <w:p>
      <w:pPr>
        <w:ind w:right="280" w:firstLine="440"/>
        <w:spacing w:after="0" w:line="342"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20"/>
          </w:cols>
          <w:pgMar w:left="440" w:top="513" w:right="4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DESCRIPTION OF OUR SUBSCRIPTION RIGHTS</w:t>
      </w:r>
    </w:p>
    <w:p>
      <w:pPr>
        <w:spacing w:after="0" w:line="229"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71"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The applicable prospectus supplement would describe the following terms of subscription rights in respect of which this prospectus is being delivered:</w:t>
      </w:r>
    </w:p>
    <w:p>
      <w:pPr>
        <w:spacing w:after="0" w:line="76" w:lineRule="exact"/>
        <w:rPr>
          <w:sz w:val="20"/>
          <w:szCs w:val="20"/>
          <w:color w:val="auto"/>
        </w:rPr>
      </w:pPr>
    </w:p>
    <w:p>
      <w:pPr>
        <w:ind w:left="980" w:right="120" w:hanging="433"/>
        <w:spacing w:after="0" w:line="277"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exercise price for such subscription rights (or method of calculation thereof);</w:t>
      </w:r>
    </w:p>
    <w:p>
      <w:pPr>
        <w:spacing w:after="0" w:line="130" w:lineRule="exact"/>
        <w:rPr>
          <w:rFonts w:ascii="Arial" w:cs="Arial" w:eastAsia="Arial" w:hAnsi="Arial"/>
          <w:sz w:val="18"/>
          <w:szCs w:val="18"/>
          <w:color w:val="auto"/>
        </w:rPr>
      </w:pPr>
    </w:p>
    <w:p>
      <w:pPr>
        <w:ind w:left="980" w:right="400" w:hanging="433"/>
        <w:spacing w:after="0" w:line="277"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ratio of the offering (which, in the case of transferable rights, will require a minimum of three shares to be held of record before a person is entitled to purchase an additional share);</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number of such subscription rights issued to each stockholder;</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extent to which such subscription rights are transferable and the market on which they may be traded if they are transferable;</w:t>
      </w:r>
    </w:p>
    <w:p>
      <w:pPr>
        <w:spacing w:after="0" w:line="142" w:lineRule="exact"/>
        <w:rPr>
          <w:rFonts w:ascii="Arial" w:cs="Arial" w:eastAsia="Arial" w:hAnsi="Arial"/>
          <w:sz w:val="17"/>
          <w:szCs w:val="17"/>
          <w:color w:val="auto"/>
        </w:rPr>
      </w:pPr>
    </w:p>
    <w:p>
      <w:pPr>
        <w:ind w:left="980" w:right="360" w:hanging="433"/>
        <w:spacing w:after="0" w:line="277"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applicable to the issuance or exercise of such subscription rights;</w:t>
      </w:r>
    </w:p>
    <w:p>
      <w:pPr>
        <w:spacing w:after="0" w:line="75" w:lineRule="exact"/>
        <w:rPr>
          <w:rFonts w:ascii="Arial" w:cs="Arial" w:eastAsia="Arial" w:hAnsi="Arial"/>
          <w:sz w:val="18"/>
          <w:szCs w:val="18"/>
          <w:color w:val="auto"/>
        </w:rPr>
      </w:pPr>
    </w:p>
    <w:p>
      <w:pPr>
        <w:ind w:left="980" w:right="180" w:hanging="433"/>
        <w:spacing w:after="0" w:line="277"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shall commence, and the date on which such right shall expire (subject to any extension);</w:t>
      </w:r>
    </w:p>
    <w:p>
      <w:pPr>
        <w:spacing w:after="0" w:line="75" w:lineRule="exact"/>
        <w:rPr>
          <w:rFonts w:ascii="Arial" w:cs="Arial" w:eastAsia="Arial" w:hAnsi="Arial"/>
          <w:sz w:val="18"/>
          <w:szCs w:val="18"/>
          <w:color w:val="auto"/>
        </w:rPr>
      </w:pPr>
    </w:p>
    <w:p>
      <w:pPr>
        <w:ind w:left="980" w:right="60" w:hanging="433"/>
        <w:spacing w:after="0" w:line="277"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 and the terms of such over-subscription privilege;</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termination right we may have in connection with such subscription rights offering; and</w:t>
      </w:r>
    </w:p>
    <w:p>
      <w:pPr>
        <w:spacing w:after="0" w:line="130" w:lineRule="exact"/>
        <w:rPr>
          <w:rFonts w:ascii="Arial" w:cs="Arial" w:eastAsia="Arial" w:hAnsi="Arial"/>
          <w:sz w:val="18"/>
          <w:szCs w:val="18"/>
          <w:color w:val="auto"/>
        </w:rPr>
      </w:pPr>
    </w:p>
    <w:p>
      <w:pPr>
        <w:ind w:left="980" w:right="80" w:hanging="433"/>
        <w:spacing w:after="0" w:line="277"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exercise, settlement and other procedures and limitations relating to the transfer and exercise of such subscription rights.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Subscription Rights</w:t>
      </w:r>
    </w:p>
    <w:p>
      <w:pPr>
        <w:spacing w:after="0" w:line="121"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5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80"/>
          </w:cols>
          <w:pgMar w:left="440" w:top="513" w:right="47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Dilutive Effects</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80"/>
          </w:cols>
          <w:pgMar w:left="440" w:top="513" w:right="479" w:bottom="1440" w:gutter="0" w:footer="0" w:header="0"/>
        </w:sectPr>
      </w:pPr>
    </w:p>
    <w:bookmarkStart w:id="105" w:name="page106"/>
    <w:bookmarkEnd w:id="10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7174865" cy="68580"/>
                    </a:xfrm>
                    <a:prstGeom prst="rect">
                      <a:avLst/>
                    </a:prstGeom>
                    <a:noFill/>
                  </pic:spPr>
                </pic:pic>
              </a:graphicData>
            </a:graphic>
          </wp:anchor>
        </w:drawing>
        <w:t>DESCRIPTION OF OUR WARRANTS</w:t>
      </w:r>
    </w:p>
    <w:p>
      <w:pPr>
        <w:spacing w:after="0" w:line="229"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980" w:hanging="433"/>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980" w:right="160" w:hanging="433"/>
        <w:spacing w:after="0" w:line="277"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980" w:hanging="433"/>
        <w:spacing w:after="0" w:line="263"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9" w:lineRule="exact"/>
        <w:rPr>
          <w:rFonts w:ascii="Arial" w:cs="Arial" w:eastAsia="Arial" w:hAnsi="Arial"/>
          <w:sz w:val="18"/>
          <w:szCs w:val="18"/>
          <w:color w:val="auto"/>
        </w:rPr>
      </w:pPr>
    </w:p>
    <w:p>
      <w:pPr>
        <w:ind w:left="980" w:hanging="433"/>
        <w:spacing w:after="0" w:line="263"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9" w:lineRule="exact"/>
        <w:rPr>
          <w:rFonts w:ascii="Arial" w:cs="Arial" w:eastAsia="Arial" w:hAnsi="Arial"/>
          <w:sz w:val="18"/>
          <w:szCs w:val="18"/>
          <w:color w:val="auto"/>
        </w:rPr>
      </w:pPr>
    </w:p>
    <w:p>
      <w:pPr>
        <w:ind w:left="980" w:hanging="433"/>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248"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60"/>
          </w:cols>
          <w:pgMar w:left="440" w:top="513" w:right="499" w:bottom="1440" w:gutter="0" w:footer="0" w:header="0"/>
        </w:sectPr>
      </w:pPr>
    </w:p>
    <w:bookmarkStart w:id="106" w:name="page107"/>
    <w:bookmarkEnd w:id="106"/>
    <w:p>
      <w:pPr>
        <w:jc w:val="both"/>
        <w:ind w:right="10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7174865" cy="68580"/>
                    </a:xfrm>
                    <a:prstGeom prst="rect">
                      <a:avLst/>
                    </a:prstGeom>
                    <a:noFill/>
                  </pic:spPr>
                </pic:pic>
              </a:graphicData>
            </a:graphic>
          </wp:anchor>
        </w:drawing>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60"/>
          </w:cols>
          <w:pgMar w:left="440" w:top="517" w:right="49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7174865" cy="68580"/>
                    </a:xfrm>
                    <a:prstGeom prst="rect">
                      <a:avLst/>
                    </a:prstGeom>
                    <a:noFill/>
                  </pic:spPr>
                </pic:pic>
              </a:graphicData>
            </a:graphic>
          </wp:anchor>
        </w:drawing>
        <w:t>DESCRIPTION OF OUR DEBT SECURITIES</w:t>
      </w:r>
    </w:p>
    <w:p>
      <w:pPr>
        <w:spacing w:after="0" w:line="229"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As required by federal law for all bonds and notes of companies that are publicly offered, the debt securities are governed by a document called an “indenture.” An indenture is a contract between us and Computershare Trust Company, N.A., as successor to Wells Fargo Bank, National Association, a financial institution acting as trustee on your behalf, and is subject to and governed by the Trust Indenture Act of 1939, as amended. The debt securities will be issued under an indenture dated January 22, 2018 between us and Wells Fargo Bank, National Association.</w:t>
      </w:r>
    </w:p>
    <w:p>
      <w:pPr>
        <w:spacing w:after="0" w:line="17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Subject to the provisions of the indenture, the trustee has two main roles. First, the trustee can enforce your rights against us if we default. There are some limitations on the extent to which the trustee acts on your behalf, described in the second paragraph under “— Events of Default—Remedies If an Event of Default Occurs.” Second, the trustee performs certain administrative duties for us.</w:t>
      </w:r>
    </w:p>
    <w:p>
      <w:pPr>
        <w:spacing w:after="0" w:line="184" w:lineRule="exact"/>
        <w:rPr>
          <w:sz w:val="20"/>
          <w:szCs w:val="20"/>
          <w:color w:val="auto"/>
        </w:rPr>
      </w:pPr>
    </w:p>
    <w:p>
      <w:pPr>
        <w:ind w:right="280" w:firstLine="440"/>
        <w:spacing w:after="0" w:line="301" w:lineRule="auto"/>
        <w:rPr>
          <w:sz w:val="20"/>
          <w:szCs w:val="20"/>
          <w:color w:val="auto"/>
        </w:rPr>
      </w:pPr>
      <w:r>
        <w:rPr>
          <w:rFonts w:ascii="Arial" w:cs="Arial" w:eastAsia="Arial" w:hAnsi="Arial"/>
          <w:sz w:val="16"/>
          <w:szCs w:val="16"/>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indentures with the SEC. See “Available Information” for information on how to obtain a copy of the applicable indenture.</w:t>
      </w:r>
    </w:p>
    <w:p>
      <w:pPr>
        <w:spacing w:after="0" w:line="15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prospectus supplement, which will accompany this prospectus, will describe the particular series of debt securities being offered, including, among other things:</w:t>
      </w:r>
    </w:p>
    <w:p>
      <w:pPr>
        <w:spacing w:after="0" w:line="76" w:lineRule="exact"/>
        <w:rPr>
          <w:sz w:val="20"/>
          <w:szCs w:val="20"/>
          <w:color w:val="auto"/>
        </w:rPr>
      </w:pPr>
    </w:p>
    <w:p>
      <w:pPr>
        <w:ind w:left="980" w:hanging="433"/>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980" w:right="120" w:hanging="433"/>
        <w:spacing w:after="0" w:line="277"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980" w:right="320" w:hanging="433"/>
        <w:spacing w:after="0" w:line="277"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whether any interest may be paid by issuing additional securities of the same series in lieu of cash (and the terms upon which any such interest may be paid by issuing additional securities);</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ind w:left="980" w:hanging="433"/>
        <w:spacing w:after="0" w:line="263"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9" w:lineRule="exact"/>
        <w:rPr>
          <w:rFonts w:ascii="Arial" w:cs="Arial" w:eastAsia="Arial" w:hAnsi="Arial"/>
          <w:sz w:val="18"/>
          <w:szCs w:val="18"/>
          <w:color w:val="auto"/>
        </w:rPr>
      </w:pPr>
    </w:p>
    <w:p>
      <w:pPr>
        <w:ind w:left="980" w:right="20" w:hanging="433"/>
        <w:spacing w:after="0" w:line="277"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Borough of Manhattan in the City of New York, of payment, transfer, conversion and/or exchange of the debt securities;</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 (if other than $1,000 and any integral multiple thereof);</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513" w:right="459" w:bottom="1440" w:gutter="0" w:footer="0" w:header="0"/>
        </w:sectPr>
      </w:pPr>
    </w:p>
    <w:bookmarkStart w:id="108" w:name="page109"/>
    <w:bookmarkEnd w:id="108"/>
    <w:p>
      <w:pPr>
        <w:ind w:left="980" w:hanging="433"/>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any restrictive covenants;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the series of debt securities is issuable in certificated form;</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980" w:right="460" w:hanging="433"/>
        <w:spacing w:after="0" w:line="277"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special federal income tax implications, including, if applicable, U.S. federal income tax considerations relating to original issue discount;</w:t>
      </w:r>
    </w:p>
    <w:p>
      <w:pPr>
        <w:spacing w:after="0" w:line="75" w:lineRule="exact"/>
        <w:rPr>
          <w:rFonts w:ascii="Arial" w:cs="Arial" w:eastAsia="Arial" w:hAnsi="Arial"/>
          <w:sz w:val="18"/>
          <w:szCs w:val="18"/>
          <w:color w:val="auto"/>
        </w:rPr>
      </w:pPr>
    </w:p>
    <w:p>
      <w:pPr>
        <w:ind w:left="980" w:right="20" w:hanging="433"/>
        <w:spacing w:after="0" w:line="342" w:lineRule="auto"/>
        <w:tabs>
          <w:tab w:leader="none" w:pos="9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980" w:hanging="433"/>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the debt securities are secured and the terms of any security interest;</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7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We are permitted, under specified conditions, to issue multiple classes of indebtedness and one class of shares senior to our common stock if our asset coverage, calculated pursuant to the 1940 Act, is at least equal to 150%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150%. We may also borrow amounts up to 5% of the value of our total assets for temporary or emergency purposes without regard to asset coverage. For a discussion of the risks associated with leverage, see “Risk Factors—Regulations governing our operation as a BDC affect our ability to, and the way in which we, raise additional capital” in Part II, Item 1A of our 3Q 2022 Quarterly Report.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4"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right="300" w:firstLine="440"/>
        <w:spacing w:after="0" w:line="255" w:lineRule="auto"/>
        <w:rPr>
          <w:sz w:val="20"/>
          <w:szCs w:val="20"/>
          <w:color w:val="auto"/>
        </w:rPr>
      </w:pPr>
      <w:r>
        <w:rPr>
          <w:rFonts w:ascii="Arial" w:cs="Arial" w:eastAsia="Arial" w:hAnsi="Arial"/>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517" w:right="459" w:bottom="1440" w:gutter="0" w:footer="0" w:header="0"/>
        </w:sectPr>
      </w:pPr>
    </w:p>
    <w:bookmarkStart w:id="109" w:name="page110"/>
    <w:bookmarkEnd w:id="109"/>
    <w:p>
      <w:pPr>
        <w:jc w:val="both"/>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7174865" cy="68580"/>
                    </a:xfrm>
                    <a:prstGeom prst="rect">
                      <a:avLst/>
                    </a:prstGeom>
                    <a:noFill/>
                  </pic:spPr>
                </pic:pic>
              </a:graphicData>
            </a:graphic>
          </wp:anchor>
        </w:drawing>
        <w:t>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8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 indenture does not contain any provisions that give you protection in the event we issue a large amount of debt or we are acquired by another entity.</w:t>
      </w:r>
    </w:p>
    <w:p>
      <w:pPr>
        <w:spacing w:after="0" w:line="170" w:lineRule="exact"/>
        <w:rPr>
          <w:sz w:val="20"/>
          <w:szCs w:val="20"/>
          <w:color w:val="auto"/>
        </w:rPr>
      </w:pPr>
    </w:p>
    <w:p>
      <w:pPr>
        <w:ind w:right="300" w:firstLine="440"/>
        <w:spacing w:after="0" w:line="34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2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expect that we will usually issue debt securities in book-entry only form represented by global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Global Securities</w:t>
      </w:r>
    </w:p>
    <w:p>
      <w:pPr>
        <w:spacing w:after="0" w:line="121" w:lineRule="exact"/>
        <w:rPr>
          <w:sz w:val="20"/>
          <w:szCs w:val="20"/>
          <w:color w:val="auto"/>
        </w:rPr>
      </w:pPr>
    </w:p>
    <w:p>
      <w:pPr>
        <w:jc w:val="both"/>
        <w:ind w:right="360" w:firstLine="440"/>
        <w:spacing w:after="0" w:line="311" w:lineRule="auto"/>
        <w:rPr>
          <w:sz w:val="20"/>
          <w:szCs w:val="20"/>
          <w:color w:val="auto"/>
        </w:rPr>
      </w:pPr>
      <w:r>
        <w:rPr>
          <w:rFonts w:ascii="Arial" w:cs="Arial" w:eastAsia="Arial" w:hAnsi="Arial"/>
          <w:sz w:val="16"/>
          <w:szCs w:val="16"/>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Certificated Securities</w:t>
      </w:r>
    </w:p>
    <w:p>
      <w:pPr>
        <w:spacing w:after="0" w:line="12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We will make payments on a certificated debt security as follows. We will pay interest that is due on an interest payment date by check mailed on the interest payment date to the holder at his or her address shown 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80"/>
          </w:cols>
          <w:pgMar w:left="440" w:top="517" w:right="479" w:bottom="1440" w:gutter="0" w:footer="0" w:header="0"/>
        </w:sectPr>
      </w:pPr>
    </w:p>
    <w:bookmarkStart w:id="110" w:name="page111"/>
    <w:bookmarkEnd w:id="110"/>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w:t>
      </w:r>
    </w:p>
    <w:p>
      <w:pPr>
        <w:spacing w:after="0" w:line="184" w:lineRule="exact"/>
        <w:rPr>
          <w:sz w:val="20"/>
          <w:szCs w:val="20"/>
          <w:color w:val="auto"/>
        </w:rPr>
      </w:pPr>
    </w:p>
    <w:p>
      <w:pPr>
        <w:ind w:right="240" w:firstLine="440"/>
        <w:spacing w:after="0" w:line="296"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When Offices Are Closed</w:t>
      </w:r>
    </w:p>
    <w:p>
      <w:pPr>
        <w:spacing w:after="0" w:line="12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spacing w:after="0" w:line="188"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they will receive payments on their debt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term “Event of Default” in respect of the debt securities of your series means any of the following (unless the prospectus supplement relating to such debt securities states otherwise):</w:t>
      </w:r>
    </w:p>
    <w:p>
      <w:pPr>
        <w:spacing w:after="0" w:line="76" w:lineRule="exact"/>
        <w:rPr>
          <w:sz w:val="20"/>
          <w:szCs w:val="20"/>
          <w:color w:val="auto"/>
        </w:rPr>
      </w:pPr>
    </w:p>
    <w:p>
      <w:pPr>
        <w:ind w:left="980" w:right="340" w:hanging="433"/>
        <w:spacing w:after="0" w:line="277" w:lineRule="auto"/>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 including upon any redemption date or required repurchase date.</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when due, and such default is not cured within 30 days.</w:t>
      </w:r>
    </w:p>
    <w:p>
      <w:pPr>
        <w:spacing w:after="0" w:line="130" w:lineRule="exact"/>
        <w:rPr>
          <w:rFonts w:ascii="Arial" w:cs="Arial" w:eastAsia="Arial" w:hAnsi="Arial"/>
          <w:sz w:val="18"/>
          <w:szCs w:val="18"/>
          <w:color w:val="auto"/>
        </w:rPr>
      </w:pPr>
    </w:p>
    <w:p>
      <w:pPr>
        <w:ind w:left="980" w:right="220" w:hanging="433"/>
        <w:spacing w:after="0" w:line="277" w:lineRule="auto"/>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and do not cure this default within five days.</w:t>
      </w:r>
    </w:p>
    <w:p>
      <w:pPr>
        <w:spacing w:after="0" w:line="75" w:lineRule="exact"/>
        <w:rPr>
          <w:rFonts w:ascii="Arial" w:cs="Arial" w:eastAsia="Arial" w:hAnsi="Arial"/>
          <w:sz w:val="18"/>
          <w:szCs w:val="18"/>
          <w:color w:val="auto"/>
        </w:rPr>
      </w:pPr>
    </w:p>
    <w:p>
      <w:pPr>
        <w:ind w:left="980" w:hanging="433"/>
        <w:spacing w:after="0" w:line="263" w:lineRule="auto"/>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remain in breach of a covenant in respect of debt securities of the series for 60 days after we receive a written notice of default stating we are in breach. The notice must be sent by either the trustee (if a Responsible Officer has actual knowledge of such default) or holders of at least 25% of the principal amount of debt securities of the series.</w:t>
      </w:r>
    </w:p>
    <w:p>
      <w:pPr>
        <w:spacing w:after="0" w:line="89" w:lineRule="exact"/>
        <w:rPr>
          <w:rFonts w:ascii="Arial" w:cs="Arial" w:eastAsia="Arial" w:hAnsi="Arial"/>
          <w:sz w:val="18"/>
          <w:szCs w:val="18"/>
          <w:color w:val="auto"/>
        </w:rPr>
      </w:pPr>
    </w:p>
    <w:p>
      <w:pPr>
        <w:ind w:left="980" w:hanging="433"/>
        <w:spacing w:after="0" w:line="277" w:lineRule="auto"/>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 remain undischarged or unstayed for a period of 90 days.</w:t>
      </w:r>
    </w:p>
    <w:p>
      <w:pPr>
        <w:spacing w:after="0" w:line="75" w:lineRule="exact"/>
        <w:rPr>
          <w:rFonts w:ascii="Arial" w:cs="Arial" w:eastAsia="Arial" w:hAnsi="Arial"/>
          <w:sz w:val="18"/>
          <w:szCs w:val="18"/>
          <w:color w:val="auto"/>
        </w:rPr>
      </w:pPr>
    </w:p>
    <w:p>
      <w:pPr>
        <w:ind w:left="980" w:right="60" w:hanging="433"/>
        <w:spacing w:after="0" w:line="257" w:lineRule="auto"/>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or any of our “significant subsidiaries” (as defined in in Rule 1-02(w) of Regulation S-X, other than subsidiaries that are non-recourse or limited recourse subsidiaries, bankruptcy remote special purpose vehicles and any subsidiaries that are not consolidated with us for GAAP purposes) default, with respect to any mortgage, agreement or other instrument under which there may be outstanding, or by which there may be secured or evidenced, any indebtedness for money borrowed in excess of $50 million in the aggregate of us and/or any such subsidiary, (i) resulting in such indebtedness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517" w:right="459" w:bottom="1440" w:gutter="0" w:footer="0" w:header="0"/>
        </w:sectPr>
      </w:pPr>
    </w:p>
    <w:bookmarkStart w:id="111" w:name="page112"/>
    <w:bookmarkEnd w:id="111"/>
    <w:p>
      <w:pPr>
        <w:ind w:left="980"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becoming or being declared due and payable or (ii) constituting a failure to pay the principal or interest of any such debt when due and payable at its stated maturity, upon required repurchase, upon declaration of acceleration or otherwise, unless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debt securities of the series then outstanding.</w:t>
      </w:r>
    </w:p>
    <w:p>
      <w:pPr>
        <w:spacing w:after="0" w:line="93" w:lineRule="exact"/>
        <w:rPr>
          <w:sz w:val="20"/>
          <w:szCs w:val="20"/>
          <w:color w:val="auto"/>
        </w:rPr>
      </w:pPr>
    </w:p>
    <w:p>
      <w:pPr>
        <w:ind w:left="980" w:hanging="433"/>
        <w:spacing w:after="0" w:line="342" w:lineRule="auto"/>
        <w:tabs>
          <w:tab w:leader="none" w:pos="9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On the last business day of each of twenty-four consecutive calendar months, we have an asset coverage of less than 100%, giving effect to any amendments to Section 18(a)(1)(C)(ii) and Section 61 of the 1940 Act or to any exemptive relief granted to us by the SEC.</w:t>
      </w:r>
    </w:p>
    <w:p>
      <w:pPr>
        <w:spacing w:after="0" w:line="29" w:lineRule="exact"/>
        <w:rPr>
          <w:rFonts w:ascii="Arial" w:cs="Arial" w:eastAsia="Arial" w:hAnsi="Arial"/>
          <w:sz w:val="16"/>
          <w:szCs w:val="16"/>
          <w:color w:val="auto"/>
        </w:rPr>
      </w:pPr>
    </w:p>
    <w:p>
      <w:pPr>
        <w:ind w:left="980" w:hanging="433"/>
        <w:spacing w:after="0"/>
        <w:tabs>
          <w:tab w:leader="none" w:pos="9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Any other Event of Default in respect of debt securities of the series described in the applicable prospectus supplement occurs.</w:t>
      </w:r>
    </w:p>
    <w:p>
      <w:pPr>
        <w:spacing w:after="0" w:line="237" w:lineRule="exact"/>
        <w:rPr>
          <w:sz w:val="20"/>
          <w:szCs w:val="20"/>
          <w:color w:val="auto"/>
        </w:rPr>
      </w:pPr>
    </w:p>
    <w:p>
      <w:pPr>
        <w:ind w:right="300" w:firstLine="440"/>
        <w:spacing w:after="0" w:line="311" w:lineRule="auto"/>
        <w:rPr>
          <w:sz w:val="20"/>
          <w:szCs w:val="20"/>
          <w:color w:val="auto"/>
        </w:rPr>
      </w:pPr>
      <w:r>
        <w:rPr>
          <w:rFonts w:ascii="Arial" w:cs="Arial" w:eastAsia="Arial" w:hAnsi="Arial"/>
          <w:sz w:val="16"/>
          <w:szCs w:val="16"/>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determines in good faith that the withholding of notice is in the interests of the holders.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117"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If an Event of Default has occurred and has not been cured, the trustee (if a Responsible Officer has actual knowledge of such Event of Default)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57" w:lineRule="exact"/>
        <w:rPr>
          <w:sz w:val="20"/>
          <w:szCs w:val="20"/>
          <w:color w:val="auto"/>
        </w:rPr>
      </w:pPr>
    </w:p>
    <w:p>
      <w:pPr>
        <w:ind w:right="160" w:firstLine="440"/>
        <w:spacing w:after="0" w:line="296" w:lineRule="auto"/>
        <w:rPr>
          <w:sz w:val="20"/>
          <w:szCs w:val="20"/>
          <w:color w:val="auto"/>
        </w:rPr>
      </w:pPr>
      <w:r>
        <w:rPr>
          <w:rFonts w:ascii="Arial" w:cs="Arial" w:eastAsia="Arial" w:hAnsi="Arial"/>
          <w:sz w:val="16"/>
          <w:szCs w:val="16"/>
          <w:color w:val="auto"/>
        </w:rPr>
        <w:t>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6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980" w:hanging="433"/>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You must give your trustee written notice that an Event of Default has occurred and remains uncured.</w:t>
      </w:r>
    </w:p>
    <w:p>
      <w:pPr>
        <w:spacing w:after="0" w:line="130" w:lineRule="exact"/>
        <w:rPr>
          <w:rFonts w:ascii="Arial" w:cs="Arial" w:eastAsia="Arial" w:hAnsi="Arial"/>
          <w:sz w:val="18"/>
          <w:szCs w:val="18"/>
          <w:color w:val="auto"/>
        </w:rPr>
      </w:pPr>
    </w:p>
    <w:p>
      <w:pPr>
        <w:ind w:left="980" w:right="20" w:hanging="433"/>
        <w:spacing w:after="0" w:line="342" w:lineRule="auto"/>
        <w:tabs>
          <w:tab w:leader="none" w:pos="9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w:t>
      </w:r>
    </w:p>
    <w:p>
      <w:pPr>
        <w:spacing w:after="0" w:line="29" w:lineRule="exact"/>
        <w:rPr>
          <w:rFonts w:ascii="Arial" w:cs="Arial" w:eastAsia="Arial" w:hAnsi="Arial"/>
          <w:sz w:val="16"/>
          <w:szCs w:val="16"/>
          <w:color w:val="auto"/>
        </w:rPr>
      </w:pPr>
    </w:p>
    <w:p>
      <w:pPr>
        <w:ind w:left="980" w:hanging="433"/>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130" w:lineRule="exact"/>
        <w:rPr>
          <w:rFonts w:ascii="Arial" w:cs="Arial" w:eastAsia="Arial" w:hAnsi="Arial"/>
          <w:sz w:val="18"/>
          <w:szCs w:val="18"/>
          <w:color w:val="auto"/>
        </w:rPr>
      </w:pPr>
    </w:p>
    <w:p>
      <w:pPr>
        <w:ind w:left="980" w:right="100" w:hanging="433"/>
        <w:spacing w:after="0" w:line="277"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 day period.</w:t>
      </w:r>
    </w:p>
    <w:p>
      <w:pPr>
        <w:spacing w:after="0" w:line="170" w:lineRule="exact"/>
        <w:rPr>
          <w:sz w:val="20"/>
          <w:szCs w:val="20"/>
          <w:color w:val="auto"/>
        </w:rPr>
      </w:pPr>
    </w:p>
    <w:p>
      <w:pPr>
        <w:jc w:val="center"/>
        <w:ind w:right="480"/>
        <w:spacing w:after="0" w:line="449" w:lineRule="auto"/>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 71</w:t>
      </w:r>
    </w:p>
    <w:p>
      <w:pPr>
        <w:sectPr>
          <w:pgSz w:w="11900" w:h="16838" w:orient="portrait"/>
          <w:cols w:equalWidth="0" w:num="1">
            <w:col w:w="11020"/>
          </w:cols>
          <w:pgMar w:left="440" w:top="517" w:right="439" w:bottom="1440" w:gutter="0" w:footer="0" w:header="0"/>
        </w:sectPr>
      </w:pPr>
    </w:p>
    <w:bookmarkStart w:id="112" w:name="page113"/>
    <w:bookmarkEnd w:id="11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Holders of a majority in principal amount of the debt securities of the affected series may waive any past defaults other than:</w:t>
      </w:r>
    </w:p>
    <w:p>
      <w:pPr>
        <w:spacing w:after="0" w:line="131" w:lineRule="exact"/>
        <w:rPr>
          <w:sz w:val="20"/>
          <w:szCs w:val="20"/>
          <w:color w:val="auto"/>
        </w:rPr>
      </w:pPr>
    </w:p>
    <w:p>
      <w:pPr>
        <w:ind w:left="980" w:hanging="433"/>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payment of principal, any premium or interest; or</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respect of a covenant that cannot be modified or amended without the consent of each holder.</w:t>
      </w:r>
    </w:p>
    <w:p>
      <w:pPr>
        <w:spacing w:after="0" w:line="329"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58"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89" w:lineRule="exact"/>
        <w:rPr>
          <w:sz w:val="20"/>
          <w:szCs w:val="20"/>
          <w:color w:val="auto"/>
        </w:rPr>
      </w:pPr>
    </w:p>
    <w:p>
      <w:pPr>
        <w:ind w:left="980" w:right="80" w:hanging="433"/>
        <w:spacing w:after="0" w:line="308" w:lineRule="auto"/>
        <w:tabs>
          <w:tab w:leader="none" w:pos="9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Where we merge out of existence or sell all or substantially all our assets, the resulting entity or transferee must be organized and existing in the United States and must agree to be legally responsible for our obligations under the debt securities.</w:t>
      </w:r>
    </w:p>
    <w:p>
      <w:pPr>
        <w:spacing w:after="0" w:line="51" w:lineRule="exact"/>
        <w:rPr>
          <w:rFonts w:ascii="Arial" w:cs="Arial" w:eastAsia="Arial" w:hAnsi="Arial"/>
          <w:sz w:val="17"/>
          <w:szCs w:val="17"/>
          <w:color w:val="auto"/>
        </w:rPr>
      </w:pPr>
    </w:p>
    <w:p>
      <w:pPr>
        <w:ind w:left="980" w:right="280" w:hanging="433"/>
        <w:spacing w:after="0" w:line="277" w:lineRule="auto"/>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no Default or Event of Default shall have happened and be continuing.</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We must satisfy any other requirements specified in the prospectus supplement relating to a particular series of debt securities.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Covenants</w:t>
      </w:r>
    </w:p>
    <w:p>
      <w:pPr>
        <w:spacing w:after="0" w:line="131" w:lineRule="exact"/>
        <w:rPr>
          <w:sz w:val="20"/>
          <w:szCs w:val="20"/>
          <w:color w:val="auto"/>
        </w:rPr>
      </w:pPr>
    </w:p>
    <w:p>
      <w:pPr>
        <w:ind w:left="980" w:hanging="433"/>
        <w:spacing w:after="0" w:line="263" w:lineRule="auto"/>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the period of time during which debt securities of any series are outstanding, we will not violate, whether or not we are subject thereto, Section 18(a)(1)(A) as modified by Section 61(a)(1) and (2) of the 1940 Act or any successor provisions, but giving effect, in either case, to any exemptive relief granted to us by the SEC.</w:t>
      </w:r>
    </w:p>
    <w:p>
      <w:pPr>
        <w:spacing w:after="0" w:line="89" w:lineRule="exact"/>
        <w:rPr>
          <w:rFonts w:ascii="Arial" w:cs="Arial" w:eastAsia="Arial" w:hAnsi="Arial"/>
          <w:sz w:val="18"/>
          <w:szCs w:val="18"/>
          <w:color w:val="auto"/>
        </w:rPr>
      </w:pPr>
    </w:p>
    <w:p>
      <w:pPr>
        <w:ind w:left="980" w:right="60" w:hanging="433"/>
        <w:spacing w:after="0" w:line="275" w:lineRule="auto"/>
        <w:tabs>
          <w:tab w:leader="none" w:pos="9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at any time, we are not subject to the reporting requirements of Sections 13 or 15(d) of the Exchange Act to file any periodic reports with the SEC, we agree to furnish to holders of the any series of debt securities outstanding and the trustee, for the period of time during which the such debt securities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Your Approval</w:t>
      </w:r>
    </w:p>
    <w:p>
      <w:pPr>
        <w:spacing w:after="0" w:line="117"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First, there are changes that we cannot make to your debt securities without your specific approval. The following is a list of those types of changes:</w:t>
      </w:r>
    </w:p>
    <w:p>
      <w:pPr>
        <w:spacing w:after="0" w:line="76" w:lineRule="exact"/>
        <w:rPr>
          <w:sz w:val="20"/>
          <w:szCs w:val="20"/>
          <w:color w:val="auto"/>
        </w:rPr>
      </w:pPr>
    </w:p>
    <w:p>
      <w:pPr>
        <w:ind w:left="5420" w:right="4620" w:hanging="4873"/>
        <w:spacing w:after="0" w:line="449" w:lineRule="auto"/>
        <w:tabs>
          <w:tab w:leader="none" w:pos="993" w:val="left"/>
        </w:tabs>
        <w:numPr>
          <w:ilvl w:val="0"/>
          <w:numId w:val="90"/>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 72</w:t>
      </w:r>
    </w:p>
    <w:p>
      <w:pPr>
        <w:sectPr>
          <w:pgSz w:w="11900" w:h="16838" w:orient="portrait"/>
          <w:cols w:equalWidth="0" w:num="1">
            <w:col w:w="10980"/>
          </w:cols>
          <w:pgMar w:left="440" w:top="517" w:right="479" w:bottom="1440" w:gutter="0" w:footer="0" w:header="0"/>
        </w:sectPr>
      </w:pPr>
    </w:p>
    <w:bookmarkStart w:id="113" w:name="page114"/>
    <w:bookmarkEnd w:id="113"/>
    <w:p>
      <w:pPr>
        <w:ind w:left="980" w:hanging="433"/>
        <w:spacing w:after="0"/>
        <w:tabs>
          <w:tab w:leader="none" w:pos="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reduce any amounts due on a debt security;</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change the place (except as otherwise described in the prospectus or prospectus supplement) or currency of payment on a debt security;</w:t>
      </w:r>
    </w:p>
    <w:p>
      <w:pPr>
        <w:spacing w:after="0" w:line="153" w:lineRule="exact"/>
        <w:rPr>
          <w:rFonts w:ascii="Arial" w:cs="Arial" w:eastAsia="Arial" w:hAnsi="Arial"/>
          <w:sz w:val="16"/>
          <w:szCs w:val="16"/>
          <w:color w:val="auto"/>
        </w:rPr>
      </w:pPr>
    </w:p>
    <w:p>
      <w:pPr>
        <w:ind w:left="980" w:hanging="433"/>
        <w:spacing w:after="0"/>
        <w:tabs>
          <w:tab w:leader="none" w:pos="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modify the subordination provisions in the indenture in a manner that is adverse to outstanding holders of the debt securities;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980" w:right="100" w:hanging="433"/>
        <w:spacing w:after="0" w:line="277" w:lineRule="auto"/>
        <w:tabs>
          <w:tab w:leader="none" w:pos="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980" w:right="60" w:hanging="433"/>
        <w:spacing w:after="0" w:line="277" w:lineRule="auto"/>
        <w:tabs>
          <w:tab w:leader="none" w:pos="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17"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980" w:hanging="433"/>
        <w:spacing w:after="0"/>
        <w:tabs>
          <w:tab w:leader="none" w:pos="9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w:t>
      </w:r>
    </w:p>
    <w:p>
      <w:pPr>
        <w:spacing w:after="0" w:line="153" w:lineRule="exact"/>
        <w:rPr>
          <w:rFonts w:ascii="Arial" w:cs="Arial" w:eastAsia="Arial" w:hAnsi="Arial"/>
          <w:sz w:val="16"/>
          <w:szCs w:val="16"/>
          <w:color w:val="auto"/>
        </w:rPr>
      </w:pPr>
    </w:p>
    <w:p>
      <w:pPr>
        <w:ind w:left="980" w:right="440" w:hanging="433"/>
        <w:spacing w:after="0" w:line="263" w:lineRule="auto"/>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84"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Details Concerning Voting</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980" w:right="20" w:hanging="433"/>
        <w:spacing w:after="0" w:line="277" w:lineRule="auto"/>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40"/>
          </w:cols>
          <w:pgMar w:left="440" w:top="517" w:right="519" w:bottom="1440" w:gutter="0" w:footer="0" w:header="0"/>
        </w:sectPr>
      </w:pPr>
    </w:p>
    <w:bookmarkStart w:id="114" w:name="page115"/>
    <w:bookmarkEnd w:id="114"/>
    <w:p>
      <w:pPr>
        <w:ind w:left="980" w:right="120" w:hanging="433"/>
        <w:spacing w:after="0" w:line="277" w:lineRule="auto"/>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For debt securities whose principal amount is not known (for example, because it is based on an index), we will use a special rule for that debt security described in the prospectus supplement.</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30" w:lineRule="exact"/>
        <w:rPr>
          <w:rFonts w:ascii="Arial" w:cs="Arial" w:eastAsia="Arial" w:hAnsi="Arial"/>
          <w:sz w:val="18"/>
          <w:szCs w:val="18"/>
          <w:color w:val="auto"/>
        </w:rPr>
      </w:pPr>
    </w:p>
    <w:p>
      <w:pPr>
        <w:ind w:left="980" w:right="120" w:hanging="433"/>
        <w:spacing w:after="0" w:line="263" w:lineRule="auto"/>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 Defeasance—Full Defeasance.”</w:t>
      </w:r>
    </w:p>
    <w:p>
      <w:pPr>
        <w:spacing w:after="0" w:line="1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7"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approval may be granted or denied if we seek to change the indenture or the debt securities or request a waiver.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93" w:lineRule="exact"/>
        <w:rPr>
          <w:sz w:val="20"/>
          <w:szCs w:val="20"/>
          <w:color w:val="auto"/>
        </w:rPr>
      </w:pPr>
    </w:p>
    <w:p>
      <w:pPr>
        <w:ind w:left="980" w:right="140" w:hanging="433"/>
        <w:spacing w:after="0" w:line="286" w:lineRule="auto"/>
        <w:tabs>
          <w:tab w:leader="none" w:pos="9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jc w:val="both"/>
        <w:ind w:left="980" w:hanging="433"/>
        <w:spacing w:after="0" w:line="263" w:lineRule="auto"/>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w:t>
      </w:r>
    </w:p>
    <w:p>
      <w:pPr>
        <w:spacing w:after="0" w:line="89" w:lineRule="exact"/>
        <w:rPr>
          <w:rFonts w:ascii="Arial" w:cs="Arial" w:eastAsia="Arial" w:hAnsi="Arial"/>
          <w:sz w:val="18"/>
          <w:szCs w:val="18"/>
          <w:color w:val="auto"/>
        </w:rPr>
      </w:pPr>
    </w:p>
    <w:p>
      <w:pPr>
        <w:ind w:left="980" w:right="340" w:hanging="433"/>
        <w:spacing w:after="0" w:line="277" w:lineRule="auto"/>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covenant defeasance have been complied with.</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440" w:top="517" w:right="4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7174865" cy="68580"/>
                    </a:xfrm>
                    <a:prstGeom prst="rect">
                      <a:avLst/>
                    </a:prstGeom>
                    <a:noFill/>
                  </pic:spPr>
                </pic:pic>
              </a:graphicData>
            </a:graphic>
          </wp:anchor>
        </w:drawing>
        <w:t>Full Defeasance</w:t>
      </w:r>
    </w:p>
    <w:p>
      <w:pPr>
        <w:spacing w:after="0" w:line="117"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980" w:right="140" w:hanging="433"/>
        <w:spacing w:after="0" w:line="286" w:lineRule="auto"/>
        <w:tabs>
          <w:tab w:leader="none" w:pos="9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980" w:right="100" w:hanging="433"/>
        <w:spacing w:after="0" w:line="255" w:lineRule="auto"/>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97" w:lineRule="exact"/>
        <w:rPr>
          <w:rFonts w:ascii="Arial" w:cs="Arial" w:eastAsia="Arial" w:hAnsi="Arial"/>
          <w:sz w:val="18"/>
          <w:szCs w:val="18"/>
          <w:color w:val="auto"/>
        </w:rPr>
      </w:pPr>
    </w:p>
    <w:p>
      <w:pPr>
        <w:ind w:left="980" w:right="660" w:hanging="433"/>
        <w:spacing w:after="0" w:line="277" w:lineRule="auto"/>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defeasance have been complied with.</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Holders may exchange their certificated securities, if any,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spacing w:after="0" w:line="184"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84"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517" w:right="4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7174865" cy="68580"/>
                    </a:xfrm>
                    <a:prstGeom prst="rect">
                      <a:avLst/>
                    </a:prstGeom>
                    <a:noFill/>
                  </pic:spPr>
                </pic:pic>
              </a:graphicData>
            </a:graphic>
          </wp:anchor>
        </w:drawing>
        <w:t>Resignation of Trustee</w:t>
      </w:r>
    </w:p>
    <w:p>
      <w:pPr>
        <w:spacing w:after="0" w:line="12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9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9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980" w:right="340" w:hanging="433"/>
        <w:spacing w:after="0" w:line="279" w:lineRule="auto"/>
        <w:tabs>
          <w:tab w:leader="none" w:pos="9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76" w:lineRule="exact"/>
        <w:rPr>
          <w:rFonts w:ascii="Arial" w:cs="Arial" w:eastAsia="Arial" w:hAnsi="Arial"/>
          <w:sz w:val="17"/>
          <w:szCs w:val="17"/>
          <w:color w:val="auto"/>
        </w:rPr>
      </w:pPr>
    </w:p>
    <w:p>
      <w:pPr>
        <w:ind w:left="980" w:hanging="433"/>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225"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Indebtedness and Ranking</w:t>
      </w:r>
    </w:p>
    <w:p>
      <w:pPr>
        <w:spacing w:after="0" w:line="121"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513" w:right="459" w:bottom="1440" w:gutter="0" w:footer="0" w:header="0"/>
        </w:sectPr>
      </w:pPr>
    </w:p>
    <w:bookmarkStart w:id="117" w:name="page118"/>
    <w:bookmarkEnd w:id="117"/>
    <w:p>
      <w:pPr>
        <w:ind w:right="2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7174865" cy="68580"/>
                    </a:xfrm>
                    <a:prstGeom prst="rect">
                      <a:avLst/>
                    </a:prstGeom>
                    <a:noFill/>
                  </pic:spPr>
                </pic:pic>
              </a:graphicData>
            </a:graphic>
          </wp:anchor>
        </w:drawing>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w:t>
      </w:r>
    </w:p>
    <w:p>
      <w:pPr>
        <w:spacing w:after="0" w:line="192"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color w:val="auto"/>
        </w:rPr>
        <w:t>Computershare Trust Company, N.A., as successor to Wells Fargo Bank, National Association, will serve as the trustee under the indenture. This document and the related documents do not provide a comprehensive description of the rights, benefits, protections, immunities, indemnities, and privileges of the trustee. Rather, the indenture sets forth the trustee’s rights, benefits, protections, immunities, indemnities, and privileges. The trustee assumes (and shall have) no responsibility or liability for the accuracy, correctness, or completeness of the information (including such information concerning us or our affiliates or any other party) contained in this document or the related documents or for any failure by us or any other party to disclose events that may have occurred and may affect the significance or accuracy of such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right="460" w:firstLine="440"/>
        <w:spacing w:after="0" w:line="259" w:lineRule="auto"/>
        <w:rPr>
          <w:sz w:val="20"/>
          <w:szCs w:val="20"/>
          <w:color w:val="auto"/>
        </w:rPr>
      </w:pPr>
      <w:r>
        <w:rPr>
          <w:rFonts w:ascii="Arial" w:cs="Arial" w:eastAsia="Arial" w:hAnsi="Arial"/>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Debt Securities</w:t>
      </w:r>
    </w:p>
    <w:p>
      <w:pPr>
        <w:spacing w:after="0" w:line="121"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The Depository Trust Company, New York, NY, or DTC, will act as securities depository for the debt securities. The debt securities will be issued as fully-registered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92"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81"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DTCC is the holding company for DTC, National Securities Clearing Corporation and Fixed Income Clearing Corporation, all of which are registered clearing agencies. DTCC is owned by the users of its regulated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60"/>
          </w:cols>
          <w:pgMar w:left="440" w:top="517" w:right="499" w:bottom="1440" w:gutter="0" w:footer="0" w:header="0"/>
        </w:sectPr>
      </w:pPr>
    </w:p>
    <w:bookmarkStart w:id="118" w:name="page119"/>
    <w:bookmarkEnd w:id="118"/>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w:t>
      </w:r>
    </w:p>
    <w:p>
      <w:pPr>
        <w:spacing w:after="0" w:line="18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92" w:lineRule="exact"/>
        <w:rPr>
          <w:sz w:val="20"/>
          <w:szCs w:val="20"/>
          <w:color w:val="auto"/>
        </w:rPr>
      </w:pPr>
    </w:p>
    <w:p>
      <w:pPr>
        <w:ind w:right="240" w:firstLine="440"/>
        <w:spacing w:after="0" w:line="255" w:lineRule="auto"/>
        <w:rPr>
          <w:sz w:val="20"/>
          <w:szCs w:val="20"/>
          <w:color w:val="auto"/>
        </w:rPr>
      </w:pPr>
      <w:r>
        <w:rPr>
          <w:rFonts w:ascii="Arial" w:cs="Arial" w:eastAsia="Arial" w:hAnsi="Arial"/>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92"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87"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Redemption proceeds, distributions, and dividend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0"/>
          </w:cols>
          <w:pgMar w:left="440" w:top="517" w:right="459" w:bottom="1440" w:gutter="0" w:footer="0" w:header="0"/>
        </w:sectPr>
      </w:pPr>
    </w:p>
    <w:bookmarkStart w:id="119" w:name="page120"/>
    <w:bookmarkEnd w:id="119"/>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7174865" cy="68580"/>
                    </a:xfrm>
                    <a:prstGeom prst="rect">
                      <a:avLst/>
                    </a:prstGeom>
                    <a:noFill/>
                  </pic:spPr>
                </pic:pic>
              </a:graphicData>
            </a:graphic>
          </wp:anchor>
        </w:drawing>
        <w:t>Participants will be the responsibility of DTC, and disbursement of such payments to the Beneficial Owners will be the responsibility of Direct and Indirect Participants.</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517" w:right="45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CUSTODIAN, TRANSFER AND DIVIDEND PAYING AGENT AND REGISTRAR</w:t>
      </w:r>
    </w:p>
    <w:p>
      <w:pPr>
        <w:spacing w:after="0" w:line="229"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Our securities and loan documents are held by State Street Bank and Trust Company pursuant to a custodian agreement and American Stock Transfer &amp; Trust Company, LLC serves as our transfer agent, distribution paying agent and registrar. The principal business address of State Street Bank and Trust Company is 1 Lincoln Street, Boston, Massachusetts 02111. The principal business address of American Stock Transfer &amp; Trust Company, LLC is 6201 15th Avenue, Brooklyn, NY 11219.</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229"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Since we will acquire and dispose of many of our investments in privately negotiated transactions, many of the transactions that we engage in will not require the use of brokers or the payment of brokerage commissions.</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w:t>
      </w:r>
    </w:p>
    <w:p>
      <w:pPr>
        <w:spacing w:after="0" w:line="188" w:lineRule="exact"/>
        <w:rPr>
          <w:sz w:val="20"/>
          <w:szCs w:val="20"/>
          <w:color w:val="auto"/>
        </w:rPr>
      </w:pPr>
    </w:p>
    <w:p>
      <w:pPr>
        <w:ind w:right="200" w:firstLine="440"/>
        <w:spacing w:after="0" w:line="301" w:lineRule="auto"/>
        <w:rPr>
          <w:sz w:val="20"/>
          <w:szCs w:val="20"/>
          <w:color w:val="auto"/>
        </w:rPr>
      </w:pPr>
      <w:r>
        <w:rPr>
          <w:rFonts w:ascii="Arial" w:cs="Arial" w:eastAsia="Arial" w:hAnsi="Arial"/>
          <w:sz w:val="16"/>
          <w:szCs w:val="16"/>
          <w:color w:val="auto"/>
        </w:rPr>
        <w:t>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also pay brokerage commissions incurred in connection with purchases pursuant to the Company 10b5-1 Plan.</w:t>
      </w:r>
    </w:p>
    <w:p>
      <w:pPr>
        <w:spacing w:after="0" w:line="225" w:lineRule="exact"/>
        <w:rPr>
          <w:sz w:val="20"/>
          <w:szCs w:val="20"/>
          <w:color w:val="auto"/>
        </w:rPr>
      </w:pPr>
    </w:p>
    <w:p>
      <w:pPr>
        <w:jc w:val="center"/>
        <w:ind w:right="260"/>
        <w:spacing w:after="0" w:line="449" w:lineRule="auto"/>
        <w:rPr>
          <w:sz w:val="20"/>
          <w:szCs w:val="20"/>
          <w:color w:val="auto"/>
        </w:rPr>
      </w:pPr>
      <w:r>
        <w:rPr>
          <w:rFonts w:ascii="Arial" w:cs="Arial" w:eastAsia="Arial" w:hAnsi="Arial"/>
          <w:sz w:val="18"/>
          <w:szCs w:val="18"/>
          <w:color w:val="auto"/>
        </w:rPr>
        <w:t>The aggregate amount of brokerage commissions paid by us during the three most recent completed fiscal years is less than $0.4 million. 80</w:t>
      </w:r>
    </w:p>
    <w:p>
      <w:pPr>
        <w:sectPr>
          <w:pgSz w:w="11900" w:h="16838" w:orient="portrait"/>
          <w:cols w:equalWidth="0" w:num="1">
            <w:col w:w="11000"/>
          </w:cols>
          <w:pgMar w:left="440" w:top="513" w:right="45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PLAN OF DISTRIBUTION</w:t>
      </w:r>
    </w:p>
    <w:p>
      <w:pPr>
        <w:spacing w:after="0" w:line="229"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offerings or a combination of these methods.</w:t>
      </w:r>
    </w:p>
    <w:p>
      <w:pPr>
        <w:spacing w:after="0" w:line="18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We may sell the securities through underwriters or dealers, directly to one or more purchasers, including existing stockholders in a rights offering, through agents designated from time to time by us, in “at the market offerings” within the meaning of Rule 415(a)(4) of the Securities Act, to our thought a market maker or into an existing trading market, on an exchange or otherwise, in forward contracts of similar arrangements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spacing w:after="0" w:line="185" w:lineRule="exact"/>
        <w:rPr>
          <w:sz w:val="20"/>
          <w:szCs w:val="20"/>
          <w:color w:val="auto"/>
        </w:rPr>
      </w:pPr>
    </w:p>
    <w:p>
      <w:pPr>
        <w:ind w:right="140" w:firstLine="440"/>
        <w:spacing w:after="0" w:line="273" w:lineRule="auto"/>
        <w:rPr>
          <w:sz w:val="20"/>
          <w:szCs w:val="20"/>
          <w:color w:val="auto"/>
        </w:rPr>
      </w:pPr>
      <w:r>
        <w:rPr>
          <w:rFonts w:ascii="Arial" w:cs="Arial" w:eastAsia="Arial" w:hAnsi="Arial"/>
          <w:sz w:val="17"/>
          <w:szCs w:val="17"/>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spacing w:after="0" w:line="178"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w:t>
      </w:r>
    </w:p>
    <w:p>
      <w:pPr>
        <w:spacing w:after="0" w:line="18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0"/>
          </w:cols>
          <w:pgMar w:left="440" w:top="513" w:right="459" w:bottom="1440" w:gutter="0" w:footer="0" w:header="0"/>
        </w:sectPr>
      </w:pPr>
    </w:p>
    <w:bookmarkStart w:id="122" w:name="page123"/>
    <w:bookmarkEnd w:id="122"/>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spacing w:after="0" w:line="18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84"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7"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78"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78"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In order to comply with the securities laws of certain states, if applicable, the securities offered hereby will be sold in such jurisdictions only through registered or licensed brokers or dealers.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80"/>
          </w:cols>
          <w:pgMar w:left="440" w:top="517" w:right="47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LEGAL MATTERS</w:t>
      </w:r>
    </w:p>
    <w:p>
      <w:pPr>
        <w:spacing w:after="0" w:line="229"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The legality of the securities offered hereby will be passed upon for us by Cleary Gottlieb Steen &amp; Hamilton LLP, New York, New York. In addition, Schulte Roth &amp; Zabel LLP and Morris, Nichols, Arsht &amp; Tunnell LLP will pass on certain legal matters for us. Cleary Gottlieb Steen &amp; Hamilton LLP and Schulte Roth &amp; Zabel LLP also represent the Adviser. Certain legal matters in connection with the offering will be passed upon for the underwriters, if any, by the counsel named in the prospectus supplement.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consolidated financial statements of Sixth Street Specialty Lending, Inc. (and subsidiaries) as of December 31, 2021 and 2020, and for each of the years in the three-year period ended December 31, 2021 and the Senior Securities table covering the last ten fiscal years ended December 31, 2021 under the heading “Senior Securities” have been incorporated by reference in this prospectus and included elsewhere in the registration statement, respectively, in reliance upon the reports of KPMG LLP, 345 Park Avenue, New York, New York 10154, independent registered public accounting firm, incorporated by reference, respectively, and upon the authority of said firm as experts in accounting and auditing.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right="320" w:firstLine="440"/>
        <w:spacing w:after="0" w:line="263"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8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We file with or submit to the SEC periodic and current reports, proxy statements and other information meeting the informational requirements of the Exchange Act.</w:t>
      </w:r>
    </w:p>
    <w:p>
      <w:pPr>
        <w:spacing w:after="0" w:line="170"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We maintain a website at https://sixthstreetspecialtylending.com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888 7th Avenue, 41st Floor, New York, NY 10106, Attention: TSLX Investor Relations, or by emailing us at IRTSLX@sixthstreet.com.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117" w:lineRule="exact"/>
        <w:rPr>
          <w:sz w:val="20"/>
          <w:szCs w:val="20"/>
          <w:color w:val="auto"/>
        </w:rPr>
      </w:pPr>
    </w:p>
    <w:p>
      <w:pPr>
        <w:ind w:right="520" w:firstLine="440"/>
        <w:spacing w:after="0" w:line="263" w:lineRule="auto"/>
        <w:rPr>
          <w:sz w:val="20"/>
          <w:szCs w:val="20"/>
          <w:color w:val="auto"/>
        </w:rPr>
      </w:pPr>
      <w:r>
        <w:rPr>
          <w:rFonts w:ascii="Arial" w:cs="Arial" w:eastAsia="Arial" w:hAnsi="Arial"/>
          <w:sz w:val="18"/>
          <w:szCs w:val="18"/>
          <w:color w:val="auto"/>
        </w:rPr>
        <w:t>Our codes of ethics are attached as exhibits to the registration statement of which this prospectus is a part, and are available on the EDGAR Databased on the SEC’s internet site at http://www.sec.gov. You may also obtain copies of the codes of ethics, after paying a duplicating fee, by electronic request at the following e-mail address: publicinfo@sec.gov.</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Proxy Voting Policies and Procedures</w:t>
      </w:r>
    </w:p>
    <w:p>
      <w:pPr>
        <w:spacing w:after="0" w:line="117" w:lineRule="exact"/>
        <w:rPr>
          <w:sz w:val="20"/>
          <w:szCs w:val="20"/>
          <w:color w:val="auto"/>
        </w:rPr>
      </w:pPr>
    </w:p>
    <w:p>
      <w:pPr>
        <w:jc w:val="both"/>
        <w:ind w:right="260" w:firstLine="440"/>
        <w:spacing w:after="0" w:line="286" w:lineRule="auto"/>
        <w:rPr>
          <w:sz w:val="20"/>
          <w:szCs w:val="20"/>
          <w:color w:val="auto"/>
        </w:rPr>
      </w:pPr>
      <w:r>
        <w:rPr>
          <w:rFonts w:ascii="Arial" w:cs="Arial" w:eastAsia="Arial" w:hAnsi="Arial"/>
          <w:sz w:val="17"/>
          <w:szCs w:val="17"/>
          <w:color w:val="auto"/>
        </w:rPr>
        <w:t>You may obtain information about how the Adviser voted proxies, free of charge, by making a written request for proxy voting information to: Sixth Street Specialty Lending Advisers, 888 7th Avenue, 41st Floor, New York, NY 10106, Attention: TSLX Investor Relations, or by emailing us at IRTSLX@sixthstreet.com. The SEC also maintains a website at http://www.sec.gov that contains such information.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440" w:top="513" w:right="45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INFORMATION INCORPORATED BY REFERENCE</w:t>
      </w:r>
    </w:p>
    <w:p>
      <w:pPr>
        <w:spacing w:after="0" w:line="229" w:lineRule="exact"/>
        <w:rPr>
          <w:sz w:val="20"/>
          <w:szCs w:val="20"/>
          <w:color w:val="auto"/>
        </w:rPr>
      </w:pPr>
    </w:p>
    <w:p>
      <w:pPr>
        <w:ind w:right="280" w:firstLine="440"/>
        <w:spacing w:after="0" w:line="273" w:lineRule="auto"/>
        <w:rPr>
          <w:sz w:val="20"/>
          <w:szCs w:val="20"/>
          <w:color w:val="auto"/>
        </w:rPr>
      </w:pPr>
      <w:r>
        <w:rPr>
          <w:rFonts w:ascii="Arial" w:cs="Arial" w:eastAsia="Arial" w:hAnsi="Arial"/>
          <w:sz w:val="17"/>
          <w:szCs w:val="17"/>
          <w:color w:val="auto"/>
        </w:rPr>
        <w:t>This prospectus is part of a registration statement that we have filed with the SEC. Pursuant to the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 This prospectus incorporates by reference the documents listed below:</w:t>
      </w:r>
    </w:p>
    <w:p>
      <w:pPr>
        <w:spacing w:after="0" w:line="83" w:lineRule="exact"/>
        <w:rPr>
          <w:sz w:val="20"/>
          <w:szCs w:val="20"/>
          <w:color w:val="auto"/>
        </w:rPr>
      </w:pPr>
    </w:p>
    <w:p>
      <w:pPr>
        <w:jc w:val="both"/>
        <w:ind w:left="980" w:right="200" w:hanging="433"/>
        <w:spacing w:after="0" w:line="263" w:lineRule="auto"/>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52">
        <w:r>
          <w:rPr>
            <w:rFonts w:ascii="Arial" w:cs="Arial" w:eastAsia="Arial" w:hAnsi="Arial"/>
            <w:sz w:val="18"/>
            <w:szCs w:val="18"/>
            <w:u w:val="single" w:color="auto"/>
            <w:color w:val="0000EE"/>
          </w:rPr>
          <w:t>Form 10-K for the fiscal year ended December 31, 2021</w:t>
        </w:r>
      </w:hyperlink>
      <w:r>
        <w:rPr>
          <w:rFonts w:ascii="Arial" w:cs="Arial" w:eastAsia="Arial" w:hAnsi="Arial"/>
          <w:sz w:val="18"/>
          <w:szCs w:val="18"/>
          <w:color w:val="auto"/>
        </w:rPr>
        <w:t xml:space="preserve">, filed with the SEC on February 17, 2022, including the information specifically incorporated by reference into the Form 10-K from our Definitive Proxy Statement on Schedule 14A relating to our 2022 Annual Meeting of Stockholders, </w:t>
      </w:r>
      <w:hyperlink r:id="rId153">
        <w:r>
          <w:rPr>
            <w:rFonts w:ascii="Arial" w:cs="Arial" w:eastAsia="Arial" w:hAnsi="Arial"/>
            <w:sz w:val="18"/>
            <w:szCs w:val="18"/>
            <w:u w:val="single" w:color="auto"/>
            <w:color w:val="0000EE"/>
          </w:rPr>
          <w:t>filed with the SEC on April 13, 2022</w:t>
        </w:r>
      </w:hyperlink>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980" w:hanging="433"/>
        <w:spacing w:after="0" w:line="263" w:lineRule="auto"/>
        <w:tabs>
          <w:tab w:leader="none" w:pos="980" w:val="left"/>
        </w:tabs>
        <w:numPr>
          <w:ilvl w:val="0"/>
          <w:numId w:val="98"/>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w:t>
      </w:r>
      <w:hyperlink r:id="rId154">
        <w:r>
          <w:rPr>
            <w:rFonts w:ascii="Arial" w:cs="Arial" w:eastAsia="Arial" w:hAnsi="Arial"/>
            <w:sz w:val="18"/>
            <w:szCs w:val="18"/>
            <w:u w:val="single" w:color="auto"/>
            <w:color w:val="0000EE"/>
          </w:rPr>
          <w:t>three months ended March 31, 2022</w:t>
        </w:r>
      </w:hyperlink>
      <w:r>
        <w:rPr>
          <w:rFonts w:ascii="Arial" w:cs="Arial" w:eastAsia="Arial" w:hAnsi="Arial"/>
          <w:sz w:val="18"/>
          <w:szCs w:val="18"/>
          <w:color w:val="auto"/>
        </w:rPr>
        <w:t xml:space="preserve">, filed with the SEC on May 4, 2022, for the three months </w:t>
      </w:r>
      <w:hyperlink r:id="rId155">
        <w:r>
          <w:rPr>
            <w:rFonts w:ascii="Arial" w:cs="Arial" w:eastAsia="Arial" w:hAnsi="Arial"/>
            <w:sz w:val="18"/>
            <w:szCs w:val="18"/>
            <w:u w:val="single" w:color="auto"/>
            <w:color w:val="0000EE"/>
          </w:rPr>
          <w:t>ended June 30, 2022, filed with the SEC on August 2, 2022</w:t>
        </w:r>
        <w:r>
          <w:rPr>
            <w:rFonts w:ascii="Arial" w:cs="Arial" w:eastAsia="Arial" w:hAnsi="Arial"/>
            <w:sz w:val="18"/>
            <w:szCs w:val="18"/>
            <w:color w:val="000000"/>
          </w:rPr>
          <w:t>, and for the</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three months ended September 30, 2022, filed with the SEC on</w:t>
        </w:r>
      </w:hyperlink>
      <w:r>
        <w:rPr>
          <w:rFonts w:ascii="Arial" w:cs="Arial" w:eastAsia="Arial" w:hAnsi="Arial"/>
          <w:sz w:val="18"/>
          <w:szCs w:val="18"/>
          <w:color w:val="0000EE"/>
        </w:rPr>
        <w:t xml:space="preserve"> </w:t>
      </w:r>
      <w:hyperlink r:id="rId155">
        <w:r>
          <w:rPr>
            <w:rFonts w:ascii="Arial" w:cs="Arial" w:eastAsia="Arial" w:hAnsi="Arial"/>
            <w:sz w:val="18"/>
            <w:szCs w:val="18"/>
            <w:u w:val="single" w:color="auto"/>
            <w:color w:val="0000EE"/>
          </w:rPr>
          <w:t>November 1, 2022</w:t>
        </w:r>
        <w:r>
          <w:rPr>
            <w:rFonts w:ascii="Arial" w:cs="Arial" w:eastAsia="Arial" w:hAnsi="Arial"/>
            <w:sz w:val="18"/>
            <w:szCs w:val="18"/>
            <w:color w:val="000000"/>
          </w:rPr>
          <w:t>; and</w:t>
        </w:r>
      </w:hyperlink>
    </w:p>
    <w:p>
      <w:pPr>
        <w:spacing w:after="0" w:line="89" w:lineRule="exact"/>
        <w:rPr>
          <w:rFonts w:ascii="Arial" w:cs="Arial" w:eastAsia="Arial" w:hAnsi="Arial"/>
          <w:sz w:val="18"/>
          <w:szCs w:val="18"/>
          <w:color w:val="0000EE"/>
        </w:rPr>
      </w:pPr>
    </w:p>
    <w:p>
      <w:pPr>
        <w:ind w:left="980" w:hanging="433"/>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156">
        <w:r>
          <w:rPr>
            <w:rFonts w:ascii="Arial" w:cs="Arial" w:eastAsia="Arial" w:hAnsi="Arial"/>
            <w:sz w:val="18"/>
            <w:szCs w:val="18"/>
            <w:u w:val="single" w:color="auto"/>
            <w:color w:val="0000EE"/>
          </w:rPr>
          <w:t>April 29, 2022</w:t>
        </w:r>
      </w:hyperlink>
      <w:r>
        <w:rPr>
          <w:rFonts w:ascii="Arial" w:cs="Arial" w:eastAsia="Arial" w:hAnsi="Arial"/>
          <w:sz w:val="18"/>
          <w:szCs w:val="18"/>
          <w:color w:val="auto"/>
        </w:rPr>
        <w:t xml:space="preserve">, </w:t>
      </w:r>
      <w:hyperlink r:id="rId157">
        <w:r>
          <w:rPr>
            <w:rFonts w:ascii="Arial" w:cs="Arial" w:eastAsia="Arial" w:hAnsi="Arial"/>
            <w:sz w:val="18"/>
            <w:szCs w:val="18"/>
            <w:u w:val="single" w:color="auto"/>
            <w:color w:val="0000EE"/>
          </w:rPr>
          <w:t>May 27,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58">
        <w:r>
          <w:rPr>
            <w:rFonts w:ascii="Arial" w:cs="Arial" w:eastAsia="Arial" w:hAnsi="Arial"/>
            <w:sz w:val="18"/>
            <w:szCs w:val="18"/>
            <w:u w:val="single" w:color="auto"/>
            <w:color w:val="0000EE"/>
          </w:rPr>
          <w:t>July 1, 2022</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60" w:firstLine="440"/>
        <w:spacing w:after="0" w:line="273" w:lineRule="auto"/>
        <w:rPr>
          <w:sz w:val="20"/>
          <w:szCs w:val="20"/>
          <w:color w:val="auto"/>
        </w:rPr>
      </w:pPr>
      <w:r>
        <w:rPr>
          <w:rFonts w:ascii="Arial" w:cs="Arial" w:eastAsia="Arial" w:hAnsi="Arial"/>
          <w:sz w:val="17"/>
          <w:szCs w:val="17"/>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78" w:lineRule="exact"/>
        <w:rPr>
          <w:rFonts w:ascii="Arial" w:cs="Arial" w:eastAsia="Arial" w:hAnsi="Arial"/>
          <w:sz w:val="18"/>
          <w:szCs w:val="18"/>
          <w:color w:val="auto"/>
        </w:rPr>
      </w:pPr>
    </w:p>
    <w:p>
      <w:pPr>
        <w:jc w:val="both"/>
        <w:ind w:right="420" w:firstLine="440"/>
        <w:spacing w:after="0" w:line="311" w:lineRule="auto"/>
        <w:rPr>
          <w:sz w:val="20"/>
          <w:szCs w:val="20"/>
          <w:color w:val="auto"/>
        </w:rPr>
      </w:pPr>
      <w:r>
        <w:rPr>
          <w:rFonts w:ascii="Arial" w:cs="Arial" w:eastAsia="Arial" w:hAnsi="Arial"/>
          <w:sz w:val="16"/>
          <w:szCs w:val="16"/>
          <w:color w:val="auto"/>
        </w:rPr>
        <w:t>We will provide without charge to each person, including any beneficial owner, to whom a copy of this prospectus is delivered, upon written request of any such person, a copy of any or all of the documents that has been or may be incorporated by reference into this prospectus (excluding certain exhibits to the documents) at no cost. Any such request may be made by contacting us in writing at the following address:</w:t>
      </w:r>
    </w:p>
    <w:p>
      <w:pPr>
        <w:spacing w:after="0" w:line="14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Sixth Street Specialty Lending, Inc.</w:t>
      </w:r>
    </w:p>
    <w:p>
      <w:pPr>
        <w:spacing w:after="0" w:line="23"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888 7th Avenue, 41st Floor</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New York, NY 10106</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Attention: TSLX Investor Relations</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u w:val="single" w:color="auto"/>
          <w:color w:val="auto"/>
        </w:rPr>
        <w:t>Email</w:t>
      </w:r>
      <w:r>
        <w:rPr>
          <w:rFonts w:ascii="Arial" w:cs="Arial" w:eastAsia="Arial" w:hAnsi="Arial"/>
          <w:sz w:val="18"/>
          <w:szCs w:val="18"/>
          <w:color w:val="auto"/>
        </w:rPr>
        <w:t>: IRTSLX@sixthstreet.com.</w:t>
      </w:r>
    </w:p>
    <w:p>
      <w:pPr>
        <w:spacing w:after="0" w:line="211" w:lineRule="exact"/>
        <w:rPr>
          <w:rFonts w:ascii="Arial" w:cs="Arial" w:eastAsia="Arial" w:hAnsi="Arial"/>
          <w:sz w:val="18"/>
          <w:szCs w:val="18"/>
          <w:color w:val="auto"/>
        </w:rPr>
      </w:pPr>
    </w:p>
    <w:p>
      <w:pPr>
        <w:ind w:right="20" w:firstLine="440"/>
        <w:spacing w:after="0" w:line="257"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spacing w:after="0" w:line="120"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513" w:right="459" w:bottom="1440" w:gutter="0" w:footer="0" w:header="0"/>
        </w:sectPr>
      </w:pPr>
    </w:p>
    <w:bookmarkStart w:id="125" w:name="page126"/>
    <w:bookmarkEnd w:id="125"/>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7174865" cy="685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363220</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414655</wp:posOffset>
            </wp:positionV>
            <wp:extent cx="69951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6995160" cy="8890"/>
                    </a:xfrm>
                    <a:prstGeom prst="rect">
                      <a:avLst/>
                    </a:prstGeom>
                    <a:noFill/>
                  </pic:spPr>
                </pic:pic>
              </a:graphicData>
            </a:graphic>
          </wp:anchor>
        </w:drawing>
        <w:t>$300,000,000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340360</wp:posOffset>
            </wp:positionV>
            <wp:extent cx="1440180" cy="6261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144018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6.950%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869315</wp:posOffset>
            </wp:positionV>
            <wp:extent cx="1474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880" w:type="dxa"/>
            <w:vAlign w:val="bottom"/>
            <w:gridSpan w:val="4"/>
          </w:tcPr>
          <w:p>
            <w:pPr>
              <w:jc w:val="center"/>
              <w:ind w:left="3027"/>
              <w:spacing w:after="0"/>
              <w:rPr>
                <w:sz w:val="20"/>
                <w:szCs w:val="20"/>
                <w:color w:val="auto"/>
              </w:rPr>
            </w:pPr>
            <w:r>
              <w:rPr>
                <w:rFonts w:ascii="Arial" w:cs="Arial" w:eastAsia="Arial" w:hAnsi="Arial"/>
                <w:sz w:val="22"/>
                <w:szCs w:val="22"/>
                <w:b w:val="1"/>
                <w:bCs w:val="1"/>
                <w:i w:val="1"/>
                <w:iCs w:val="1"/>
                <w:color w:val="auto"/>
                <w:w w:val="87"/>
              </w:rPr>
              <w:t>Joint Book-Running Managers</w:t>
            </w:r>
          </w:p>
        </w:tc>
        <w:tc>
          <w:tcPr>
            <w:tcW w:w="3140" w:type="dxa"/>
            <w:vAlign w:val="bottom"/>
          </w:tcPr>
          <w:p>
            <w:pPr>
              <w:spacing w:after="0"/>
              <w:rPr>
                <w:sz w:val="23"/>
                <w:szCs w:val="23"/>
                <w:color w:val="auto"/>
              </w:rPr>
            </w:pPr>
          </w:p>
        </w:tc>
      </w:tr>
      <w:tr>
        <w:trPr>
          <w:trHeight w:val="505"/>
        </w:trPr>
        <w:tc>
          <w:tcPr>
            <w:tcW w:w="4860" w:type="dxa"/>
            <w:vAlign w:val="bottom"/>
            <w:gridSpan w:val="2"/>
          </w:tcPr>
          <w:p>
            <w:pPr>
              <w:spacing w:after="0"/>
              <w:rPr>
                <w:sz w:val="20"/>
                <w:szCs w:val="20"/>
                <w:color w:val="auto"/>
              </w:rPr>
            </w:pPr>
            <w:r>
              <w:rPr>
                <w:rFonts w:ascii="Arial" w:cs="Arial" w:eastAsia="Arial" w:hAnsi="Arial"/>
                <w:sz w:val="23"/>
                <w:szCs w:val="23"/>
                <w:b w:val="1"/>
                <w:bCs w:val="1"/>
                <w:color w:val="auto"/>
              </w:rPr>
              <w:t>BofA Securities</w:t>
            </w:r>
          </w:p>
        </w:tc>
        <w:tc>
          <w:tcPr>
            <w:tcW w:w="3020" w:type="dxa"/>
            <w:vAlign w:val="bottom"/>
            <w:gridSpan w:val="2"/>
          </w:tcPr>
          <w:p>
            <w:pPr>
              <w:jc w:val="center"/>
              <w:ind w:right="1520"/>
              <w:spacing w:after="0"/>
              <w:rPr>
                <w:sz w:val="20"/>
                <w:szCs w:val="20"/>
                <w:color w:val="auto"/>
              </w:rPr>
            </w:pPr>
            <w:r>
              <w:rPr>
                <w:rFonts w:ascii="Arial" w:cs="Arial" w:eastAsia="Arial" w:hAnsi="Arial"/>
                <w:sz w:val="23"/>
                <w:szCs w:val="23"/>
                <w:b w:val="1"/>
                <w:bCs w:val="1"/>
                <w:color w:val="auto"/>
                <w:w w:val="93"/>
              </w:rPr>
              <w:t>J.P. Morgan</w:t>
            </w:r>
          </w:p>
        </w:tc>
        <w:tc>
          <w:tcPr>
            <w:tcW w:w="3140" w:type="dxa"/>
            <w:vAlign w:val="bottom"/>
          </w:tcPr>
          <w:p>
            <w:pPr>
              <w:ind w:left="1780"/>
              <w:spacing w:after="0"/>
              <w:rPr>
                <w:sz w:val="20"/>
                <w:szCs w:val="20"/>
                <w:color w:val="auto"/>
              </w:rPr>
            </w:pPr>
            <w:r>
              <w:rPr>
                <w:rFonts w:ascii="Arial" w:cs="Arial" w:eastAsia="Arial" w:hAnsi="Arial"/>
                <w:sz w:val="23"/>
                <w:szCs w:val="23"/>
                <w:b w:val="1"/>
                <w:bCs w:val="1"/>
                <w:color w:val="auto"/>
                <w:w w:val="97"/>
              </w:rPr>
              <w:t>SMBC Nikko</w:t>
            </w:r>
          </w:p>
        </w:tc>
      </w:tr>
      <w:tr>
        <w:trPr>
          <w:trHeight w:val="474"/>
        </w:trPr>
        <w:tc>
          <w:tcPr>
            <w:tcW w:w="4860" w:type="dxa"/>
            <w:vAlign w:val="bottom"/>
            <w:gridSpan w:val="2"/>
          </w:tcPr>
          <w:p>
            <w:pPr>
              <w:jc w:val="center"/>
              <w:ind w:right="1120"/>
              <w:spacing w:after="0"/>
              <w:rPr>
                <w:sz w:val="20"/>
                <w:szCs w:val="20"/>
                <w:color w:val="auto"/>
              </w:rPr>
            </w:pPr>
            <w:r>
              <w:rPr>
                <w:rFonts w:ascii="Arial" w:cs="Arial" w:eastAsia="Arial" w:hAnsi="Arial"/>
                <w:sz w:val="20"/>
                <w:szCs w:val="20"/>
                <w:b w:val="1"/>
                <w:bCs w:val="1"/>
                <w:color w:val="auto"/>
                <w:w w:val="92"/>
              </w:rPr>
              <w:t>Goldman Sachs &amp; Co. LLC</w:t>
            </w:r>
          </w:p>
        </w:tc>
        <w:tc>
          <w:tcPr>
            <w:tcW w:w="3020" w:type="dxa"/>
            <w:vAlign w:val="bottom"/>
            <w:gridSpan w:val="2"/>
          </w:tcPr>
          <w:p>
            <w:pPr>
              <w:jc w:val="center"/>
              <w:ind w:right="1500"/>
              <w:spacing w:after="0"/>
              <w:rPr>
                <w:sz w:val="20"/>
                <w:szCs w:val="20"/>
                <w:color w:val="auto"/>
              </w:rPr>
            </w:pPr>
            <w:r>
              <w:rPr>
                <w:rFonts w:ascii="Arial" w:cs="Arial" w:eastAsia="Arial" w:hAnsi="Arial"/>
                <w:sz w:val="20"/>
                <w:szCs w:val="20"/>
                <w:b w:val="1"/>
                <w:bCs w:val="1"/>
                <w:color w:val="auto"/>
                <w:w w:val="91"/>
              </w:rPr>
              <w:t>Morgan Stanley</w:t>
            </w:r>
          </w:p>
        </w:tc>
        <w:tc>
          <w:tcPr>
            <w:tcW w:w="3140" w:type="dxa"/>
            <w:vAlign w:val="bottom"/>
          </w:tcPr>
          <w:p>
            <w:pPr>
              <w:jc w:val="center"/>
              <w:ind w:right="304"/>
              <w:spacing w:after="0"/>
              <w:rPr>
                <w:sz w:val="20"/>
                <w:szCs w:val="20"/>
                <w:color w:val="auto"/>
              </w:rPr>
            </w:pPr>
            <w:r>
              <w:rPr>
                <w:rFonts w:ascii="Arial" w:cs="Arial" w:eastAsia="Arial" w:hAnsi="Arial"/>
                <w:sz w:val="20"/>
                <w:szCs w:val="20"/>
                <w:b w:val="1"/>
                <w:bCs w:val="1"/>
                <w:color w:val="auto"/>
                <w:w w:val="94"/>
              </w:rPr>
              <w:t>RBC Capital Markets</w:t>
            </w:r>
          </w:p>
        </w:tc>
      </w:tr>
      <w:tr>
        <w:trPr>
          <w:trHeight w:val="459"/>
        </w:trPr>
        <w:tc>
          <w:tcPr>
            <w:tcW w:w="4860" w:type="dxa"/>
            <w:vAlign w:val="bottom"/>
            <w:gridSpan w:val="2"/>
          </w:tcPr>
          <w:p>
            <w:pPr>
              <w:jc w:val="center"/>
              <w:ind w:right="1120"/>
              <w:spacing w:after="0"/>
              <w:rPr>
                <w:sz w:val="20"/>
                <w:szCs w:val="20"/>
                <w:color w:val="auto"/>
              </w:rPr>
            </w:pPr>
            <w:r>
              <w:rPr>
                <w:rFonts w:ascii="Arial" w:cs="Arial" w:eastAsia="Arial" w:hAnsi="Arial"/>
                <w:sz w:val="20"/>
                <w:szCs w:val="20"/>
                <w:b w:val="1"/>
                <w:bCs w:val="1"/>
                <w:color w:val="auto"/>
                <w:w w:val="92"/>
              </w:rPr>
              <w:t>Citigroup</w:t>
            </w:r>
          </w:p>
        </w:tc>
        <w:tc>
          <w:tcPr>
            <w:tcW w:w="3020" w:type="dxa"/>
            <w:vAlign w:val="bottom"/>
            <w:gridSpan w:val="2"/>
          </w:tcPr>
          <w:p>
            <w:pPr>
              <w:jc w:val="center"/>
              <w:ind w:right="1520"/>
              <w:spacing w:after="0"/>
              <w:rPr>
                <w:sz w:val="20"/>
                <w:szCs w:val="20"/>
                <w:color w:val="auto"/>
              </w:rPr>
            </w:pPr>
            <w:r>
              <w:rPr>
                <w:rFonts w:ascii="Arial" w:cs="Arial" w:eastAsia="Arial" w:hAnsi="Arial"/>
                <w:sz w:val="20"/>
                <w:szCs w:val="20"/>
                <w:b w:val="1"/>
                <w:bCs w:val="1"/>
                <w:color w:val="auto"/>
                <w:w w:val="95"/>
              </w:rPr>
              <w:t>HSBC</w:t>
            </w:r>
          </w:p>
        </w:tc>
        <w:tc>
          <w:tcPr>
            <w:tcW w:w="3140" w:type="dxa"/>
            <w:vAlign w:val="bottom"/>
          </w:tcPr>
          <w:p>
            <w:pPr>
              <w:jc w:val="center"/>
              <w:ind w:right="304"/>
              <w:spacing w:after="0"/>
              <w:rPr>
                <w:sz w:val="20"/>
                <w:szCs w:val="20"/>
                <w:color w:val="auto"/>
              </w:rPr>
            </w:pPr>
            <w:r>
              <w:rPr>
                <w:rFonts w:ascii="Arial" w:cs="Arial" w:eastAsia="Arial" w:hAnsi="Arial"/>
                <w:sz w:val="20"/>
                <w:szCs w:val="20"/>
                <w:b w:val="1"/>
                <w:bCs w:val="1"/>
                <w:color w:val="auto"/>
                <w:w w:val="95"/>
              </w:rPr>
              <w:t>Mizuho</w:t>
            </w:r>
          </w:p>
        </w:tc>
      </w:tr>
      <w:tr>
        <w:trPr>
          <w:trHeight w:val="459"/>
        </w:trPr>
        <w:tc>
          <w:tcPr>
            <w:tcW w:w="4860" w:type="dxa"/>
            <w:vAlign w:val="bottom"/>
            <w:gridSpan w:val="2"/>
          </w:tcPr>
          <w:p>
            <w:pPr>
              <w:jc w:val="center"/>
              <w:ind w:right="1120"/>
              <w:spacing w:after="0"/>
              <w:rPr>
                <w:sz w:val="20"/>
                <w:szCs w:val="20"/>
                <w:color w:val="auto"/>
              </w:rPr>
            </w:pPr>
            <w:r>
              <w:rPr>
                <w:rFonts w:ascii="Arial" w:cs="Arial" w:eastAsia="Arial" w:hAnsi="Arial"/>
                <w:sz w:val="20"/>
                <w:szCs w:val="20"/>
                <w:b w:val="1"/>
                <w:bCs w:val="1"/>
                <w:color w:val="auto"/>
              </w:rPr>
              <w:t>MUFG</w:t>
            </w:r>
          </w:p>
        </w:tc>
        <w:tc>
          <w:tcPr>
            <w:tcW w:w="3020" w:type="dxa"/>
            <w:vAlign w:val="bottom"/>
            <w:gridSpan w:val="2"/>
          </w:tcPr>
          <w:p>
            <w:pPr>
              <w:jc w:val="center"/>
              <w:ind w:right="1520"/>
              <w:spacing w:after="0"/>
              <w:rPr>
                <w:sz w:val="20"/>
                <w:szCs w:val="20"/>
                <w:color w:val="auto"/>
              </w:rPr>
            </w:pPr>
            <w:r>
              <w:rPr>
                <w:rFonts w:ascii="Arial" w:cs="Arial" w:eastAsia="Arial" w:hAnsi="Arial"/>
                <w:sz w:val="20"/>
                <w:szCs w:val="20"/>
                <w:b w:val="1"/>
                <w:bCs w:val="1"/>
                <w:color w:val="auto"/>
                <w:w w:val="88"/>
              </w:rPr>
              <w:t>Truist Securities</w:t>
            </w:r>
          </w:p>
        </w:tc>
        <w:tc>
          <w:tcPr>
            <w:tcW w:w="3140" w:type="dxa"/>
            <w:vAlign w:val="bottom"/>
          </w:tcPr>
          <w:p>
            <w:pPr>
              <w:jc w:val="center"/>
              <w:ind w:right="304"/>
              <w:spacing w:after="0"/>
              <w:rPr>
                <w:sz w:val="20"/>
                <w:szCs w:val="20"/>
                <w:color w:val="auto"/>
              </w:rPr>
            </w:pPr>
            <w:r>
              <w:rPr>
                <w:rFonts w:ascii="Arial" w:cs="Arial" w:eastAsia="Arial" w:hAnsi="Arial"/>
                <w:sz w:val="20"/>
                <w:szCs w:val="20"/>
                <w:b w:val="1"/>
                <w:bCs w:val="1"/>
                <w:color w:val="auto"/>
                <w:w w:val="88"/>
              </w:rPr>
              <w:t>Wells Fargo Securities</w:t>
            </w:r>
          </w:p>
        </w:tc>
      </w:tr>
      <w:tr>
        <w:trPr>
          <w:trHeight w:val="519"/>
        </w:trPr>
        <w:tc>
          <w:tcPr>
            <w:tcW w:w="4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20" w:type="dxa"/>
            <w:vAlign w:val="bottom"/>
            <w:gridSpan w:val="2"/>
          </w:tcPr>
          <w:p>
            <w:pPr>
              <w:jc w:val="center"/>
              <w:ind w:right="1720"/>
              <w:spacing w:after="0"/>
              <w:rPr>
                <w:sz w:val="20"/>
                <w:szCs w:val="20"/>
                <w:color w:val="auto"/>
              </w:rPr>
            </w:pPr>
            <w:r>
              <w:rPr>
                <w:rFonts w:ascii="Arial" w:cs="Arial" w:eastAsia="Arial" w:hAnsi="Arial"/>
                <w:sz w:val="22"/>
                <w:szCs w:val="22"/>
                <w:b w:val="1"/>
                <w:bCs w:val="1"/>
                <w:i w:val="1"/>
                <w:iCs w:val="1"/>
                <w:color w:val="auto"/>
                <w:w w:val="87"/>
              </w:rPr>
              <w:t>Co-Managers</w:t>
            </w:r>
          </w:p>
        </w:tc>
        <w:tc>
          <w:tcPr>
            <w:tcW w:w="3140" w:type="dxa"/>
            <w:vAlign w:val="bottom"/>
          </w:tcPr>
          <w:p>
            <w:pPr>
              <w:spacing w:after="0"/>
              <w:rPr>
                <w:sz w:val="24"/>
                <w:szCs w:val="24"/>
                <w:color w:val="auto"/>
              </w:rPr>
            </w:pPr>
          </w:p>
        </w:tc>
      </w:tr>
      <w:tr>
        <w:trPr>
          <w:trHeight w:val="417"/>
        </w:trPr>
        <w:tc>
          <w:tcPr>
            <w:tcW w:w="4860" w:type="dxa"/>
            <w:vAlign w:val="bottom"/>
            <w:gridSpan w:val="2"/>
          </w:tcPr>
          <w:p>
            <w:pPr>
              <w:jc w:val="center"/>
              <w:ind w:right="1140"/>
              <w:spacing w:after="0"/>
              <w:rPr>
                <w:sz w:val="20"/>
                <w:szCs w:val="20"/>
                <w:color w:val="auto"/>
              </w:rPr>
            </w:pPr>
            <w:r>
              <w:rPr>
                <w:rFonts w:ascii="Arial" w:cs="Arial" w:eastAsia="Arial" w:hAnsi="Arial"/>
                <w:sz w:val="16"/>
                <w:szCs w:val="16"/>
                <w:b w:val="1"/>
                <w:bCs w:val="1"/>
                <w:color w:val="auto"/>
                <w:w w:val="92"/>
              </w:rPr>
              <w:t>Keefe, Bruyette &amp; Woods</w:t>
            </w:r>
          </w:p>
        </w:tc>
        <w:tc>
          <w:tcPr>
            <w:tcW w:w="3020" w:type="dxa"/>
            <w:vAlign w:val="bottom"/>
            <w:gridSpan w:val="2"/>
          </w:tcPr>
          <w:p>
            <w:pPr>
              <w:jc w:val="center"/>
              <w:ind w:right="1500"/>
              <w:spacing w:after="0"/>
              <w:rPr>
                <w:sz w:val="20"/>
                <w:szCs w:val="20"/>
                <w:color w:val="auto"/>
              </w:rPr>
            </w:pPr>
            <w:r>
              <w:rPr>
                <w:rFonts w:ascii="Arial" w:cs="Arial" w:eastAsia="Arial" w:hAnsi="Arial"/>
                <w:sz w:val="16"/>
                <w:szCs w:val="16"/>
                <w:b w:val="1"/>
                <w:bCs w:val="1"/>
                <w:color w:val="auto"/>
                <w:w w:val="93"/>
              </w:rPr>
              <w:t>Oppenheimer &amp; Co.</w:t>
            </w:r>
          </w:p>
        </w:tc>
        <w:tc>
          <w:tcPr>
            <w:tcW w:w="3140" w:type="dxa"/>
            <w:vAlign w:val="bottom"/>
          </w:tcPr>
          <w:p>
            <w:pPr>
              <w:jc w:val="center"/>
              <w:ind w:right="304"/>
              <w:spacing w:after="0"/>
              <w:rPr>
                <w:sz w:val="20"/>
                <w:szCs w:val="20"/>
                <w:color w:val="auto"/>
              </w:rPr>
            </w:pPr>
            <w:r>
              <w:rPr>
                <w:rFonts w:ascii="Arial" w:cs="Arial" w:eastAsia="Arial" w:hAnsi="Arial"/>
                <w:sz w:val="16"/>
                <w:szCs w:val="16"/>
                <w:b w:val="1"/>
                <w:bCs w:val="1"/>
                <w:color w:val="auto"/>
                <w:w w:val="90"/>
              </w:rPr>
              <w:t>B. Riley Securities</w:t>
            </w:r>
          </w:p>
        </w:tc>
      </w:tr>
      <w:tr>
        <w:trPr>
          <w:trHeight w:val="182"/>
        </w:trPr>
        <w:tc>
          <w:tcPr>
            <w:tcW w:w="4860" w:type="dxa"/>
            <w:vAlign w:val="bottom"/>
            <w:gridSpan w:val="2"/>
          </w:tcPr>
          <w:p>
            <w:pPr>
              <w:ind w:left="1760"/>
              <w:spacing w:after="0"/>
              <w:rPr>
                <w:sz w:val="20"/>
                <w:szCs w:val="20"/>
                <w:color w:val="auto"/>
              </w:rPr>
            </w:pPr>
            <w:r>
              <w:rPr>
                <w:rFonts w:ascii="Arial" w:cs="Arial" w:eastAsia="Arial" w:hAnsi="Arial"/>
                <w:sz w:val="14"/>
                <w:szCs w:val="14"/>
                <w:i w:val="1"/>
                <w:iCs w:val="1"/>
                <w:color w:val="auto"/>
              </w:rPr>
              <w:t>A Stifel Company</w:t>
            </w:r>
          </w:p>
        </w:tc>
        <w:tc>
          <w:tcPr>
            <w:tcW w:w="1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140" w:type="dxa"/>
            <w:vAlign w:val="bottom"/>
          </w:tcPr>
          <w:p>
            <w:pPr>
              <w:spacing w:after="0"/>
              <w:rPr>
                <w:sz w:val="15"/>
                <w:szCs w:val="15"/>
                <w:color w:val="auto"/>
              </w:rPr>
            </w:pPr>
          </w:p>
        </w:tc>
      </w:tr>
      <w:tr>
        <w:trPr>
          <w:trHeight w:val="424"/>
        </w:trPr>
        <w:tc>
          <w:tcPr>
            <w:tcW w:w="4860" w:type="dxa"/>
            <w:vAlign w:val="bottom"/>
            <w:gridSpan w:val="2"/>
          </w:tcPr>
          <w:p>
            <w:pPr>
              <w:jc w:val="center"/>
              <w:ind w:right="1140"/>
              <w:spacing w:after="0"/>
              <w:rPr>
                <w:sz w:val="20"/>
                <w:szCs w:val="20"/>
                <w:color w:val="auto"/>
              </w:rPr>
            </w:pPr>
            <w:r>
              <w:rPr>
                <w:rFonts w:ascii="Arial" w:cs="Arial" w:eastAsia="Arial" w:hAnsi="Arial"/>
                <w:sz w:val="16"/>
                <w:szCs w:val="16"/>
                <w:b w:val="1"/>
                <w:bCs w:val="1"/>
                <w:color w:val="auto"/>
                <w:w w:val="96"/>
              </w:rPr>
              <w:t>Hovde Group, LLC</w:t>
            </w:r>
          </w:p>
        </w:tc>
        <w:tc>
          <w:tcPr>
            <w:tcW w:w="3020" w:type="dxa"/>
            <w:vAlign w:val="bottom"/>
            <w:gridSpan w:val="2"/>
          </w:tcPr>
          <w:p>
            <w:pPr>
              <w:jc w:val="center"/>
              <w:ind w:right="1520"/>
              <w:spacing w:after="0"/>
              <w:rPr>
                <w:sz w:val="20"/>
                <w:szCs w:val="20"/>
                <w:color w:val="auto"/>
              </w:rPr>
            </w:pPr>
            <w:r>
              <w:rPr>
                <w:rFonts w:ascii="Arial" w:cs="Arial" w:eastAsia="Arial" w:hAnsi="Arial"/>
                <w:sz w:val="16"/>
                <w:szCs w:val="16"/>
                <w:b w:val="1"/>
                <w:bCs w:val="1"/>
                <w:color w:val="auto"/>
                <w:w w:val="95"/>
              </w:rPr>
              <w:t>ICBC Standard Bank</w:t>
            </w:r>
          </w:p>
        </w:tc>
        <w:tc>
          <w:tcPr>
            <w:tcW w:w="3140" w:type="dxa"/>
            <w:vAlign w:val="bottom"/>
          </w:tcPr>
          <w:p>
            <w:pPr>
              <w:jc w:val="center"/>
              <w:ind w:right="304"/>
              <w:spacing w:after="0"/>
              <w:rPr>
                <w:sz w:val="20"/>
                <w:szCs w:val="20"/>
                <w:color w:val="auto"/>
              </w:rPr>
            </w:pPr>
            <w:r>
              <w:rPr>
                <w:rFonts w:ascii="Arial" w:cs="Arial" w:eastAsia="Arial" w:hAnsi="Arial"/>
                <w:sz w:val="16"/>
                <w:szCs w:val="16"/>
                <w:b w:val="1"/>
                <w:bCs w:val="1"/>
                <w:color w:val="auto"/>
                <w:w w:val="94"/>
              </w:rPr>
              <w:t>Citizens Capital Markets</w:t>
            </w:r>
          </w:p>
        </w:tc>
      </w:tr>
      <w:tr>
        <w:trPr>
          <w:trHeight w:val="432"/>
        </w:trPr>
        <w:tc>
          <w:tcPr>
            <w:tcW w:w="4860" w:type="dxa"/>
            <w:vAlign w:val="bottom"/>
            <w:gridSpan w:val="2"/>
          </w:tcPr>
          <w:p>
            <w:pPr>
              <w:ind w:left="3320"/>
              <w:spacing w:after="0"/>
              <w:rPr>
                <w:sz w:val="20"/>
                <w:szCs w:val="20"/>
                <w:color w:val="auto"/>
              </w:rPr>
            </w:pPr>
            <w:r>
              <w:rPr>
                <w:rFonts w:ascii="Arial" w:cs="Arial" w:eastAsia="Arial" w:hAnsi="Arial"/>
                <w:sz w:val="16"/>
                <w:szCs w:val="16"/>
                <w:b w:val="1"/>
                <w:bCs w:val="1"/>
                <w:color w:val="auto"/>
                <w:w w:val="93"/>
              </w:rPr>
              <w:t>Ladenburg Thalmann</w:t>
            </w:r>
          </w:p>
        </w:tc>
        <w:tc>
          <w:tcPr>
            <w:tcW w:w="3020" w:type="dxa"/>
            <w:vAlign w:val="bottom"/>
            <w:gridSpan w:val="2"/>
          </w:tcPr>
          <w:p>
            <w:pPr>
              <w:ind w:left="1440"/>
              <w:spacing w:after="0"/>
              <w:rPr>
                <w:sz w:val="20"/>
                <w:szCs w:val="20"/>
                <w:color w:val="auto"/>
              </w:rPr>
            </w:pPr>
            <w:r>
              <w:rPr>
                <w:rFonts w:ascii="Arial" w:cs="Arial" w:eastAsia="Arial" w:hAnsi="Arial"/>
                <w:sz w:val="16"/>
                <w:szCs w:val="16"/>
                <w:b w:val="1"/>
                <w:bCs w:val="1"/>
                <w:color w:val="auto"/>
              </w:rPr>
              <w:t>Raymond James</w:t>
            </w:r>
          </w:p>
        </w:tc>
        <w:tc>
          <w:tcPr>
            <w:tcW w:w="3140" w:type="dxa"/>
            <w:vAlign w:val="bottom"/>
          </w:tcPr>
          <w:p>
            <w:pPr>
              <w:spacing w:after="0"/>
              <w:rPr>
                <w:sz w:val="24"/>
                <w:szCs w:val="24"/>
                <w:color w:val="auto"/>
              </w:rPr>
            </w:pPr>
          </w:p>
        </w:tc>
      </w:tr>
      <w:tr>
        <w:trPr>
          <w:trHeight w:val="357"/>
        </w:trPr>
        <w:tc>
          <w:tcPr>
            <w:tcW w:w="43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3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August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497205</wp:posOffset>
            </wp:positionV>
            <wp:extent cx="69951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557530</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4" w:right="439" w:bottom="1440" w:gutter="0" w:footer="0" w:header="0"/>
        </w:sectPr>
      </w:pPr>
    </w:p>
    <w:bookmarkStart w:id="126" w:name="page127"/>
    <w:bookmarkEnd w:id="126"/>
    <w:p>
      <w:pPr>
        <w:jc w:val="center"/>
        <w:ind w:right="-63"/>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ind w:left="5024"/>
        <w:spacing w:after="0"/>
        <w:rPr>
          <w:sz w:val="20"/>
          <w:szCs w:val="20"/>
          <w:color w:val="auto"/>
        </w:rPr>
      </w:pPr>
      <w:r>
        <w:rPr>
          <w:rFonts w:ascii="Arial" w:cs="Arial" w:eastAsia="Arial" w:hAnsi="Arial"/>
          <w:sz w:val="18"/>
          <w:szCs w:val="18"/>
          <w:b w:val="1"/>
          <w:bCs w:val="1"/>
          <w:color w:val="auto"/>
        </w:rPr>
        <w:t>Form 424B5</w:t>
      </w:r>
    </w:p>
    <w:p>
      <w:pPr>
        <w:spacing w:after="0" w:line="27" w:lineRule="exact"/>
        <w:rPr>
          <w:sz w:val="20"/>
          <w:szCs w:val="20"/>
          <w:color w:val="auto"/>
        </w:rPr>
      </w:pPr>
    </w:p>
    <w:p>
      <w:pPr>
        <w:ind w:left="5044"/>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Sixth Street Specialty Lending, Inc.</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Table 1: Newly Registered and Carry Forward Securities</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44"/>
        </w:trPr>
        <w:tc>
          <w:tcPr>
            <w:tcW w:w="2140" w:type="dxa"/>
            <w:vAlign w:val="bottom"/>
            <w:tcBorders>
              <w:top w:val="single" w:sz="8" w:color="auto"/>
              <w:left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118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0"/>
              </w:rPr>
              <w:t>Fee</w:t>
            </w:r>
          </w:p>
        </w:tc>
        <w:tc>
          <w:tcPr>
            <w:tcW w:w="126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3"/>
              </w:rPr>
              <w:t>Proposed</w:t>
            </w:r>
          </w:p>
        </w:tc>
        <w:tc>
          <w:tcPr>
            <w:tcW w:w="1260" w:type="dxa"/>
            <w:vAlign w:val="bottom"/>
            <w:tcBorders>
              <w:top w:val="single" w:sz="8" w:color="auto"/>
              <w:righ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spacing w:after="0"/>
              <w:rPr>
                <w:sz w:val="12"/>
                <w:szCs w:val="12"/>
                <w:color w:val="auto"/>
              </w:rPr>
            </w:pPr>
          </w:p>
        </w:tc>
        <w:tc>
          <w:tcPr>
            <w:tcW w:w="1300" w:type="dxa"/>
            <w:vAlign w:val="bottom"/>
            <w:tcBorders>
              <w:top w:val="single" w:sz="8" w:color="auto"/>
              <w:right w:val="single" w:sz="8" w:color="auto"/>
            </w:tcBorders>
          </w:tcPr>
          <w:p>
            <w:pPr>
              <w:spacing w:after="0"/>
              <w:rPr>
                <w:sz w:val="12"/>
                <w:szCs w:val="12"/>
                <w:color w:val="auto"/>
              </w:rPr>
            </w:pPr>
          </w:p>
        </w:tc>
      </w:tr>
      <w:tr>
        <w:trPr>
          <w:trHeight w:val="135"/>
        </w:trPr>
        <w:tc>
          <w:tcPr>
            <w:tcW w:w="214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5"/>
              </w:rPr>
              <w:t>Security</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Calculation</w:t>
            </w:r>
          </w:p>
        </w:tc>
        <w:tc>
          <w:tcPr>
            <w:tcW w:w="126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260" w:type="dxa"/>
            <w:vAlign w:val="bottom"/>
            <w:tcBorders>
              <w:right w:val="single" w:sz="8" w:color="auto"/>
            </w:tcBorders>
          </w:tcPr>
          <w:p>
            <w:pPr>
              <w:ind w:left="380"/>
              <w:spacing w:after="0" w:line="135" w:lineRule="exact"/>
              <w:rPr>
                <w:sz w:val="20"/>
                <w:szCs w:val="20"/>
                <w:color w:val="auto"/>
              </w:rPr>
            </w:pPr>
            <w:r>
              <w:rPr>
                <w:rFonts w:ascii="Arial" w:cs="Arial" w:eastAsia="Arial" w:hAnsi="Arial"/>
                <w:sz w:val="13"/>
                <w:szCs w:val="13"/>
                <w:b w:val="1"/>
                <w:bCs w:val="1"/>
                <w:color w:val="auto"/>
              </w:rPr>
              <w:t>Maximum</w:t>
            </w:r>
          </w:p>
        </w:tc>
        <w:tc>
          <w:tcPr>
            <w:tcW w:w="116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r>
      <w:tr>
        <w:trPr>
          <w:trHeight w:val="135"/>
        </w:trPr>
        <w:tc>
          <w:tcPr>
            <w:tcW w:w="214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b w:val="1"/>
                <w:bCs w:val="1"/>
                <w:color w:val="auto"/>
                <w:w w:val="97"/>
              </w:rPr>
              <w:t>Security</w:t>
            </w:r>
          </w:p>
        </w:tc>
        <w:tc>
          <w:tcPr>
            <w:tcW w:w="11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0"/>
              </w:rPr>
              <w:t>Class</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or Carry</w:t>
            </w:r>
          </w:p>
        </w:tc>
        <w:tc>
          <w:tcPr>
            <w:tcW w:w="12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w:t>
            </w:r>
          </w:p>
        </w:tc>
        <w:tc>
          <w:tcPr>
            <w:tcW w:w="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 Price</w:t>
            </w:r>
          </w:p>
        </w:tc>
        <w:tc>
          <w:tcPr>
            <w:tcW w:w="12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116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r>
      <w:tr>
        <w:trPr>
          <w:trHeight w:val="165"/>
        </w:trPr>
        <w:tc>
          <w:tcPr>
            <w:tcW w:w="214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b w:val="1"/>
                <w:bCs w:val="1"/>
                <w:color w:val="auto"/>
              </w:rPr>
              <w:t>Type</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Title</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Forward Rule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Registered</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Per Unit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Offering Price</w:t>
            </w:r>
          </w:p>
        </w:tc>
        <w:tc>
          <w:tcPr>
            <w:tcW w:w="1160" w:type="dxa"/>
            <w:vAlign w:val="bottom"/>
            <w:tcBorders>
              <w:bottom w:val="single" w:sz="8" w:color="auto"/>
              <w:right w:val="single" w:sz="8" w:color="auto"/>
            </w:tcBorders>
          </w:tcPr>
          <w:p>
            <w:pPr>
              <w:jc w:val="right"/>
              <w:ind w:right="224"/>
              <w:spacing w:after="0"/>
              <w:rPr>
                <w:sz w:val="20"/>
                <w:szCs w:val="20"/>
                <w:color w:val="auto"/>
              </w:rPr>
            </w:pPr>
            <w:r>
              <w:rPr>
                <w:rFonts w:ascii="Arial" w:cs="Arial" w:eastAsia="Arial" w:hAnsi="Arial"/>
                <w:sz w:val="13"/>
                <w:szCs w:val="13"/>
                <w:b w:val="1"/>
                <w:bCs w:val="1"/>
                <w:color w:val="auto"/>
              </w:rPr>
              <w:t>Fee Rate</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Registration Fee(1)</w:t>
            </w:r>
          </w:p>
        </w:tc>
      </w:tr>
      <w:tr>
        <w:trPr>
          <w:trHeight w:val="210"/>
        </w:trPr>
        <w:tc>
          <w:tcPr>
            <w:tcW w:w="214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6.950% Notes</w:t>
            </w:r>
          </w:p>
        </w:tc>
        <w:tc>
          <w:tcPr>
            <w:tcW w:w="10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30"/>
        </w:trPr>
        <w:tc>
          <w:tcPr>
            <w:tcW w:w="21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7"/>
              </w:rPr>
              <w:t>Fees to Be Paid</w:t>
            </w:r>
          </w:p>
        </w:tc>
        <w:tc>
          <w:tcPr>
            <w:tcW w:w="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Debt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due 2028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Rule 457(o)</w:t>
            </w:r>
          </w:p>
        </w:tc>
        <w:tc>
          <w:tcPr>
            <w:tcW w:w="1260" w:type="dxa"/>
            <w:vAlign w:val="bottom"/>
            <w:tcBorders>
              <w:right w:val="single" w:sz="8" w:color="auto"/>
            </w:tcBorders>
          </w:tcPr>
          <w:p>
            <w:pPr>
              <w:jc w:val="right"/>
              <w:ind w:right="68"/>
              <w:spacing w:after="0"/>
              <w:rPr>
                <w:sz w:val="20"/>
                <w:szCs w:val="20"/>
                <w:color w:val="auto"/>
              </w:rPr>
            </w:pPr>
            <w:r>
              <w:rPr>
                <w:rFonts w:ascii="Arial" w:cs="Arial" w:eastAsia="Arial" w:hAnsi="Arial"/>
                <w:sz w:val="18"/>
                <w:szCs w:val="18"/>
                <w:color w:val="auto"/>
                <w:w w:val="99"/>
              </w:rPr>
              <w:t>$300,000,000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99.403%</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$298,209,000</w:t>
            </w:r>
          </w:p>
        </w:tc>
        <w:tc>
          <w:tcPr>
            <w:tcW w:w="1160" w:type="dxa"/>
            <w:vAlign w:val="bottom"/>
            <w:tcBorders>
              <w:right w:val="single" w:sz="8" w:color="auto"/>
            </w:tcBorders>
          </w:tcPr>
          <w:p>
            <w:pPr>
              <w:jc w:val="right"/>
              <w:ind w:right="24"/>
              <w:spacing w:after="0"/>
              <w:rPr>
                <w:sz w:val="20"/>
                <w:szCs w:val="20"/>
                <w:color w:val="auto"/>
              </w:rPr>
            </w:pPr>
            <w:r>
              <w:rPr>
                <w:rFonts w:ascii="Arial" w:cs="Arial" w:eastAsia="Arial" w:hAnsi="Arial"/>
                <w:sz w:val="18"/>
                <w:szCs w:val="18"/>
                <w:color w:val="auto"/>
                <w:w w:val="98"/>
              </w:rPr>
              <w:t>$0.00011020</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$32,862.63</w:t>
            </w: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209"/>
        </w:trPr>
        <w:tc>
          <w:tcPr>
            <w:tcW w:w="21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3"/>
              </w:rPr>
              <w:t>Carry Forward</w:t>
            </w:r>
          </w:p>
        </w:tc>
        <w:tc>
          <w:tcPr>
            <w:tcW w:w="6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37"/>
        </w:trPr>
        <w:tc>
          <w:tcPr>
            <w:tcW w:w="21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1"/>
              </w:rPr>
              <w:t>Securities</w:t>
            </w:r>
          </w:p>
        </w:tc>
        <w:tc>
          <w:tcPr>
            <w:tcW w:w="64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r>
      <w:tr>
        <w:trPr>
          <w:trHeight w:val="239"/>
        </w:trPr>
        <w:tc>
          <w:tcPr>
            <w:tcW w:w="214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Total</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5"/>
              </w:rPr>
              <w:t>Offering Amounts</w:t>
            </w: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$298,209,000</w:t>
            </w:r>
          </w:p>
        </w:tc>
        <w:tc>
          <w:tcPr>
            <w:tcW w:w="11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$32,862.63</w:t>
            </w:r>
          </w:p>
        </w:tc>
      </w:tr>
      <w:tr>
        <w:trPr>
          <w:trHeight w:val="232"/>
        </w:trPr>
        <w:tc>
          <w:tcPr>
            <w:tcW w:w="2140" w:type="dxa"/>
            <w:vAlign w:val="bottom"/>
            <w:tcBorders>
              <w:left w:val="single" w:sz="8" w:color="auto"/>
              <w:right w:val="single" w:sz="8" w:color="auto"/>
            </w:tcBorders>
          </w:tcPr>
          <w:p>
            <w:pPr>
              <w:spacing w:after="0"/>
              <w:rPr>
                <w:sz w:val="20"/>
                <w:szCs w:val="20"/>
                <w:color w:val="auto"/>
              </w:rPr>
            </w:pPr>
          </w:p>
        </w:tc>
        <w:tc>
          <w:tcPr>
            <w:tcW w:w="2840" w:type="dxa"/>
            <w:vAlign w:val="bottom"/>
            <w:gridSpan w:val="3"/>
          </w:tcPr>
          <w:p>
            <w:pPr>
              <w:ind w:left="100"/>
              <w:spacing w:after="0"/>
              <w:rPr>
                <w:sz w:val="20"/>
                <w:szCs w:val="20"/>
                <w:color w:val="auto"/>
              </w:rPr>
            </w:pPr>
            <w:r>
              <w:rPr>
                <w:rFonts w:ascii="Arial" w:cs="Arial" w:eastAsia="Arial" w:hAnsi="Arial"/>
                <w:sz w:val="18"/>
                <w:szCs w:val="18"/>
                <w:b w:val="1"/>
                <w:bCs w:val="1"/>
                <w:color w:val="auto"/>
              </w:rPr>
              <w:t>Total Fees Previously Paid</w:t>
            </w:r>
          </w:p>
        </w:tc>
        <w:tc>
          <w:tcPr>
            <w:tcW w:w="126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r>
      <w:tr>
        <w:trPr>
          <w:trHeight w:val="22"/>
        </w:trPr>
        <w:tc>
          <w:tcPr>
            <w:tcW w:w="2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r>
      <w:tr>
        <w:trPr>
          <w:trHeight w:val="232"/>
        </w:trPr>
        <w:tc>
          <w:tcPr>
            <w:tcW w:w="2140" w:type="dxa"/>
            <w:vAlign w:val="bottom"/>
            <w:tcBorders>
              <w:left w:val="single" w:sz="8" w:color="auto"/>
              <w:bottom w:val="single" w:sz="8" w:color="auto"/>
              <w:right w:val="single" w:sz="8" w:color="auto"/>
            </w:tcBorders>
          </w:tcPr>
          <w:p>
            <w:pPr>
              <w:spacing w:after="0"/>
              <w:rPr>
                <w:sz w:val="20"/>
                <w:szCs w:val="20"/>
                <w:color w:val="auto"/>
              </w:rPr>
            </w:pPr>
          </w:p>
        </w:tc>
        <w:tc>
          <w:tcPr>
            <w:tcW w:w="18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Total Fee Offsets</w:t>
            </w: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r>
      <w:tr>
        <w:trPr>
          <w:trHeight w:val="237"/>
        </w:trPr>
        <w:tc>
          <w:tcPr>
            <w:tcW w:w="2140" w:type="dxa"/>
            <w:vAlign w:val="bottom"/>
            <w:tcBorders>
              <w:left w:val="single" w:sz="8" w:color="auto"/>
              <w:bottom w:val="single" w:sz="8" w:color="auto"/>
              <w:right w:val="single" w:sz="8" w:color="auto"/>
            </w:tcBorders>
          </w:tcPr>
          <w:p>
            <w:pPr>
              <w:spacing w:after="0"/>
              <w:rPr>
                <w:sz w:val="20"/>
                <w:szCs w:val="20"/>
                <w:color w:val="auto"/>
              </w:rPr>
            </w:pPr>
          </w:p>
        </w:tc>
        <w:tc>
          <w:tcPr>
            <w:tcW w:w="18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Net Fee Due</w:t>
            </w: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$32,862.63</w:t>
            </w:r>
          </w:p>
        </w:tc>
      </w:tr>
    </w:tbl>
    <w:p>
      <w:pPr>
        <w:spacing w:after="0" w:line="107" w:lineRule="exact"/>
        <w:rPr>
          <w:sz w:val="20"/>
          <w:szCs w:val="20"/>
          <w:color w:val="auto"/>
        </w:rPr>
      </w:pPr>
    </w:p>
    <w:p>
      <w:pPr>
        <w:ind w:left="444" w:hanging="444"/>
        <w:spacing w:after="0" w:line="277" w:lineRule="auto"/>
        <w:tabs>
          <w:tab w:leader="none" w:pos="444" w:val="left"/>
        </w:tabs>
        <w:numPr>
          <w:ilvl w:val="0"/>
          <w:numId w:val="99"/>
        </w:numPr>
        <w:rPr>
          <w:rFonts w:ascii="Arial" w:cs="Arial" w:eastAsia="Arial" w:hAnsi="Arial"/>
          <w:sz w:val="18"/>
          <w:szCs w:val="18"/>
          <w:color w:val="auto"/>
        </w:rPr>
      </w:pPr>
      <w:r>
        <w:rPr>
          <w:rFonts w:ascii="Arial" w:cs="Arial" w:eastAsia="Arial" w:hAnsi="Arial"/>
          <w:sz w:val="18"/>
          <w:szCs w:val="18"/>
          <w:color w:val="auto"/>
        </w:rPr>
        <w:t>Calculated in accordance with Rule 457(o), based on the proposed maximum aggregate offering price, and Rule 457(r) under the Securities Act of 1933, as amended (the “Securities Act”).</w:t>
      </w:r>
    </w:p>
    <w:sectPr>
      <w:pgSz w:w="11900" w:h="16838" w:orient="portrait"/>
      <w:cols w:equalWidth="0" w:num="1">
        <w:col w:w="10964"/>
      </w:cols>
      <w:pgMar w:left="436" w:top="12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9ABB43"/>
    <w:multiLevelType w:val="hybridMultilevel"/>
    <w:lvl w:ilvl="0">
      <w:lvlJc w:val="left"/>
      <w:lvlText w:val="(%1)"/>
      <w:numFmt w:val="decimal"/>
      <w:start w:val="1"/>
    </w:lvl>
  </w:abstractNum>
  <w:abstractNum w:abstractNumId="1">
    <w:nsid w:val="3DC240FB"/>
    <w:multiLevelType w:val="hybridMultilevel"/>
    <w:lvl w:ilvl="0">
      <w:lvlJc w:val="left"/>
      <w:lvlText w:val="(%1)"/>
      <w:numFmt w:val="decimal"/>
      <w:start w:val="2"/>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1)"/>
      <w:numFmt w:val="decimal"/>
      <w:start w:val="1"/>
    </w:lvl>
  </w:abstractNum>
  <w:abstractNum w:abstractNumId="8">
    <w:nsid w:val="374A3FE6"/>
    <w:multiLevelType w:val="hybridMultilevel"/>
    <w:lvl w:ilvl="0">
      <w:lvlJc w:val="left"/>
      <w:lvlText w:val="(%1)"/>
      <w:numFmt w:val="decimal"/>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1)"/>
      <w:numFmt w:val="decimal"/>
      <w:start w:val="1"/>
    </w:lvl>
  </w:abstractNum>
  <w:abstractNum w:abstractNumId="12">
    <w:nsid w:val="275AC794"/>
    <w:multiLevelType w:val="hybridMultilevel"/>
    <w:lvl w:ilvl="0">
      <w:lvlJc w:val="left"/>
      <w:lvlText w:val="(%1)"/>
      <w:numFmt w:val="decimal"/>
      <w:start w:val="1"/>
    </w:lvl>
  </w:abstractNum>
  <w:abstractNum w:abstractNumId="13">
    <w:nsid w:val="39386575"/>
    <w:multiLevelType w:val="hybridMultilevel"/>
    <w:lvl w:ilvl="0">
      <w:lvlJc w:val="left"/>
      <w:lvlText w:val="(%1)"/>
      <w:numFmt w:val="decimal"/>
      <w:start w:val="1"/>
    </w:lvl>
  </w:abstractNum>
  <w:abstractNum w:abstractNumId="14">
    <w:nsid w:val="1CF10FD8"/>
    <w:multiLevelType w:val="hybridMultilevel"/>
    <w:lvl w:ilvl="0">
      <w:lvlJc w:val="left"/>
      <w:lvlText w:val="(%1)"/>
      <w:numFmt w:val="decimal"/>
      <w:start w:val="1"/>
    </w:lvl>
  </w:abstractNum>
  <w:abstractNum w:abstractNumId="15">
    <w:nsid w:val="180115BE"/>
    <w:multiLevelType w:val="hybridMultilevel"/>
    <w:lvl w:ilvl="0">
      <w:lvlJc w:val="left"/>
      <w:lvlText w:val="(%1)"/>
      <w:numFmt w:val="decimal"/>
      <w:start w:val="2"/>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1)"/>
      <w:numFmt w:val="decimal"/>
      <w:start w:val="1"/>
    </w:lvl>
  </w:abstractNum>
  <w:abstractNum w:abstractNumId="19">
    <w:nsid w:val="15B5AF5C"/>
    <w:multiLevelType w:val="hybridMultilevel"/>
    <w:lvl w:ilvl="0">
      <w:lvlJc w:val="left"/>
      <w:lvlText w:val="(%1)"/>
      <w:numFmt w:val="lowerRoman"/>
      <w:start w:val="1"/>
    </w:lvl>
  </w:abstractNum>
  <w:abstractNum w:abstractNumId="20">
    <w:nsid w:val="741226BB"/>
    <w:multiLevelType w:val="hybridMultilevel"/>
    <w:lvl w:ilvl="0">
      <w:lvlJc w:val="left"/>
      <w:lvlText w:val="(%1)"/>
      <w:numFmt w:val="lowerRoman"/>
      <w:start w:val="4"/>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
      <w:numFmt w:val="bullet"/>
      <w:start w:val="1"/>
    </w:lvl>
    <w:lvl w:ilvl="1">
      <w:lvlJc w:val="left"/>
      <w:lvlText w:val="•"/>
      <w:numFmt w:val="bullet"/>
      <w:start w:val="1"/>
    </w:lvl>
  </w:abstractNum>
  <w:abstractNum w:abstractNumId="31">
    <w:nsid w:val="25A70BF7"/>
    <w:multiLevelType w:val="hybridMultilevel"/>
    <w:lvl w:ilvl="0">
      <w:lvlJc w:val="left"/>
      <w:lvlText w:val="•"/>
      <w:numFmt w:val="bullet"/>
      <w:start w:val="1"/>
    </w:lvl>
    <w:lvl w:ilvl="1">
      <w:lvlJc w:val="left"/>
      <w:lvlText w:val="•"/>
      <w:numFmt w:val="bullet"/>
      <w:start w:val="1"/>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
      <w:numFmt w:val="bullet"/>
      <w:start w:val="1"/>
    </w:lvl>
  </w:abstractNum>
  <w:abstractNum w:abstractNumId="36">
    <w:nsid w:val="5DB70AE5"/>
    <w:multiLevelType w:val="hybridMultilevel"/>
    <w:lvl w:ilvl="0">
      <w:lvlJc w:val="left"/>
      <w:lvlText w:val="•"/>
      <w:numFmt w:val="bullet"/>
      <w:start w:val="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1)"/>
      <w:numFmt w:val="lowerLetter"/>
      <w:start w:val="2"/>
    </w:lvl>
  </w:abstractNum>
  <w:abstractNum w:abstractNumId="41">
    <w:nsid w:val="98A3148"/>
    <w:multiLevelType w:val="hybridMultilevel"/>
    <w:lvl w:ilvl="0">
      <w:lvlJc w:val="left"/>
      <w:lvlText w:val="(%1)"/>
      <w:numFmt w:val="decimal"/>
      <w:start w:val="1"/>
    </w:lvl>
  </w:abstractNum>
  <w:abstractNum w:abstractNumId="42">
    <w:nsid w:val="799D0247"/>
    <w:multiLevelType w:val="hybridMultilevel"/>
    <w:lvl w:ilvl="0">
      <w:lvlJc w:val="left"/>
      <w:lvlText w:val="(%1)"/>
      <w:numFmt w:val="lowerRoman"/>
      <w:start w:val="1"/>
    </w:lvl>
  </w:abstractNum>
  <w:abstractNum w:abstractNumId="43">
    <w:nsid w:val="6B94764"/>
    <w:multiLevelType w:val="hybridMultilevel"/>
    <w:lvl w:ilvl="0">
      <w:lvlJc w:val="left"/>
      <w:lvlText w:val="(%1)"/>
      <w:numFmt w:val="lowerRoman"/>
      <w:start w:val="2"/>
    </w:lvl>
  </w:abstractNum>
  <w:abstractNum w:abstractNumId="44">
    <w:nsid w:val="42C296BD"/>
    <w:multiLevelType w:val="hybridMultilevel"/>
    <w:lvl w:ilvl="0">
      <w:lvlJc w:val="left"/>
      <w:lvlText w:val="(%1)"/>
      <w:numFmt w:val="decimal"/>
      <w:start w:val="7"/>
    </w:lvl>
  </w:abstractNum>
  <w:abstractNum w:abstractNumId="45">
    <w:nsid w:val="168E121F"/>
    <w:multiLevelType w:val="hybridMultilevel"/>
    <w:lvl w:ilvl="0">
      <w:lvlJc w:val="left"/>
      <w:lvlText w:val="•"/>
      <w:numFmt w:val="bullet"/>
      <w:start w:val="1"/>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1)"/>
      <w:numFmt w:val="lowerRoman"/>
      <w:start w:val="1"/>
    </w:lvl>
  </w:abstractNum>
  <w:abstractNum w:abstractNumId="48">
    <w:nsid w:val="5DC79EA8"/>
    <w:multiLevelType w:val="hybridMultilevel"/>
    <w:lvl w:ilvl="0">
      <w:lvlJc w:val="left"/>
      <w:lvlText w:val="•"/>
      <w:numFmt w:val="bullet"/>
      <w:start w:val="1"/>
    </w:lvl>
  </w:abstractNum>
  <w:abstractNum w:abstractNumId="49">
    <w:nsid w:val="540A471C"/>
    <w:multiLevelType w:val="hybridMultilevel"/>
    <w:lvl w:ilvl="0">
      <w:lvlJc w:val="left"/>
      <w:lvlText w:val="(%1)"/>
      <w:numFmt w:val="decimal"/>
      <w:start w:val="1"/>
    </w:lvl>
  </w:abstractNum>
  <w:abstractNum w:abstractNumId="50">
    <w:nsid w:val="7BD3EE7B"/>
    <w:multiLevelType w:val="hybridMultilevel"/>
    <w:lvl w:ilvl="0">
      <w:lvlJc w:val="left"/>
      <w:lvlText w:val="*"/>
      <w:numFmt w:val="bullet"/>
      <w:start w:val="1"/>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1)"/>
      <w:numFmt w:val="decimal"/>
      <w:start w:val="1"/>
    </w:lvl>
  </w:abstractNum>
  <w:abstractNum w:abstractNumId="53">
    <w:nsid w:val="BF72B14"/>
    <w:multiLevelType w:val="hybridMultilevel"/>
    <w:lvl w:ilvl="0">
      <w:lvlJc w:val="left"/>
      <w:lvlText w:val="%1"/>
      <w:numFmt w:val="decimal"/>
      <w:start w:val="1"/>
    </w:lvl>
    <w:lvl w:ilvl="1">
      <w:lvlJc w:val="left"/>
      <w:lvlText w:val="(%2)"/>
      <w:numFmt w:val="lowerLetter"/>
      <w:start w:val="1"/>
    </w:lvl>
  </w:abstractNum>
  <w:abstractNum w:abstractNumId="54">
    <w:nsid w:val="11447B73"/>
    <w:multiLevelType w:val="hybridMultilevel"/>
    <w:lvl w:ilvl="0">
      <w:lvlJc w:val="left"/>
      <w:lvlText w:val="(%1)"/>
      <w:numFmt w:val="decimal"/>
      <w:start w:val="1"/>
    </w:lvl>
    <w:lvl w:ilvl="1">
      <w:lvlJc w:val="left"/>
      <w:lvlText w:val="%2"/>
      <w:numFmt w:val="lowerLetter"/>
      <w:start w:val="1"/>
    </w:lvl>
  </w:abstractNum>
  <w:abstractNum w:abstractNumId="55">
    <w:nsid w:val="42963E5A"/>
    <w:multiLevelType w:val="hybridMultilevel"/>
    <w:lvl w:ilvl="0">
      <w:lvlJc w:val="left"/>
      <w:lvlText w:val="(%1)"/>
      <w:numFmt w:val="decimal"/>
      <w:start w:val="6"/>
    </w:lvl>
  </w:abstractNum>
  <w:abstractNum w:abstractNumId="56">
    <w:nsid w:val="A0382C5"/>
    <w:multiLevelType w:val="hybridMultilevel"/>
    <w:lvl w:ilvl="0">
      <w:lvlJc w:val="left"/>
      <w:lvlText w:val="%1"/>
      <w:numFmt w:val="decimal"/>
      <w:start w:val="1"/>
    </w:lvl>
    <w:lvl w:ilvl="1">
      <w:lvlJc w:val="left"/>
      <w:lvlText w:val="(%2)"/>
      <w:numFmt w:val="lowerLetter"/>
      <w:start w:val="1"/>
    </w:lvl>
  </w:abstractNum>
  <w:abstractNum w:abstractNumId="57">
    <w:nsid w:val="8F2B15E"/>
    <w:multiLevelType w:val="hybridMultilevel"/>
    <w:lvl w:ilvl="0">
      <w:lvlJc w:val="left"/>
      <w:lvlText w:val="(%1)"/>
      <w:numFmt w:val="decimal"/>
      <w:start w:val="7"/>
    </w:lvl>
    <w:lvl w:ilvl="1">
      <w:lvlJc w:val="left"/>
      <w:lvlText w:val="%2"/>
      <w:numFmt w:val="lowerLetter"/>
      <w:start w:val="1"/>
    </w:lvl>
  </w:abstractNum>
  <w:abstractNum w:abstractNumId="58">
    <w:nsid w:val="1A32234B"/>
    <w:multiLevelType w:val="hybridMultilevel"/>
    <w:lvl w:ilvl="0">
      <w:lvlJc w:val="left"/>
      <w:lvlText w:val="%1"/>
      <w:numFmt w:val="decimal"/>
      <w:start w:val="1"/>
    </w:lvl>
    <w:lvl w:ilvl="1">
      <w:lvlJc w:val="left"/>
      <w:lvlText w:val="(%2)"/>
      <w:numFmt w:val="lowerLetter"/>
      <w:start w:val="1"/>
    </w:lvl>
  </w:abstractNum>
  <w:abstractNum w:abstractNumId="59">
    <w:nsid w:val="3B0FD379"/>
    <w:multiLevelType w:val="hybridMultilevel"/>
    <w:lvl w:ilvl="0">
      <w:lvlJc w:val="left"/>
      <w:lvlText w:val="(%1)"/>
      <w:numFmt w:val="decimal"/>
      <w:start w:val="8"/>
    </w:lvl>
    <w:lvl w:ilvl="1">
      <w:lvlJc w:val="left"/>
      <w:lvlText w:val="%2"/>
      <w:numFmt w:val="lowerLetter"/>
      <w:start w:val="1"/>
    </w:lvl>
  </w:abstractNum>
  <w:abstractNum w:abstractNumId="60">
    <w:nsid w:val="68EB2F63"/>
    <w:multiLevelType w:val="hybridMultilevel"/>
    <w:lvl w:ilvl="0">
      <w:lvlJc w:val="left"/>
      <w:lvlText w:val="(%1)"/>
      <w:numFmt w:val="decimal"/>
      <w:start w:val="9"/>
    </w:lvl>
  </w:abstractNum>
  <w:abstractNum w:abstractNumId="61">
    <w:nsid w:val="4962813B"/>
    <w:multiLevelType w:val="hybridMultilevel"/>
    <w:lvl w:ilvl="0">
      <w:lvlJc w:val="left"/>
      <w:lvlText w:val="•"/>
      <w:numFmt w:val="bullet"/>
      <w:start w:val="1"/>
    </w:lvl>
  </w:abstractNum>
  <w:abstractNum w:abstractNumId="62">
    <w:nsid w:val="60B6DF70"/>
    <w:multiLevelType w:val="hybridMultilevel"/>
    <w:lvl w:ilvl="0">
      <w:lvlJc w:val="left"/>
      <w:lvlText w:val="•"/>
      <w:numFmt w:val="bullet"/>
      <w:start w:val="1"/>
    </w:lvl>
  </w:abstractNum>
  <w:abstractNum w:abstractNumId="63">
    <w:nsid w:val="6A5EE64"/>
    <w:multiLevelType w:val="hybridMultilevel"/>
    <w:lvl w:ilvl="0">
      <w:lvlJc w:val="left"/>
      <w:lvlText w:val="•"/>
      <w:numFmt w:val="bullet"/>
      <w:start w:val="1"/>
    </w:lvl>
  </w:abstractNum>
  <w:abstractNum w:abstractNumId="64">
    <w:nsid w:val="14330624"/>
    <w:multiLevelType w:val="hybridMultilevel"/>
    <w:lvl w:ilvl="0">
      <w:lvlJc w:val="left"/>
      <w:lvlText w:val="•"/>
      <w:numFmt w:val="bullet"/>
      <w:start w:val="1"/>
    </w:lvl>
  </w:abstractNum>
  <w:abstractNum w:abstractNumId="65">
    <w:nsid w:val="7FFFCA11"/>
    <w:multiLevelType w:val="hybridMultilevel"/>
    <w:lvl w:ilvl="0">
      <w:lvlJc w:val="left"/>
      <w:lvlText w:val="•"/>
      <w:numFmt w:val="bullet"/>
      <w:start w:val="1"/>
    </w:lvl>
  </w:abstractNum>
  <w:abstractNum w:abstractNumId="66">
    <w:nsid w:val="1A27709E"/>
    <w:multiLevelType w:val="hybridMultilevel"/>
    <w:lvl w:ilvl="0">
      <w:lvlJc w:val="left"/>
      <w:lvlText w:val="•"/>
      <w:numFmt w:val="bullet"/>
      <w:start w:val="1"/>
    </w:lvl>
    <w:lvl w:ilvl="1">
      <w:lvlJc w:val="left"/>
      <w:lvlText w:val="•"/>
      <w:numFmt w:val="bullet"/>
      <w:start w:val="1"/>
    </w:lvl>
  </w:abstractNum>
  <w:abstractNum w:abstractNumId="67">
    <w:nsid w:val="71EA1109"/>
    <w:multiLevelType w:val="hybridMultilevel"/>
    <w:lvl w:ilvl="0">
      <w:lvlJc w:val="left"/>
      <w:lvlText w:val="•"/>
      <w:numFmt w:val="bullet"/>
      <w:start w:val="1"/>
    </w:lvl>
  </w:abstractNum>
  <w:abstractNum w:abstractNumId="68">
    <w:nsid w:val="100F59DC"/>
    <w:multiLevelType w:val="hybridMultilevel"/>
    <w:lvl w:ilvl="0">
      <w:lvlJc w:val="left"/>
      <w:lvlText w:val="•"/>
      <w:numFmt w:val="bullet"/>
      <w:start w:val="1"/>
    </w:lvl>
  </w:abstractNum>
  <w:abstractNum w:abstractNumId="69">
    <w:nsid w:val="7FB7E0AA"/>
    <w:multiLevelType w:val="hybridMultilevel"/>
    <w:lvl w:ilvl="0">
      <w:lvlJc w:val="left"/>
      <w:lvlText w:val="•"/>
      <w:numFmt w:val="bullet"/>
      <w:start w:val="1"/>
    </w:lvl>
  </w:abstractNum>
  <w:abstractNum w:abstractNumId="70">
    <w:nsid w:val="6EB5BD4"/>
    <w:multiLevelType w:val="hybridMultilevel"/>
    <w:lvl w:ilvl="0">
      <w:lvlJc w:val="left"/>
      <w:lvlText w:val="(%1)"/>
      <w:numFmt w:val="lowerRoman"/>
      <w:start w:val="1"/>
    </w:lvl>
  </w:abstractNum>
  <w:abstractNum w:abstractNumId="71">
    <w:nsid w:val="6F6DD9AC"/>
    <w:multiLevelType w:val="hybridMultilevel"/>
    <w:lvl w:ilvl="0">
      <w:lvlJc w:val="left"/>
      <w:lvlText w:val="•"/>
      <w:numFmt w:val="bullet"/>
      <w:start w:val="1"/>
    </w:lvl>
  </w:abstractNum>
  <w:abstractNum w:abstractNumId="72">
    <w:nsid w:val="94211F2"/>
    <w:multiLevelType w:val="hybridMultilevel"/>
    <w:lvl w:ilvl="0">
      <w:lvlJc w:val="left"/>
      <w:lvlText w:val="•"/>
      <w:numFmt w:val="bullet"/>
      <w:start w:val="1"/>
    </w:lvl>
  </w:abstractNum>
  <w:abstractNum w:abstractNumId="73">
    <w:nsid w:val="885E1B"/>
    <w:multiLevelType w:val="hybridMultilevel"/>
    <w:lvl w:ilvl="0">
      <w:lvlJc w:val="left"/>
      <w:lvlText w:val="•"/>
      <w:numFmt w:val="bullet"/>
      <w:start w:val="1"/>
    </w:lvl>
  </w:abstractNum>
  <w:abstractNum w:abstractNumId="74">
    <w:nsid w:val="76272110"/>
    <w:multiLevelType w:val="hybridMultilevel"/>
    <w:lvl w:ilvl="0">
      <w:lvlJc w:val="left"/>
      <w:lvlText w:val="•"/>
      <w:numFmt w:val="bullet"/>
      <w:start w:val="1"/>
    </w:lvl>
  </w:abstractNum>
  <w:abstractNum w:abstractNumId="75">
    <w:nsid w:val="4C04A8AF"/>
    <w:multiLevelType w:val="hybridMultilevel"/>
    <w:lvl w:ilvl="0">
      <w:lvlJc w:val="left"/>
      <w:lvlText w:val="•"/>
      <w:numFmt w:val="bullet"/>
      <w:start w:val="1"/>
    </w:lvl>
  </w:abstractNum>
  <w:abstractNum w:abstractNumId="76">
    <w:nsid w:val="1716703B"/>
    <w:multiLevelType w:val="hybridMultilevel"/>
    <w:lvl w:ilvl="0">
      <w:lvlJc w:val="left"/>
      <w:lvlText w:val="•"/>
      <w:numFmt w:val="bullet"/>
      <w:start w:val="1"/>
    </w:lvl>
  </w:abstractNum>
  <w:abstractNum w:abstractNumId="77">
    <w:nsid w:val="14E17E33"/>
    <w:multiLevelType w:val="hybridMultilevel"/>
    <w:lvl w:ilvl="0">
      <w:lvlJc w:val="left"/>
      <w:lvlText w:val="•"/>
      <w:numFmt w:val="bullet"/>
      <w:start w:val="1"/>
    </w:lvl>
  </w:abstractNum>
  <w:abstractNum w:abstractNumId="78">
    <w:nsid w:val="3222E7CD"/>
    <w:multiLevelType w:val="hybridMultilevel"/>
    <w:lvl w:ilvl="0">
      <w:lvlJc w:val="left"/>
      <w:lvlText w:val="•"/>
      <w:numFmt w:val="bullet"/>
      <w:start w:val="1"/>
    </w:lvl>
  </w:abstractNum>
  <w:abstractNum w:abstractNumId="79">
    <w:nsid w:val="74DE0EE3"/>
    <w:multiLevelType w:val="hybridMultilevel"/>
    <w:lvl w:ilvl="0">
      <w:lvlJc w:val="left"/>
      <w:lvlText w:val="•"/>
      <w:numFmt w:val="bullet"/>
      <w:start w:val="1"/>
    </w:lvl>
  </w:abstractNum>
  <w:abstractNum w:abstractNumId="80">
    <w:nsid w:val="68EBC550"/>
    <w:multiLevelType w:val="hybridMultilevel"/>
    <w:lvl w:ilvl="0">
      <w:lvlJc w:val="left"/>
      <w:lvlText w:val="•"/>
      <w:numFmt w:val="bullet"/>
      <w:start w:val="1"/>
    </w:lvl>
  </w:abstractNum>
  <w:abstractNum w:abstractNumId="81">
    <w:nsid w:val="2DF6D648"/>
    <w:multiLevelType w:val="hybridMultilevel"/>
    <w:lvl w:ilvl="0">
      <w:lvlJc w:val="left"/>
      <w:lvlText w:val="•"/>
      <w:numFmt w:val="bullet"/>
      <w:start w:val="1"/>
    </w:lvl>
  </w:abstractNum>
  <w:abstractNum w:abstractNumId="82">
    <w:nsid w:val="46B7D447"/>
    <w:multiLevelType w:val="hybridMultilevel"/>
    <w:lvl w:ilvl="0">
      <w:lvlJc w:val="left"/>
      <w:lvlText w:val="•"/>
      <w:numFmt w:val="bullet"/>
      <w:start w:val="1"/>
    </w:lvl>
  </w:abstractNum>
  <w:abstractNum w:abstractNumId="83">
    <w:nsid w:val="4A2AC315"/>
    <w:multiLevelType w:val="hybridMultilevel"/>
    <w:lvl w:ilvl="0">
      <w:lvlJc w:val="left"/>
      <w:lvlText w:val="•"/>
      <w:numFmt w:val="bullet"/>
      <w:start w:val="1"/>
    </w:lvl>
  </w:abstractNum>
  <w:abstractNum w:abstractNumId="84">
    <w:nsid w:val="39EE015C"/>
    <w:multiLevelType w:val="hybridMultilevel"/>
    <w:lvl w:ilvl="0">
      <w:lvlJc w:val="left"/>
      <w:lvlText w:val="•"/>
      <w:numFmt w:val="bullet"/>
      <w:start w:val="1"/>
    </w:lvl>
  </w:abstractNum>
  <w:abstractNum w:abstractNumId="85">
    <w:nsid w:val="57FC4FBB"/>
    <w:multiLevelType w:val="hybridMultilevel"/>
    <w:lvl w:ilvl="0">
      <w:lvlJc w:val="left"/>
      <w:lvlText w:val="•"/>
      <w:numFmt w:val="bullet"/>
      <w:start w:val="1"/>
    </w:lvl>
  </w:abstractNum>
  <w:abstractNum w:abstractNumId="86">
    <w:nsid w:val="CC1016F"/>
    <w:multiLevelType w:val="hybridMultilevel"/>
    <w:lvl w:ilvl="0">
      <w:lvlJc w:val="left"/>
      <w:lvlText w:val="•"/>
      <w:numFmt w:val="bullet"/>
      <w:start w:val="1"/>
    </w:lvl>
  </w:abstractNum>
  <w:abstractNum w:abstractNumId="87">
    <w:nsid w:val="43F18422"/>
    <w:multiLevelType w:val="hybridMultilevel"/>
    <w:lvl w:ilvl="0">
      <w:lvlJc w:val="left"/>
      <w:lvlText w:val="•"/>
      <w:numFmt w:val="bullet"/>
      <w:start w:val="1"/>
    </w:lvl>
  </w:abstractNum>
  <w:abstractNum w:abstractNumId="88">
    <w:nsid w:val="60EF0119"/>
    <w:multiLevelType w:val="hybridMultilevel"/>
    <w:lvl w:ilvl="0">
      <w:lvlJc w:val="left"/>
      <w:lvlText w:val="•"/>
      <w:numFmt w:val="bullet"/>
      <w:start w:val="1"/>
    </w:lvl>
  </w:abstractNum>
  <w:abstractNum w:abstractNumId="89">
    <w:nsid w:val="26F324BA"/>
    <w:multiLevelType w:val="hybridMultilevel"/>
    <w:lvl w:ilvl="0">
      <w:lvlJc w:val="left"/>
      <w:lvlText w:val="•"/>
      <w:numFmt w:val="bullet"/>
      <w:start w:val="1"/>
    </w:lvl>
  </w:abstractNum>
  <w:abstractNum w:abstractNumId="90">
    <w:nsid w:val="7F01579B"/>
    <w:multiLevelType w:val="hybridMultilevel"/>
    <w:lvl w:ilvl="0">
      <w:lvlJc w:val="left"/>
      <w:lvlText w:val="•"/>
      <w:numFmt w:val="bullet"/>
      <w:start w:val="1"/>
    </w:lvl>
  </w:abstractNum>
  <w:abstractNum w:abstractNumId="91">
    <w:nsid w:val="49DA307D"/>
    <w:multiLevelType w:val="hybridMultilevel"/>
    <w:lvl w:ilvl="0">
      <w:lvlJc w:val="left"/>
      <w:lvlText w:val="•"/>
      <w:numFmt w:val="bullet"/>
      <w:start w:val="1"/>
    </w:lvl>
  </w:abstractNum>
  <w:abstractNum w:abstractNumId="92">
    <w:nsid w:val="7055A5F5"/>
    <w:multiLevelType w:val="hybridMultilevel"/>
    <w:lvl w:ilvl="0">
      <w:lvlJc w:val="left"/>
      <w:lvlText w:val="•"/>
      <w:numFmt w:val="bullet"/>
      <w:start w:val="1"/>
    </w:lvl>
  </w:abstractNum>
  <w:abstractNum w:abstractNumId="93">
    <w:nsid w:val="5FB8370B"/>
    <w:multiLevelType w:val="hybridMultilevel"/>
    <w:lvl w:ilvl="0">
      <w:lvlJc w:val="left"/>
      <w:lvlText w:val="•"/>
      <w:numFmt w:val="bullet"/>
      <w:start w:val="1"/>
    </w:lvl>
  </w:abstractNum>
  <w:abstractNum w:abstractNumId="94">
    <w:nsid w:val="50801EE1"/>
    <w:multiLevelType w:val="hybridMultilevel"/>
    <w:lvl w:ilvl="0">
      <w:lvlJc w:val="left"/>
      <w:lvlText w:val="•"/>
      <w:numFmt w:val="bullet"/>
      <w:start w:val="1"/>
    </w:lvl>
  </w:abstractNum>
  <w:abstractNum w:abstractNumId="95">
    <w:nsid w:val="488AC1A"/>
    <w:multiLevelType w:val="hybridMultilevel"/>
    <w:lvl w:ilvl="0">
      <w:lvlJc w:val="left"/>
      <w:lvlText w:val="•"/>
      <w:numFmt w:val="bullet"/>
      <w:start w:val="1"/>
    </w:lvl>
  </w:abstractNum>
  <w:abstractNum w:abstractNumId="96">
    <w:nsid w:val="5FB8011C"/>
    <w:multiLevelType w:val="hybridMultilevel"/>
    <w:lvl w:ilvl="0">
      <w:lvlJc w:val="left"/>
      <w:lvlText w:val="•"/>
      <w:numFmt w:val="bullet"/>
      <w:start w:val="1"/>
    </w:lvl>
  </w:abstractNum>
  <w:abstractNum w:abstractNumId="97">
    <w:nsid w:val="6AA78F7F"/>
    <w:multiLevelType w:val="hybridMultilevel"/>
    <w:lvl w:ilvl="0">
      <w:lvlJc w:val="left"/>
      <w:lvlText w:val="•"/>
      <w:numFmt w:val="bullet"/>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jpe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jpeg"/><Relationship Id="rId163" Type="http://schemas.openxmlformats.org/officeDocument/2006/relationships/image" Target="media/image139.png"/><Relationship Id="rId164" Type="http://schemas.openxmlformats.org/officeDocument/2006/relationships/image" Target="media/image140.png"/><Relationship Id="rId165" Type="http://schemas.openxmlformats.org/officeDocument/2006/relationships/image" Target="media/image141.png"/><Relationship Id="rId166" Type="http://schemas.openxmlformats.org/officeDocument/2006/relationships/image" Target="media/image142.png"/><Relationship Id="rId52" Type="http://schemas.openxmlformats.org/officeDocument/2006/relationships/hyperlink" Target="http://www.sec.gov/ix?doc=/Archives/edgar/data/1508655/000095017023003042/tslx-20221231.htm" TargetMode="External"/><Relationship Id="rId53" Type="http://schemas.openxmlformats.org/officeDocument/2006/relationships/hyperlink" Target="http://www.sec.gov/ix?doc=/Archives/edgar/data/1508655/000095017023018777/tslx-20230331.htm" TargetMode="External"/><Relationship Id="rId54" Type="http://schemas.openxmlformats.org/officeDocument/2006/relationships/hyperlink" Target="http://www.sec.gov/ix?doc=/Archives/edgar/data/1508655/000095017023038066/tslx-20230630.htm" TargetMode="External"/><Relationship Id="rId55" Type="http://schemas.openxmlformats.org/officeDocument/2006/relationships/hyperlink" Target="http://www.sec.gov/ix?doc=/Archives/edgar/data/1508655/000119312523144982/d509627d8k.htm" TargetMode="External"/><Relationship Id="rId56" Type="http://schemas.openxmlformats.org/officeDocument/2006/relationships/hyperlink" Target="http://www.sec.gov/ix?doc=/Archives/edgar/data/1508655/000119312523155431/d495066d8k.htm" TargetMode="External"/><Relationship Id="rId57" Type="http://schemas.openxmlformats.org/officeDocument/2006/relationships/hyperlink" Target="http://www.sec.gov/ix?doc=/Archives/edgar/data/1508655/000119312523165276/d509708d8k.htm" TargetMode="External"/><Relationship Id="rId58" Type="http://schemas.openxmlformats.org/officeDocument/2006/relationships/hyperlink" Target="http://www.sec.gov/ix?doc=/Archives/edgar/data/1508655/000119312523165451/d509555d8k.htm" TargetMode="External"/><Relationship Id="rId59" Type="http://schemas.openxmlformats.org/officeDocument/2006/relationships/hyperlink" Target="http://www.sec.gov/ix?doc=/Archives/edgar/data/1508655/000119312523187256/d513136d8k.htm" TargetMode="External"/><Relationship Id="rId60" Type="http://schemas.openxmlformats.org/officeDocument/2006/relationships/hyperlink" Target="http://www.sec.gov/ix?doc=/Archives/edgar/data/1508655/000119312523188221/d534568d8ka.htm" TargetMode="External"/><Relationship Id="rId61" Type="http://schemas.openxmlformats.org/officeDocument/2006/relationships/hyperlink" Target="http://www.sec.gov/Archives/edgar/data/1508655/000119312523100512/d498091ddef14a.htm" TargetMode="External"/><Relationship Id="rId152" Type="http://schemas.openxmlformats.org/officeDocument/2006/relationships/hyperlink" Target="http://www.sec.gov/Archives/edgar/data/1508655/000156459022005558/tslx-10k_20211231.htm" TargetMode="External"/><Relationship Id="rId153" Type="http://schemas.openxmlformats.org/officeDocument/2006/relationships/hyperlink" Target="http://www.sec.gov/Archives/edgar/data/1508655/000119312522104268/d423137ddef14a.htm" TargetMode="External"/><Relationship Id="rId154" Type="http://schemas.openxmlformats.org/officeDocument/2006/relationships/hyperlink" Target="http://www.sec.gov/Archives/edgar/data/1508655/000156459022017420/tslx-10q_20220331.htm" TargetMode="External"/><Relationship Id="rId155" Type="http://schemas.openxmlformats.org/officeDocument/2006/relationships/hyperlink" Target="http://www.sec.gov/Archives/edgar/data/1508655/000095017022020830/tslx-20220930.htm" TargetMode="External"/><Relationship Id="rId156" Type="http://schemas.openxmlformats.org/officeDocument/2006/relationships/hyperlink" Target="http://www.sec.gov/Archives/edgar/data/1508655/000119312522133581/d353862d8k.htm" TargetMode="External"/><Relationship Id="rId157" Type="http://schemas.openxmlformats.org/officeDocument/2006/relationships/hyperlink" Target="http://www.sec.gov/Archives/edgar/data/1508655/000119312522162469/d361714d8k.htm" TargetMode="External"/><Relationship Id="rId158" Type="http://schemas.openxmlformats.org/officeDocument/2006/relationships/hyperlink" Target="http://www.sec.gov/Archives/edgar/data/1508655/000119312522187202/d376461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2023-08-09T16:17:27Z</dcterms:created>
  <dcterms:modified xsi:type="dcterms:W3CDTF">2023-08-09T16:17:27Z</dcterms:modified>
</cp:coreProperties>
</file>