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9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4500" w:type="dxa"/>
            <w:vAlign w:val="bottom"/>
          </w:tcPr>
          <w:p>
            <w:pPr>
              <w:jc w:val="center"/>
              <w:ind w:right="1922"/>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right"/>
              <w:ind w:right="2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500" w:type="dxa"/>
            <w:vAlign w:val="bottom"/>
          </w:tcPr>
          <w:p>
            <w:pPr>
              <w:jc w:val="center"/>
              <w:ind w:right="19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500" w:type="dxa"/>
            <w:vAlign w:val="bottom"/>
          </w:tcPr>
          <w:p>
            <w:pPr>
              <w:jc w:val="center"/>
              <w:ind w:right="1922"/>
              <w:spacing w:after="0"/>
              <w:rPr>
                <w:sz w:val="20"/>
                <w:szCs w:val="20"/>
                <w:color w:val="auto"/>
              </w:rPr>
            </w:pPr>
            <w:r>
              <w:rPr>
                <w:rFonts w:ascii="Arial" w:cs="Arial" w:eastAsia="Arial" w:hAnsi="Arial"/>
                <w:sz w:val="14"/>
                <w:szCs w:val="14"/>
                <w:b w:val="1"/>
                <w:bCs w:val="1"/>
                <w:color w:val="auto"/>
                <w:w w:val="89"/>
              </w:rPr>
              <w:t>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500" w:type="dxa"/>
            <w:vAlign w:val="bottom"/>
          </w:tcPr>
          <w:p>
            <w:pPr>
              <w:jc w:val="center"/>
              <w:ind w:right="1902"/>
              <w:spacing w:after="0"/>
              <w:rPr>
                <w:sz w:val="20"/>
                <w:szCs w:val="20"/>
                <w:color w:val="auto"/>
              </w:rPr>
            </w:pPr>
            <w:r>
              <w:rPr>
                <w:rFonts w:ascii="Arial" w:cs="Arial" w:eastAsia="Arial" w:hAnsi="Arial"/>
                <w:sz w:val="18"/>
                <w:szCs w:val="18"/>
                <w:b w:val="1"/>
                <w:bCs w:val="1"/>
                <w:color w:val="auto"/>
                <w:w w:val="87"/>
              </w:rPr>
              <w:t>301 Commerce Street, Suite 3300,</w:t>
            </w:r>
          </w:p>
        </w:tc>
        <w:tc>
          <w:tcPr>
            <w:tcW w:w="3040" w:type="dxa"/>
            <w:vAlign w:val="bottom"/>
          </w:tcPr>
          <w:p>
            <w:pPr>
              <w:spacing w:after="0"/>
              <w:rPr>
                <w:sz w:val="24"/>
                <w:szCs w:val="24"/>
                <w:color w:val="auto"/>
              </w:rPr>
            </w:pPr>
          </w:p>
        </w:tc>
      </w:tr>
      <w:tr>
        <w:trPr>
          <w:trHeight w:val="231"/>
        </w:trPr>
        <w:tc>
          <w:tcPr>
            <w:tcW w:w="4500" w:type="dxa"/>
            <w:vAlign w:val="bottom"/>
          </w:tcPr>
          <w:p>
            <w:pPr>
              <w:jc w:val="center"/>
              <w:ind w:right="1922"/>
              <w:spacing w:after="0"/>
              <w:rPr>
                <w:sz w:val="20"/>
                <w:szCs w:val="20"/>
                <w:color w:val="auto"/>
              </w:rPr>
            </w:pPr>
            <w:r>
              <w:rPr>
                <w:rFonts w:ascii="Arial" w:cs="Arial" w:eastAsia="Arial" w:hAnsi="Arial"/>
                <w:sz w:val="18"/>
                <w:szCs w:val="18"/>
                <w:b w:val="1"/>
                <w:bCs w:val="1"/>
                <w:color w:val="auto"/>
                <w:w w:val="94"/>
              </w:rPr>
              <w:t>Fort Worth, TX</w:t>
            </w:r>
          </w:p>
        </w:tc>
        <w:tc>
          <w:tcPr>
            <w:tcW w:w="3040" w:type="dxa"/>
            <w:vAlign w:val="bottom"/>
          </w:tcPr>
          <w:p>
            <w:pPr>
              <w:jc w:val="right"/>
              <w:ind w:right="224"/>
              <w:spacing w:after="0"/>
              <w:rPr>
                <w:sz w:val="20"/>
                <w:szCs w:val="20"/>
                <w:color w:val="auto"/>
              </w:rPr>
            </w:pPr>
            <w:r>
              <w:rPr>
                <w:rFonts w:ascii="Arial" w:cs="Arial" w:eastAsia="Arial" w:hAnsi="Arial"/>
                <w:sz w:val="18"/>
                <w:szCs w:val="18"/>
                <w:b w:val="1"/>
                <w:bCs w:val="1"/>
                <w:color w:val="auto"/>
              </w:rPr>
              <w:t>76102</w:t>
            </w:r>
          </w:p>
        </w:tc>
      </w:tr>
      <w:tr>
        <w:trPr>
          <w:trHeight w:val="174"/>
        </w:trPr>
        <w:tc>
          <w:tcPr>
            <w:tcW w:w="4500" w:type="dxa"/>
            <w:vAlign w:val="bottom"/>
          </w:tcPr>
          <w:p>
            <w:pPr>
              <w:jc w:val="center"/>
              <w:ind w:right="192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6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40" w:space="380"/>
            <w:col w:w="160" w:space="100"/>
            <w:col w:w="5960" w:space="720"/>
            <w:col w:w="1920" w:space="480"/>
            <w:col w:w="160"/>
          </w:cols>
          <w:pgMar w:left="240" w:top="230" w:right="239" w:bottom="1440" w:gutter="0" w:footer="0" w:header="0"/>
          <w:type w:val="continuous"/>
        </w:sectPr>
      </w:pPr>
    </w:p>
    <w:p>
      <w:pPr>
        <w:spacing w:after="0" w:line="184" w:lineRule="exact"/>
        <w:tabs>
          <w:tab w:leader="none" w:pos="9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 of 1934).</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10040" w:space="180"/>
            <w:col w:w="1200"/>
          </w:cols>
          <w:pgMar w:left="240" w:top="230"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the Registrant’s common stock, $.01 par value per share, outstanding at August 4, 2014 was 53,566,783.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7"/>
            <w:vMerge w:val="restart"/>
          </w:tcPr>
          <w:p>
            <w:pPr>
              <w:ind w:left="460"/>
              <w:spacing w:after="0"/>
              <w:rPr>
                <w:sz w:val="20"/>
                <w:szCs w:val="20"/>
                <w:color w:val="auto"/>
              </w:rPr>
            </w:pPr>
            <w:r>
              <w:rPr>
                <w:rFonts w:ascii="Arial" w:cs="Arial" w:eastAsia="Arial" w:hAnsi="Arial"/>
                <w:sz w:val="14"/>
                <w:szCs w:val="14"/>
                <w:b w:val="1"/>
                <w:bCs w:val="1"/>
                <w:color w:val="auto"/>
              </w:rPr>
              <w:t>INDEX</w:t>
            </w:r>
          </w:p>
        </w:tc>
        <w:tc>
          <w:tcPr>
            <w:tcW w:w="200" w:type="dxa"/>
            <w:vAlign w:val="bottom"/>
            <w:vMerge w:val="restart"/>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0" w:type="dxa"/>
            <w:vAlign w:val="bottom"/>
            <w:tcBorders>
              <w:bottom w:val="single" w:sz="8" w:color="auto"/>
            </w:tcBorders>
            <w:gridSpan w:val="7"/>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302"/>
        </w:trPr>
        <w:tc>
          <w:tcPr>
            <w:tcW w:w="880" w:type="dxa"/>
            <w:vAlign w:val="bottom"/>
          </w:tcPr>
          <w:p>
            <w:pPr>
              <w:spacing w:after="0"/>
              <w:rPr>
                <w:sz w:val="20"/>
                <w:szCs w:val="20"/>
                <w:color w:val="auto"/>
              </w:rPr>
            </w:pPr>
            <w:r>
              <w:rPr>
                <w:rFonts w:ascii="Arial" w:cs="Arial" w:eastAsia="Arial" w:hAnsi="Arial"/>
                <w:sz w:val="18"/>
                <w:szCs w:val="18"/>
                <w:color w:val="auto"/>
              </w:rPr>
              <w:t>PART I.</w:t>
            </w:r>
          </w:p>
        </w:tc>
        <w:tc>
          <w:tcPr>
            <w:tcW w:w="10060" w:type="dxa"/>
            <w:vAlign w:val="bottom"/>
            <w:gridSpan w:val="20"/>
          </w:tcPr>
          <w:p>
            <w:pPr>
              <w:spacing w:after="0"/>
              <w:rPr>
                <w:sz w:val="20"/>
                <w:szCs w:val="20"/>
                <w:color w:val="auto"/>
              </w:rPr>
            </w:pPr>
            <w:r>
              <w:rPr>
                <w:rFonts w:ascii="Arial" w:cs="Arial" w:eastAsia="Arial" w:hAnsi="Arial"/>
                <w:sz w:val="18"/>
                <w:szCs w:val="18"/>
                <w:color w:val="auto"/>
              </w:rPr>
              <w:t>FINANCIAL INFORMATION</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0060" w:type="dxa"/>
            <w:vAlign w:val="bottom"/>
            <w:gridSpan w:val="20"/>
          </w:tcPr>
          <w:p>
            <w:pPr>
              <w:spacing w:after="0"/>
              <w:rPr>
                <w:sz w:val="20"/>
                <w:szCs w:val="20"/>
                <w:color w:val="auto"/>
              </w:rPr>
            </w:pPr>
            <w:r>
              <w:rPr>
                <w:rFonts w:ascii="Arial" w:cs="Arial" w:eastAsia="Arial" w:hAnsi="Arial"/>
                <w:sz w:val="18"/>
                <w:szCs w:val="18"/>
                <w:color w:val="auto"/>
              </w:rPr>
              <w:t>Financial Statements</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86"/>
        </w:trPr>
        <w:tc>
          <w:tcPr>
            <w:tcW w:w="88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June 30, 2014 and December 31, 2013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784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Operations for the three and six months ended June 30, 2014 and 2013 (Unaudited)</w:t>
              </w:r>
            </w:hyperlink>
          </w:p>
        </w:tc>
        <w:tc>
          <w:tcPr>
            <w:tcW w:w="222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Schedules of Investments as of June 30, 2014 and December 31, 2013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796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Consolidated Statements of Changes in Net Assets for the six months ended June 30, 2014 and 2013 (Unaudited)</w:t>
              </w:r>
            </w:hyperlink>
          </w:p>
        </w:tc>
        <w:tc>
          <w:tcPr>
            <w:tcW w:w="210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720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Consolidated Statements of Cash Flows for the six months ended June 30, 2014 and 2013 (Unaudited)</w:t>
              </w:r>
            </w:hyperlink>
          </w:p>
        </w:tc>
        <w:tc>
          <w:tcPr>
            <w:tcW w:w="286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39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Notes to Consolidated Financial Statements (Unaudited)</w:t>
              </w:r>
            </w:hyperlink>
          </w:p>
        </w:tc>
        <w:tc>
          <w:tcPr>
            <w:tcW w:w="608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06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76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53">
              <w:r>
                <w:rPr>
                  <w:rFonts w:ascii="Arial" w:cs="Arial" w:eastAsia="Arial" w:hAnsi="Arial"/>
                  <w:sz w:val="18"/>
                  <w:szCs w:val="18"/>
                  <w:color w:val="0000EE"/>
                  <w:w w:val="87"/>
                </w:rPr>
                <w:t>Controls and Procedures</w:t>
              </w:r>
            </w:hyperlink>
          </w:p>
        </w:tc>
        <w:tc>
          <w:tcPr>
            <w:tcW w:w="830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PART II.</w:t>
            </w:r>
          </w:p>
        </w:tc>
        <w:tc>
          <w:tcPr>
            <w:tcW w:w="10060" w:type="dxa"/>
            <w:vAlign w:val="bottom"/>
            <w:gridSpan w:val="2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840" w:type="dxa"/>
            <w:vAlign w:val="bottom"/>
            <w:tcBorders>
              <w:top w:val="single" w:sz="8" w:color="0000EE"/>
            </w:tcBorders>
            <w:gridSpan w:val="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Legal Proceedings</w:t>
              </w:r>
            </w:hyperlink>
          </w:p>
        </w:tc>
        <w:tc>
          <w:tcPr>
            <w:tcW w:w="822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Risk Factors</w:t>
              </w:r>
            </w:hyperlink>
          </w:p>
        </w:tc>
        <w:tc>
          <w:tcPr>
            <w:tcW w:w="8760" w:type="dxa"/>
            <w:vAlign w:val="bottom"/>
            <w:gridSpan w:val="1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060" w:type="dxa"/>
            <w:vAlign w:val="bottom"/>
            <w:gridSpan w:val="2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2"/>
          </w:tcPr>
          <w:p>
            <w:pPr>
              <w:spacing w:after="0"/>
              <w:rPr>
                <w:sz w:val="24"/>
                <w:szCs w:val="24"/>
                <w:color w:val="auto"/>
              </w:rPr>
            </w:pPr>
          </w:p>
        </w:tc>
        <w:tc>
          <w:tcPr>
            <w:tcW w:w="582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Mine Safety Disclosures</w:t>
              </w:r>
            </w:hyperlink>
          </w:p>
        </w:tc>
        <w:tc>
          <w:tcPr>
            <w:tcW w:w="832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0060" w:type="dxa"/>
            <w:vAlign w:val="bottom"/>
            <w:gridSpan w:val="2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24"/>
                <w:szCs w:val="24"/>
                <w:color w:val="auto"/>
              </w:rPr>
            </w:pPr>
          </w:p>
        </w:tc>
        <w:tc>
          <w:tcPr>
            <w:tcW w:w="878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10940" w:type="dxa"/>
            <w:vAlign w:val="bottom"/>
            <w:gridSpan w:val="21"/>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or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(the “SEC”), the following factors, among others, could cause actual results to differ materially from forward-looking statements or historical performance:</w:t>
      </w:r>
    </w:p>
    <w:p>
      <w:pPr>
        <w:spacing w:after="0" w:line="59" w:lineRule="exact"/>
        <w:rPr>
          <w:sz w:val="20"/>
          <w:szCs w:val="20"/>
          <w:color w:val="auto"/>
        </w:rPr>
      </w:pPr>
    </w:p>
    <w:p>
      <w:pPr>
        <w:ind w:left="900" w:right="4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such portfolio companies;</w:t>
      </w:r>
    </w:p>
    <w:p>
      <w:pPr>
        <w:spacing w:after="0" w:line="5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sections entitled “Risk Factors” in this report and in our Annual Report on Form 10-K for the year ended December 31, 2013, filed with the SEC on March 4, 2014, and our Form 10-K/A, filed with the SEC on March 14, 2014, as amended, and elsewhere in our filings with the SEC.</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(the “1934 Act”), which preclude civil liability for certain forward-looking statements, do not apply to the forward-looking statements in this report because we are an investment company.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June 30, 2014</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(amortized cost of $1,065,602 and $997,298,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1,084,837</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Controlled, affiliated investments (amortized cost of $44,362 and $0, respectively)</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44,362</w:t>
            </w:r>
          </w:p>
        </w:tc>
        <w:tc>
          <w:tcPr>
            <w:tcW w:w="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(amortized cost of $1,109,964 and $997,298, respectively)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1,129,199</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6,457</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792</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35,103</w:t>
            </w:r>
          </w:p>
        </w:tc>
        <w:tc>
          <w:tcPr>
            <w:tcW w:w="5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6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1,178,790</w:t>
            </w:r>
          </w:p>
        </w:tc>
        <w:tc>
          <w:tcPr>
            <w:tcW w:w="5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1,039,150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Debt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296,392</w:t>
            </w:r>
          </w:p>
        </w:tc>
        <w:tc>
          <w:tcPr>
            <w:tcW w:w="5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9,399</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20,272</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Payable on foreign currency forward contracts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Payables to affiliate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2,797</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7,982</w:t>
            </w:r>
          </w:p>
        </w:tc>
        <w:tc>
          <w:tcPr>
            <w:tcW w:w="5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341,364</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464,454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w w:val="91"/>
              </w:rPr>
              <w:t>Common stock, $0.01 par value; 400,000,000 shares authorized, 53,348,890 and 37,027,022 shares issued, respectively;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and 53,347,891 and 37,026,023 shares outstanding, respectively</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533</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802,341</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Treasury stock at cost; 999 shares</w:t>
            </w: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11,781</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Net unrealized gains on investments and foreign currency translation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21,255</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realized gains on investments, including foreign currency forward contracts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5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837,426</w:t>
            </w:r>
          </w:p>
        </w:tc>
        <w:tc>
          <w:tcPr>
            <w:tcW w:w="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1,178,790</w:t>
            </w:r>
          </w:p>
        </w:tc>
        <w:tc>
          <w:tcPr>
            <w:tcW w:w="5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6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15.70</w:t>
            </w:r>
          </w:p>
        </w:tc>
        <w:tc>
          <w:tcPr>
            <w:tcW w:w="5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ind w:lef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0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0"/>
              </w:rPr>
              <w:t>June 30, 2014</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June 30, 2013</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Borders>
              <w:top w:val="single" w:sz="8" w:color="auto"/>
            </w:tcBorders>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w w:val="90"/>
              </w:rPr>
              <w:t>June 30, 2014</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June 30, 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75,543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cash and cash equivalents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00" w:type="dxa"/>
            <w:vAlign w:val="bottom"/>
          </w:tcPr>
          <w:p>
            <w:pPr>
              <w:ind w:left="860"/>
              <w:spacing w:after="0"/>
              <w:rPr>
                <w:sz w:val="20"/>
                <w:szCs w:val="20"/>
                <w:color w:val="auto"/>
              </w:rPr>
            </w:pPr>
            <w:r>
              <w:rPr>
                <w:rFonts w:ascii="Arial" w:cs="Arial" w:eastAsia="Arial" w:hAnsi="Arial"/>
                <w:sz w:val="18"/>
                <w:szCs w:val="18"/>
                <w:color w:val="auto"/>
              </w:rPr>
              <w:t>Total investment income from non-controlled, non-affiliated</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ind w:left="10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45,270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20,940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78,751</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41,742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Interest from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vMerge w:val="restart"/>
          </w:tcPr>
          <w:p>
            <w:pPr>
              <w:ind w:left="860"/>
              <w:spacing w:after="0"/>
              <w:rPr>
                <w:sz w:val="20"/>
                <w:szCs w:val="20"/>
                <w:color w:val="auto"/>
              </w:rPr>
            </w:pPr>
            <w:r>
              <w:rPr>
                <w:rFonts w:ascii="Arial" w:cs="Arial" w:eastAsia="Arial" w:hAnsi="Arial"/>
                <w:sz w:val="18"/>
                <w:szCs w:val="18"/>
                <w:color w:val="auto"/>
              </w:rPr>
              <w:t>Total investment income from controlled, affiliated investments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center"/>
              <w:ind w:left="352"/>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79,138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41,742</w:t>
            </w:r>
          </w:p>
        </w:tc>
        <w:tc>
          <w:tcPr>
            <w:tcW w:w="0" w:type="dxa"/>
            <w:vAlign w:val="bottom"/>
          </w:tcPr>
          <w:p>
            <w:pPr>
              <w:spacing w:after="0"/>
              <w:rPr>
                <w:sz w:val="1"/>
                <w:szCs w:val="1"/>
                <w:color w:val="auto"/>
              </w:rPr>
            </w:pPr>
          </w:p>
        </w:tc>
      </w:tr>
      <w:tr>
        <w:trPr>
          <w:trHeight w:val="221"/>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8,759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10,334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30,694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Management fees waived</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(1,700)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Net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28,229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15,815</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29,658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12,817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50,909</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25,927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29,433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12,817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50,675</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25,923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Unrealized and Realized Gain (Loss)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Translation of assets and liabilities in foreign currencies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left="52"/>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Foreign currency forward contracts</w:t>
            </w:r>
          </w:p>
        </w:tc>
        <w:tc>
          <w:tcPr>
            <w:tcW w:w="1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net change in unrealized gains (losses)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22"/>
        </w:trPr>
        <w:tc>
          <w:tcPr>
            <w:tcW w:w="6120" w:type="dxa"/>
            <w:vAlign w:val="bottom"/>
            <w:gridSpan w:val="2"/>
          </w:tcPr>
          <w:p>
            <w:pPr>
              <w:spacing w:after="0"/>
              <w:rPr>
                <w:sz w:val="20"/>
                <w:szCs w:val="20"/>
                <w:color w:val="auto"/>
              </w:rPr>
            </w:pPr>
            <w:r>
              <w:rPr>
                <w:rFonts w:ascii="Arial" w:cs="Arial" w:eastAsia="Arial" w:hAnsi="Arial"/>
                <w:sz w:val="18"/>
                <w:szCs w:val="18"/>
                <w:color w:val="auto"/>
              </w:rPr>
              <w:t>Realized gains (losses):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Foreign currency transactions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realized gains (losses)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(1,378)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vMerge w:val="restart"/>
          </w:tcPr>
          <w:p>
            <w:pPr>
              <w:ind w:left="1280"/>
              <w:spacing w:after="0"/>
              <w:rPr>
                <w:sz w:val="20"/>
                <w:szCs w:val="20"/>
                <w:color w:val="auto"/>
              </w:rPr>
            </w:pPr>
            <w:r>
              <w:rPr>
                <w:rFonts w:ascii="Arial" w:cs="Arial" w:eastAsia="Arial" w:hAnsi="Arial"/>
                <w:sz w:val="18"/>
                <w:szCs w:val="18"/>
                <w:b w:val="1"/>
                <w:bCs w:val="1"/>
                <w:color w:val="auto"/>
              </w:rPr>
              <w:t>Total Unrealized and Realized Gains (Losses)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(2,139)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52,642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29,668</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share—basic and diluted (1)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0.51</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0.41</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shares of common stock outstanding—basic and diluted (1)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53,120,358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34,270,130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47,361,713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33,419,945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4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the three and six months ended June 30, 2013 have been retroactively adjusted for the stock split which was effected in the form of a stock dividend.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Consolidated Schedule of Investments as of June 30, 2014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Acquisition</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0"/>
              </w:rPr>
              <w:t>Amortized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8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Company (1)</w:t>
            </w:r>
          </w:p>
        </w:tc>
        <w:tc>
          <w:tcPr>
            <w:tcW w:w="3180" w:type="dxa"/>
            <w:vAlign w:val="bottom"/>
          </w:tcPr>
          <w:p>
            <w:pPr>
              <w:spacing w:after="0"/>
              <w:rPr>
                <w:sz w:val="15"/>
                <w:szCs w:val="15"/>
                <w:color w:val="auto"/>
              </w:rPr>
            </w:pPr>
          </w:p>
        </w:tc>
        <w:tc>
          <w:tcPr>
            <w:tcW w:w="2300" w:type="dxa"/>
            <w:vAlign w:val="bottom"/>
            <w:gridSpan w:val="2"/>
          </w:tcPr>
          <w:p>
            <w:pPr>
              <w:ind w:left="74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Interest</w:t>
            </w: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Date</w:t>
            </w:r>
          </w:p>
        </w:tc>
        <w:tc>
          <w:tcPr>
            <w:tcW w:w="680" w:type="dxa"/>
            <w:vAlign w:val="bottom"/>
          </w:tcPr>
          <w:p>
            <w:pPr>
              <w:jc w:val="right"/>
              <w:ind w:right="34"/>
              <w:spacing w:after="0"/>
              <w:rPr>
                <w:sz w:val="20"/>
                <w:szCs w:val="20"/>
                <w:color w:val="auto"/>
              </w:rPr>
            </w:pPr>
            <w:r>
              <w:rPr>
                <w:rFonts w:ascii="Arial" w:cs="Arial" w:eastAsia="Arial" w:hAnsi="Arial"/>
                <w:sz w:val="14"/>
                <w:szCs w:val="14"/>
                <w:b w:val="1"/>
                <w:bCs w:val="1"/>
                <w:color w:val="auto"/>
              </w:rPr>
              <w:t>Cost (2)</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26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Net Assets</w:t>
            </w:r>
          </w:p>
        </w:tc>
        <w:tc>
          <w:tcPr>
            <w:tcW w:w="0" w:type="dxa"/>
            <w:vAlign w:val="bottom"/>
          </w:tcPr>
          <w:p>
            <w:pPr>
              <w:spacing w:after="0"/>
              <w:rPr>
                <w:sz w:val="1"/>
                <w:szCs w:val="1"/>
                <w:color w:val="auto"/>
              </w:rPr>
            </w:pPr>
          </w:p>
        </w:tc>
      </w:tr>
      <w:tr>
        <w:trPr>
          <w:trHeight w:val="190"/>
        </w:trPr>
        <w:tc>
          <w:tcPr>
            <w:tcW w:w="39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Debt Investments</w:t>
            </w:r>
          </w:p>
        </w:tc>
        <w:tc>
          <w:tcPr>
            <w:tcW w:w="2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b w:val="1"/>
                <w:bCs w:val="1"/>
                <w:color w:val="auto"/>
              </w:rPr>
              <w:t>Automotive</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Heartland Automotive Holdings, LLC (3)(4)</w:t>
            </w: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 ($33,243 par,</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$ 32,667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$ 32,246</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8"/>
        </w:trPr>
        <w:tc>
          <w:tcPr>
            <w:tcW w:w="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First-lien revolving loan</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($1,917 par, due 6/2017)</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10.75%</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8/28/2012</w:t>
            </w:r>
          </w:p>
        </w:tc>
        <w:tc>
          <w:tcPr>
            <w:tcW w:w="680" w:type="dxa"/>
            <w:vAlign w:val="bottom"/>
          </w:tcPr>
          <w:p>
            <w:pPr>
              <w:jc w:val="right"/>
              <w:spacing w:after="0"/>
              <w:rPr>
                <w:sz w:val="20"/>
                <w:szCs w:val="20"/>
                <w:color w:val="auto"/>
              </w:rPr>
            </w:pPr>
            <w:r>
              <w:rPr>
                <w:rFonts w:ascii="Arial" w:cs="Arial" w:eastAsia="Arial" w:hAnsi="Arial"/>
                <w:sz w:val="18"/>
                <w:szCs w:val="18"/>
                <w:color w:val="auto"/>
              </w:rPr>
              <w:t>1,822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1,750</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Sage Automotive Interiors, Inc. (3)(4)(6)</w:t>
            </w: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 ($21,108 par,</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12/2016)</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12/31/2012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20,926</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21,213</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55,415</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55,209</w:t>
            </w:r>
          </w:p>
        </w:tc>
        <w:tc>
          <w:tcPr>
            <w:tcW w:w="2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Beverage, food and tobacco</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80" w:type="dxa"/>
            <w:vAlign w:val="bottom"/>
            <w:gridSpan w:val="2"/>
          </w:tcPr>
          <w:p>
            <w:pPr>
              <w:spacing w:after="0"/>
              <w:rPr>
                <w:sz w:val="20"/>
                <w:szCs w:val="20"/>
                <w:color w:val="auto"/>
              </w:rPr>
            </w:pPr>
            <w:r>
              <w:rPr>
                <w:rFonts w:ascii="Arial" w:cs="Arial" w:eastAsia="Arial" w:hAnsi="Arial"/>
                <w:sz w:val="18"/>
                <w:szCs w:val="18"/>
                <w:color w:val="auto"/>
              </w:rPr>
              <w:t>AFS Technologies, Inc. (3)(4)(6)</w:t>
            </w:r>
          </w:p>
        </w:tc>
        <w:tc>
          <w:tcPr>
            <w:tcW w:w="2300" w:type="dxa"/>
            <w:vAlign w:val="bottom"/>
            <w:gridSpan w:val="2"/>
          </w:tcPr>
          <w:p>
            <w:pPr>
              <w:spacing w:after="0"/>
              <w:rPr>
                <w:sz w:val="20"/>
                <w:szCs w:val="20"/>
                <w:color w:val="auto"/>
              </w:rPr>
            </w:pPr>
            <w:r>
              <w:rPr>
                <w:rFonts w:ascii="Arial" w:cs="Arial" w:eastAsia="Arial" w:hAnsi="Arial"/>
                <w:sz w:val="18"/>
                <w:szCs w:val="18"/>
                <w:color w:val="auto"/>
              </w:rPr>
              <w:t>First-lien loan ($65,000 par,</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due 3/2020)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7.75%</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3/3/2014</w:t>
            </w:r>
          </w:p>
        </w:tc>
        <w:tc>
          <w:tcPr>
            <w:tcW w:w="680" w:type="dxa"/>
            <w:vAlign w:val="bottom"/>
          </w:tcPr>
          <w:p>
            <w:pPr>
              <w:jc w:val="right"/>
              <w:spacing w:after="0"/>
              <w:rPr>
                <w:sz w:val="20"/>
                <w:szCs w:val="20"/>
                <w:color w:val="auto"/>
              </w:rPr>
            </w:pPr>
            <w:r>
              <w:rPr>
                <w:rFonts w:ascii="Arial" w:cs="Arial" w:eastAsia="Arial" w:hAnsi="Arial"/>
                <w:sz w:val="18"/>
                <w:szCs w:val="18"/>
                <w:color w:val="auto"/>
              </w:rPr>
              <w:t>63,597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63,863</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7"/>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Business services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80" w:type="dxa"/>
            <w:vAlign w:val="bottom"/>
            <w:gridSpan w:val="2"/>
          </w:tcPr>
          <w:p>
            <w:pPr>
              <w:spacing w:after="0"/>
              <w:rPr>
                <w:sz w:val="20"/>
                <w:szCs w:val="20"/>
                <w:color w:val="auto"/>
              </w:rPr>
            </w:pPr>
            <w:r>
              <w:rPr>
                <w:rFonts w:ascii="Arial" w:cs="Arial" w:eastAsia="Arial" w:hAnsi="Arial"/>
                <w:sz w:val="18"/>
                <w:szCs w:val="18"/>
                <w:color w:val="auto"/>
              </w:rPr>
              <w:t>Actian Corporation (3)(4)(6)</w:t>
            </w:r>
          </w:p>
        </w:tc>
        <w:tc>
          <w:tcPr>
            <w:tcW w:w="2300" w:type="dxa"/>
            <w:vAlign w:val="bottom"/>
            <w:gridSpan w:val="2"/>
          </w:tcPr>
          <w:p>
            <w:pPr>
              <w:spacing w:after="0"/>
              <w:rPr>
                <w:sz w:val="20"/>
                <w:szCs w:val="20"/>
                <w:color w:val="auto"/>
              </w:rPr>
            </w:pPr>
            <w:r>
              <w:rPr>
                <w:rFonts w:ascii="Arial" w:cs="Arial" w:eastAsia="Arial" w:hAnsi="Arial"/>
                <w:sz w:val="18"/>
                <w:szCs w:val="18"/>
                <w:color w:val="auto"/>
              </w:rPr>
              <w:t>First-lien loan ($65,933 par,</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due 4/2018)</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7.50%</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4/11/2013</w:t>
            </w:r>
          </w:p>
        </w:tc>
        <w:tc>
          <w:tcPr>
            <w:tcW w:w="680" w:type="dxa"/>
            <w:vAlign w:val="bottom"/>
          </w:tcPr>
          <w:p>
            <w:pPr>
              <w:jc w:val="right"/>
              <w:spacing w:after="0"/>
              <w:rPr>
                <w:sz w:val="20"/>
                <w:szCs w:val="20"/>
                <w:color w:val="auto"/>
              </w:rPr>
            </w:pPr>
            <w:r>
              <w:rPr>
                <w:rFonts w:ascii="Arial" w:cs="Arial" w:eastAsia="Arial" w:hAnsi="Arial"/>
                <w:sz w:val="18"/>
                <w:szCs w:val="18"/>
                <w:color w:val="auto"/>
              </w:rPr>
              <w:t>64,021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66,098</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Beyond Trust Software Holding Group,</w:t>
            </w: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 ($42,234 par,</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 (3)(4)(6)</w:t>
            </w: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12/2019)</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12/18/2013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41,706</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8"/>
        </w:trPr>
        <w:tc>
          <w:tcPr>
            <w:tcW w:w="3980" w:type="dxa"/>
            <w:vAlign w:val="bottom"/>
            <w:gridSpan w:val="2"/>
          </w:tcPr>
          <w:p>
            <w:pPr>
              <w:spacing w:after="0"/>
              <w:rPr>
                <w:sz w:val="20"/>
                <w:szCs w:val="20"/>
                <w:color w:val="auto"/>
              </w:rPr>
            </w:pPr>
            <w:r>
              <w:rPr>
                <w:rFonts w:ascii="Arial" w:cs="Arial" w:eastAsia="Arial" w:hAnsi="Arial"/>
                <w:sz w:val="18"/>
                <w:szCs w:val="18"/>
                <w:color w:val="auto"/>
              </w:rPr>
              <w:t>Longview Solutions, Inc. (3)(5)</w:t>
            </w:r>
          </w:p>
        </w:tc>
        <w:tc>
          <w:tcPr>
            <w:tcW w:w="2300" w:type="dxa"/>
            <w:vAlign w:val="bottom"/>
            <w:gridSpan w:val="2"/>
          </w:tcPr>
          <w:p>
            <w:pPr>
              <w:spacing w:after="0"/>
              <w:rPr>
                <w:sz w:val="20"/>
                <w:szCs w:val="20"/>
                <w:color w:val="auto"/>
              </w:rPr>
            </w:pPr>
            <w:r>
              <w:rPr>
                <w:rFonts w:ascii="Arial" w:cs="Arial" w:eastAsia="Arial" w:hAnsi="Arial"/>
                <w:sz w:val="18"/>
                <w:szCs w:val="18"/>
                <w:color w:val="auto"/>
              </w:rPr>
              <w:t>First-lien loan ($16,500 par,</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due 6/2019)</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7.50%</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6/30/2014</w:t>
            </w:r>
          </w:p>
        </w:tc>
        <w:tc>
          <w:tcPr>
            <w:tcW w:w="680" w:type="dxa"/>
            <w:vAlign w:val="bottom"/>
          </w:tcPr>
          <w:p>
            <w:pPr>
              <w:jc w:val="right"/>
              <w:spacing w:after="0"/>
              <w:rPr>
                <w:sz w:val="20"/>
                <w:szCs w:val="20"/>
                <w:color w:val="auto"/>
              </w:rPr>
            </w:pPr>
            <w:r>
              <w:rPr>
                <w:rFonts w:ascii="Arial" w:cs="Arial" w:eastAsia="Arial" w:hAnsi="Arial"/>
                <w:sz w:val="18"/>
                <w:szCs w:val="18"/>
                <w:color w:val="auto"/>
              </w:rPr>
              <w:t>16,130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16,130</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Merchants, Inc (3)(4)</w:t>
            </w: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 ($29,659 par,</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9/2018)</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9/12/2013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29,153</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29,430</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150,613</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153,364</w:t>
            </w:r>
          </w:p>
        </w:tc>
        <w:tc>
          <w:tcPr>
            <w:tcW w:w="2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Communications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80" w:type="dxa"/>
            <w:vAlign w:val="bottom"/>
            <w:gridSpan w:val="2"/>
          </w:tcPr>
          <w:p>
            <w:pPr>
              <w:spacing w:after="0"/>
              <w:rPr>
                <w:sz w:val="20"/>
                <w:szCs w:val="20"/>
                <w:color w:val="auto"/>
              </w:rPr>
            </w:pPr>
            <w:r>
              <w:rPr>
                <w:rFonts w:ascii="Arial" w:cs="Arial" w:eastAsia="Arial" w:hAnsi="Arial"/>
                <w:sz w:val="18"/>
                <w:szCs w:val="18"/>
                <w:color w:val="auto"/>
              </w:rPr>
              <w:t>IPC Systems, Inc. (3)(4)</w:t>
            </w:r>
          </w:p>
        </w:tc>
        <w:tc>
          <w:tcPr>
            <w:tcW w:w="2300" w:type="dxa"/>
            <w:vAlign w:val="bottom"/>
            <w:gridSpan w:val="2"/>
          </w:tcPr>
          <w:p>
            <w:pPr>
              <w:spacing w:after="0"/>
              <w:rPr>
                <w:sz w:val="20"/>
                <w:szCs w:val="20"/>
                <w:color w:val="auto"/>
              </w:rPr>
            </w:pPr>
            <w:r>
              <w:rPr>
                <w:rFonts w:ascii="Arial" w:cs="Arial" w:eastAsia="Arial" w:hAnsi="Arial"/>
                <w:sz w:val="18"/>
                <w:szCs w:val="18"/>
                <w:color w:val="auto"/>
                <w:w w:val="96"/>
              </w:rPr>
              <w:t>Second-lien loan ($5,000 par,</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due 5/2021)</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9.50%</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5/2/2014</w:t>
            </w:r>
          </w:p>
        </w:tc>
        <w:tc>
          <w:tcPr>
            <w:tcW w:w="680" w:type="dxa"/>
            <w:vAlign w:val="bottom"/>
          </w:tcPr>
          <w:p>
            <w:pPr>
              <w:jc w:val="right"/>
              <w:spacing w:after="0"/>
              <w:rPr>
                <w:sz w:val="20"/>
                <w:szCs w:val="20"/>
                <w:color w:val="auto"/>
              </w:rPr>
            </w:pPr>
            <w:r>
              <w:rPr>
                <w:rFonts w:ascii="Arial" w:cs="Arial" w:eastAsia="Arial" w:hAnsi="Arial"/>
                <w:sz w:val="18"/>
                <w:szCs w:val="18"/>
                <w:color w:val="auto"/>
              </w:rPr>
              <w:t>4,901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4,981</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7"/>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Construction and building</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80" w:type="dxa"/>
            <w:vAlign w:val="bottom"/>
            <w:gridSpan w:val="2"/>
          </w:tcPr>
          <w:p>
            <w:pPr>
              <w:spacing w:after="0"/>
              <w:rPr>
                <w:sz w:val="20"/>
                <w:szCs w:val="20"/>
                <w:color w:val="auto"/>
              </w:rPr>
            </w:pPr>
            <w:r>
              <w:rPr>
                <w:rFonts w:ascii="Arial" w:cs="Arial" w:eastAsia="Arial" w:hAnsi="Arial"/>
                <w:sz w:val="18"/>
                <w:szCs w:val="18"/>
                <w:color w:val="auto"/>
              </w:rPr>
              <w:t>Mannington Mills, Inc. (3)(4)</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14.00%</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Second-lien loan ($47,003</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(incl. 2.00%</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par, due 3/2017)</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PIK)</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3/2/2012</w:t>
            </w:r>
          </w:p>
        </w:tc>
        <w:tc>
          <w:tcPr>
            <w:tcW w:w="680" w:type="dxa"/>
            <w:vAlign w:val="bottom"/>
          </w:tcPr>
          <w:p>
            <w:pPr>
              <w:jc w:val="right"/>
              <w:spacing w:after="0"/>
              <w:rPr>
                <w:sz w:val="20"/>
                <w:szCs w:val="20"/>
                <w:color w:val="auto"/>
              </w:rPr>
            </w:pPr>
            <w:r>
              <w:rPr>
                <w:rFonts w:ascii="Arial" w:cs="Arial" w:eastAsia="Arial" w:hAnsi="Arial"/>
                <w:sz w:val="18"/>
                <w:szCs w:val="18"/>
                <w:color w:val="auto"/>
              </w:rPr>
              <w:t>46,246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50,176</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7"/>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Containers and packaging</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80" w:type="dxa"/>
            <w:vAlign w:val="bottom"/>
            <w:gridSpan w:val="2"/>
          </w:tcPr>
          <w:p>
            <w:pPr>
              <w:spacing w:after="0"/>
              <w:rPr>
                <w:sz w:val="20"/>
                <w:szCs w:val="20"/>
                <w:color w:val="auto"/>
              </w:rPr>
            </w:pPr>
            <w:r>
              <w:rPr>
                <w:rFonts w:ascii="Arial" w:cs="Arial" w:eastAsia="Arial" w:hAnsi="Arial"/>
                <w:sz w:val="18"/>
                <w:szCs w:val="18"/>
                <w:color w:val="auto"/>
              </w:rPr>
              <w:t>The Newark Group, Inc. (3)(4)</w:t>
            </w:r>
          </w:p>
        </w:tc>
        <w:tc>
          <w:tcPr>
            <w:tcW w:w="2300" w:type="dxa"/>
            <w:vAlign w:val="bottom"/>
            <w:gridSpan w:val="2"/>
          </w:tcPr>
          <w:p>
            <w:pPr>
              <w:spacing w:after="0"/>
              <w:rPr>
                <w:sz w:val="20"/>
                <w:szCs w:val="20"/>
                <w:color w:val="auto"/>
              </w:rPr>
            </w:pPr>
            <w:r>
              <w:rPr>
                <w:rFonts w:ascii="Arial" w:cs="Arial" w:eastAsia="Arial" w:hAnsi="Arial"/>
                <w:sz w:val="18"/>
                <w:szCs w:val="18"/>
                <w:color w:val="auto"/>
              </w:rPr>
              <w:t>First-lien loan ($45,600 par,</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due 2/2018)</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8.50%</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2/8/2013</w:t>
            </w:r>
          </w:p>
        </w:tc>
        <w:tc>
          <w:tcPr>
            <w:tcW w:w="680" w:type="dxa"/>
            <w:vAlign w:val="bottom"/>
          </w:tcPr>
          <w:p>
            <w:pPr>
              <w:jc w:val="right"/>
              <w:spacing w:after="0"/>
              <w:rPr>
                <w:sz w:val="20"/>
                <w:szCs w:val="20"/>
                <w:color w:val="auto"/>
              </w:rPr>
            </w:pPr>
            <w:r>
              <w:rPr>
                <w:rFonts w:ascii="Arial" w:cs="Arial" w:eastAsia="Arial" w:hAnsi="Arial"/>
                <w:sz w:val="18"/>
                <w:szCs w:val="18"/>
                <w:color w:val="auto"/>
              </w:rPr>
              <w:t>45,252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46,512</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7"/>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Education</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80" w:type="dxa"/>
            <w:vAlign w:val="bottom"/>
            <w:gridSpan w:val="2"/>
          </w:tcPr>
          <w:p>
            <w:pPr>
              <w:spacing w:after="0"/>
              <w:rPr>
                <w:sz w:val="20"/>
                <w:szCs w:val="20"/>
                <w:color w:val="auto"/>
              </w:rPr>
            </w:pPr>
            <w:r>
              <w:rPr>
                <w:rFonts w:ascii="Arial" w:cs="Arial" w:eastAsia="Arial" w:hAnsi="Arial"/>
                <w:sz w:val="18"/>
                <w:szCs w:val="18"/>
                <w:color w:val="auto"/>
              </w:rPr>
              <w:t>Campus Management, Inc. (3)(4)(6)</w:t>
            </w:r>
          </w:p>
        </w:tc>
        <w:tc>
          <w:tcPr>
            <w:tcW w:w="2300" w:type="dxa"/>
            <w:vAlign w:val="bottom"/>
            <w:gridSpan w:val="2"/>
          </w:tcPr>
          <w:p>
            <w:pPr>
              <w:spacing w:after="0"/>
              <w:rPr>
                <w:sz w:val="20"/>
                <w:szCs w:val="20"/>
                <w:color w:val="auto"/>
              </w:rPr>
            </w:pPr>
            <w:r>
              <w:rPr>
                <w:rFonts w:ascii="Arial" w:cs="Arial" w:eastAsia="Arial" w:hAnsi="Arial"/>
                <w:sz w:val="18"/>
                <w:szCs w:val="18"/>
                <w:color w:val="auto"/>
              </w:rPr>
              <w:t>First-lien loan ($28,875 par,</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due 9/2018)</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8.75%</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9/30/2013</w:t>
            </w:r>
          </w:p>
        </w:tc>
        <w:tc>
          <w:tcPr>
            <w:tcW w:w="680" w:type="dxa"/>
            <w:vAlign w:val="bottom"/>
          </w:tcPr>
          <w:p>
            <w:pPr>
              <w:jc w:val="right"/>
              <w:spacing w:after="0"/>
              <w:rPr>
                <w:sz w:val="20"/>
                <w:szCs w:val="20"/>
                <w:color w:val="auto"/>
              </w:rPr>
            </w:pPr>
            <w:r>
              <w:rPr>
                <w:rFonts w:ascii="Arial" w:cs="Arial" w:eastAsia="Arial" w:hAnsi="Arial"/>
                <w:sz w:val="18"/>
                <w:szCs w:val="18"/>
                <w:color w:val="auto"/>
              </w:rPr>
              <w:t>28,254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28,586</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7"/>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Electronics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80" w:type="dxa"/>
            <w:vAlign w:val="bottom"/>
            <w:gridSpan w:val="2"/>
          </w:tcPr>
          <w:p>
            <w:pPr>
              <w:spacing w:after="0"/>
              <w:rPr>
                <w:sz w:val="20"/>
                <w:szCs w:val="20"/>
                <w:color w:val="auto"/>
              </w:rPr>
            </w:pPr>
            <w:r>
              <w:rPr>
                <w:rFonts w:ascii="Arial" w:cs="Arial" w:eastAsia="Arial" w:hAnsi="Arial"/>
                <w:sz w:val="18"/>
                <w:szCs w:val="18"/>
                <w:color w:val="auto"/>
              </w:rPr>
              <w:t>My Alarm Center, LLC (3)(4)</w:t>
            </w:r>
          </w:p>
        </w:tc>
        <w:tc>
          <w:tcPr>
            <w:tcW w:w="2300" w:type="dxa"/>
            <w:vAlign w:val="bottom"/>
            <w:gridSpan w:val="2"/>
          </w:tcPr>
          <w:p>
            <w:pPr>
              <w:spacing w:after="0"/>
              <w:rPr>
                <w:sz w:val="20"/>
                <w:szCs w:val="20"/>
                <w:color w:val="auto"/>
              </w:rPr>
            </w:pPr>
            <w:r>
              <w:rPr>
                <w:rFonts w:ascii="Arial" w:cs="Arial" w:eastAsia="Arial" w:hAnsi="Arial"/>
                <w:sz w:val="18"/>
                <w:szCs w:val="18"/>
                <w:color w:val="auto"/>
              </w:rPr>
              <w:t>First-lien loan ($55,547 par,</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due 1/2018)</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8.50%</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1/9/2014</w:t>
            </w:r>
          </w:p>
        </w:tc>
        <w:tc>
          <w:tcPr>
            <w:tcW w:w="680" w:type="dxa"/>
            <w:vAlign w:val="bottom"/>
          </w:tcPr>
          <w:p>
            <w:pPr>
              <w:jc w:val="right"/>
              <w:spacing w:after="0"/>
              <w:rPr>
                <w:sz w:val="20"/>
                <w:szCs w:val="20"/>
                <w:color w:val="auto"/>
              </w:rPr>
            </w:pPr>
            <w:r>
              <w:rPr>
                <w:rFonts w:ascii="Arial" w:cs="Arial" w:eastAsia="Arial" w:hAnsi="Arial"/>
                <w:sz w:val="18"/>
                <w:szCs w:val="18"/>
                <w:color w:val="auto"/>
              </w:rPr>
              <w:t>53,575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53,902</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9"/>
        </w:trPr>
        <w:tc>
          <w:tcPr>
            <w:tcW w:w="8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16.25%</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Mezzanine loan ($4,688 par,</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(incl. 4.25%</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0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7/2018)</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PIK)</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1/9/2014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58,220</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58,555</w:t>
            </w:r>
          </w:p>
        </w:tc>
        <w:tc>
          <w:tcPr>
            <w:tcW w:w="26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Financial services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80" w:type="dxa"/>
            <w:vAlign w:val="bottom"/>
            <w:gridSpan w:val="2"/>
          </w:tcPr>
          <w:p>
            <w:pPr>
              <w:spacing w:after="0"/>
              <w:rPr>
                <w:sz w:val="20"/>
                <w:szCs w:val="20"/>
                <w:color w:val="auto"/>
              </w:rPr>
            </w:pPr>
            <w:r>
              <w:rPr>
                <w:rFonts w:ascii="Arial" w:cs="Arial" w:eastAsia="Arial" w:hAnsi="Arial"/>
                <w:sz w:val="18"/>
                <w:szCs w:val="18"/>
                <w:color w:val="auto"/>
              </w:rPr>
              <w:t>Embarcadero Technologies, Inc. (3)(4)(6)</w:t>
            </w:r>
          </w:p>
        </w:tc>
        <w:tc>
          <w:tcPr>
            <w:tcW w:w="2300" w:type="dxa"/>
            <w:vAlign w:val="bottom"/>
            <w:gridSpan w:val="2"/>
          </w:tcPr>
          <w:p>
            <w:pPr>
              <w:spacing w:after="0"/>
              <w:rPr>
                <w:sz w:val="20"/>
                <w:szCs w:val="20"/>
                <w:color w:val="auto"/>
              </w:rPr>
            </w:pPr>
            <w:r>
              <w:rPr>
                <w:rFonts w:ascii="Arial" w:cs="Arial" w:eastAsia="Arial" w:hAnsi="Arial"/>
                <w:sz w:val="18"/>
                <w:szCs w:val="18"/>
                <w:color w:val="auto"/>
              </w:rPr>
              <w:t>First-lien loan ($41,361 par,</w:t>
            </w: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due 12/2017)</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12/28/2012</w:t>
            </w:r>
          </w:p>
        </w:tc>
        <w:tc>
          <w:tcPr>
            <w:tcW w:w="680" w:type="dxa"/>
            <w:vAlign w:val="bottom"/>
          </w:tcPr>
          <w:p>
            <w:pPr>
              <w:jc w:val="right"/>
              <w:spacing w:after="0"/>
              <w:rPr>
                <w:sz w:val="20"/>
                <w:szCs w:val="20"/>
                <w:color w:val="auto"/>
              </w:rPr>
            </w:pPr>
            <w:r>
              <w:rPr>
                <w:rFonts w:ascii="Arial" w:cs="Arial" w:eastAsia="Arial" w:hAnsi="Arial"/>
                <w:sz w:val="18"/>
                <w:szCs w:val="18"/>
                <w:color w:val="auto"/>
              </w:rPr>
              <w:t>40,592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41,361</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Rogue Wave Holdings, Inc. (3)(4)(6)</w:t>
            </w: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 ($67,311 par,</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12/2018)</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11/21/2012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66,051</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66,975</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106,643</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108,336</w:t>
            </w:r>
          </w:p>
        </w:tc>
        <w:tc>
          <w:tcPr>
            <w:tcW w:w="2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Acquisition</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6"/>
              </w:rPr>
              <w:t>Amortized</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8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Company (1)</w:t>
            </w:r>
          </w:p>
        </w:tc>
        <w:tc>
          <w:tcPr>
            <w:tcW w:w="3640" w:type="dxa"/>
            <w:vAlign w:val="bottom"/>
          </w:tcPr>
          <w:p>
            <w:pPr>
              <w:spacing w:after="0"/>
              <w:rPr>
                <w:sz w:val="15"/>
                <w:szCs w:val="15"/>
                <w:color w:val="auto"/>
              </w:rPr>
            </w:pPr>
          </w:p>
        </w:tc>
        <w:tc>
          <w:tcPr>
            <w:tcW w:w="2280" w:type="dxa"/>
            <w:vAlign w:val="bottom"/>
            <w:gridSpan w:val="2"/>
          </w:tcPr>
          <w:p>
            <w:pPr>
              <w:ind w:left="760"/>
              <w:spacing w:after="0"/>
              <w:rPr>
                <w:sz w:val="20"/>
                <w:szCs w:val="20"/>
                <w:color w:val="auto"/>
              </w:rPr>
            </w:pPr>
            <w:r>
              <w:rPr>
                <w:rFonts w:ascii="Arial" w:cs="Arial" w:eastAsia="Arial" w:hAnsi="Arial"/>
                <w:sz w:val="14"/>
                <w:szCs w:val="14"/>
                <w:b w:val="1"/>
                <w:bCs w:val="1"/>
                <w:color w:val="auto"/>
              </w:rPr>
              <w:t>Investment</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Interest</w:t>
            </w: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Date</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Cost (2)</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Fair Value</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Net Assets</w:t>
            </w:r>
          </w:p>
        </w:tc>
        <w:tc>
          <w:tcPr>
            <w:tcW w:w="0" w:type="dxa"/>
            <w:vAlign w:val="bottom"/>
          </w:tcPr>
          <w:p>
            <w:pPr>
              <w:spacing w:after="0"/>
              <w:rPr>
                <w:sz w:val="1"/>
                <w:szCs w:val="1"/>
                <w:color w:val="auto"/>
              </w:rPr>
            </w:pPr>
          </w:p>
        </w:tc>
      </w:tr>
      <w:tr>
        <w:trPr>
          <w:trHeight w:val="190"/>
        </w:trPr>
        <w:tc>
          <w:tcPr>
            <w:tcW w:w="4440" w:type="dxa"/>
            <w:vAlign w:val="bottom"/>
            <w:tcBorders>
              <w:top w:val="single" w:sz="8" w:color="CCEEFF"/>
            </w:tcBorders>
            <w:gridSpan w:val="2"/>
            <w:shd w:val="clear" w:color="auto" w:fill="CCEEFF"/>
          </w:tcPr>
          <w:p>
            <w:pPr>
              <w:ind w:left="440"/>
              <w:spacing w:after="0" w:line="189" w:lineRule="exact"/>
              <w:rPr>
                <w:sz w:val="20"/>
                <w:szCs w:val="20"/>
                <w:color w:val="auto"/>
              </w:rPr>
            </w:pPr>
            <w:r>
              <w:rPr>
                <w:rFonts w:ascii="Arial" w:cs="Arial" w:eastAsia="Arial" w:hAnsi="Arial"/>
                <w:sz w:val="18"/>
                <w:szCs w:val="18"/>
                <w:b w:val="1"/>
                <w:bCs w:val="1"/>
                <w:color w:val="auto"/>
              </w:rPr>
              <w:t>Healthcare and pharmaceuticals</w:t>
            </w:r>
          </w:p>
        </w:tc>
        <w:tc>
          <w:tcPr>
            <w:tcW w:w="2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440" w:type="dxa"/>
            <w:vAlign w:val="bottom"/>
            <w:gridSpan w:val="2"/>
          </w:tcPr>
          <w:p>
            <w:pPr>
              <w:spacing w:after="0"/>
              <w:rPr>
                <w:sz w:val="20"/>
                <w:szCs w:val="20"/>
                <w:color w:val="auto"/>
              </w:rPr>
            </w:pPr>
            <w:r>
              <w:rPr>
                <w:rFonts w:ascii="Arial" w:cs="Arial" w:eastAsia="Arial" w:hAnsi="Arial"/>
                <w:sz w:val="18"/>
                <w:szCs w:val="18"/>
                <w:color w:val="auto"/>
              </w:rPr>
              <w:t>Aesynt, Inc. (3)(4)(6)</w:t>
            </w:r>
          </w:p>
        </w:tc>
        <w:tc>
          <w:tcPr>
            <w:tcW w:w="2280" w:type="dxa"/>
            <w:vAlign w:val="bottom"/>
            <w:gridSpan w:val="2"/>
          </w:tcPr>
          <w:p>
            <w:pPr>
              <w:spacing w:after="0"/>
              <w:rPr>
                <w:sz w:val="20"/>
                <w:szCs w:val="20"/>
                <w:color w:val="auto"/>
              </w:rPr>
            </w:pPr>
            <w:r>
              <w:rPr>
                <w:rFonts w:ascii="Arial" w:cs="Arial" w:eastAsia="Arial" w:hAnsi="Arial"/>
                <w:sz w:val="18"/>
                <w:szCs w:val="18"/>
                <w:color w:val="auto"/>
              </w:rPr>
              <w:t>First-lien term loan</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($35,000 par, due 5/2019)</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7.00%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5/8/2014</w:t>
            </w:r>
          </w:p>
        </w:tc>
        <w:tc>
          <w:tcPr>
            <w:tcW w:w="740" w:type="dxa"/>
            <w:vAlign w:val="bottom"/>
          </w:tcPr>
          <w:p>
            <w:pPr>
              <w:jc w:val="right"/>
              <w:spacing w:after="0"/>
              <w:rPr>
                <w:sz w:val="20"/>
                <w:szCs w:val="20"/>
                <w:color w:val="auto"/>
              </w:rPr>
            </w:pPr>
            <w:r>
              <w:rPr>
                <w:rFonts w:ascii="Arial" w:cs="Arial" w:eastAsia="Arial" w:hAnsi="Arial"/>
                <w:sz w:val="18"/>
                <w:szCs w:val="18"/>
                <w:color w:val="auto"/>
              </w:rPr>
              <w:t>34,037</w:t>
            </w: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34,037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Healthcare Exchange, LLC (3)(4)</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term loan ($25,000</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3/2020)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10.00%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3/11/2014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24,464</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24,578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8"/>
        </w:trPr>
        <w:tc>
          <w:tcPr>
            <w:tcW w:w="4440" w:type="dxa"/>
            <w:vAlign w:val="bottom"/>
            <w:gridSpan w:val="2"/>
          </w:tcPr>
          <w:p>
            <w:pPr>
              <w:spacing w:after="0"/>
              <w:rPr>
                <w:sz w:val="20"/>
                <w:szCs w:val="20"/>
                <w:color w:val="auto"/>
              </w:rPr>
            </w:pPr>
            <w:r>
              <w:rPr>
                <w:rFonts w:ascii="Arial" w:cs="Arial" w:eastAsia="Arial" w:hAnsi="Arial"/>
                <w:sz w:val="18"/>
                <w:szCs w:val="18"/>
                <w:color w:val="auto"/>
              </w:rPr>
              <w:t>Mediware Information Systems, Inc. (3)(4)(6)</w:t>
            </w:r>
          </w:p>
        </w:tc>
        <w:tc>
          <w:tcPr>
            <w:tcW w:w="2280" w:type="dxa"/>
            <w:vAlign w:val="bottom"/>
            <w:gridSpan w:val="2"/>
          </w:tcPr>
          <w:p>
            <w:pPr>
              <w:spacing w:after="0"/>
              <w:rPr>
                <w:sz w:val="20"/>
                <w:szCs w:val="20"/>
                <w:color w:val="auto"/>
              </w:rPr>
            </w:pPr>
            <w:r>
              <w:rPr>
                <w:rFonts w:ascii="Arial" w:cs="Arial" w:eastAsia="Arial" w:hAnsi="Arial"/>
                <w:sz w:val="18"/>
                <w:szCs w:val="18"/>
                <w:color w:val="auto"/>
              </w:rPr>
              <w:t>First-lien loan ($70,321 par,</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due 5/2018)</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11/9/2012</w:t>
            </w:r>
          </w:p>
        </w:tc>
        <w:tc>
          <w:tcPr>
            <w:tcW w:w="740" w:type="dxa"/>
            <w:vAlign w:val="bottom"/>
          </w:tcPr>
          <w:p>
            <w:pPr>
              <w:jc w:val="right"/>
              <w:spacing w:after="0"/>
              <w:rPr>
                <w:sz w:val="20"/>
                <w:szCs w:val="20"/>
                <w:color w:val="auto"/>
              </w:rPr>
            </w:pPr>
            <w:r>
              <w:rPr>
                <w:rFonts w:ascii="Arial" w:cs="Arial" w:eastAsia="Arial" w:hAnsi="Arial"/>
                <w:sz w:val="18"/>
                <w:szCs w:val="18"/>
                <w:color w:val="auto"/>
              </w:rPr>
              <w:t>68,975</w:t>
            </w: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70,321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SRS Software, LLC (3)(4)</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 ($34,688 par,</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12/2017)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12/28/2012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34,032</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34,861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8"/>
        </w:trPr>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First-lien revolving loan</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($2,000 par, due 12/2017)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8.75%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12/28/2012</w:t>
            </w:r>
          </w:p>
        </w:tc>
        <w:tc>
          <w:tcPr>
            <w:tcW w:w="740" w:type="dxa"/>
            <w:vAlign w:val="bottom"/>
          </w:tcPr>
          <w:p>
            <w:pPr>
              <w:jc w:val="right"/>
              <w:spacing w:after="0"/>
              <w:rPr>
                <w:sz w:val="20"/>
                <w:szCs w:val="20"/>
                <w:color w:val="auto"/>
              </w:rPr>
            </w:pPr>
            <w:r>
              <w:rPr>
                <w:rFonts w:ascii="Arial" w:cs="Arial" w:eastAsia="Arial" w:hAnsi="Arial"/>
                <w:sz w:val="18"/>
                <w:szCs w:val="18"/>
                <w:color w:val="auto"/>
              </w:rPr>
              <w:t>1,921</w:t>
            </w: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2,010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163,429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165,807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1"/>
        </w:trPr>
        <w:tc>
          <w:tcPr>
            <w:tcW w:w="4440" w:type="dxa"/>
            <w:vAlign w:val="bottom"/>
            <w:gridSpan w:val="2"/>
          </w:tcPr>
          <w:p>
            <w:pPr>
              <w:ind w:left="440"/>
              <w:spacing w:after="0"/>
              <w:rPr>
                <w:sz w:val="20"/>
                <w:szCs w:val="20"/>
                <w:color w:val="auto"/>
              </w:rPr>
            </w:pPr>
            <w:r>
              <w:rPr>
                <w:rFonts w:ascii="Arial" w:cs="Arial" w:eastAsia="Arial" w:hAnsi="Arial"/>
                <w:sz w:val="18"/>
                <w:szCs w:val="18"/>
                <w:b w:val="1"/>
                <w:bCs w:val="1"/>
                <w:color w:val="auto"/>
              </w:rPr>
              <w:t>Hotel, gaming, and leisure</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AMF Bowling Worldwide, Inc. (3)(4)</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 ($14,625 par,</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7/2/2013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13,616</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14,749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8"/>
        </w:trPr>
        <w:tc>
          <w:tcPr>
            <w:tcW w:w="4440" w:type="dxa"/>
            <w:vAlign w:val="bottom"/>
            <w:gridSpan w:val="2"/>
          </w:tcPr>
          <w:p>
            <w:pPr>
              <w:spacing w:after="0"/>
              <w:rPr>
                <w:sz w:val="20"/>
                <w:szCs w:val="20"/>
                <w:color w:val="auto"/>
              </w:rPr>
            </w:pPr>
            <w:r>
              <w:rPr>
                <w:rFonts w:ascii="Arial" w:cs="Arial" w:eastAsia="Arial" w:hAnsi="Arial"/>
                <w:sz w:val="18"/>
                <w:szCs w:val="18"/>
                <w:color w:val="auto"/>
              </w:rPr>
              <w:t>Centaur, LLC (3)(4)</w:t>
            </w:r>
          </w:p>
        </w:tc>
        <w:tc>
          <w:tcPr>
            <w:tcW w:w="2280" w:type="dxa"/>
            <w:vAlign w:val="bottom"/>
            <w:gridSpan w:val="2"/>
          </w:tcPr>
          <w:p>
            <w:pPr>
              <w:spacing w:after="0"/>
              <w:rPr>
                <w:sz w:val="20"/>
                <w:szCs w:val="20"/>
                <w:color w:val="auto"/>
              </w:rPr>
            </w:pPr>
            <w:r>
              <w:rPr>
                <w:rFonts w:ascii="Arial" w:cs="Arial" w:eastAsia="Arial" w:hAnsi="Arial"/>
                <w:sz w:val="18"/>
                <w:szCs w:val="18"/>
                <w:color w:val="auto"/>
                <w:w w:val="91"/>
              </w:rPr>
              <w:t>Second-lien loan ($10,000 par,</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due 2/2020)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8.75%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2/15/2013</w:t>
            </w:r>
          </w:p>
        </w:tc>
        <w:tc>
          <w:tcPr>
            <w:tcW w:w="740" w:type="dxa"/>
            <w:vAlign w:val="bottom"/>
          </w:tcPr>
          <w:p>
            <w:pPr>
              <w:jc w:val="right"/>
              <w:spacing w:after="0"/>
              <w:rPr>
                <w:sz w:val="20"/>
                <w:szCs w:val="20"/>
                <w:color w:val="auto"/>
              </w:rPr>
            </w:pPr>
            <w:r>
              <w:rPr>
                <w:rFonts w:ascii="Arial" w:cs="Arial" w:eastAsia="Arial" w:hAnsi="Arial"/>
                <w:sz w:val="18"/>
                <w:szCs w:val="18"/>
                <w:color w:val="auto"/>
              </w:rPr>
              <w:t>9,926</w:t>
            </w: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10,150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Mandalay Baseball Properties, LLC (3)(4)</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 ($33,872 par,</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12.00%</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3/2017)</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(incl.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0" w:type="dxa"/>
            <w:vAlign w:val="bottom"/>
            <w:shd w:val="clear" w:color="auto" w:fill="CCEEFF"/>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PIK)</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4/12/2012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33,376</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35,142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8"/>
        </w:trPr>
        <w:tc>
          <w:tcPr>
            <w:tcW w:w="4440" w:type="dxa"/>
            <w:vAlign w:val="bottom"/>
            <w:gridSpan w:val="2"/>
          </w:tcPr>
          <w:p>
            <w:pPr>
              <w:spacing w:after="0"/>
              <w:rPr>
                <w:sz w:val="20"/>
                <w:szCs w:val="20"/>
                <w:color w:val="auto"/>
              </w:rPr>
            </w:pPr>
            <w:r>
              <w:rPr>
                <w:rFonts w:ascii="Arial" w:cs="Arial" w:eastAsia="Arial" w:hAnsi="Arial"/>
                <w:sz w:val="18"/>
                <w:szCs w:val="18"/>
                <w:color w:val="auto"/>
              </w:rPr>
              <w:t>Soho House (5)</w:t>
            </w:r>
          </w:p>
        </w:tc>
        <w:tc>
          <w:tcPr>
            <w:tcW w:w="2280" w:type="dxa"/>
            <w:vAlign w:val="bottom"/>
            <w:gridSpan w:val="2"/>
          </w:tcPr>
          <w:p>
            <w:pPr>
              <w:spacing w:after="0"/>
              <w:rPr>
                <w:sz w:val="20"/>
                <w:szCs w:val="20"/>
                <w:color w:val="auto"/>
              </w:rPr>
            </w:pPr>
            <w:r>
              <w:rPr>
                <w:rFonts w:ascii="Arial" w:cs="Arial" w:eastAsia="Arial" w:hAnsi="Arial"/>
                <w:sz w:val="18"/>
                <w:szCs w:val="18"/>
                <w:color w:val="auto"/>
                <w:w w:val="94"/>
              </w:rPr>
              <w:t>Second-lien bond (GBP 7,750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par, due 10/2018)</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9.13%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9/20/2013</w:t>
            </w:r>
          </w:p>
        </w:tc>
        <w:tc>
          <w:tcPr>
            <w:tcW w:w="740" w:type="dxa"/>
            <w:vAlign w:val="bottom"/>
          </w:tcPr>
          <w:p>
            <w:pPr>
              <w:jc w:val="right"/>
              <w:spacing w:after="0"/>
              <w:rPr>
                <w:sz w:val="20"/>
                <w:szCs w:val="20"/>
                <w:color w:val="auto"/>
              </w:rPr>
            </w:pPr>
            <w:r>
              <w:rPr>
                <w:rFonts w:ascii="Arial" w:cs="Arial" w:eastAsia="Arial" w:hAnsi="Arial"/>
                <w:sz w:val="18"/>
                <w:szCs w:val="18"/>
                <w:color w:val="auto"/>
              </w:rPr>
              <w:t>12,687</w:t>
            </w: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13,964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74,005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1"/>
        </w:trPr>
        <w:tc>
          <w:tcPr>
            <w:tcW w:w="4440" w:type="dxa"/>
            <w:vAlign w:val="bottom"/>
            <w:gridSpan w:val="2"/>
          </w:tcPr>
          <w:p>
            <w:pPr>
              <w:ind w:left="440"/>
              <w:spacing w:after="0"/>
              <w:rPr>
                <w:sz w:val="20"/>
                <w:szCs w:val="20"/>
                <w:color w:val="auto"/>
              </w:rPr>
            </w:pPr>
            <w:r>
              <w:rPr>
                <w:rFonts w:ascii="Arial" w:cs="Arial" w:eastAsia="Arial" w:hAnsi="Arial"/>
                <w:sz w:val="18"/>
                <w:szCs w:val="18"/>
                <w:b w:val="1"/>
                <w:bCs w:val="1"/>
                <w:color w:val="auto"/>
              </w:rPr>
              <w:t>Human resource support services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 Group, Inc. (3)(4)</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 ($33,976 par,</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5/2018)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10.50%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5/8/2013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33,302</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33,781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8"/>
        </w:trPr>
        <w:tc>
          <w:tcPr>
            <w:tcW w:w="4440" w:type="dxa"/>
            <w:vAlign w:val="bottom"/>
            <w:gridSpan w:val="2"/>
          </w:tcPr>
          <w:p>
            <w:pPr>
              <w:spacing w:after="0"/>
              <w:rPr>
                <w:sz w:val="20"/>
                <w:szCs w:val="20"/>
                <w:color w:val="auto"/>
              </w:rPr>
            </w:pPr>
            <w:r>
              <w:rPr>
                <w:rFonts w:ascii="Arial" w:cs="Arial" w:eastAsia="Arial" w:hAnsi="Arial"/>
                <w:sz w:val="18"/>
                <w:szCs w:val="18"/>
                <w:color w:val="auto"/>
              </w:rPr>
              <w:t>SumTotal Systems, LLC (3)(4)</w:t>
            </w:r>
          </w:p>
        </w:tc>
        <w:tc>
          <w:tcPr>
            <w:tcW w:w="2280" w:type="dxa"/>
            <w:vAlign w:val="bottom"/>
            <w:gridSpan w:val="2"/>
          </w:tcPr>
          <w:p>
            <w:pPr>
              <w:spacing w:after="0"/>
              <w:rPr>
                <w:sz w:val="20"/>
                <w:szCs w:val="20"/>
                <w:color w:val="auto"/>
              </w:rPr>
            </w:pPr>
            <w:r>
              <w:rPr>
                <w:rFonts w:ascii="Arial" w:cs="Arial" w:eastAsia="Arial" w:hAnsi="Arial"/>
                <w:sz w:val="18"/>
                <w:szCs w:val="18"/>
                <w:color w:val="auto"/>
              </w:rPr>
              <w:t>First-lien loan ($7,443 par,</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due 11/2018)</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11/16/2012</w:t>
            </w:r>
          </w:p>
        </w:tc>
        <w:tc>
          <w:tcPr>
            <w:tcW w:w="740" w:type="dxa"/>
            <w:vAlign w:val="bottom"/>
          </w:tcPr>
          <w:p>
            <w:pPr>
              <w:jc w:val="right"/>
              <w:spacing w:after="0"/>
              <w:rPr>
                <w:sz w:val="20"/>
                <w:szCs w:val="20"/>
                <w:color w:val="auto"/>
              </w:rPr>
            </w:pPr>
            <w:r>
              <w:rPr>
                <w:rFonts w:ascii="Arial" w:cs="Arial" w:eastAsia="Arial" w:hAnsi="Arial"/>
                <w:sz w:val="18"/>
                <w:szCs w:val="18"/>
                <w:color w:val="auto"/>
              </w:rPr>
              <w:t>7,364</w:t>
            </w: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7,257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9"/>
        </w:trPr>
        <w:tc>
          <w:tcPr>
            <w:tcW w:w="8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Second-lien loan ($12,000 par,</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5/2019)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10.25%</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11/16/2012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11,945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11,670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52,611</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52,708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Internet Services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40" w:type="dxa"/>
            <w:vAlign w:val="bottom"/>
            <w:gridSpan w:val="2"/>
          </w:tcPr>
          <w:p>
            <w:pPr>
              <w:spacing w:after="0"/>
              <w:rPr>
                <w:sz w:val="20"/>
                <w:szCs w:val="20"/>
                <w:color w:val="auto"/>
              </w:rPr>
            </w:pPr>
            <w:r>
              <w:rPr>
                <w:rFonts w:ascii="Arial" w:cs="Arial" w:eastAsia="Arial" w:hAnsi="Arial"/>
                <w:sz w:val="18"/>
                <w:szCs w:val="18"/>
                <w:color w:val="auto"/>
              </w:rPr>
              <w:t>Highwinds Capital, Inc. (3)(4)</w:t>
            </w:r>
          </w:p>
        </w:tc>
        <w:tc>
          <w:tcPr>
            <w:tcW w:w="2280" w:type="dxa"/>
            <w:vAlign w:val="bottom"/>
            <w:gridSpan w:val="2"/>
          </w:tcPr>
          <w:p>
            <w:pPr>
              <w:spacing w:after="0"/>
              <w:rPr>
                <w:sz w:val="20"/>
                <w:szCs w:val="20"/>
                <w:color w:val="auto"/>
              </w:rPr>
            </w:pPr>
            <w:r>
              <w:rPr>
                <w:rFonts w:ascii="Arial" w:cs="Arial" w:eastAsia="Arial" w:hAnsi="Arial"/>
                <w:sz w:val="18"/>
                <w:szCs w:val="18"/>
                <w:color w:val="auto"/>
              </w:rPr>
              <w:t>First-lien loan ($29,101 par,</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due 7/2018)</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9.00%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3/7/2014</w:t>
            </w:r>
          </w:p>
        </w:tc>
        <w:tc>
          <w:tcPr>
            <w:tcW w:w="740" w:type="dxa"/>
            <w:vAlign w:val="bottom"/>
          </w:tcPr>
          <w:p>
            <w:pPr>
              <w:jc w:val="right"/>
              <w:spacing w:after="0"/>
              <w:rPr>
                <w:sz w:val="20"/>
                <w:szCs w:val="20"/>
                <w:color w:val="auto"/>
              </w:rPr>
            </w:pPr>
            <w:r>
              <w:rPr>
                <w:rFonts w:ascii="Arial" w:cs="Arial" w:eastAsia="Arial" w:hAnsi="Arial"/>
                <w:sz w:val="18"/>
                <w:szCs w:val="18"/>
                <w:color w:val="auto"/>
              </w:rPr>
              <w:t>28,802</w:t>
            </w: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28,946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7"/>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Insurance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40" w:type="dxa"/>
            <w:vAlign w:val="bottom"/>
            <w:gridSpan w:val="2"/>
          </w:tcPr>
          <w:p>
            <w:pPr>
              <w:spacing w:after="0"/>
              <w:rPr>
                <w:sz w:val="20"/>
                <w:szCs w:val="20"/>
                <w:color w:val="auto"/>
              </w:rPr>
            </w:pPr>
            <w:r>
              <w:rPr>
                <w:rFonts w:ascii="Arial" w:cs="Arial" w:eastAsia="Arial" w:hAnsi="Arial"/>
                <w:sz w:val="18"/>
                <w:szCs w:val="18"/>
                <w:color w:val="auto"/>
              </w:rPr>
              <w:t>Infogix, Inc. (3)(4)</w:t>
            </w:r>
          </w:p>
        </w:tc>
        <w:tc>
          <w:tcPr>
            <w:tcW w:w="2280" w:type="dxa"/>
            <w:vAlign w:val="bottom"/>
            <w:gridSpan w:val="2"/>
          </w:tcPr>
          <w:p>
            <w:pPr>
              <w:spacing w:after="0"/>
              <w:rPr>
                <w:sz w:val="20"/>
                <w:szCs w:val="20"/>
                <w:color w:val="auto"/>
              </w:rPr>
            </w:pPr>
            <w:r>
              <w:rPr>
                <w:rFonts w:ascii="Arial" w:cs="Arial" w:eastAsia="Arial" w:hAnsi="Arial"/>
                <w:sz w:val="18"/>
                <w:szCs w:val="18"/>
                <w:color w:val="auto"/>
              </w:rPr>
              <w:t>First-lien loan ($36,413 par,</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due 6/2017)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6/1/2012</w:t>
            </w:r>
          </w:p>
        </w:tc>
        <w:tc>
          <w:tcPr>
            <w:tcW w:w="740" w:type="dxa"/>
            <w:vAlign w:val="bottom"/>
          </w:tcPr>
          <w:p>
            <w:pPr>
              <w:jc w:val="right"/>
              <w:spacing w:after="0"/>
              <w:rPr>
                <w:sz w:val="20"/>
                <w:szCs w:val="20"/>
                <w:color w:val="auto"/>
              </w:rPr>
            </w:pPr>
            <w:r>
              <w:rPr>
                <w:rFonts w:ascii="Arial" w:cs="Arial" w:eastAsia="Arial" w:hAnsi="Arial"/>
                <w:sz w:val="18"/>
                <w:szCs w:val="18"/>
                <w:color w:val="auto"/>
              </w:rPr>
              <w:t>35,926</w:t>
            </w: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36,413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9"/>
        </w:trPr>
        <w:tc>
          <w:tcPr>
            <w:tcW w:w="8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revolving loan</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($3,550 par, due 6/2017)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10.00%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6/1/2012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39,418</w:t>
            </w:r>
          </w:p>
        </w:tc>
        <w:tc>
          <w:tcPr>
            <w:tcW w:w="2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39,963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Manufacturing</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40" w:type="dxa"/>
            <w:vAlign w:val="bottom"/>
            <w:gridSpan w:val="2"/>
          </w:tcPr>
          <w:p>
            <w:pPr>
              <w:spacing w:after="0"/>
              <w:rPr>
                <w:sz w:val="20"/>
                <w:szCs w:val="20"/>
                <w:color w:val="auto"/>
              </w:rPr>
            </w:pPr>
            <w:r>
              <w:rPr>
                <w:rFonts w:ascii="Arial" w:cs="Arial" w:eastAsia="Arial" w:hAnsi="Arial"/>
                <w:sz w:val="18"/>
                <w:szCs w:val="18"/>
                <w:color w:val="auto"/>
              </w:rPr>
              <w:t>Jeeves Information Systems AB (3)(5)(6)</w:t>
            </w:r>
          </w:p>
        </w:tc>
        <w:tc>
          <w:tcPr>
            <w:tcW w:w="2280" w:type="dxa"/>
            <w:vAlign w:val="bottom"/>
            <w:gridSpan w:val="2"/>
          </w:tcPr>
          <w:p>
            <w:pPr>
              <w:spacing w:after="0"/>
              <w:rPr>
                <w:sz w:val="20"/>
                <w:szCs w:val="20"/>
                <w:color w:val="auto"/>
              </w:rPr>
            </w:pPr>
            <w:r>
              <w:rPr>
                <w:rFonts w:ascii="Arial" w:cs="Arial" w:eastAsia="Arial" w:hAnsi="Arial"/>
                <w:sz w:val="18"/>
                <w:szCs w:val="18"/>
                <w:color w:val="auto"/>
              </w:rPr>
              <w:t>First-lien loan (SEK 208,424</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par, due 6/2018)</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9.25%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6/5/2013</w:t>
            </w:r>
          </w:p>
        </w:tc>
        <w:tc>
          <w:tcPr>
            <w:tcW w:w="740" w:type="dxa"/>
            <w:vAlign w:val="bottom"/>
          </w:tcPr>
          <w:p>
            <w:pPr>
              <w:jc w:val="right"/>
              <w:spacing w:after="0"/>
              <w:rPr>
                <w:sz w:val="20"/>
                <w:szCs w:val="20"/>
                <w:color w:val="auto"/>
              </w:rPr>
            </w:pPr>
            <w:r>
              <w:rPr>
                <w:rFonts w:ascii="Arial" w:cs="Arial" w:eastAsia="Arial" w:hAnsi="Arial"/>
                <w:sz w:val="18"/>
                <w:szCs w:val="18"/>
                <w:color w:val="auto"/>
              </w:rPr>
              <w:t>31,022</w:t>
            </w: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30,942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7"/>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Metals and mining</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40" w:type="dxa"/>
            <w:vAlign w:val="bottom"/>
            <w:gridSpan w:val="2"/>
          </w:tcPr>
          <w:p>
            <w:pPr>
              <w:spacing w:after="0"/>
              <w:rPr>
                <w:sz w:val="20"/>
                <w:szCs w:val="20"/>
                <w:color w:val="auto"/>
              </w:rPr>
            </w:pPr>
            <w:r>
              <w:rPr>
                <w:rFonts w:ascii="Arial" w:cs="Arial" w:eastAsia="Arial" w:hAnsi="Arial"/>
                <w:sz w:val="18"/>
                <w:szCs w:val="18"/>
                <w:color w:val="auto"/>
              </w:rPr>
              <w:t>Metalico, Inc. (3)(4)(6)</w:t>
            </w:r>
          </w:p>
        </w:tc>
        <w:tc>
          <w:tcPr>
            <w:tcW w:w="2280" w:type="dxa"/>
            <w:vAlign w:val="bottom"/>
            <w:gridSpan w:val="2"/>
          </w:tcPr>
          <w:p>
            <w:pPr>
              <w:spacing w:after="0"/>
              <w:rPr>
                <w:sz w:val="20"/>
                <w:szCs w:val="20"/>
                <w:color w:val="auto"/>
              </w:rPr>
            </w:pPr>
            <w:r>
              <w:rPr>
                <w:rFonts w:ascii="Arial" w:cs="Arial" w:eastAsia="Arial" w:hAnsi="Arial"/>
                <w:sz w:val="18"/>
                <w:szCs w:val="18"/>
                <w:color w:val="auto"/>
              </w:rPr>
              <w:t>First-lien loan ($33,405 par,</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due 11/2019)</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9.50%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11/21/2013</w:t>
            </w:r>
          </w:p>
        </w:tc>
        <w:tc>
          <w:tcPr>
            <w:tcW w:w="740" w:type="dxa"/>
            <w:vAlign w:val="bottom"/>
          </w:tcPr>
          <w:p>
            <w:pPr>
              <w:jc w:val="right"/>
              <w:spacing w:after="0"/>
              <w:rPr>
                <w:sz w:val="20"/>
                <w:szCs w:val="20"/>
                <w:color w:val="auto"/>
              </w:rPr>
            </w:pPr>
            <w:r>
              <w:rPr>
                <w:rFonts w:ascii="Arial" w:cs="Arial" w:eastAsia="Arial" w:hAnsi="Arial"/>
                <w:sz w:val="18"/>
                <w:szCs w:val="18"/>
                <w:color w:val="auto"/>
              </w:rPr>
              <w:t>31,510</w:t>
            </w: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33,003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7"/>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Office products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40" w:type="dxa"/>
            <w:vAlign w:val="bottom"/>
            <w:gridSpan w:val="2"/>
          </w:tcPr>
          <w:p>
            <w:pPr>
              <w:spacing w:after="0"/>
              <w:rPr>
                <w:sz w:val="20"/>
                <w:szCs w:val="20"/>
                <w:color w:val="auto"/>
              </w:rPr>
            </w:pPr>
            <w:r>
              <w:rPr>
                <w:rFonts w:ascii="Arial" w:cs="Arial" w:eastAsia="Arial" w:hAnsi="Arial"/>
                <w:sz w:val="18"/>
                <w:szCs w:val="18"/>
                <w:color w:val="auto"/>
              </w:rPr>
              <w:t>Ecommerce Industries, Inc. (3)(4)</w:t>
            </w:r>
          </w:p>
        </w:tc>
        <w:tc>
          <w:tcPr>
            <w:tcW w:w="2280" w:type="dxa"/>
            <w:vAlign w:val="bottom"/>
            <w:gridSpan w:val="2"/>
          </w:tcPr>
          <w:p>
            <w:pPr>
              <w:spacing w:after="0"/>
              <w:rPr>
                <w:sz w:val="20"/>
                <w:szCs w:val="20"/>
                <w:color w:val="auto"/>
              </w:rPr>
            </w:pPr>
            <w:r>
              <w:rPr>
                <w:rFonts w:ascii="Arial" w:cs="Arial" w:eastAsia="Arial" w:hAnsi="Arial"/>
                <w:sz w:val="18"/>
                <w:szCs w:val="18"/>
                <w:color w:val="auto"/>
              </w:rPr>
              <w:t>First-lien loan ($35,568 par,</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due 3/2019)</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7.25%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3/11/2014</w:t>
            </w:r>
          </w:p>
        </w:tc>
        <w:tc>
          <w:tcPr>
            <w:tcW w:w="740" w:type="dxa"/>
            <w:vAlign w:val="bottom"/>
          </w:tcPr>
          <w:p>
            <w:pPr>
              <w:jc w:val="right"/>
              <w:spacing w:after="0"/>
              <w:rPr>
                <w:sz w:val="20"/>
                <w:szCs w:val="20"/>
                <w:color w:val="auto"/>
              </w:rPr>
            </w:pPr>
            <w:r>
              <w:rPr>
                <w:rFonts w:ascii="Arial" w:cs="Arial" w:eastAsia="Arial" w:hAnsi="Arial"/>
                <w:sz w:val="18"/>
                <w:szCs w:val="18"/>
                <w:color w:val="auto"/>
              </w:rPr>
              <w:t>35,236</w:t>
            </w: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35,139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7"/>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Oil, gas and consumable fuels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40" w:type="dxa"/>
            <w:vAlign w:val="bottom"/>
            <w:gridSpan w:val="2"/>
          </w:tcPr>
          <w:p>
            <w:pPr>
              <w:spacing w:after="0"/>
              <w:rPr>
                <w:sz w:val="20"/>
                <w:szCs w:val="20"/>
                <w:color w:val="auto"/>
              </w:rPr>
            </w:pPr>
            <w:r>
              <w:rPr>
                <w:rFonts w:ascii="Arial" w:cs="Arial" w:eastAsia="Arial" w:hAnsi="Arial"/>
                <w:sz w:val="18"/>
                <w:szCs w:val="18"/>
                <w:color w:val="auto"/>
              </w:rPr>
              <w:t>Mississippi Resources, LLC (3)(4)(7)</w:t>
            </w:r>
          </w:p>
        </w:tc>
        <w:tc>
          <w:tcPr>
            <w:tcW w:w="2280" w:type="dxa"/>
            <w:vAlign w:val="bottom"/>
            <w:gridSpan w:val="2"/>
          </w:tcPr>
          <w:p>
            <w:pPr>
              <w:spacing w:after="0"/>
              <w:rPr>
                <w:sz w:val="20"/>
                <w:szCs w:val="20"/>
                <w:color w:val="auto"/>
              </w:rPr>
            </w:pPr>
            <w:r>
              <w:rPr>
                <w:rFonts w:ascii="Arial" w:cs="Arial" w:eastAsia="Arial" w:hAnsi="Arial"/>
                <w:sz w:val="18"/>
                <w:szCs w:val="18"/>
                <w:color w:val="auto"/>
              </w:rPr>
              <w:t>First-lien loan ($36,400 par,</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due 6/2018)</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13.00%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6/4/2014</w:t>
            </w:r>
          </w:p>
        </w:tc>
        <w:tc>
          <w:tcPr>
            <w:tcW w:w="740" w:type="dxa"/>
            <w:vAlign w:val="bottom"/>
          </w:tcPr>
          <w:p>
            <w:pPr>
              <w:jc w:val="right"/>
              <w:spacing w:after="0"/>
              <w:rPr>
                <w:sz w:val="20"/>
                <w:szCs w:val="20"/>
                <w:color w:val="auto"/>
              </w:rPr>
            </w:pPr>
            <w:r>
              <w:rPr>
                <w:rFonts w:ascii="Arial" w:cs="Arial" w:eastAsia="Arial" w:hAnsi="Arial"/>
                <w:sz w:val="18"/>
                <w:szCs w:val="18"/>
                <w:color w:val="auto"/>
              </w:rPr>
              <w:t>35,490</w:t>
            </w: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35,490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7"/>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Transportation</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40" w:type="dxa"/>
            <w:vAlign w:val="bottom"/>
            <w:gridSpan w:val="2"/>
          </w:tcPr>
          <w:p>
            <w:pPr>
              <w:spacing w:after="0"/>
              <w:rPr>
                <w:sz w:val="20"/>
                <w:szCs w:val="20"/>
                <w:color w:val="auto"/>
              </w:rPr>
            </w:pPr>
            <w:r>
              <w:rPr>
                <w:rFonts w:ascii="Arial" w:cs="Arial" w:eastAsia="Arial" w:hAnsi="Arial"/>
                <w:sz w:val="18"/>
                <w:szCs w:val="18"/>
                <w:color w:val="auto"/>
              </w:rPr>
              <w:t>Kewill, Ltd. (3)(5)</w:t>
            </w:r>
          </w:p>
        </w:tc>
        <w:tc>
          <w:tcPr>
            <w:tcW w:w="2280" w:type="dxa"/>
            <w:vAlign w:val="bottom"/>
            <w:gridSpan w:val="2"/>
          </w:tcPr>
          <w:p>
            <w:pPr>
              <w:spacing w:after="0"/>
              <w:rPr>
                <w:sz w:val="20"/>
                <w:szCs w:val="20"/>
                <w:color w:val="auto"/>
              </w:rPr>
            </w:pPr>
            <w:r>
              <w:rPr>
                <w:rFonts w:ascii="Arial" w:cs="Arial" w:eastAsia="Arial" w:hAnsi="Arial"/>
                <w:sz w:val="18"/>
                <w:szCs w:val="18"/>
                <w:color w:val="auto"/>
                <w:w w:val="91"/>
              </w:rPr>
              <w:t>Second-lien loan ($52,500 par,</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due 10/2019)</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9.50%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10/2/2013</w:t>
            </w:r>
          </w:p>
        </w:tc>
        <w:tc>
          <w:tcPr>
            <w:tcW w:w="740" w:type="dxa"/>
            <w:vAlign w:val="bottom"/>
          </w:tcPr>
          <w:p>
            <w:pPr>
              <w:jc w:val="right"/>
              <w:spacing w:after="0"/>
              <w:rPr>
                <w:sz w:val="20"/>
                <w:szCs w:val="20"/>
                <w:color w:val="auto"/>
              </w:rPr>
            </w:pPr>
            <w:r>
              <w:rPr>
                <w:rFonts w:ascii="Arial" w:cs="Arial" w:eastAsia="Arial" w:hAnsi="Arial"/>
                <w:sz w:val="18"/>
                <w:szCs w:val="18"/>
                <w:color w:val="auto"/>
              </w:rPr>
              <w:t>51,548</w:t>
            </w:r>
          </w:p>
        </w:tc>
        <w:tc>
          <w:tcPr>
            <w:tcW w:w="2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52,237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6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Total Debt Investments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1,097,812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1,117,822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6"/>
              </w:rPr>
              <w:t>Acquisition</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9"/>
              <w:spacing w:after="0" w:line="135" w:lineRule="exact"/>
              <w:rPr>
                <w:sz w:val="20"/>
                <w:szCs w:val="20"/>
                <w:color w:val="auto"/>
              </w:rPr>
            </w:pPr>
            <w:r>
              <w:rPr>
                <w:rFonts w:ascii="Arial" w:cs="Arial" w:eastAsia="Arial" w:hAnsi="Arial"/>
                <w:sz w:val="14"/>
                <w:szCs w:val="14"/>
                <w:b w:val="1"/>
                <w:bCs w:val="1"/>
                <w:color w:val="auto"/>
                <w:w w:val="99"/>
              </w:rPr>
              <w:t>Amortized</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8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Company (1)</w:t>
            </w:r>
          </w:p>
        </w:tc>
        <w:tc>
          <w:tcPr>
            <w:tcW w:w="3380" w:type="dxa"/>
            <w:vAlign w:val="bottom"/>
          </w:tcPr>
          <w:p>
            <w:pPr>
              <w:spacing w:after="0"/>
              <w:rPr>
                <w:sz w:val="15"/>
                <w:szCs w:val="15"/>
                <w:color w:val="auto"/>
              </w:rPr>
            </w:pPr>
          </w:p>
        </w:tc>
        <w:tc>
          <w:tcPr>
            <w:tcW w:w="2420" w:type="dxa"/>
            <w:vAlign w:val="bottom"/>
            <w:gridSpan w:val="2"/>
          </w:tcPr>
          <w:p>
            <w:pPr>
              <w:ind w:left="780"/>
              <w:spacing w:after="0"/>
              <w:rPr>
                <w:sz w:val="20"/>
                <w:szCs w:val="20"/>
                <w:color w:val="auto"/>
              </w:rPr>
            </w:pPr>
            <w:r>
              <w:rPr>
                <w:rFonts w:ascii="Arial" w:cs="Arial" w:eastAsia="Arial" w:hAnsi="Arial"/>
                <w:sz w:val="14"/>
                <w:szCs w:val="14"/>
                <w:b w:val="1"/>
                <w:bCs w:val="1"/>
                <w:color w:val="auto"/>
              </w:rPr>
              <w:t>Investment</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Interest</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Date</w:t>
            </w:r>
          </w:p>
        </w:tc>
        <w:tc>
          <w:tcPr>
            <w:tcW w:w="100" w:type="dxa"/>
            <w:vAlign w:val="bottom"/>
          </w:tcPr>
          <w:p>
            <w:pPr>
              <w:spacing w:after="0"/>
              <w:rPr>
                <w:sz w:val="15"/>
                <w:szCs w:val="15"/>
                <w:color w:val="auto"/>
              </w:rPr>
            </w:pPr>
          </w:p>
        </w:tc>
        <w:tc>
          <w:tcPr>
            <w:tcW w:w="800" w:type="dxa"/>
            <w:vAlign w:val="bottom"/>
          </w:tcPr>
          <w:p>
            <w:pPr>
              <w:jc w:val="right"/>
              <w:ind w:right="99"/>
              <w:spacing w:after="0"/>
              <w:rPr>
                <w:sz w:val="20"/>
                <w:szCs w:val="20"/>
                <w:color w:val="auto"/>
              </w:rPr>
            </w:pPr>
            <w:r>
              <w:rPr>
                <w:rFonts w:ascii="Arial" w:cs="Arial" w:eastAsia="Arial" w:hAnsi="Arial"/>
                <w:sz w:val="14"/>
                <w:szCs w:val="14"/>
                <w:b w:val="1"/>
                <w:bCs w:val="1"/>
                <w:color w:val="auto"/>
              </w:rPr>
              <w:t>Cost (2)</w:t>
            </w:r>
          </w:p>
        </w:tc>
        <w:tc>
          <w:tcPr>
            <w:tcW w:w="280" w:type="dxa"/>
            <w:vAlign w:val="bottom"/>
          </w:tcPr>
          <w:p>
            <w:pPr>
              <w:spacing w:after="0"/>
              <w:rPr>
                <w:sz w:val="15"/>
                <w:szCs w:val="15"/>
                <w:color w:val="auto"/>
              </w:rPr>
            </w:pPr>
          </w:p>
        </w:tc>
        <w:tc>
          <w:tcPr>
            <w:tcW w:w="800" w:type="dxa"/>
            <w:vAlign w:val="bottom"/>
          </w:tcPr>
          <w:p>
            <w:pPr>
              <w:jc w:val="right"/>
              <w:ind w:right="16"/>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Net Assets</w:t>
            </w:r>
          </w:p>
        </w:tc>
        <w:tc>
          <w:tcPr>
            <w:tcW w:w="0" w:type="dxa"/>
            <w:vAlign w:val="bottom"/>
          </w:tcPr>
          <w:p>
            <w:pPr>
              <w:spacing w:after="0"/>
              <w:rPr>
                <w:sz w:val="1"/>
                <w:szCs w:val="1"/>
                <w:color w:val="auto"/>
              </w:rPr>
            </w:pPr>
          </w:p>
        </w:tc>
      </w:tr>
      <w:tr>
        <w:trPr>
          <w:trHeight w:val="190"/>
        </w:trPr>
        <w:tc>
          <w:tcPr>
            <w:tcW w:w="4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Equity Investments</w:t>
            </w:r>
          </w:p>
        </w:tc>
        <w:tc>
          <w:tcPr>
            <w:tcW w:w="22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440"/>
              <w:spacing w:after="0"/>
              <w:rPr>
                <w:sz w:val="20"/>
                <w:szCs w:val="20"/>
                <w:color w:val="auto"/>
              </w:rPr>
            </w:pPr>
            <w:r>
              <w:rPr>
                <w:rFonts w:ascii="Arial" w:cs="Arial" w:eastAsia="Arial" w:hAnsi="Arial"/>
                <w:sz w:val="18"/>
                <w:szCs w:val="18"/>
                <w:b w:val="1"/>
                <w:bCs w:val="1"/>
                <w:color w:val="auto"/>
              </w:rPr>
              <w:t>Business services</w:t>
            </w: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Merchants, Inc</w:t>
            </w: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Non-Voting Preferred Units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(774,099 units)</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9/12/2013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180" w:type="dxa"/>
            <w:vAlign w:val="bottom"/>
            <w:gridSpan w:val="2"/>
          </w:tcPr>
          <w:p>
            <w:pPr>
              <w:ind w:left="440"/>
              <w:spacing w:after="0"/>
              <w:rPr>
                <w:sz w:val="20"/>
                <w:szCs w:val="20"/>
                <w:color w:val="auto"/>
              </w:rPr>
            </w:pPr>
            <w:r>
              <w:rPr>
                <w:rFonts w:ascii="Arial" w:cs="Arial" w:eastAsia="Arial" w:hAnsi="Arial"/>
                <w:sz w:val="18"/>
                <w:szCs w:val="18"/>
                <w:b w:val="1"/>
                <w:bCs w:val="1"/>
                <w:color w:val="auto"/>
              </w:rPr>
              <w:t>Healthcare and pharmaceuticals</w:t>
            </w: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Healthcare Exchange, LLC</w:t>
            </w: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 Class A</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(495 shares)</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3/11/2014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8"/>
        </w:trPr>
        <w:tc>
          <w:tcPr>
            <w:tcW w:w="8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Common Shares Class B</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(187.5 shares)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3/11/2014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SRS Parent Corp.</w:t>
            </w: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 Class A</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(1,980 shares)</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12/28/2012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8"/>
        </w:trPr>
        <w:tc>
          <w:tcPr>
            <w:tcW w:w="8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Common Shares Class B</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(2,953,020 shares)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12/28/2012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1"/>
        </w:trPr>
        <w:tc>
          <w:tcPr>
            <w:tcW w:w="4180" w:type="dxa"/>
            <w:vAlign w:val="bottom"/>
            <w:gridSpan w:val="2"/>
          </w:tcPr>
          <w:p>
            <w:pPr>
              <w:ind w:left="440"/>
              <w:spacing w:after="0"/>
              <w:rPr>
                <w:sz w:val="20"/>
                <w:szCs w:val="20"/>
                <w:color w:val="auto"/>
              </w:rPr>
            </w:pPr>
            <w:r>
              <w:rPr>
                <w:rFonts w:ascii="Arial" w:cs="Arial" w:eastAsia="Arial" w:hAnsi="Arial"/>
                <w:sz w:val="18"/>
                <w:szCs w:val="18"/>
                <w:b w:val="1"/>
                <w:bCs w:val="1"/>
                <w:color w:val="auto"/>
              </w:rPr>
              <w:t>Oil, gas and consumable fuels</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Mississippi Resources, LLC (7)</w:t>
            </w: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Units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6/4/2014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8,872</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8,872</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3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Total Equity Investments</w:t>
            </w:r>
          </w:p>
        </w:tc>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0" w:type="dxa"/>
            <w:vAlign w:val="bottom"/>
          </w:tcPr>
          <w:p>
            <w:pPr>
              <w:spacing w:after="0"/>
              <w:rPr>
                <w:sz w:val="19"/>
                <w:szCs w:val="19"/>
                <w:color w:val="auto"/>
              </w:rPr>
            </w:pPr>
          </w:p>
        </w:tc>
        <w:tc>
          <w:tcPr>
            <w:tcW w:w="3380" w:type="dxa"/>
            <w:vAlign w:val="bottom"/>
            <w:vMerge w:val="continue"/>
          </w:tcPr>
          <w:p>
            <w:pPr>
              <w:spacing w:after="0"/>
              <w:rPr>
                <w:sz w:val="19"/>
                <w:szCs w:val="19"/>
                <w:color w:val="auto"/>
              </w:rPr>
            </w:pP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12,152</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11,377</w:t>
            </w:r>
          </w:p>
        </w:tc>
        <w:tc>
          <w:tcPr>
            <w:tcW w:w="3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2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7"/>
              </w:rPr>
              <w:t>$</w:t>
            </w:r>
            <w:r>
              <w:rPr>
                <w:rFonts w:ascii="Arial" w:cs="Arial" w:eastAsia="Arial" w:hAnsi="Arial"/>
                <w:sz w:val="18"/>
                <w:szCs w:val="18"/>
                <w:b w:val="1"/>
                <w:bCs w:val="1"/>
                <w:color w:val="auto"/>
                <w:w w:val="97"/>
              </w:rPr>
              <w:t>1,109,964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1,129,199</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134.8%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4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Certain portfolio company investments are subject to contractual restrictions on sales.</w:t>
      </w:r>
    </w:p>
    <w:p>
      <w:pPr>
        <w:ind w:left="460" w:right="50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4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SPV Asset Facility (see Note 7).</w:t>
      </w:r>
    </w:p>
    <w:p>
      <w:pPr>
        <w:jc w:val="both"/>
        <w:ind w:left="460" w:right="320" w:hanging="452"/>
        <w:spacing w:after="0" w:line="300"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16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its arrangement with other lenders in a syndication.</w:t>
      </w:r>
    </w:p>
    <w:p>
      <w:pPr>
        <w:ind w:left="460" w:right="220" w:hanging="452"/>
        <w:spacing w:after="0" w:line="300"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June 30,</w:t>
      </w:r>
    </w:p>
    <w:p>
      <w:pPr>
        <w:spacing w:after="0" w:line="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2014 in which the issuer was an Affiliated Person of and was deemed to Control a portfolio company are as follows:</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Fair Value at</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center"/>
              <w:ind w:right="99"/>
              <w:spacing w:after="0"/>
              <w:rPr>
                <w:sz w:val="20"/>
                <w:szCs w:val="20"/>
                <w:color w:val="auto"/>
              </w:rPr>
            </w:pPr>
            <w:r>
              <w:rPr>
                <w:rFonts w:ascii="Arial" w:cs="Arial" w:eastAsia="Arial" w:hAnsi="Arial"/>
                <w:sz w:val="14"/>
                <w:szCs w:val="14"/>
                <w:b w:val="1"/>
                <w:bCs w:val="1"/>
                <w:color w:val="auto"/>
                <w:w w:val="88"/>
              </w:rPr>
              <w:t>Net</w:t>
            </w:r>
          </w:p>
        </w:tc>
        <w:tc>
          <w:tcPr>
            <w:tcW w:w="4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4"/>
              </w:rPr>
              <w:t>Realized</w:t>
            </w:r>
          </w:p>
        </w:tc>
        <w:tc>
          <w:tcPr>
            <w:tcW w:w="4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90"/>
              </w:rPr>
              <w:t>Company</w:t>
            </w:r>
          </w:p>
        </w:tc>
        <w:tc>
          <w:tcPr>
            <w:tcW w:w="1660" w:type="dxa"/>
            <w:vAlign w:val="bottom"/>
            <w:vMerge w:val="restart"/>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w w:val="93"/>
              </w:rPr>
              <w:t>Gross</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Gains</w:t>
            </w:r>
          </w:p>
        </w:tc>
        <w:tc>
          <w:tcPr>
            <w:tcW w:w="4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at June 30,</w:t>
            </w:r>
          </w:p>
        </w:tc>
        <w:tc>
          <w:tcPr>
            <w:tcW w:w="22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Other</w:t>
            </w:r>
          </w:p>
        </w:tc>
        <w:tc>
          <w:tcPr>
            <w:tcW w:w="420" w:type="dxa"/>
            <w:vAlign w:val="bottom"/>
          </w:tcPr>
          <w:p>
            <w:pPr>
              <w:spacing w:after="0"/>
              <w:rPr>
                <w:sz w:val="12"/>
                <w:szCs w:val="12"/>
                <w:color w:val="auto"/>
              </w:rPr>
            </w:pPr>
          </w:p>
        </w:tc>
        <w:tc>
          <w:tcPr>
            <w:tcW w:w="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68"/>
        </w:trPr>
        <w:tc>
          <w:tcPr>
            <w:tcW w:w="600" w:type="dxa"/>
            <w:vAlign w:val="bottom"/>
            <w:tcBorders>
              <w:bottom w:val="single" w:sz="8" w:color="auto"/>
            </w:tcBorders>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line="148"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4"/>
                <w:szCs w:val="14"/>
                <w:color w:val="auto"/>
              </w:rPr>
            </w:pPr>
          </w:p>
        </w:tc>
        <w:tc>
          <w:tcPr>
            <w:tcW w:w="8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1"/>
              </w:rPr>
              <w:t>Additions (a)</w:t>
            </w:r>
          </w:p>
        </w:tc>
        <w:tc>
          <w:tcPr>
            <w:tcW w:w="420" w:type="dxa"/>
            <w:vAlign w:val="bottom"/>
          </w:tcPr>
          <w:p>
            <w:pPr>
              <w:spacing w:after="0"/>
              <w:rPr>
                <w:sz w:val="14"/>
                <w:szCs w:val="14"/>
                <w:color w:val="auto"/>
              </w:rPr>
            </w:pPr>
          </w:p>
        </w:tc>
        <w:tc>
          <w:tcPr>
            <w:tcW w:w="8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7"/>
              </w:rPr>
              <w:t>Reductions (b)</w:t>
            </w:r>
          </w:p>
        </w:tc>
        <w:tc>
          <w:tcPr>
            <w:tcW w:w="420" w:type="dxa"/>
            <w:vAlign w:val="bottom"/>
          </w:tcPr>
          <w:p>
            <w:pPr>
              <w:spacing w:after="0"/>
              <w:rPr>
                <w:sz w:val="14"/>
                <w:szCs w:val="14"/>
                <w:color w:val="auto"/>
              </w:rPr>
            </w:pPr>
          </w:p>
        </w:tc>
        <w:tc>
          <w:tcPr>
            <w:tcW w:w="7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5"/>
              </w:rPr>
              <w:t>Gain/(Loss)</w:t>
            </w:r>
          </w:p>
        </w:tc>
        <w:tc>
          <w:tcPr>
            <w:tcW w:w="420" w:type="dxa"/>
            <w:vAlign w:val="bottom"/>
          </w:tcPr>
          <w:p>
            <w:pPr>
              <w:spacing w:after="0"/>
              <w:rPr>
                <w:sz w:val="14"/>
                <w:szCs w:val="14"/>
                <w:color w:val="auto"/>
              </w:rPr>
            </w:pPr>
          </w:p>
        </w:tc>
        <w:tc>
          <w:tcPr>
            <w:tcW w:w="5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78"/>
              </w:rPr>
              <w:t>/(Losses)</w:t>
            </w:r>
          </w:p>
        </w:tc>
        <w:tc>
          <w:tcPr>
            <w:tcW w:w="1060" w:type="dxa"/>
            <w:vAlign w:val="bottom"/>
            <w:gridSpan w:val="2"/>
          </w:tcPr>
          <w:p>
            <w:pPr>
              <w:jc w:val="center"/>
              <w:ind w:left="339"/>
              <w:spacing w:after="0" w:line="148"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1"/>
              </w:rPr>
              <w:t>Income</w:t>
            </w:r>
          </w:p>
        </w:tc>
        <w:tc>
          <w:tcPr>
            <w:tcW w:w="420" w:type="dxa"/>
            <w:vAlign w:val="bottom"/>
          </w:tcPr>
          <w:p>
            <w:pPr>
              <w:spacing w:after="0"/>
              <w:rPr>
                <w:sz w:val="14"/>
                <w:szCs w:val="14"/>
                <w:color w:val="auto"/>
              </w:rPr>
            </w:pPr>
          </w:p>
        </w:tc>
        <w:tc>
          <w:tcPr>
            <w:tcW w:w="5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81"/>
        </w:trPr>
        <w:tc>
          <w:tcPr>
            <w:tcW w:w="22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Mississippi Resources,</w:t>
            </w: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LLC</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44,362</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center"/>
              <w:ind w:left="139"/>
              <w:spacing w:after="0"/>
              <w:rPr>
                <w:sz w:val="20"/>
                <w:szCs w:val="20"/>
                <w:color w:val="auto"/>
              </w:rPr>
            </w:pPr>
            <w:r>
              <w:rPr>
                <w:rFonts w:ascii="Arial" w:cs="Arial" w:eastAsia="Arial" w:hAnsi="Arial"/>
                <w:sz w:val="18"/>
                <w:szCs w:val="18"/>
                <w:color w:val="auto"/>
                <w:w w:val="91"/>
              </w:rPr>
              <w:t>$ 44,362</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6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44,362</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center"/>
              <w:ind w:left="139"/>
              <w:spacing w:after="0"/>
              <w:rPr>
                <w:sz w:val="20"/>
                <w:szCs w:val="20"/>
                <w:color w:val="auto"/>
              </w:rPr>
            </w:pPr>
            <w:r>
              <w:rPr>
                <w:rFonts w:ascii="Arial" w:cs="Arial" w:eastAsia="Arial" w:hAnsi="Arial"/>
                <w:sz w:val="18"/>
                <w:szCs w:val="18"/>
                <w:color w:val="auto"/>
                <w:w w:val="91"/>
              </w:rPr>
              <w:t>$ 44,362</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00" w:right="64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Consolidated Schedule of Investments as of December 31,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Initial</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Acquisition</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Amortized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Percentage</w:t>
            </w:r>
          </w:p>
        </w:tc>
      </w:tr>
      <w:tr>
        <w:trPr>
          <w:trHeight w:val="18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Company (1)</w:t>
            </w:r>
          </w:p>
        </w:tc>
        <w:tc>
          <w:tcPr>
            <w:tcW w:w="3360" w:type="dxa"/>
            <w:vAlign w:val="bottom"/>
          </w:tcPr>
          <w:p>
            <w:pPr>
              <w:spacing w:after="0"/>
              <w:rPr>
                <w:sz w:val="15"/>
                <w:szCs w:val="15"/>
                <w:color w:val="auto"/>
              </w:rPr>
            </w:pPr>
          </w:p>
        </w:tc>
        <w:tc>
          <w:tcPr>
            <w:tcW w:w="2360" w:type="dxa"/>
            <w:vAlign w:val="bottom"/>
            <w:gridSpan w:val="2"/>
          </w:tcPr>
          <w:p>
            <w:pPr>
              <w:ind w:left="760"/>
              <w:spacing w:after="0"/>
              <w:rPr>
                <w:sz w:val="20"/>
                <w:szCs w:val="20"/>
                <w:color w:val="auto"/>
              </w:rPr>
            </w:pPr>
            <w:r>
              <w:rPr>
                <w:rFonts w:ascii="Arial" w:cs="Arial" w:eastAsia="Arial" w:hAnsi="Arial"/>
                <w:sz w:val="14"/>
                <w:szCs w:val="14"/>
                <w:b w:val="1"/>
                <w:bCs w:val="1"/>
                <w:color w:val="auto"/>
              </w:rPr>
              <w:t>Investment</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Interest</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Cost (2)</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2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r>
      <w:tr>
        <w:trPr>
          <w:trHeight w:val="190"/>
        </w:trPr>
        <w:tc>
          <w:tcPr>
            <w:tcW w:w="41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Debt Investments</w:t>
            </w:r>
          </w:p>
        </w:tc>
        <w:tc>
          <w:tcPr>
            <w:tcW w:w="21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16"/>
        </w:trPr>
        <w:tc>
          <w:tcPr>
            <w:tcW w:w="4160" w:type="dxa"/>
            <w:vAlign w:val="bottom"/>
            <w:gridSpan w:val="2"/>
          </w:tcPr>
          <w:p>
            <w:pPr>
              <w:ind w:left="440"/>
              <w:spacing w:after="0"/>
              <w:rPr>
                <w:sz w:val="20"/>
                <w:szCs w:val="20"/>
                <w:color w:val="auto"/>
              </w:rPr>
            </w:pPr>
            <w:r>
              <w:rPr>
                <w:rFonts w:ascii="Arial" w:cs="Arial" w:eastAsia="Arial" w:hAnsi="Arial"/>
                <w:sz w:val="18"/>
                <w:szCs w:val="18"/>
                <w:b w:val="1"/>
                <w:bCs w:val="1"/>
                <w:color w:val="auto"/>
              </w:rPr>
              <w:t>Aerospace and defense</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8"/>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MSC Software Corporation (3)(4)(6)</w:t>
            </w: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8"/>
        </w:trPr>
        <w:tc>
          <w:tcPr>
            <w:tcW w:w="80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($53,452 par, due 11/2017)</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12/23/2011</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$ 52,828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$ 53,720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r>
      <w:tr>
        <w:trPr>
          <w:trHeight w:val="216"/>
        </w:trPr>
        <w:tc>
          <w:tcPr>
            <w:tcW w:w="4160" w:type="dxa"/>
            <w:vAlign w:val="bottom"/>
            <w:gridSpan w:val="2"/>
          </w:tcPr>
          <w:p>
            <w:pPr>
              <w:ind w:left="440"/>
              <w:spacing w:after="0"/>
              <w:rPr>
                <w:sz w:val="20"/>
                <w:szCs w:val="20"/>
                <w:color w:val="auto"/>
              </w:rPr>
            </w:pPr>
            <w:r>
              <w:rPr>
                <w:rFonts w:ascii="Arial" w:cs="Arial" w:eastAsia="Arial" w:hAnsi="Arial"/>
                <w:sz w:val="18"/>
                <w:szCs w:val="18"/>
                <w:b w:val="1"/>
                <w:bCs w:val="1"/>
                <w:color w:val="auto"/>
              </w:rPr>
              <w:t>Automotive</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8"/>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Heartland Automotive Holdings, LLC (3)(4)</w:t>
            </w: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 ($36,733 par,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800" w:type="dxa"/>
            <w:vAlign w:val="bottom"/>
            <w:shd w:val="clear" w:color="auto" w:fill="CCEEFF"/>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6/2017)</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8/28/2012</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36,002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36,182</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r>
      <w:tr>
        <w:trPr>
          <w:trHeight w:val="208"/>
        </w:trPr>
        <w:tc>
          <w:tcPr>
            <w:tcW w:w="8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First-lien revolving loan</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($4,611 par, due 6/2017)</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10.75%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8/28/2012</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4,500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4,528</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0.8%</w:t>
            </w:r>
          </w:p>
        </w:tc>
      </w:tr>
      <w:tr>
        <w:trPr>
          <w:trHeight w:val="210"/>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Sage Automotive Interiors, Inc. (3)(4)(6)</w:t>
            </w: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 ($21,553 par,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800" w:type="dxa"/>
            <w:vAlign w:val="bottom"/>
            <w:shd w:val="clear" w:color="auto" w:fill="CCEEFF"/>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12/2016)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12/31/2012</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21,445</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r>
      <w:tr>
        <w:trPr>
          <w:trHeight w:val="20"/>
        </w:trPr>
        <w:tc>
          <w:tcPr>
            <w:tcW w:w="8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1"/>
        </w:trPr>
        <w:tc>
          <w:tcPr>
            <w:tcW w:w="8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61,838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62,155</w:t>
            </w:r>
          </w:p>
        </w:tc>
        <w:tc>
          <w:tcPr>
            <w:tcW w:w="2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r>
      <w:tr>
        <w:trPr>
          <w:trHeight w:val="216"/>
        </w:trPr>
        <w:tc>
          <w:tcPr>
            <w:tcW w:w="41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Beverage, food and tobacco</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8"/>
        </w:trPr>
        <w:tc>
          <w:tcPr>
            <w:tcW w:w="4160" w:type="dxa"/>
            <w:vAlign w:val="bottom"/>
            <w:gridSpan w:val="2"/>
          </w:tcPr>
          <w:p>
            <w:pPr>
              <w:spacing w:after="0"/>
              <w:rPr>
                <w:sz w:val="20"/>
                <w:szCs w:val="20"/>
                <w:color w:val="auto"/>
              </w:rPr>
            </w:pPr>
            <w:r>
              <w:rPr>
                <w:rFonts w:ascii="Arial" w:cs="Arial" w:eastAsia="Arial" w:hAnsi="Arial"/>
                <w:sz w:val="18"/>
                <w:szCs w:val="18"/>
                <w:color w:val="auto"/>
              </w:rPr>
              <w:t>AFS Technologies, Inc. (3)(4)(6)</w:t>
            </w:r>
          </w:p>
        </w:tc>
        <w:tc>
          <w:tcPr>
            <w:tcW w:w="2360" w:type="dxa"/>
            <w:vAlign w:val="bottom"/>
            <w:gridSpan w:val="2"/>
          </w:tcPr>
          <w:p>
            <w:pPr>
              <w:spacing w:after="0"/>
              <w:rPr>
                <w:sz w:val="20"/>
                <w:szCs w:val="20"/>
                <w:color w:val="auto"/>
              </w:rPr>
            </w:pPr>
            <w:r>
              <w:rPr>
                <w:rFonts w:ascii="Arial" w:cs="Arial" w:eastAsia="Arial" w:hAnsi="Arial"/>
                <w:sz w:val="18"/>
                <w:szCs w:val="18"/>
                <w:color w:val="auto"/>
              </w:rPr>
              <w:t>First-lien loan ($44,394 par,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8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due 8/2015)</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7.75%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8/31/2011</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43,837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45,837</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r>
      <w:tr>
        <w:trPr>
          <w:trHeight w:val="217"/>
        </w:trPr>
        <w:tc>
          <w:tcPr>
            <w:tcW w:w="41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Business services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8"/>
        </w:trPr>
        <w:tc>
          <w:tcPr>
            <w:tcW w:w="4160" w:type="dxa"/>
            <w:vAlign w:val="bottom"/>
            <w:gridSpan w:val="2"/>
          </w:tcPr>
          <w:p>
            <w:pPr>
              <w:spacing w:after="0"/>
              <w:rPr>
                <w:sz w:val="20"/>
                <w:szCs w:val="20"/>
                <w:color w:val="auto"/>
              </w:rPr>
            </w:pPr>
            <w:r>
              <w:rPr>
                <w:rFonts w:ascii="Arial" w:cs="Arial" w:eastAsia="Arial" w:hAnsi="Arial"/>
                <w:sz w:val="18"/>
                <w:szCs w:val="18"/>
                <w:color w:val="auto"/>
              </w:rPr>
              <w:t>Actian Corporation (3)(4)(6)</w:t>
            </w:r>
          </w:p>
        </w:tc>
        <w:tc>
          <w:tcPr>
            <w:tcW w:w="2360" w:type="dxa"/>
            <w:vAlign w:val="bottom"/>
            <w:gridSpan w:val="2"/>
          </w:tcPr>
          <w:p>
            <w:pPr>
              <w:spacing w:after="0"/>
              <w:rPr>
                <w:sz w:val="20"/>
                <w:szCs w:val="20"/>
                <w:color w:val="auto"/>
              </w:rPr>
            </w:pPr>
            <w:r>
              <w:rPr>
                <w:rFonts w:ascii="Arial" w:cs="Arial" w:eastAsia="Arial" w:hAnsi="Arial"/>
                <w:sz w:val="18"/>
                <w:szCs w:val="18"/>
                <w:color w:val="auto"/>
              </w:rPr>
              <w:t>First-lien loan ($67,933 par,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due 4/2018)</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8.50%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4/11/2013</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65,762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66,405</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r>
      <w:tr>
        <w:trPr>
          <w:trHeight w:val="210"/>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Aptean Holdings, Inc. f/k/a Consona Holdings, Inc. (3)</w:t>
            </w: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 ($29,625 par,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w:t>
            </w:r>
          </w:p>
        </w:tc>
        <w:tc>
          <w:tcPr>
            <w:tcW w:w="336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8/2018)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8/13/2012</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29,279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29,477</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08"/>
        </w:trPr>
        <w:tc>
          <w:tcPr>
            <w:tcW w:w="4160" w:type="dxa"/>
            <w:vAlign w:val="bottom"/>
            <w:gridSpan w:val="2"/>
          </w:tcPr>
          <w:p>
            <w:pPr>
              <w:spacing w:after="0"/>
              <w:rPr>
                <w:sz w:val="20"/>
                <w:szCs w:val="20"/>
                <w:color w:val="auto"/>
              </w:rPr>
            </w:pPr>
            <w:r>
              <w:rPr>
                <w:rFonts w:ascii="Arial" w:cs="Arial" w:eastAsia="Arial" w:hAnsi="Arial"/>
                <w:sz w:val="18"/>
                <w:szCs w:val="18"/>
                <w:color w:val="auto"/>
              </w:rPr>
              <w:t>Beyond Trust Software Holding Group, Inc. (3)(6)</w:t>
            </w:r>
          </w:p>
        </w:tc>
        <w:tc>
          <w:tcPr>
            <w:tcW w:w="2360" w:type="dxa"/>
            <w:vAlign w:val="bottom"/>
            <w:gridSpan w:val="2"/>
          </w:tcPr>
          <w:p>
            <w:pPr>
              <w:spacing w:after="0"/>
              <w:rPr>
                <w:sz w:val="20"/>
                <w:szCs w:val="20"/>
                <w:color w:val="auto"/>
              </w:rPr>
            </w:pPr>
            <w:r>
              <w:rPr>
                <w:rFonts w:ascii="Arial" w:cs="Arial" w:eastAsia="Arial" w:hAnsi="Arial"/>
                <w:sz w:val="18"/>
                <w:szCs w:val="18"/>
                <w:color w:val="auto"/>
              </w:rPr>
              <w:t>First-lien loan ($42,500 par,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due 12/2019)</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7.25%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12/18/2013</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41,462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41,437</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r>
      <w:tr>
        <w:trPr>
          <w:trHeight w:val="210"/>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Merchants, Inc (3)(4)</w:t>
            </w: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First-lien loan ($29,659 par,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800" w:type="dxa"/>
            <w:vAlign w:val="bottom"/>
            <w:shd w:val="clear" w:color="auto" w:fill="CCEEFF"/>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9/2018)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9/12/2013</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29,202</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0"/>
        </w:trPr>
        <w:tc>
          <w:tcPr>
            <w:tcW w:w="8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1"/>
        </w:trPr>
        <w:tc>
          <w:tcPr>
            <w:tcW w:w="8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165,608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166,521</w:t>
            </w:r>
          </w:p>
        </w:tc>
        <w:tc>
          <w:tcPr>
            <w:tcW w:w="2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r>
      <w:tr>
        <w:trPr>
          <w:trHeight w:val="216"/>
        </w:trPr>
        <w:tc>
          <w:tcPr>
            <w:tcW w:w="41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Construction and building</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8"/>
        </w:trPr>
        <w:tc>
          <w:tcPr>
            <w:tcW w:w="4160" w:type="dxa"/>
            <w:vAlign w:val="bottom"/>
            <w:gridSpan w:val="2"/>
          </w:tcPr>
          <w:p>
            <w:pPr>
              <w:spacing w:after="0"/>
              <w:rPr>
                <w:sz w:val="20"/>
                <w:szCs w:val="20"/>
                <w:color w:val="auto"/>
              </w:rPr>
            </w:pPr>
            <w:r>
              <w:rPr>
                <w:rFonts w:ascii="Arial" w:cs="Arial" w:eastAsia="Arial" w:hAnsi="Arial"/>
                <w:sz w:val="18"/>
                <w:szCs w:val="18"/>
                <w:color w:val="auto"/>
              </w:rPr>
              <w:t>Mannington Mills, Inc. (3)(4)</w:t>
            </w:r>
          </w:p>
        </w:tc>
        <w:tc>
          <w:tcPr>
            <w:tcW w:w="2360" w:type="dxa"/>
            <w:vAlign w:val="bottom"/>
            <w:gridSpan w:val="2"/>
          </w:tcPr>
          <w:p>
            <w:pPr>
              <w:spacing w:after="0"/>
              <w:rPr>
                <w:sz w:val="20"/>
                <w:szCs w:val="20"/>
                <w:color w:val="auto"/>
              </w:rPr>
            </w:pPr>
            <w:r>
              <w:rPr>
                <w:rFonts w:ascii="Arial" w:cs="Arial" w:eastAsia="Arial" w:hAnsi="Arial"/>
                <w:sz w:val="18"/>
                <w:szCs w:val="18"/>
                <w:color w:val="auto"/>
                <w:w w:val="95"/>
              </w:rPr>
              <w:t>Second-lien loan ($47,430 par,</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14.00%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due 3/2017)</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(incl.</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7"/>
        </w:trPr>
        <w:tc>
          <w:tcPr>
            <w:tcW w:w="8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PIK)</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3/2/2012</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46,545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51,817</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r>
      <w:tr>
        <w:trPr>
          <w:trHeight w:val="217"/>
        </w:trPr>
        <w:tc>
          <w:tcPr>
            <w:tcW w:w="41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Containers and packaging</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8"/>
        </w:trPr>
        <w:tc>
          <w:tcPr>
            <w:tcW w:w="4160" w:type="dxa"/>
            <w:vAlign w:val="bottom"/>
            <w:gridSpan w:val="2"/>
          </w:tcPr>
          <w:p>
            <w:pPr>
              <w:spacing w:after="0"/>
              <w:rPr>
                <w:sz w:val="20"/>
                <w:szCs w:val="20"/>
                <w:color w:val="auto"/>
              </w:rPr>
            </w:pPr>
            <w:r>
              <w:rPr>
                <w:rFonts w:ascii="Arial" w:cs="Arial" w:eastAsia="Arial" w:hAnsi="Arial"/>
                <w:sz w:val="18"/>
                <w:szCs w:val="18"/>
                <w:color w:val="auto"/>
              </w:rPr>
              <w:t>The Newark Group, Inc. (3)(4)</w:t>
            </w:r>
          </w:p>
        </w:tc>
        <w:tc>
          <w:tcPr>
            <w:tcW w:w="2360" w:type="dxa"/>
            <w:vAlign w:val="bottom"/>
            <w:gridSpan w:val="2"/>
          </w:tcPr>
          <w:p>
            <w:pPr>
              <w:spacing w:after="0"/>
              <w:rPr>
                <w:sz w:val="20"/>
                <w:szCs w:val="20"/>
                <w:color w:val="auto"/>
              </w:rPr>
            </w:pPr>
            <w:r>
              <w:rPr>
                <w:rFonts w:ascii="Arial" w:cs="Arial" w:eastAsia="Arial" w:hAnsi="Arial"/>
                <w:sz w:val="18"/>
                <w:szCs w:val="18"/>
                <w:color w:val="auto"/>
              </w:rPr>
              <w:t>First-lien loan ($46,560 par,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8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due 2/2018)</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8.50%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2/8/2013</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46,164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47,142</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r>
      <w:tr>
        <w:trPr>
          <w:trHeight w:val="217"/>
        </w:trPr>
        <w:tc>
          <w:tcPr>
            <w:tcW w:w="41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Education</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8"/>
        </w:trPr>
        <w:tc>
          <w:tcPr>
            <w:tcW w:w="4160" w:type="dxa"/>
            <w:vAlign w:val="bottom"/>
            <w:gridSpan w:val="2"/>
          </w:tcPr>
          <w:p>
            <w:pPr>
              <w:spacing w:after="0"/>
              <w:rPr>
                <w:sz w:val="20"/>
                <w:szCs w:val="20"/>
                <w:color w:val="auto"/>
              </w:rPr>
            </w:pPr>
            <w:r>
              <w:rPr>
                <w:rFonts w:ascii="Arial" w:cs="Arial" w:eastAsia="Arial" w:hAnsi="Arial"/>
                <w:sz w:val="18"/>
                <w:szCs w:val="18"/>
                <w:color w:val="auto"/>
              </w:rPr>
              <w:t>Campus Management, Inc. (3)(4)(6)</w:t>
            </w:r>
          </w:p>
        </w:tc>
        <w:tc>
          <w:tcPr>
            <w:tcW w:w="2360" w:type="dxa"/>
            <w:vAlign w:val="bottom"/>
            <w:gridSpan w:val="2"/>
          </w:tcPr>
          <w:p>
            <w:pPr>
              <w:spacing w:after="0"/>
              <w:rPr>
                <w:sz w:val="20"/>
                <w:szCs w:val="20"/>
                <w:color w:val="auto"/>
              </w:rPr>
            </w:pPr>
            <w:r>
              <w:rPr>
                <w:rFonts w:ascii="Arial" w:cs="Arial" w:eastAsia="Arial" w:hAnsi="Arial"/>
                <w:sz w:val="18"/>
                <w:szCs w:val="18"/>
                <w:color w:val="auto"/>
              </w:rPr>
              <w:t>First-lien loan ($29,625 par,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8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due 9/2018)</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8.75%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9/30/2013</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28,931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29,032</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r>
      <w:tr>
        <w:trPr>
          <w:trHeight w:val="217"/>
        </w:trPr>
        <w:tc>
          <w:tcPr>
            <w:tcW w:w="41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Financial services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363"/>
        </w:trPr>
        <w:tc>
          <w:tcPr>
            <w:tcW w:w="8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180" w:type="dxa"/>
            <w:vAlign w:val="bottom"/>
          </w:tcPr>
          <w:p>
            <w:pPr>
              <w:ind w:left="15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Initial</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Acquisition</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Amortized</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Percentage</w:t>
            </w:r>
          </w:p>
        </w:tc>
      </w:tr>
      <w:tr>
        <w:trPr>
          <w:trHeight w:val="18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Company (1)</w:t>
            </w:r>
          </w:p>
        </w:tc>
        <w:tc>
          <w:tcPr>
            <w:tcW w:w="2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80" w:type="dxa"/>
            <w:vAlign w:val="bottom"/>
            <w:gridSpan w:val="2"/>
          </w:tcPr>
          <w:p>
            <w:pPr>
              <w:ind w:left="780"/>
              <w:spacing w:after="0"/>
              <w:rPr>
                <w:sz w:val="20"/>
                <w:szCs w:val="20"/>
                <w:color w:val="auto"/>
              </w:rPr>
            </w:pPr>
            <w:r>
              <w:rPr>
                <w:rFonts w:ascii="Arial" w:cs="Arial" w:eastAsia="Arial" w:hAnsi="Arial"/>
                <w:sz w:val="14"/>
                <w:szCs w:val="14"/>
                <w:b w:val="1"/>
                <w:bCs w:val="1"/>
                <w:color w:val="auto"/>
              </w:rPr>
              <w:t>Investment</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Interest</w:t>
            </w: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Date</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Cost (2)</w:t>
            </w:r>
          </w:p>
        </w:tc>
        <w:tc>
          <w:tcPr>
            <w:tcW w:w="28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r>
      <w:tr>
        <w:trPr>
          <w:trHeight w:val="195"/>
        </w:trPr>
        <w:tc>
          <w:tcPr>
            <w:tcW w:w="370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Embarcadero Technologies, Inc. (3)(4)(6)</w:t>
            </w:r>
          </w:p>
        </w:tc>
        <w:tc>
          <w:tcPr>
            <w:tcW w:w="460" w:type="dxa"/>
            <w:vAlign w:val="bottom"/>
            <w:tcBorders>
              <w:top w:val="single" w:sz="8" w:color="CCEEFF"/>
            </w:tcBorders>
            <w:shd w:val="clear" w:color="auto" w:fill="CCEEFF"/>
          </w:tcPr>
          <w:p>
            <w:pPr>
              <w:spacing w:after="0"/>
              <w:rPr>
                <w:sz w:val="16"/>
                <w:szCs w:val="16"/>
                <w:color w:val="auto"/>
              </w:rPr>
            </w:pPr>
          </w:p>
        </w:tc>
        <w:tc>
          <w:tcPr>
            <w:tcW w:w="22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First-lien loan ($42,479 par,</w:t>
            </w:r>
          </w:p>
        </w:tc>
        <w:tc>
          <w:tcPr>
            <w:tcW w:w="1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24"/>
        </w:trPr>
        <w:tc>
          <w:tcPr>
            <w:tcW w:w="80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due 12/2017)</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12/28/2012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41,597</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42,372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r>
      <w:tr>
        <w:trPr>
          <w:trHeight w:val="208"/>
        </w:trPr>
        <w:tc>
          <w:tcPr>
            <w:tcW w:w="3700" w:type="dxa"/>
            <w:vAlign w:val="bottom"/>
            <w:gridSpan w:val="2"/>
          </w:tcPr>
          <w:p>
            <w:pPr>
              <w:spacing w:after="0"/>
              <w:rPr>
                <w:sz w:val="20"/>
                <w:szCs w:val="20"/>
                <w:color w:val="auto"/>
              </w:rPr>
            </w:pPr>
            <w:r>
              <w:rPr>
                <w:rFonts w:ascii="Arial" w:cs="Arial" w:eastAsia="Arial" w:hAnsi="Arial"/>
                <w:sz w:val="18"/>
                <w:szCs w:val="18"/>
                <w:color w:val="auto"/>
              </w:rPr>
              <w:t>Rogue Wave Holdings, Inc. (3)(4)(6)</w:t>
            </w:r>
          </w:p>
        </w:tc>
        <w:tc>
          <w:tcPr>
            <w:tcW w:w="2840" w:type="dxa"/>
            <w:vAlign w:val="bottom"/>
            <w:gridSpan w:val="3"/>
          </w:tcPr>
          <w:p>
            <w:pPr>
              <w:ind w:left="460"/>
              <w:spacing w:after="0"/>
              <w:rPr>
                <w:sz w:val="20"/>
                <w:szCs w:val="20"/>
                <w:color w:val="auto"/>
              </w:rPr>
            </w:pPr>
            <w:r>
              <w:rPr>
                <w:rFonts w:ascii="Arial" w:cs="Arial" w:eastAsia="Arial" w:hAnsi="Arial"/>
                <w:sz w:val="18"/>
                <w:szCs w:val="18"/>
                <w:color w:val="auto"/>
              </w:rPr>
              <w:t>First-lien loan ($76,337 par,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8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840" w:type="dxa"/>
            <w:vAlign w:val="bottom"/>
            <w:gridSpan w:val="3"/>
          </w:tcPr>
          <w:p>
            <w:pPr>
              <w:ind w:left="460"/>
              <w:spacing w:after="0"/>
              <w:rPr>
                <w:sz w:val="20"/>
                <w:szCs w:val="20"/>
                <w:color w:val="auto"/>
              </w:rPr>
            </w:pPr>
            <w:r>
              <w:rPr>
                <w:rFonts w:ascii="Arial" w:cs="Arial" w:eastAsia="Arial" w:hAnsi="Arial"/>
                <w:sz w:val="18"/>
                <w:szCs w:val="18"/>
                <w:color w:val="auto"/>
              </w:rPr>
              <w:t>due 12/2018)</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8.25%</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11/21/2012</w:t>
            </w:r>
          </w:p>
        </w:tc>
        <w:tc>
          <w:tcPr>
            <w:tcW w:w="640" w:type="dxa"/>
            <w:vAlign w:val="bottom"/>
          </w:tcPr>
          <w:p>
            <w:pPr>
              <w:jc w:val="right"/>
              <w:spacing w:after="0"/>
              <w:rPr>
                <w:sz w:val="20"/>
                <w:szCs w:val="20"/>
                <w:color w:val="auto"/>
              </w:rPr>
            </w:pPr>
            <w:r>
              <w:rPr>
                <w:rFonts w:ascii="Arial" w:cs="Arial" w:eastAsia="Arial" w:hAnsi="Arial"/>
                <w:sz w:val="18"/>
                <w:szCs w:val="18"/>
                <w:color w:val="auto"/>
              </w:rPr>
              <w:t>74,752</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75,764</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r>
      <w:tr>
        <w:trPr>
          <w:trHeight w:val="28"/>
        </w:trPr>
        <w:tc>
          <w:tcPr>
            <w:tcW w:w="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8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116,349</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118,136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r>
      <w:tr>
        <w:trPr>
          <w:trHeight w:val="221"/>
        </w:trPr>
        <w:tc>
          <w:tcPr>
            <w:tcW w:w="3700" w:type="dxa"/>
            <w:vAlign w:val="bottom"/>
            <w:gridSpan w:val="2"/>
          </w:tcPr>
          <w:p>
            <w:pPr>
              <w:ind w:left="440"/>
              <w:spacing w:after="0"/>
              <w:rPr>
                <w:sz w:val="20"/>
                <w:szCs w:val="20"/>
                <w:color w:val="auto"/>
              </w:rPr>
            </w:pPr>
            <w:r>
              <w:rPr>
                <w:rFonts w:ascii="Arial" w:cs="Arial" w:eastAsia="Arial" w:hAnsi="Arial"/>
                <w:sz w:val="18"/>
                <w:szCs w:val="18"/>
                <w:b w:val="1"/>
                <w:bCs w:val="1"/>
                <w:color w:val="auto"/>
              </w:rPr>
              <w:t>Healthcare and pharmaceuticals</w:t>
            </w:r>
          </w:p>
        </w:tc>
        <w:tc>
          <w:tcPr>
            <w:tcW w:w="4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Mediware Information Systems, Inc. (3)(4)(6)</w:t>
            </w:r>
          </w:p>
        </w:tc>
        <w:tc>
          <w:tcPr>
            <w:tcW w:w="28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First-lien loan ($71,634 par,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80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due 5/2018)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70,120</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71,097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r>
      <w:tr>
        <w:trPr>
          <w:trHeight w:val="208"/>
        </w:trPr>
        <w:tc>
          <w:tcPr>
            <w:tcW w:w="3700" w:type="dxa"/>
            <w:vAlign w:val="bottom"/>
            <w:gridSpan w:val="2"/>
          </w:tcPr>
          <w:p>
            <w:pPr>
              <w:spacing w:after="0"/>
              <w:rPr>
                <w:sz w:val="20"/>
                <w:szCs w:val="20"/>
                <w:color w:val="auto"/>
              </w:rPr>
            </w:pPr>
            <w:r>
              <w:rPr>
                <w:rFonts w:ascii="Arial" w:cs="Arial" w:eastAsia="Arial" w:hAnsi="Arial"/>
                <w:sz w:val="18"/>
                <w:szCs w:val="18"/>
                <w:color w:val="auto"/>
              </w:rPr>
              <w:t>SRS Software, LLC (3)(4)</w:t>
            </w:r>
          </w:p>
        </w:tc>
        <w:tc>
          <w:tcPr>
            <w:tcW w:w="2840" w:type="dxa"/>
            <w:vAlign w:val="bottom"/>
            <w:gridSpan w:val="3"/>
          </w:tcPr>
          <w:p>
            <w:pPr>
              <w:ind w:left="460"/>
              <w:spacing w:after="0"/>
              <w:rPr>
                <w:sz w:val="20"/>
                <w:szCs w:val="20"/>
                <w:color w:val="auto"/>
              </w:rPr>
            </w:pPr>
            <w:r>
              <w:rPr>
                <w:rFonts w:ascii="Arial" w:cs="Arial" w:eastAsia="Arial" w:hAnsi="Arial"/>
                <w:sz w:val="18"/>
                <w:szCs w:val="18"/>
                <w:color w:val="auto"/>
              </w:rPr>
              <w:t>First-lien loan ($35,625 par,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8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840" w:type="dxa"/>
            <w:vAlign w:val="bottom"/>
            <w:gridSpan w:val="3"/>
          </w:tcPr>
          <w:p>
            <w:pPr>
              <w:ind w:left="460"/>
              <w:spacing w:after="0"/>
              <w:rPr>
                <w:sz w:val="20"/>
                <w:szCs w:val="20"/>
                <w:color w:val="auto"/>
              </w:rPr>
            </w:pPr>
            <w:r>
              <w:rPr>
                <w:rFonts w:ascii="Arial" w:cs="Arial" w:eastAsia="Arial" w:hAnsi="Arial"/>
                <w:sz w:val="18"/>
                <w:szCs w:val="18"/>
                <w:color w:val="auto"/>
              </w:rPr>
              <w:t>due 12/2017)</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8.75%</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12/28/2012</w:t>
            </w:r>
          </w:p>
        </w:tc>
        <w:tc>
          <w:tcPr>
            <w:tcW w:w="640" w:type="dxa"/>
            <w:vAlign w:val="bottom"/>
          </w:tcPr>
          <w:p>
            <w:pPr>
              <w:jc w:val="right"/>
              <w:spacing w:after="0"/>
              <w:rPr>
                <w:sz w:val="20"/>
                <w:szCs w:val="20"/>
                <w:color w:val="auto"/>
              </w:rPr>
            </w:pPr>
            <w:r>
              <w:rPr>
                <w:rFonts w:ascii="Arial" w:cs="Arial" w:eastAsia="Arial" w:hAnsi="Arial"/>
                <w:sz w:val="18"/>
                <w:szCs w:val="18"/>
                <w:color w:val="auto"/>
              </w:rPr>
              <w:t>34,782</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35,625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r>
      <w:tr>
        <w:trPr>
          <w:trHeight w:val="209"/>
        </w:trPr>
        <w:tc>
          <w:tcPr>
            <w:tcW w:w="8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First-lien revolving loan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80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($2,000 par, due 12/2017)</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12/28/2012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r>
        <w:trPr>
          <w:trHeight w:val="20"/>
        </w:trPr>
        <w:tc>
          <w:tcPr>
            <w:tcW w:w="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1"/>
        </w:trPr>
        <w:tc>
          <w:tcPr>
            <w:tcW w:w="8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106,902</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108,722</w:t>
            </w:r>
          </w:p>
        </w:tc>
        <w:tc>
          <w:tcPr>
            <w:tcW w:w="2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r>
      <w:tr>
        <w:trPr>
          <w:trHeight w:val="216"/>
        </w:trPr>
        <w:tc>
          <w:tcPr>
            <w:tcW w:w="37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Hotel, gaming, and leisure</w:t>
            </w:r>
          </w:p>
        </w:tc>
        <w:tc>
          <w:tcPr>
            <w:tcW w:w="4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8"/>
        </w:trPr>
        <w:tc>
          <w:tcPr>
            <w:tcW w:w="3700" w:type="dxa"/>
            <w:vAlign w:val="bottom"/>
            <w:gridSpan w:val="2"/>
          </w:tcPr>
          <w:p>
            <w:pPr>
              <w:spacing w:after="0"/>
              <w:rPr>
                <w:sz w:val="20"/>
                <w:szCs w:val="20"/>
                <w:color w:val="auto"/>
              </w:rPr>
            </w:pPr>
            <w:r>
              <w:rPr>
                <w:rFonts w:ascii="Arial" w:cs="Arial" w:eastAsia="Arial" w:hAnsi="Arial"/>
                <w:sz w:val="18"/>
                <w:szCs w:val="18"/>
                <w:color w:val="auto"/>
              </w:rPr>
              <w:t>AMF Bowling Worldwide, Inc. (3)(4)</w:t>
            </w:r>
          </w:p>
        </w:tc>
        <w:tc>
          <w:tcPr>
            <w:tcW w:w="2840" w:type="dxa"/>
            <w:vAlign w:val="bottom"/>
            <w:gridSpan w:val="3"/>
          </w:tcPr>
          <w:p>
            <w:pPr>
              <w:ind w:left="460"/>
              <w:spacing w:after="0"/>
              <w:rPr>
                <w:sz w:val="20"/>
                <w:szCs w:val="20"/>
                <w:color w:val="auto"/>
              </w:rPr>
            </w:pPr>
            <w:r>
              <w:rPr>
                <w:rFonts w:ascii="Arial" w:cs="Arial" w:eastAsia="Arial" w:hAnsi="Arial"/>
                <w:sz w:val="18"/>
                <w:szCs w:val="18"/>
                <w:color w:val="auto"/>
              </w:rPr>
              <w:t>First-lien loan ($14,813 par,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840" w:type="dxa"/>
            <w:vAlign w:val="bottom"/>
            <w:gridSpan w:val="3"/>
          </w:tcPr>
          <w:p>
            <w:pPr>
              <w:ind w:left="460"/>
              <w:spacing w:after="0"/>
              <w:rPr>
                <w:sz w:val="20"/>
                <w:szCs w:val="20"/>
                <w:color w:val="auto"/>
              </w:rPr>
            </w:pPr>
            <w:r>
              <w:rPr>
                <w:rFonts w:ascii="Arial" w:cs="Arial" w:eastAsia="Arial" w:hAnsi="Arial"/>
                <w:sz w:val="18"/>
                <w:szCs w:val="18"/>
                <w:color w:val="auto"/>
              </w:rPr>
              <w:t>due 6/2018)</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8.75%</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7/2/2013</w:t>
            </w:r>
          </w:p>
        </w:tc>
        <w:tc>
          <w:tcPr>
            <w:tcW w:w="640" w:type="dxa"/>
            <w:vAlign w:val="bottom"/>
          </w:tcPr>
          <w:p>
            <w:pPr>
              <w:jc w:val="right"/>
              <w:spacing w:after="0"/>
              <w:rPr>
                <w:sz w:val="20"/>
                <w:szCs w:val="20"/>
                <w:color w:val="auto"/>
              </w:rPr>
            </w:pPr>
            <w:r>
              <w:rPr>
                <w:rFonts w:ascii="Arial" w:cs="Arial" w:eastAsia="Arial" w:hAnsi="Arial"/>
                <w:sz w:val="18"/>
                <w:szCs w:val="18"/>
                <w:color w:val="auto"/>
              </w:rPr>
              <w:t>13,687</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14,821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Centaur, LLC (3)</w:t>
            </w:r>
          </w:p>
        </w:tc>
        <w:tc>
          <w:tcPr>
            <w:tcW w:w="28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95"/>
              </w:rPr>
              <w:t>Second-lien loan ($10,000 par,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80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due 2/2020)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9,923</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10,250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08"/>
        </w:trPr>
        <w:tc>
          <w:tcPr>
            <w:tcW w:w="3700" w:type="dxa"/>
            <w:vAlign w:val="bottom"/>
            <w:gridSpan w:val="2"/>
          </w:tcPr>
          <w:p>
            <w:pPr>
              <w:spacing w:after="0"/>
              <w:rPr>
                <w:sz w:val="20"/>
                <w:szCs w:val="20"/>
                <w:color w:val="auto"/>
              </w:rPr>
            </w:pPr>
            <w:r>
              <w:rPr>
                <w:rFonts w:ascii="Arial" w:cs="Arial" w:eastAsia="Arial" w:hAnsi="Arial"/>
                <w:sz w:val="18"/>
                <w:szCs w:val="18"/>
                <w:color w:val="auto"/>
              </w:rPr>
              <w:t>Mandalay Baseball Properties, LLC (3)(4)</w:t>
            </w:r>
          </w:p>
        </w:tc>
        <w:tc>
          <w:tcPr>
            <w:tcW w:w="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12.00%</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(incl.</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40" w:type="dxa"/>
            <w:vAlign w:val="bottom"/>
            <w:gridSpan w:val="3"/>
          </w:tcPr>
          <w:p>
            <w:pPr>
              <w:ind w:left="460"/>
              <w:spacing w:after="0"/>
              <w:rPr>
                <w:sz w:val="20"/>
                <w:szCs w:val="20"/>
                <w:color w:val="auto"/>
              </w:rPr>
            </w:pPr>
            <w:r>
              <w:rPr>
                <w:rFonts w:ascii="Arial" w:cs="Arial" w:eastAsia="Arial" w:hAnsi="Arial"/>
                <w:sz w:val="18"/>
                <w:szCs w:val="18"/>
                <w:color w:val="auto"/>
              </w:rPr>
              <w:t>First-lien loan ($34,886 par,</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4.50%</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6"/>
        </w:trPr>
        <w:tc>
          <w:tcPr>
            <w:tcW w:w="8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840" w:type="dxa"/>
            <w:vAlign w:val="bottom"/>
            <w:gridSpan w:val="3"/>
          </w:tcPr>
          <w:p>
            <w:pPr>
              <w:ind w:left="460"/>
              <w:spacing w:after="0"/>
              <w:rPr>
                <w:sz w:val="20"/>
                <w:szCs w:val="20"/>
                <w:color w:val="auto"/>
              </w:rPr>
            </w:pPr>
            <w:r>
              <w:rPr>
                <w:rFonts w:ascii="Arial" w:cs="Arial" w:eastAsia="Arial" w:hAnsi="Arial"/>
                <w:sz w:val="18"/>
                <w:szCs w:val="18"/>
                <w:color w:val="auto"/>
              </w:rPr>
              <w:t>due 3/2017)</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PIK)</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4/12/2012</w:t>
            </w:r>
          </w:p>
        </w:tc>
        <w:tc>
          <w:tcPr>
            <w:tcW w:w="640" w:type="dxa"/>
            <w:vAlign w:val="bottom"/>
          </w:tcPr>
          <w:p>
            <w:pPr>
              <w:jc w:val="right"/>
              <w:spacing w:after="0"/>
              <w:rPr>
                <w:sz w:val="20"/>
                <w:szCs w:val="20"/>
                <w:color w:val="auto"/>
              </w:rPr>
            </w:pPr>
            <w:r>
              <w:rPr>
                <w:rFonts w:ascii="Arial" w:cs="Arial" w:eastAsia="Arial" w:hAnsi="Arial"/>
                <w:sz w:val="18"/>
                <w:szCs w:val="18"/>
                <w:color w:val="auto"/>
              </w:rPr>
              <w:t>34,303</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35,758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Soho House (5)</w:t>
            </w:r>
          </w:p>
        </w:tc>
        <w:tc>
          <w:tcPr>
            <w:tcW w:w="28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w w:val="98"/>
              </w:rPr>
              <w:t>Second-lien bond (GBP 7,000</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80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par, due 10/2018)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9.13%</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9/20/2013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11,913</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0"/>
        </w:trPr>
        <w:tc>
          <w:tcPr>
            <w:tcW w:w="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1"/>
        </w:trPr>
        <w:tc>
          <w:tcPr>
            <w:tcW w:w="8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69,113</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72,742</w:t>
            </w:r>
          </w:p>
        </w:tc>
        <w:tc>
          <w:tcPr>
            <w:tcW w:w="2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r>
      <w:tr>
        <w:trPr>
          <w:trHeight w:val="216"/>
        </w:trPr>
        <w:tc>
          <w:tcPr>
            <w:tcW w:w="37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Human resource support services</w:t>
            </w:r>
          </w:p>
        </w:tc>
        <w:tc>
          <w:tcPr>
            <w:tcW w:w="4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8"/>
        </w:trPr>
        <w:tc>
          <w:tcPr>
            <w:tcW w:w="3700" w:type="dxa"/>
            <w:vAlign w:val="bottom"/>
            <w:gridSpan w:val="2"/>
          </w:tcPr>
          <w:p>
            <w:pPr>
              <w:spacing w:after="0"/>
              <w:rPr>
                <w:sz w:val="20"/>
                <w:szCs w:val="20"/>
                <w:color w:val="auto"/>
              </w:rPr>
            </w:pPr>
            <w:r>
              <w:rPr>
                <w:rFonts w:ascii="Arial" w:cs="Arial" w:eastAsia="Arial" w:hAnsi="Arial"/>
                <w:sz w:val="18"/>
                <w:szCs w:val="18"/>
                <w:color w:val="auto"/>
              </w:rPr>
              <w:t>Pai Group, Inc. (3)(4)</w:t>
            </w:r>
          </w:p>
        </w:tc>
        <w:tc>
          <w:tcPr>
            <w:tcW w:w="2840" w:type="dxa"/>
            <w:vAlign w:val="bottom"/>
            <w:gridSpan w:val="3"/>
          </w:tcPr>
          <w:p>
            <w:pPr>
              <w:ind w:left="460"/>
              <w:spacing w:after="0"/>
              <w:rPr>
                <w:sz w:val="20"/>
                <w:szCs w:val="20"/>
                <w:color w:val="auto"/>
              </w:rPr>
            </w:pPr>
            <w:r>
              <w:rPr>
                <w:rFonts w:ascii="Arial" w:cs="Arial" w:eastAsia="Arial" w:hAnsi="Arial"/>
                <w:sz w:val="18"/>
                <w:szCs w:val="18"/>
                <w:color w:val="auto"/>
              </w:rPr>
              <w:t>First-lien loan ($34,737 par,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8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840" w:type="dxa"/>
            <w:vAlign w:val="bottom"/>
            <w:gridSpan w:val="3"/>
          </w:tcPr>
          <w:p>
            <w:pPr>
              <w:ind w:left="460"/>
              <w:spacing w:after="0"/>
              <w:rPr>
                <w:sz w:val="20"/>
                <w:szCs w:val="20"/>
                <w:color w:val="auto"/>
              </w:rPr>
            </w:pPr>
            <w:r>
              <w:rPr>
                <w:rFonts w:ascii="Arial" w:cs="Arial" w:eastAsia="Arial" w:hAnsi="Arial"/>
                <w:sz w:val="18"/>
                <w:szCs w:val="18"/>
                <w:color w:val="auto"/>
              </w:rPr>
              <w:t>due 5/2018)</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10.50%</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5/8/2013</w:t>
            </w:r>
          </w:p>
        </w:tc>
        <w:tc>
          <w:tcPr>
            <w:tcW w:w="640" w:type="dxa"/>
            <w:vAlign w:val="bottom"/>
          </w:tcPr>
          <w:p>
            <w:pPr>
              <w:jc w:val="right"/>
              <w:spacing w:after="0"/>
              <w:rPr>
                <w:sz w:val="20"/>
                <w:szCs w:val="20"/>
                <w:color w:val="auto"/>
              </w:rPr>
            </w:pPr>
            <w:r>
              <w:rPr>
                <w:rFonts w:ascii="Arial" w:cs="Arial" w:eastAsia="Arial" w:hAnsi="Arial"/>
                <w:sz w:val="18"/>
                <w:szCs w:val="18"/>
                <w:color w:val="auto"/>
              </w:rPr>
              <w:t>33,979</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34,141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SumTotal Systems, LLC (3)(4)</w:t>
            </w:r>
          </w:p>
        </w:tc>
        <w:tc>
          <w:tcPr>
            <w:tcW w:w="28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First-lien loan ($7,483 par,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80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due 11/2018)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11/16/2012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7,371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08"/>
        </w:trPr>
        <w:tc>
          <w:tcPr>
            <w:tcW w:w="8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40" w:type="dxa"/>
            <w:vAlign w:val="bottom"/>
            <w:gridSpan w:val="3"/>
          </w:tcPr>
          <w:p>
            <w:pPr>
              <w:ind w:left="460"/>
              <w:spacing w:after="0"/>
              <w:rPr>
                <w:sz w:val="20"/>
                <w:szCs w:val="20"/>
                <w:color w:val="auto"/>
              </w:rPr>
            </w:pPr>
            <w:r>
              <w:rPr>
                <w:rFonts w:ascii="Arial" w:cs="Arial" w:eastAsia="Arial" w:hAnsi="Arial"/>
                <w:sz w:val="18"/>
                <w:szCs w:val="18"/>
                <w:color w:val="auto"/>
                <w:w w:val="95"/>
              </w:rPr>
              <w:t>Second-lien loan ($12,000 par,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8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840" w:type="dxa"/>
            <w:vAlign w:val="bottom"/>
            <w:gridSpan w:val="3"/>
          </w:tcPr>
          <w:p>
            <w:pPr>
              <w:ind w:left="460"/>
              <w:spacing w:after="0"/>
              <w:rPr>
                <w:sz w:val="20"/>
                <w:szCs w:val="20"/>
                <w:color w:val="auto"/>
              </w:rPr>
            </w:pPr>
            <w:r>
              <w:rPr>
                <w:rFonts w:ascii="Arial" w:cs="Arial" w:eastAsia="Arial" w:hAnsi="Arial"/>
                <w:sz w:val="18"/>
                <w:szCs w:val="18"/>
                <w:color w:val="auto"/>
              </w:rPr>
              <w:t>due 5/2019)</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10.25%</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11/16/2012</w:t>
            </w:r>
          </w:p>
        </w:tc>
        <w:tc>
          <w:tcPr>
            <w:tcW w:w="640" w:type="dxa"/>
            <w:vAlign w:val="bottom"/>
          </w:tcPr>
          <w:p>
            <w:pPr>
              <w:jc w:val="right"/>
              <w:spacing w:after="0"/>
              <w:rPr>
                <w:sz w:val="20"/>
                <w:szCs w:val="20"/>
                <w:color w:val="auto"/>
              </w:rPr>
            </w:pPr>
            <w:r>
              <w:rPr>
                <w:rFonts w:ascii="Arial" w:cs="Arial" w:eastAsia="Arial" w:hAnsi="Arial"/>
                <w:sz w:val="18"/>
                <w:szCs w:val="18"/>
                <w:color w:val="auto"/>
              </w:rPr>
              <w:t>11,932</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11,790</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8"/>
        </w:trPr>
        <w:tc>
          <w:tcPr>
            <w:tcW w:w="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8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53,316</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r>
      <w:tr>
        <w:trPr>
          <w:trHeight w:val="221"/>
        </w:trPr>
        <w:tc>
          <w:tcPr>
            <w:tcW w:w="3700" w:type="dxa"/>
            <w:vAlign w:val="bottom"/>
            <w:gridSpan w:val="2"/>
          </w:tcPr>
          <w:p>
            <w:pPr>
              <w:ind w:left="440"/>
              <w:spacing w:after="0"/>
              <w:rPr>
                <w:sz w:val="20"/>
                <w:szCs w:val="20"/>
                <w:color w:val="auto"/>
              </w:rPr>
            </w:pPr>
            <w:r>
              <w:rPr>
                <w:rFonts w:ascii="Arial" w:cs="Arial" w:eastAsia="Arial" w:hAnsi="Arial"/>
                <w:sz w:val="18"/>
                <w:szCs w:val="18"/>
                <w:b w:val="1"/>
                <w:bCs w:val="1"/>
                <w:color w:val="auto"/>
              </w:rPr>
              <w:t>Insurance</w:t>
            </w:r>
          </w:p>
        </w:tc>
        <w:tc>
          <w:tcPr>
            <w:tcW w:w="4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Infogix, Inc. (3)(4)</w:t>
            </w:r>
          </w:p>
        </w:tc>
        <w:tc>
          <w:tcPr>
            <w:tcW w:w="28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First-lien loan ($31,888 par,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80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due 6/2017)</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10.00%</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31,433</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31,808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08"/>
        </w:trPr>
        <w:tc>
          <w:tcPr>
            <w:tcW w:w="8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40" w:type="dxa"/>
            <w:vAlign w:val="bottom"/>
            <w:gridSpan w:val="3"/>
          </w:tcPr>
          <w:p>
            <w:pPr>
              <w:ind w:left="460"/>
              <w:spacing w:after="0"/>
              <w:rPr>
                <w:sz w:val="20"/>
                <w:szCs w:val="20"/>
                <w:color w:val="auto"/>
              </w:rPr>
            </w:pPr>
            <w:r>
              <w:rPr>
                <w:rFonts w:ascii="Arial" w:cs="Arial" w:eastAsia="Arial" w:hAnsi="Arial"/>
                <w:sz w:val="18"/>
                <w:szCs w:val="18"/>
                <w:color w:val="auto"/>
                <w:w w:val="99"/>
              </w:rPr>
              <w:t>First-lien revolving loan ($850</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8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840" w:type="dxa"/>
            <w:vAlign w:val="bottom"/>
            <w:gridSpan w:val="3"/>
          </w:tcPr>
          <w:p>
            <w:pPr>
              <w:ind w:left="460"/>
              <w:spacing w:after="0"/>
              <w:rPr>
                <w:sz w:val="20"/>
                <w:szCs w:val="20"/>
                <w:color w:val="auto"/>
              </w:rPr>
            </w:pPr>
            <w:r>
              <w:rPr>
                <w:rFonts w:ascii="Arial" w:cs="Arial" w:eastAsia="Arial" w:hAnsi="Arial"/>
                <w:sz w:val="18"/>
                <w:szCs w:val="18"/>
                <w:color w:val="auto"/>
              </w:rPr>
              <w:t>par, due 6/2017)</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10.00%</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6/1/2012</w:t>
            </w:r>
          </w:p>
        </w:tc>
        <w:tc>
          <w:tcPr>
            <w:tcW w:w="640" w:type="dxa"/>
            <w:vAlign w:val="bottom"/>
          </w:tcPr>
          <w:p>
            <w:pPr>
              <w:jc w:val="right"/>
              <w:spacing w:after="0"/>
              <w:rPr>
                <w:sz w:val="20"/>
                <w:szCs w:val="20"/>
                <w:color w:val="auto"/>
              </w:rPr>
            </w:pPr>
            <w:r>
              <w:rPr>
                <w:rFonts w:ascii="Arial" w:cs="Arial" w:eastAsia="Arial" w:hAnsi="Arial"/>
                <w:sz w:val="18"/>
                <w:szCs w:val="18"/>
                <w:color w:val="auto"/>
              </w:rPr>
              <w:t>782</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838</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8"/>
        </w:trPr>
        <w:tc>
          <w:tcPr>
            <w:tcW w:w="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80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32,215</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r>
      <w:tr>
        <w:trPr>
          <w:trHeight w:val="221"/>
        </w:trPr>
        <w:tc>
          <w:tcPr>
            <w:tcW w:w="3700" w:type="dxa"/>
            <w:vAlign w:val="bottom"/>
            <w:gridSpan w:val="2"/>
          </w:tcPr>
          <w:p>
            <w:pPr>
              <w:ind w:left="440"/>
              <w:spacing w:after="0"/>
              <w:rPr>
                <w:sz w:val="20"/>
                <w:szCs w:val="20"/>
                <w:color w:val="auto"/>
              </w:rPr>
            </w:pPr>
            <w:r>
              <w:rPr>
                <w:rFonts w:ascii="Arial" w:cs="Arial" w:eastAsia="Arial" w:hAnsi="Arial"/>
                <w:sz w:val="18"/>
                <w:szCs w:val="18"/>
                <w:b w:val="1"/>
                <w:bCs w:val="1"/>
                <w:color w:val="auto"/>
              </w:rPr>
              <w:t>Manufacturing</w:t>
            </w:r>
          </w:p>
        </w:tc>
        <w:tc>
          <w:tcPr>
            <w:tcW w:w="4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Jeeves Information Systems AB (3)(5)</w:t>
            </w:r>
          </w:p>
        </w:tc>
        <w:tc>
          <w:tcPr>
            <w:tcW w:w="28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First-lien loan (SEK 177,161</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80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par, due 6/2018)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6/5/2013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26,486</w:t>
            </w: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27,170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r>
      <w:tr>
        <w:trPr>
          <w:trHeight w:val="363"/>
        </w:trPr>
        <w:tc>
          <w:tcPr>
            <w:tcW w:w="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660" w:type="dxa"/>
            <w:vAlign w:val="bottom"/>
            <w:gridSpan w:val="2"/>
          </w:tcPr>
          <w:p>
            <w:pPr>
              <w:jc w:val="right"/>
              <w:ind w:right="482"/>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Initial</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Acquisition</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Amortized</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8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Company (1)</w:t>
            </w:r>
          </w:p>
        </w:tc>
        <w:tc>
          <w:tcPr>
            <w:tcW w:w="3240" w:type="dxa"/>
            <w:vAlign w:val="bottom"/>
          </w:tcPr>
          <w:p>
            <w:pPr>
              <w:spacing w:after="0"/>
              <w:rPr>
                <w:sz w:val="15"/>
                <w:szCs w:val="15"/>
                <w:color w:val="auto"/>
              </w:rPr>
            </w:pPr>
          </w:p>
        </w:tc>
        <w:tc>
          <w:tcPr>
            <w:tcW w:w="2320" w:type="dxa"/>
            <w:vAlign w:val="bottom"/>
            <w:gridSpan w:val="2"/>
          </w:tcPr>
          <w:p>
            <w:pPr>
              <w:ind w:left="760"/>
              <w:spacing w:after="0"/>
              <w:rPr>
                <w:sz w:val="20"/>
                <w:szCs w:val="20"/>
                <w:color w:val="auto"/>
              </w:rPr>
            </w:pPr>
            <w:r>
              <w:rPr>
                <w:rFonts w:ascii="Arial" w:cs="Arial" w:eastAsia="Arial" w:hAnsi="Arial"/>
                <w:sz w:val="14"/>
                <w:szCs w:val="14"/>
                <w:b w:val="1"/>
                <w:bCs w:val="1"/>
                <w:color w:val="auto"/>
              </w:rPr>
              <w:t>Investment</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Interest</w:t>
            </w: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Date</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Cost (2)</w:t>
            </w: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0"/>
        </w:trPr>
        <w:tc>
          <w:tcPr>
            <w:tcW w:w="4040" w:type="dxa"/>
            <w:vAlign w:val="bottom"/>
            <w:tcBorders>
              <w:top w:val="single" w:sz="8" w:color="CCEEFF"/>
            </w:tcBorders>
            <w:gridSpan w:val="2"/>
            <w:shd w:val="clear" w:color="auto" w:fill="CCEEFF"/>
          </w:tcPr>
          <w:p>
            <w:pPr>
              <w:ind w:left="440"/>
              <w:spacing w:after="0" w:line="189" w:lineRule="exact"/>
              <w:rPr>
                <w:sz w:val="20"/>
                <w:szCs w:val="20"/>
                <w:color w:val="auto"/>
              </w:rPr>
            </w:pPr>
            <w:r>
              <w:rPr>
                <w:rFonts w:ascii="Arial" w:cs="Arial" w:eastAsia="Arial" w:hAnsi="Arial"/>
                <w:sz w:val="18"/>
                <w:szCs w:val="18"/>
                <w:b w:val="1"/>
                <w:bCs w:val="1"/>
                <w:color w:val="auto"/>
              </w:rPr>
              <w:t>Metals and mining</w:t>
            </w:r>
          </w:p>
        </w:tc>
        <w:tc>
          <w:tcPr>
            <w:tcW w:w="2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40" w:type="dxa"/>
            <w:vAlign w:val="bottom"/>
            <w:gridSpan w:val="2"/>
          </w:tcPr>
          <w:p>
            <w:pPr>
              <w:spacing w:after="0"/>
              <w:rPr>
                <w:sz w:val="20"/>
                <w:szCs w:val="20"/>
                <w:color w:val="auto"/>
              </w:rPr>
            </w:pPr>
            <w:r>
              <w:rPr>
                <w:rFonts w:ascii="Arial" w:cs="Arial" w:eastAsia="Arial" w:hAnsi="Arial"/>
                <w:sz w:val="18"/>
                <w:szCs w:val="18"/>
                <w:color w:val="auto"/>
              </w:rPr>
              <w:t>Metalico, Inc. (3)(6)</w:t>
            </w:r>
          </w:p>
        </w:tc>
        <w:tc>
          <w:tcPr>
            <w:tcW w:w="2320" w:type="dxa"/>
            <w:vAlign w:val="bottom"/>
            <w:gridSpan w:val="2"/>
          </w:tcPr>
          <w:p>
            <w:pPr>
              <w:spacing w:after="0"/>
              <w:rPr>
                <w:sz w:val="20"/>
                <w:szCs w:val="20"/>
                <w:color w:val="auto"/>
              </w:rPr>
            </w:pPr>
            <w:r>
              <w:rPr>
                <w:rFonts w:ascii="Arial" w:cs="Arial" w:eastAsia="Arial" w:hAnsi="Arial"/>
                <w:sz w:val="18"/>
                <w:szCs w:val="18"/>
                <w:color w:val="auto"/>
              </w:rPr>
              <w:t>First-lien loan ($35,650 par,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due 11/2019)</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9.50%</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11/21/2013</w:t>
            </w:r>
          </w:p>
        </w:tc>
        <w:tc>
          <w:tcPr>
            <w:tcW w:w="680" w:type="dxa"/>
            <w:vAlign w:val="bottom"/>
          </w:tcPr>
          <w:p>
            <w:pPr>
              <w:jc w:val="right"/>
              <w:spacing w:after="0"/>
              <w:rPr>
                <w:sz w:val="20"/>
                <w:szCs w:val="20"/>
                <w:color w:val="auto"/>
              </w:rPr>
            </w:pPr>
            <w:r>
              <w:rPr>
                <w:rFonts w:ascii="Arial" w:cs="Arial" w:eastAsia="Arial" w:hAnsi="Arial"/>
                <w:sz w:val="18"/>
                <w:szCs w:val="18"/>
                <w:color w:val="auto"/>
              </w:rPr>
              <w:t>33,523</w:t>
            </w:r>
          </w:p>
        </w:tc>
        <w:tc>
          <w:tcPr>
            <w:tcW w:w="2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33,841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7"/>
        </w:trPr>
        <w:tc>
          <w:tcPr>
            <w:tcW w:w="40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Office products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40" w:type="dxa"/>
            <w:vAlign w:val="bottom"/>
            <w:gridSpan w:val="2"/>
          </w:tcPr>
          <w:p>
            <w:pPr>
              <w:spacing w:after="0"/>
              <w:rPr>
                <w:sz w:val="20"/>
                <w:szCs w:val="20"/>
                <w:color w:val="auto"/>
              </w:rPr>
            </w:pPr>
            <w:r>
              <w:rPr>
                <w:rFonts w:ascii="Arial" w:cs="Arial" w:eastAsia="Arial" w:hAnsi="Arial"/>
                <w:sz w:val="18"/>
                <w:szCs w:val="18"/>
                <w:color w:val="auto"/>
              </w:rPr>
              <w:t>Ecommerce Industries, Inc. (3)(4)(6)</w:t>
            </w:r>
          </w:p>
        </w:tc>
        <w:tc>
          <w:tcPr>
            <w:tcW w:w="2320" w:type="dxa"/>
            <w:vAlign w:val="bottom"/>
            <w:gridSpan w:val="2"/>
          </w:tcPr>
          <w:p>
            <w:pPr>
              <w:spacing w:after="0"/>
              <w:rPr>
                <w:sz w:val="20"/>
                <w:szCs w:val="20"/>
                <w:color w:val="auto"/>
              </w:rPr>
            </w:pPr>
            <w:r>
              <w:rPr>
                <w:rFonts w:ascii="Arial" w:cs="Arial" w:eastAsia="Arial" w:hAnsi="Arial"/>
                <w:sz w:val="18"/>
                <w:szCs w:val="18"/>
                <w:color w:val="auto"/>
              </w:rPr>
              <w:t>First-lien loan ($19,936 par,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due 10/2016)</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10/17/2011</w:t>
            </w:r>
          </w:p>
        </w:tc>
        <w:tc>
          <w:tcPr>
            <w:tcW w:w="680" w:type="dxa"/>
            <w:vAlign w:val="bottom"/>
          </w:tcPr>
          <w:p>
            <w:pPr>
              <w:jc w:val="right"/>
              <w:spacing w:after="0"/>
              <w:rPr>
                <w:sz w:val="20"/>
                <w:szCs w:val="20"/>
                <w:color w:val="auto"/>
              </w:rPr>
            </w:pPr>
            <w:r>
              <w:rPr>
                <w:rFonts w:ascii="Arial" w:cs="Arial" w:eastAsia="Arial" w:hAnsi="Arial"/>
                <w:sz w:val="18"/>
                <w:szCs w:val="18"/>
                <w:color w:val="auto"/>
              </w:rPr>
              <w:t>19,764</w:t>
            </w:r>
          </w:p>
        </w:tc>
        <w:tc>
          <w:tcPr>
            <w:tcW w:w="2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20,086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7"/>
        </w:trPr>
        <w:tc>
          <w:tcPr>
            <w:tcW w:w="40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Oil, gas and consumable fuels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40" w:type="dxa"/>
            <w:vAlign w:val="bottom"/>
            <w:gridSpan w:val="2"/>
          </w:tcPr>
          <w:p>
            <w:pPr>
              <w:spacing w:after="0"/>
              <w:rPr>
                <w:sz w:val="20"/>
                <w:szCs w:val="20"/>
                <w:color w:val="auto"/>
              </w:rPr>
            </w:pPr>
            <w:r>
              <w:rPr>
                <w:rFonts w:ascii="Arial" w:cs="Arial" w:eastAsia="Arial" w:hAnsi="Arial"/>
                <w:sz w:val="18"/>
                <w:szCs w:val="18"/>
                <w:color w:val="auto"/>
              </w:rPr>
              <w:t>Global Geophysical (3)(4)</w:t>
            </w:r>
          </w:p>
        </w:tc>
        <w:tc>
          <w:tcPr>
            <w:tcW w:w="2320" w:type="dxa"/>
            <w:vAlign w:val="bottom"/>
            <w:gridSpan w:val="2"/>
          </w:tcPr>
          <w:p>
            <w:pPr>
              <w:spacing w:after="0"/>
              <w:rPr>
                <w:sz w:val="20"/>
                <w:szCs w:val="20"/>
                <w:color w:val="auto"/>
              </w:rPr>
            </w:pPr>
            <w:r>
              <w:rPr>
                <w:rFonts w:ascii="Arial" w:cs="Arial" w:eastAsia="Arial" w:hAnsi="Arial"/>
                <w:sz w:val="18"/>
                <w:szCs w:val="18"/>
                <w:color w:val="auto"/>
              </w:rPr>
              <w:t>First-lien loan ($40,883</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par, due 9/2016)</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10.75%</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9/30/2013</w:t>
            </w:r>
          </w:p>
        </w:tc>
        <w:tc>
          <w:tcPr>
            <w:tcW w:w="680" w:type="dxa"/>
            <w:vAlign w:val="bottom"/>
          </w:tcPr>
          <w:p>
            <w:pPr>
              <w:jc w:val="right"/>
              <w:spacing w:after="0"/>
              <w:rPr>
                <w:sz w:val="20"/>
                <w:szCs w:val="20"/>
                <w:color w:val="auto"/>
              </w:rPr>
            </w:pPr>
            <w:r>
              <w:rPr>
                <w:rFonts w:ascii="Arial" w:cs="Arial" w:eastAsia="Arial" w:hAnsi="Arial"/>
                <w:sz w:val="18"/>
                <w:szCs w:val="18"/>
                <w:color w:val="auto"/>
              </w:rPr>
              <w:t>39,617</w:t>
            </w:r>
          </w:p>
        </w:tc>
        <w:tc>
          <w:tcPr>
            <w:tcW w:w="2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40,065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7"/>
        </w:trPr>
        <w:tc>
          <w:tcPr>
            <w:tcW w:w="40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Transportation</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40" w:type="dxa"/>
            <w:vAlign w:val="bottom"/>
            <w:gridSpan w:val="2"/>
          </w:tcPr>
          <w:p>
            <w:pPr>
              <w:spacing w:after="0"/>
              <w:rPr>
                <w:sz w:val="20"/>
                <w:szCs w:val="20"/>
                <w:color w:val="auto"/>
              </w:rPr>
            </w:pPr>
            <w:r>
              <w:rPr>
                <w:rFonts w:ascii="Arial" w:cs="Arial" w:eastAsia="Arial" w:hAnsi="Arial"/>
                <w:sz w:val="18"/>
                <w:szCs w:val="18"/>
                <w:color w:val="auto"/>
              </w:rPr>
              <w:t>Kewill, Ltd. (3)(5)</w:t>
            </w:r>
          </w:p>
        </w:tc>
        <w:tc>
          <w:tcPr>
            <w:tcW w:w="2320" w:type="dxa"/>
            <w:vAlign w:val="bottom"/>
            <w:gridSpan w:val="2"/>
          </w:tcPr>
          <w:p>
            <w:pPr>
              <w:spacing w:after="0"/>
              <w:rPr>
                <w:sz w:val="20"/>
                <w:szCs w:val="20"/>
                <w:color w:val="auto"/>
              </w:rPr>
            </w:pPr>
            <w:r>
              <w:rPr>
                <w:rFonts w:ascii="Arial" w:cs="Arial" w:eastAsia="Arial" w:hAnsi="Arial"/>
                <w:sz w:val="18"/>
                <w:szCs w:val="18"/>
                <w:color w:val="auto"/>
              </w:rPr>
              <w:t>Second-lien loan ($52,500</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par, due 10/2019)</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9.50%</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10/2/2013</w:t>
            </w:r>
          </w:p>
        </w:tc>
        <w:tc>
          <w:tcPr>
            <w:tcW w:w="680" w:type="dxa"/>
            <w:vAlign w:val="bottom"/>
          </w:tcPr>
          <w:p>
            <w:pPr>
              <w:jc w:val="right"/>
              <w:spacing w:after="0"/>
              <w:rPr>
                <w:sz w:val="20"/>
                <w:szCs w:val="20"/>
                <w:color w:val="auto"/>
              </w:rPr>
            </w:pPr>
            <w:r>
              <w:rPr>
                <w:rFonts w:ascii="Arial" w:cs="Arial" w:eastAsia="Arial" w:hAnsi="Arial"/>
                <w:sz w:val="18"/>
                <w:szCs w:val="18"/>
                <w:color w:val="auto"/>
              </w:rPr>
              <w:t>51,482</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51,713</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2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Total Debt Investments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994,518</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1,014,647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22"/>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Equity Investments</w:t>
            </w: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Business services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40" w:type="dxa"/>
            <w:vAlign w:val="bottom"/>
            <w:gridSpan w:val="2"/>
          </w:tcPr>
          <w:p>
            <w:pPr>
              <w:spacing w:after="0"/>
              <w:rPr>
                <w:sz w:val="20"/>
                <w:szCs w:val="20"/>
                <w:color w:val="auto"/>
              </w:rPr>
            </w:pPr>
            <w:r>
              <w:rPr>
                <w:rFonts w:ascii="Arial" w:cs="Arial" w:eastAsia="Arial" w:hAnsi="Arial"/>
                <w:sz w:val="18"/>
                <w:szCs w:val="18"/>
                <w:color w:val="auto"/>
              </w:rPr>
              <w:t>Network Merchants, Inc</w:t>
            </w:r>
          </w:p>
        </w:tc>
        <w:tc>
          <w:tcPr>
            <w:tcW w:w="2320" w:type="dxa"/>
            <w:vAlign w:val="bottom"/>
            <w:gridSpan w:val="2"/>
          </w:tcPr>
          <w:p>
            <w:pPr>
              <w:spacing w:after="0"/>
              <w:rPr>
                <w:sz w:val="20"/>
                <w:szCs w:val="20"/>
                <w:color w:val="auto"/>
              </w:rPr>
            </w:pPr>
            <w:r>
              <w:rPr>
                <w:rFonts w:ascii="Arial" w:cs="Arial" w:eastAsia="Arial" w:hAnsi="Arial"/>
                <w:sz w:val="18"/>
                <w:szCs w:val="18"/>
                <w:color w:val="auto"/>
              </w:rPr>
              <w:t>Non-Voting Preferred Units</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(774,099 units)</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9/12/2013</w:t>
            </w:r>
          </w:p>
        </w:tc>
        <w:tc>
          <w:tcPr>
            <w:tcW w:w="680" w:type="dxa"/>
            <w:vAlign w:val="bottom"/>
          </w:tcPr>
          <w:p>
            <w:pPr>
              <w:jc w:val="right"/>
              <w:spacing w:after="0"/>
              <w:rPr>
                <w:sz w:val="20"/>
                <w:szCs w:val="20"/>
                <w:color w:val="auto"/>
              </w:rPr>
            </w:pPr>
            <w:r>
              <w:rPr>
                <w:rFonts w:ascii="Arial" w:cs="Arial" w:eastAsia="Arial" w:hAnsi="Arial"/>
                <w:sz w:val="18"/>
                <w:szCs w:val="18"/>
                <w:color w:val="auto"/>
              </w:rPr>
              <w:t>780</w:t>
            </w:r>
          </w:p>
        </w:tc>
        <w:tc>
          <w:tcPr>
            <w:tcW w:w="2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780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7"/>
        </w:trPr>
        <w:tc>
          <w:tcPr>
            <w:tcW w:w="40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Healthcare and pharmaceuticals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40" w:type="dxa"/>
            <w:vAlign w:val="bottom"/>
            <w:gridSpan w:val="2"/>
          </w:tcPr>
          <w:p>
            <w:pPr>
              <w:spacing w:after="0"/>
              <w:rPr>
                <w:sz w:val="20"/>
                <w:szCs w:val="20"/>
                <w:color w:val="auto"/>
              </w:rPr>
            </w:pPr>
            <w:r>
              <w:rPr>
                <w:rFonts w:ascii="Arial" w:cs="Arial" w:eastAsia="Arial" w:hAnsi="Arial"/>
                <w:sz w:val="18"/>
                <w:szCs w:val="18"/>
                <w:color w:val="auto"/>
              </w:rPr>
              <w:t>SRS Parent Corp.</w:t>
            </w:r>
          </w:p>
        </w:tc>
        <w:tc>
          <w:tcPr>
            <w:tcW w:w="2320" w:type="dxa"/>
            <w:vAlign w:val="bottom"/>
            <w:gridSpan w:val="2"/>
          </w:tcPr>
          <w:p>
            <w:pPr>
              <w:spacing w:after="0"/>
              <w:rPr>
                <w:sz w:val="20"/>
                <w:szCs w:val="20"/>
                <w:color w:val="auto"/>
              </w:rPr>
            </w:pPr>
            <w:r>
              <w:rPr>
                <w:rFonts w:ascii="Arial" w:cs="Arial" w:eastAsia="Arial" w:hAnsi="Arial"/>
                <w:sz w:val="18"/>
                <w:szCs w:val="18"/>
                <w:color w:val="auto"/>
              </w:rPr>
              <w:t>Common Shares Class A</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(1,980 shares)</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12/28/2012</w:t>
            </w:r>
          </w:p>
        </w:tc>
        <w:tc>
          <w:tcPr>
            <w:tcW w:w="680" w:type="dxa"/>
            <w:vAlign w:val="bottom"/>
          </w:tcPr>
          <w:p>
            <w:pPr>
              <w:jc w:val="right"/>
              <w:spacing w:after="0"/>
              <w:rPr>
                <w:sz w:val="20"/>
                <w:szCs w:val="20"/>
                <w:color w:val="auto"/>
              </w:rPr>
            </w:pPr>
            <w:r>
              <w:rPr>
                <w:rFonts w:ascii="Arial" w:cs="Arial" w:eastAsia="Arial" w:hAnsi="Arial"/>
                <w:sz w:val="18"/>
                <w:szCs w:val="18"/>
                <w:color w:val="auto"/>
              </w:rPr>
              <w:t>1,980</w:t>
            </w:r>
          </w:p>
        </w:tc>
        <w:tc>
          <w:tcPr>
            <w:tcW w:w="2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1,024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9"/>
        </w:trPr>
        <w:tc>
          <w:tcPr>
            <w:tcW w:w="8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 Class B</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(2,953,020 shares)</w:t>
            </w: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12/28/2012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1,024</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32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Total Equity Investments</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40" w:type="dxa"/>
            <w:vAlign w:val="bottom"/>
            <w:gridSpan w:val="2"/>
            <w:vMerge w:val="continue"/>
          </w:tcPr>
          <w:p>
            <w:pPr>
              <w:spacing w:after="0"/>
              <w:rPr>
                <w:sz w:val="19"/>
                <w:szCs w:val="19"/>
                <w:color w:val="auto"/>
              </w:rPr>
            </w:pPr>
          </w:p>
        </w:tc>
        <w:tc>
          <w:tcPr>
            <w:tcW w:w="2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997,298</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1,016,451</w:t>
            </w:r>
          </w:p>
        </w:tc>
        <w:tc>
          <w:tcPr>
            <w:tcW w:w="2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80" w:hanging="452"/>
        <w:spacing w:after="0" w:line="25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ind w:left="460" w:right="50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4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SPV Asset Facility (see Note 7).</w:t>
      </w:r>
    </w:p>
    <w:p>
      <w:pPr>
        <w:jc w:val="both"/>
        <w:ind w:left="460" w:right="320" w:hanging="452"/>
        <w:spacing w:after="0" w:line="300"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16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6"/>
              </w:rPr>
              <w:t>Six Months</w:t>
            </w:r>
          </w:p>
        </w:tc>
        <w:tc>
          <w:tcPr>
            <w:tcW w:w="32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8"/>
              </w:rPr>
              <w:t>Ended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Ended</w:t>
            </w: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1520" w:type="dxa"/>
            <w:vAlign w:val="bottom"/>
            <w:gridSpan w:val="4"/>
          </w:tcPr>
          <w:p>
            <w:pPr>
              <w:ind w:left="380"/>
              <w:spacing w:after="0"/>
              <w:rPr>
                <w:sz w:val="20"/>
                <w:szCs w:val="20"/>
                <w:color w:val="auto"/>
              </w:rPr>
            </w:pPr>
            <w:r>
              <w:rPr>
                <w:rFonts w:ascii="Arial" w:cs="Arial" w:eastAsia="Arial" w:hAnsi="Arial"/>
                <w:sz w:val="14"/>
                <w:szCs w:val="14"/>
                <w:b w:val="1"/>
                <w:bCs w:val="1"/>
                <w:color w:val="auto"/>
              </w:rPr>
              <w:t>June 30, 2014</w:t>
            </w:r>
          </w:p>
        </w:tc>
        <w:tc>
          <w:tcPr>
            <w:tcW w:w="1220" w:type="dxa"/>
            <w:vAlign w:val="bottom"/>
            <w:gridSpan w:val="4"/>
          </w:tcPr>
          <w:p>
            <w:pPr>
              <w:ind w:left="320"/>
              <w:spacing w:after="0"/>
              <w:rPr>
                <w:sz w:val="20"/>
                <w:szCs w:val="20"/>
                <w:color w:val="auto"/>
              </w:rPr>
            </w:pPr>
            <w:r>
              <w:rPr>
                <w:rFonts w:ascii="Arial" w:cs="Arial" w:eastAsia="Arial" w:hAnsi="Arial"/>
                <w:sz w:val="14"/>
                <w:szCs w:val="14"/>
                <w:b w:val="1"/>
                <w:bCs w:val="1"/>
                <w:color w:val="auto"/>
                <w:w w:val="96"/>
              </w:rPr>
              <w:t>June 30, 2013</w:t>
            </w:r>
          </w:p>
        </w:tc>
        <w:tc>
          <w:tcPr>
            <w:tcW w:w="0" w:type="dxa"/>
            <w:vAlign w:val="bottom"/>
          </w:tcPr>
          <w:p>
            <w:pPr>
              <w:spacing w:after="0"/>
              <w:rPr>
                <w:sz w:val="1"/>
                <w:szCs w:val="1"/>
                <w:color w:val="auto"/>
              </w:rPr>
            </w:pPr>
          </w:p>
        </w:tc>
      </w:tr>
      <w:tr>
        <w:trPr>
          <w:trHeight w:val="196"/>
        </w:trPr>
        <w:tc>
          <w:tcPr>
            <w:tcW w:w="5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Net investment income</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50,675</w:t>
            </w:r>
          </w:p>
        </w:tc>
        <w:tc>
          <w:tcPr>
            <w:tcW w:w="34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25,923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net change in unrealized gains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Total realized gains (losses)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(1,378)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40" w:type="dxa"/>
            <w:vAlign w:val="bottom"/>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235,212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14,865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net investment income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(39,989)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(26,675)</w:t>
            </w:r>
          </w:p>
        </w:tc>
        <w:tc>
          <w:tcPr>
            <w:tcW w:w="0" w:type="dxa"/>
            <w:vAlign w:val="bottom"/>
          </w:tcPr>
          <w:p>
            <w:pPr>
              <w:spacing w:after="0"/>
              <w:rPr>
                <w:sz w:val="1"/>
                <w:szCs w:val="1"/>
                <w:color w:val="auto"/>
              </w:rPr>
            </w:pPr>
          </w:p>
        </w:tc>
      </w:tr>
      <w:tr>
        <w:trPr>
          <w:trHeight w:val="230"/>
        </w:trPr>
        <w:tc>
          <w:tcPr>
            <w:tcW w:w="5940" w:type="dxa"/>
            <w:vAlign w:val="bottom"/>
          </w:tcPr>
          <w:p>
            <w:pPr>
              <w:ind w:left="440"/>
              <w:spacing w:after="0"/>
              <w:rPr>
                <w:sz w:val="20"/>
                <w:szCs w:val="20"/>
                <w:color w:val="auto"/>
              </w:rPr>
            </w:pPr>
            <w:r>
              <w:rPr>
                <w:rFonts w:ascii="Arial" w:cs="Arial" w:eastAsia="Arial" w:hAnsi="Arial"/>
                <w:sz w:val="18"/>
                <w:szCs w:val="18"/>
                <w:b w:val="1"/>
                <w:bCs w:val="1"/>
                <w:color w:val="auto"/>
                <w:w w:val="97"/>
              </w:rPr>
              <w:t>Increase in Net Assets Resulting from Capital Share Transactions</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210,088</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Increase in Net 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262,730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574,696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479,803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Assets, End of Period</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837,426</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526,547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w w:val="93"/>
              </w:rPr>
              <w:t>Undistributed Net Investment Income Included in Net Assets at the End of</w:t>
            </w: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940" w:type="dxa"/>
            <w:vAlign w:val="bottom"/>
          </w:tcPr>
          <w:p>
            <w:pPr>
              <w:ind w:left="220"/>
              <w:spacing w:after="0"/>
              <w:rPr>
                <w:sz w:val="20"/>
                <w:szCs w:val="20"/>
                <w:color w:val="auto"/>
              </w:rPr>
            </w:pPr>
            <w:r>
              <w:rPr>
                <w:rFonts w:ascii="Arial" w:cs="Arial" w:eastAsia="Arial" w:hAnsi="Arial"/>
                <w:sz w:val="18"/>
                <w:szCs w:val="18"/>
                <w:b w:val="1"/>
                <w:bCs w:val="1"/>
                <w:color w:val="auto"/>
              </w:rPr>
              <w:t>the Period</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11,781</w:t>
            </w:r>
          </w:p>
        </w:tc>
        <w:tc>
          <w:tcPr>
            <w:tcW w:w="340" w:type="dxa"/>
            <w:vAlign w:val="bottom"/>
          </w:tcPr>
          <w:p>
            <w:pPr>
              <w:spacing w:after="0"/>
              <w:rPr>
                <w:sz w:val="19"/>
                <w:szCs w:val="19"/>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45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3"/>
              </w:rPr>
              <w:t>Six Months</w:t>
            </w: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June 30, 2014</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June 30,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52,642</w:t>
            </w: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Adjustments to reconcile increase in net assets resulting from operations to net cash used in operating activities: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Net change in unrealized gains on investments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(3,345)</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realized gains on investments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Net realized losses on foreign currency forward contracts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amortization of discount on securities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(9,162)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Amortization of debt issuance costs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Purchases of investments, net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(441,118)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(260,454)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Proceeds from investments, net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55,824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on investments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281,615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Paid-in-kind interest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Interest receivable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(2,306)</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assets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(16,448)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Management fees payable to affiliate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2,942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Incentive fees payable to affiliate</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Payables to affiliate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Cash Used in Operating Activities</w:t>
            </w: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(72,513)</w:t>
            </w: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(117,924)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Borrowings on debt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721,134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Payments on debt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(855,781)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(450,863)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Debt issuance costs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(5,404)</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235,212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(19,662)</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Cash Provided by Financing Activities</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75,499</w:t>
            </w: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00" w:type="dxa"/>
            <w:vAlign w:val="bottom"/>
          </w:tcPr>
          <w:p>
            <w:pPr>
              <w:ind w:left="86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2,986</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(50,352)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ind w:left="860"/>
              <w:spacing w:after="0"/>
              <w:rPr>
                <w:sz w:val="20"/>
                <w:szCs w:val="20"/>
                <w:color w:val="auto"/>
              </w:rPr>
            </w:pPr>
            <w:r>
              <w:rPr>
                <w:rFonts w:ascii="Arial" w:cs="Arial" w:eastAsia="Arial" w:hAnsi="Arial"/>
                <w:sz w:val="18"/>
                <w:szCs w:val="18"/>
                <w:b w:val="1"/>
                <w:bCs w:val="1"/>
                <w:color w:val="auto"/>
              </w:rPr>
              <w:t>Cash and Cash Equivalents, End of Period</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6,457</w:t>
            </w: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111,473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Interest paid during the period</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5,310</w:t>
            </w: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Excise taxes paid during the period</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Dividends declared during the period</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39,989</w:t>
            </w: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Reinvestment of dividends during the period</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11,894</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52" w:lineRule="exact"/>
        <w:rPr>
          <w:sz w:val="20"/>
          <w:szCs w:val="20"/>
          <w:color w:val="auto"/>
        </w:rPr>
      </w:pPr>
    </w:p>
    <w:p>
      <w:pPr>
        <w:ind w:right="8280" w:firstLine="8"/>
        <w:spacing w:after="0" w:line="347" w:lineRule="auto"/>
        <w:tabs>
          <w:tab w:leader="none" w:pos="17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18"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On March 21, 2014, the Company completed its initial public offering (“IPO”), issuing 7,000,000 shares at $16.00 per share, and its concurrent private placement, issuing 3,124,984 shares at $16.00 per share. Net of underwriting fees and offering costs, the Company received total cash proceeds of $151.6 million.</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April 2014, a total of 1,050,000 shares of stock were issued pursuant to the exercise of the underwriters’ over-allotment option. Net of underwriting fees and offering costs, the Company received additional total cash proceeds of $15.4 million.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21, 2014, the Company’s shares began trading on the New York Stock Exchange (“NYSE”) under the symbol “TSLX”.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financial statements should be read in conjunction with the Company’s consolidated financial statements and notes related thereto included in the Company’s Annual Report on Form 10-K for the year ended December 31, 2013, which was filed with the Securities and Exchange Commission (“SEC”), on March 4, 2014, and Form 10-K/A for the year ended December 31, 2013, which was filed with the SEC, on March 14, 2014.</w:t>
      </w:r>
    </w:p>
    <w:p>
      <w:pPr>
        <w:spacing w:after="0" w:line="11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246" w:lineRule="exact"/>
        <w:rPr>
          <w:sz w:val="20"/>
          <w:szCs w:val="20"/>
          <w:color w:val="auto"/>
        </w:rPr>
      </w:pPr>
    </w:p>
    <w:p>
      <w:pPr>
        <w:ind w:right="8900" w:firstLine="8"/>
        <w:spacing w:after="0" w:line="347" w:lineRule="auto"/>
        <w:tabs>
          <w:tab w:leader="none" w:pos="17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90" w:lineRule="exact"/>
        <w:rPr>
          <w:sz w:val="20"/>
          <w:szCs w:val="20"/>
          <w:color w:val="auto"/>
        </w:rPr>
      </w:pPr>
    </w:p>
    <w:p>
      <w:pPr>
        <w:ind w:left="900" w:right="1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17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June 30, 2014,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6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the Company reviews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18"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4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9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62" w:lineRule="exact"/>
        <w:rPr>
          <w:sz w:val="20"/>
          <w:szCs w:val="20"/>
          <w:color w:val="auto"/>
        </w:rPr>
      </w:pPr>
    </w:p>
    <w:p>
      <w:pPr>
        <w:jc w:val="both"/>
        <w:ind w:right="200" w:firstLine="456"/>
        <w:spacing w:after="0" w:line="318" w:lineRule="auto"/>
        <w:rPr>
          <w:sz w:val="20"/>
          <w:szCs w:val="20"/>
          <w:color w:val="auto"/>
        </w:rPr>
      </w:pPr>
      <w:r>
        <w:rPr>
          <w:rFonts w:ascii="Arial" w:cs="Arial" w:eastAsia="Arial" w:hAnsi="Arial"/>
          <w:sz w:val="15"/>
          <w:szCs w:val="15"/>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Derivatives, including the Company’s interest rate swaps, for which broker quotes are available are typically valued at those broker quotes.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presents the fair value of foreign currency forward contracts executed with the same counterparty on a net basis given the Company has the legal right to offset the recognized amounts, and it intends to settle on a net basis.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Foreign currency forward contract receivables or payables pending settlement are offset, and the net amount is included with receivable or payable for foreign currency forward contracts in the consolidated balance sheets when, and only when, the Company has the legal right to offset the recognized amounts, and it intends to either settle on a net basis or realize the asset and settle the liability simultaneously.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90" w:lineRule="exact"/>
        <w:rPr>
          <w:sz w:val="20"/>
          <w:szCs w:val="20"/>
          <w:color w:val="auto"/>
        </w:rPr>
      </w:pPr>
    </w:p>
    <w:p>
      <w:pPr>
        <w:ind w:left="900" w:right="1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value of investments, outstanding debt on revolving credit facilities, other assets and liabilities: at the spot exchange rate on the last business day of the period; and</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90" w:lineRule="exact"/>
        <w:rPr>
          <w:sz w:val="20"/>
          <w:szCs w:val="20"/>
          <w:color w:val="auto"/>
        </w:rPr>
      </w:pPr>
    </w:p>
    <w:p>
      <w:pPr>
        <w:ind w:right="620" w:firstLine="456"/>
        <w:spacing w:after="0" w:line="370" w:lineRule="auto"/>
        <w:rPr>
          <w:sz w:val="20"/>
          <w:szCs w:val="20"/>
          <w:color w:val="auto"/>
        </w:rPr>
      </w:pPr>
      <w:r>
        <w:rPr>
          <w:rFonts w:ascii="Arial" w:cs="Arial" w:eastAsia="Arial" w:hAnsi="Arial"/>
          <w:sz w:val="15"/>
          <w:szCs w:val="15"/>
          <w:color w:val="auto"/>
        </w:rPr>
        <w:t>The Company records expenses related to registration statement filings and applicable offering costs as deferred financing costs. To the extent such expenses relate to equity offerings, these expenses are charged as a reduction of capital upon each such offering, in accordance with ASC 946-20-25.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 records origination and other expenses related to its debt obligations as deferred financing costs. These expenses are deferred and amortized using the effective yield method, or straight-line method for revolving credit facilities, over the stated maturity life of the obligation.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syndication, structuring or diligence fees, and fees for providing managerial assistance to our portfolio companies.</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earnings estimated by the Adviser. Net realized long-term capital gains, if any, would be generally distributed at least annually, although the Company may decide to retain such capital gains for investment.</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In June 2013, the Financial Accounting Standards Board issued Accounting Standards Update (“ASU”) 2013-08, </w:t>
      </w:r>
      <w:r>
        <w:rPr>
          <w:rFonts w:ascii="Arial" w:cs="Arial" w:eastAsia="Arial" w:hAnsi="Arial"/>
          <w:sz w:val="18"/>
          <w:szCs w:val="18"/>
          <w:i w:val="1"/>
          <w:iCs w:val="1"/>
          <w:color w:val="auto"/>
        </w:rPr>
        <w:t>Financial Services—Investment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(Topic 946): Amendments to the Scope, Measurement, and Disclosure Requirements </w:t>
      </w:r>
      <w:r>
        <w:rPr>
          <w:rFonts w:ascii="Arial" w:cs="Arial" w:eastAsia="Arial" w:hAnsi="Arial"/>
          <w:sz w:val="18"/>
          <w:szCs w:val="18"/>
          <w:color w:val="auto"/>
        </w:rPr>
        <w:t>(“ASU 2013- 08”). ASU 2013-08 amends the criteria that define</w:t>
      </w:r>
      <w:r>
        <w:rPr>
          <w:rFonts w:ascii="Arial" w:cs="Arial" w:eastAsia="Arial" w:hAnsi="Arial"/>
          <w:sz w:val="18"/>
          <w:szCs w:val="18"/>
          <w:i w:val="1"/>
          <w:iCs w:val="1"/>
          <w:color w:val="auto"/>
        </w:rPr>
        <w:t xml:space="preserve"> </w:t>
      </w:r>
      <w:r>
        <w:rPr>
          <w:rFonts w:ascii="Arial" w:cs="Arial" w:eastAsia="Arial" w:hAnsi="Arial"/>
          <w:sz w:val="18"/>
          <w:szCs w:val="18"/>
          <w:color w:val="auto"/>
        </w:rPr>
        <w:t>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 statements and disclosures and determined the adoption of ASU 2013-08 did not have a material effect on the Company’s financial condition and results of operations.</w:t>
      </w:r>
    </w:p>
    <w:p>
      <w:pPr>
        <w:spacing w:after="0" w:line="219" w:lineRule="exact"/>
        <w:rPr>
          <w:sz w:val="20"/>
          <w:szCs w:val="20"/>
          <w:color w:val="auto"/>
        </w:rPr>
      </w:pPr>
    </w:p>
    <w:p>
      <w:pPr>
        <w:ind w:right="7920" w:firstLine="8"/>
        <w:spacing w:after="0" w:line="347" w:lineRule="auto"/>
        <w:tabs>
          <w:tab w:leader="none" w:pos="17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expenses incurred by any such affiliates or third parties for work done on its behalf.</w:t>
      </w:r>
    </w:p>
    <w:p>
      <w:pPr>
        <w:spacing w:after="0" w:line="120" w:lineRule="exact"/>
        <w:rPr>
          <w:sz w:val="20"/>
          <w:szCs w:val="20"/>
          <w:color w:val="auto"/>
        </w:rPr>
      </w:pPr>
    </w:p>
    <w:p>
      <w:pPr>
        <w:ind w:right="420" w:firstLine="456"/>
        <w:spacing w:after="0" w:line="335" w:lineRule="auto"/>
        <w:rPr>
          <w:sz w:val="20"/>
          <w:szCs w:val="20"/>
          <w:color w:val="auto"/>
        </w:rPr>
      </w:pPr>
      <w:r>
        <w:rPr>
          <w:rFonts w:ascii="Arial" w:cs="Arial" w:eastAsia="Arial" w:hAnsi="Arial"/>
          <w:sz w:val="15"/>
          <w:szCs w:val="15"/>
          <w:color w:val="auto"/>
        </w:rPr>
        <w:t>For the three and six months ended June 30, 2014, the Company incurred expenses of $0.7 million and $1.3 million, respectively, for administrative services payable to the Adviser under the terms of the Administration Agreement. For the three and six months ended June 30, 2013, the Company incurred expenses of $0.3 million and $0.6 million, respectively, for administrative services payable to the Adviser under the terms of the Administration Agreement.</w:t>
      </w:r>
    </w:p>
    <w:p>
      <w:pPr>
        <w:spacing w:after="0" w:line="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For the three and six months ended June 30, 2014, Management Fees were $4.5 million and $8.8 million, respectively. For the three and six months ended June 30, 2013, Management Fees were $3.2 million and $6.3 million, respectively.</w:t>
      </w:r>
    </w:p>
    <w:p>
      <w:pPr>
        <w:spacing w:after="0" w:line="132"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Until the IPO, the Adviser had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8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For the three months ended June 30, 2014, no Management Fees were waived. For the six months ended June 30, 2014, Management Fees of $2.5 million were waived. For the three and six months ended June 30, 2013, Management Fees of $1.7 million and $3.2 million, respectively, were waived.</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Any waived Management Fees are not subject to recoupment by the Adviser. Following the IPO, the Adviser does not intend to waive its right to receive the full Management Fee and accordingly, the Company will be required to pay the full amount of the Management Fee.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right="60" w:hanging="446"/>
        <w:spacing w:after="0" w:line="290"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through March 31, 2014, equals 100% of the pre-Incentive Fee net investment income in excess of a 1.5% quarterly “hurdle rate,” the calculation of which is further explained below, until the Adviser has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(7.06% annualized), which is the rate at which catch-up is achieved. Once the “hurdle rate” is reached and catch-up is achieved, 15% of any pre-Incentive Fee net investment income in excess of 1.76% in any quarter is payable to the Adviser.</w:t>
      </w:r>
    </w:p>
    <w:p>
      <w:pPr>
        <w:spacing w:after="0" w:line="37" w:lineRule="exact"/>
        <w:rPr>
          <w:sz w:val="20"/>
          <w:szCs w:val="20"/>
          <w:color w:val="auto"/>
        </w:rPr>
      </w:pPr>
    </w:p>
    <w:p>
      <w:pPr>
        <w:ind w:left="920" w:right="20"/>
        <w:spacing w:after="0" w:line="312" w:lineRule="auto"/>
        <w:rPr>
          <w:sz w:val="20"/>
          <w:szCs w:val="20"/>
          <w:color w:val="auto"/>
        </w:rPr>
      </w:pPr>
      <w:r>
        <w:rPr>
          <w:rFonts w:ascii="Arial" w:cs="Arial" w:eastAsia="Arial" w:hAnsi="Arial"/>
          <w:sz w:val="15"/>
          <w:szCs w:val="15"/>
          <w:color w:val="auto"/>
        </w:rPr>
        <w:t>The first component, payable at the end of each quarter in arrears beginning April 1, 2014,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24" w:lineRule="exact"/>
        <w:rPr>
          <w:sz w:val="20"/>
          <w:szCs w:val="20"/>
          <w:color w:val="auto"/>
        </w:rPr>
      </w:pPr>
    </w:p>
    <w:p>
      <w:pPr>
        <w:ind w:left="920" w:right="200"/>
        <w:spacing w:after="0" w:line="253"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66" w:lineRule="exact"/>
        <w:rPr>
          <w:sz w:val="20"/>
          <w:szCs w:val="20"/>
          <w:color w:val="auto"/>
        </w:rPr>
      </w:pPr>
    </w:p>
    <w:p>
      <w:pPr>
        <w:ind w:left="900" w:hanging="446"/>
        <w:spacing w:after="0" w:line="288"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through March 31, 2014, equals 15%, and beginning April 1, 2014,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March 31, 2014, the Incentive Fee rate will be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will be subject to an incentive fee rate of 15% and the portion of the Company’s realized capital gains that accrued beginning April 1, 2014 will be subject to an incentive fee rate of 17.5%.</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4"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assets as of the end of the calendar quarter immediately preceding the day; plus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the dividend reinvestment plan) from the beginning of the current quarter to the day; minus</w:t>
      </w:r>
    </w:p>
    <w:p>
      <w:pPr>
        <w:spacing w:after="0" w:line="50" w:lineRule="exact"/>
        <w:rPr>
          <w:rFonts w:ascii="Arial" w:cs="Arial" w:eastAsia="Arial" w:hAnsi="Arial"/>
          <w:sz w:val="18"/>
          <w:szCs w:val="18"/>
          <w:color w:val="auto"/>
        </w:rPr>
      </w:pPr>
    </w:p>
    <w:p>
      <w:pPr>
        <w:ind w:left="900" w:right="18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aggregate amount of distributions (including share repurchases) made by the Company from the beginning of the current quarter to the day (but only to the extent the distributions were not declared and accounted for on our books and records in a previous quarter).</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4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For the three and six months ended June 30, 2014, Incentive Fees were $5.9 million and $10.3 million, respectively, of which $6.2 million and $10.0 million, respectively, were realized and payable to the Adviser. For the three and six months ended June 30, 2013, Incentive Fees were $2.5 million and $5.2 million, respectively, of which $2.3 million and $4.7 million, respectively, were realized and payable to the Adviser.</w:t>
      </w:r>
    </w:p>
    <w:p>
      <w:pPr>
        <w:spacing w:after="0" w:line="10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On November 5, 2013, the Board renewed the Investment Advisory Agreement. Unless earlier terminated as described above,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three and six months ended June 30, 2014, were $1.5 million and $3.0 million, respectively. Expenses incurred by the Adviser on behalf of the Company for the three and six months ended June 30, 2013, were $1.3 million and $2.2 million, respectively.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Adviser has entered into an agreement (the “10b5-1 Plan”) with Goldman, Sachs &amp; Co.,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affiliated investments.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June 30, 2014 and December 31, 2013:</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June 30, 2014</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7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Net Unrealized</w:t>
            </w:r>
          </w:p>
        </w:tc>
        <w:tc>
          <w:tcPr>
            <w:tcW w:w="100" w:type="dxa"/>
            <w:vAlign w:val="bottom"/>
          </w:tcPr>
          <w:p>
            <w:pPr>
              <w:spacing w:after="0"/>
              <w:rPr>
                <w:sz w:val="11"/>
                <w:szCs w:val="11"/>
                <w:color w:val="auto"/>
              </w:rPr>
            </w:pPr>
          </w:p>
        </w:tc>
      </w:tr>
      <w:tr>
        <w:trPr>
          <w:trHeight w:val="161"/>
        </w:trPr>
        <w:tc>
          <w:tcPr>
            <w:tcW w:w="3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81"/>
              </w:rPr>
              <w:t>Amortized Cost (1)</w:t>
            </w:r>
          </w:p>
        </w:tc>
        <w:tc>
          <w:tcPr>
            <w:tcW w:w="700" w:type="dxa"/>
            <w:vAlign w:val="bottom"/>
          </w:tcPr>
          <w:p>
            <w:pPr>
              <w:spacing w:after="0"/>
              <w:rPr>
                <w:sz w:val="14"/>
                <w:szCs w:val="14"/>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8"/>
              </w:rPr>
              <w:t>Fair Value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Gain (Loss)</w:t>
            </w:r>
          </w:p>
        </w:tc>
      </w:tr>
      <w:tr>
        <w:trPr>
          <w:trHeight w:val="210"/>
        </w:trPr>
        <w:tc>
          <w:tcPr>
            <w:tcW w:w="3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70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955,914</w:t>
            </w:r>
          </w:p>
        </w:tc>
        <w:tc>
          <w:tcPr>
            <w:tcW w:w="7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969,991</w:t>
            </w:r>
          </w:p>
        </w:tc>
        <w:tc>
          <w:tcPr>
            <w:tcW w:w="360" w:type="dxa"/>
            <w:vAlign w:val="bottom"/>
            <w:tcBorders>
              <w:top w:val="single" w:sz="8" w:color="CCEEFF"/>
              <w:left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137,253</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143,178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5,925</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7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Equity investments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12,152</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11,377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(775)</w:t>
            </w:r>
          </w:p>
        </w:tc>
      </w:tr>
      <w:tr>
        <w:trPr>
          <w:trHeight w:val="27"/>
        </w:trPr>
        <w:tc>
          <w:tcPr>
            <w:tcW w:w="3720" w:type="dxa"/>
            <w:vAlign w:val="bottom"/>
          </w:tcPr>
          <w:p>
            <w:pPr>
              <w:spacing w:after="0"/>
              <w:rPr>
                <w:sz w:val="2"/>
                <w:szCs w:val="2"/>
                <w:color w:val="auto"/>
              </w:rPr>
            </w:pPr>
          </w:p>
        </w:tc>
        <w:tc>
          <w:tcPr>
            <w:tcW w:w="170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17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1,109,964</w:t>
            </w:r>
          </w:p>
        </w:tc>
        <w:tc>
          <w:tcPr>
            <w:tcW w:w="146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1,129,199</w:t>
            </w:r>
          </w:p>
        </w:tc>
        <w:tc>
          <w:tcPr>
            <w:tcW w:w="36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19,235</w:t>
            </w:r>
          </w:p>
        </w:tc>
      </w:tr>
      <w:tr>
        <w:trPr>
          <w:trHeight w:val="20"/>
        </w:trPr>
        <w:tc>
          <w:tcPr>
            <w:tcW w:w="37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December 31, 2013</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37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Net Unrealized</w:t>
            </w:r>
          </w:p>
        </w:tc>
        <w:tc>
          <w:tcPr>
            <w:tcW w:w="100" w:type="dxa"/>
            <w:vAlign w:val="bottom"/>
          </w:tcPr>
          <w:p>
            <w:pPr>
              <w:spacing w:after="0"/>
              <w:rPr>
                <w:sz w:val="11"/>
                <w:szCs w:val="11"/>
                <w:color w:val="auto"/>
              </w:rPr>
            </w:pPr>
          </w:p>
        </w:tc>
      </w:tr>
      <w:tr>
        <w:trPr>
          <w:trHeight w:val="161"/>
        </w:trPr>
        <w:tc>
          <w:tcPr>
            <w:tcW w:w="37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81"/>
              </w:rPr>
              <w:t>Amortized Cost (1)</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6"/>
              </w:rPr>
              <w:t>Fair Value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Gain (Loss)</w:t>
            </w:r>
          </w:p>
        </w:tc>
      </w:tr>
      <w:tr>
        <w:trPr>
          <w:trHeight w:val="210"/>
        </w:trPr>
        <w:tc>
          <w:tcPr>
            <w:tcW w:w="3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70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863,436</w:t>
            </w:r>
          </w:p>
        </w:tc>
        <w:tc>
          <w:tcPr>
            <w:tcW w:w="7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877,164</w:t>
            </w:r>
          </w:p>
        </w:tc>
        <w:tc>
          <w:tcPr>
            <w:tcW w:w="360" w:type="dxa"/>
            <w:vAlign w:val="bottom"/>
            <w:tcBorders>
              <w:top w:val="single" w:sz="8" w:color="CCEEFF"/>
              <w:left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131,082</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137,483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6,401</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7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Equity investments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2,780</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1,804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(976)</w:t>
            </w:r>
          </w:p>
        </w:tc>
      </w:tr>
      <w:tr>
        <w:trPr>
          <w:trHeight w:val="27"/>
        </w:trPr>
        <w:tc>
          <w:tcPr>
            <w:tcW w:w="3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17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997,298</w:t>
            </w:r>
          </w:p>
        </w:tc>
        <w:tc>
          <w:tcPr>
            <w:tcW w:w="1820" w:type="dxa"/>
            <w:vAlign w:val="bottom"/>
            <w:tcBorders>
              <w:left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1,016,451</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19,153</w:t>
            </w:r>
          </w:p>
        </w:tc>
      </w:tr>
      <w:tr>
        <w:trPr>
          <w:trHeight w:val="20"/>
        </w:trPr>
        <w:tc>
          <w:tcPr>
            <w:tcW w:w="37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industry composition of Investments at fair value as of June 30, 2014 and December 31, 2013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4"/>
                <w:szCs w:val="14"/>
                <w:b w:val="1"/>
                <w:bCs w:val="1"/>
                <w:color w:val="auto"/>
                <w:w w:val="85"/>
              </w:rPr>
              <w:t>June 30, 2014</w:t>
            </w:r>
          </w:p>
        </w:tc>
        <w:tc>
          <w:tcPr>
            <w:tcW w:w="580" w:type="dxa"/>
            <w:vAlign w:val="bottom"/>
          </w:tcPr>
          <w:p>
            <w:pPr>
              <w:spacing w:after="0"/>
              <w:rPr>
                <w:sz w:val="14"/>
                <w:szCs w:val="14"/>
                <w:color w:val="auto"/>
              </w:rPr>
            </w:pPr>
          </w:p>
        </w:tc>
        <w:tc>
          <w:tcPr>
            <w:tcW w:w="17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6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vMerge w:val="continue"/>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8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Automotive</w:t>
            </w:r>
          </w:p>
        </w:tc>
        <w:tc>
          <w:tcPr>
            <w:tcW w:w="2980" w:type="dxa"/>
            <w:vAlign w:val="bottom"/>
            <w:gridSpan w:val="3"/>
          </w:tcPr>
          <w:p>
            <w:pPr>
              <w:jc w:val="right"/>
              <w:ind w:right="440"/>
              <w:spacing w:after="0"/>
              <w:rPr>
                <w:sz w:val="20"/>
                <w:szCs w:val="20"/>
                <w:color w:val="auto"/>
              </w:rPr>
            </w:pPr>
            <w:r>
              <w:rPr>
                <w:rFonts w:ascii="Arial" w:cs="Arial" w:eastAsia="Arial" w:hAnsi="Arial"/>
                <w:sz w:val="18"/>
                <w:szCs w:val="18"/>
                <w:color w:val="auto"/>
              </w:rPr>
              <w:t>4.9%</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5.7%</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Business services</w:t>
            </w:r>
          </w:p>
        </w:tc>
        <w:tc>
          <w:tcPr>
            <w:tcW w:w="2980" w:type="dxa"/>
            <w:vAlign w:val="bottom"/>
            <w:gridSpan w:val="3"/>
          </w:tcPr>
          <w:p>
            <w:pPr>
              <w:jc w:val="right"/>
              <w:ind w:right="440"/>
              <w:spacing w:after="0"/>
              <w:rPr>
                <w:sz w:val="20"/>
                <w:szCs w:val="20"/>
                <w:color w:val="auto"/>
              </w:rPr>
            </w:pPr>
            <w:r>
              <w:rPr>
                <w:rFonts w:ascii="Arial" w:cs="Arial" w:eastAsia="Arial" w:hAnsi="Arial"/>
                <w:sz w:val="18"/>
                <w:szCs w:val="18"/>
                <w:color w:val="auto"/>
              </w:rPr>
              <w:t>13.7%</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2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2980" w:type="dxa"/>
            <w:vAlign w:val="bottom"/>
            <w:gridSpan w:val="3"/>
          </w:tcPr>
          <w:p>
            <w:pPr>
              <w:jc w:val="right"/>
              <w:ind w:right="440"/>
              <w:spacing w:after="0"/>
              <w:rPr>
                <w:sz w:val="20"/>
                <w:szCs w:val="20"/>
                <w:color w:val="auto"/>
              </w:rPr>
            </w:pPr>
            <w:r>
              <w:rPr>
                <w:rFonts w:ascii="Arial" w:cs="Arial" w:eastAsia="Arial" w:hAnsi="Arial"/>
                <w:sz w:val="18"/>
                <w:szCs w:val="18"/>
                <w:color w:val="auto"/>
              </w:rPr>
              <w:t>4.4%</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2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4.1%</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Education</w:t>
            </w:r>
          </w:p>
        </w:tc>
        <w:tc>
          <w:tcPr>
            <w:tcW w:w="2980" w:type="dxa"/>
            <w:vAlign w:val="bottom"/>
            <w:gridSpan w:val="3"/>
          </w:tcPr>
          <w:p>
            <w:pPr>
              <w:jc w:val="right"/>
              <w:ind w:right="440"/>
              <w:spacing w:after="0"/>
              <w:rPr>
                <w:sz w:val="20"/>
                <w:szCs w:val="20"/>
                <w:color w:val="auto"/>
              </w:rPr>
            </w:pPr>
            <w:r>
              <w:rPr>
                <w:rFonts w:ascii="Arial" w:cs="Arial" w:eastAsia="Arial" w:hAnsi="Arial"/>
                <w:sz w:val="18"/>
                <w:szCs w:val="18"/>
                <w:color w:val="auto"/>
              </w:rPr>
              <w:t>2.5%</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Electronics</w:t>
            </w:r>
          </w:p>
        </w:tc>
        <w:tc>
          <w:tcPr>
            <w:tcW w:w="2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5.2%</w:t>
            </w: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Financial services</w:t>
            </w:r>
          </w:p>
        </w:tc>
        <w:tc>
          <w:tcPr>
            <w:tcW w:w="2980" w:type="dxa"/>
            <w:vAlign w:val="bottom"/>
            <w:gridSpan w:val="3"/>
          </w:tcPr>
          <w:p>
            <w:pPr>
              <w:jc w:val="right"/>
              <w:ind w:right="440"/>
              <w:spacing w:after="0"/>
              <w:rPr>
                <w:sz w:val="20"/>
                <w:szCs w:val="20"/>
                <w:color w:val="auto"/>
              </w:rPr>
            </w:pPr>
            <w:r>
              <w:rPr>
                <w:rFonts w:ascii="Arial" w:cs="Arial" w:eastAsia="Arial" w:hAnsi="Arial"/>
                <w:sz w:val="18"/>
                <w:szCs w:val="18"/>
                <w:color w:val="auto"/>
              </w:rPr>
              <w:t>9.6%</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2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14.8%</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2980" w:type="dxa"/>
            <w:vAlign w:val="bottom"/>
            <w:gridSpan w:val="3"/>
          </w:tcPr>
          <w:p>
            <w:pPr>
              <w:jc w:val="right"/>
              <w:ind w:right="440"/>
              <w:spacing w:after="0"/>
              <w:rPr>
                <w:sz w:val="20"/>
                <w:szCs w:val="20"/>
                <w:color w:val="auto"/>
              </w:rPr>
            </w:pPr>
            <w:r>
              <w:rPr>
                <w:rFonts w:ascii="Arial" w:cs="Arial" w:eastAsia="Arial" w:hAnsi="Arial"/>
                <w:sz w:val="18"/>
                <w:szCs w:val="18"/>
                <w:color w:val="auto"/>
              </w:rPr>
              <w:t>6.6%</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2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4.7%</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Insurance</w:t>
            </w:r>
          </w:p>
        </w:tc>
        <w:tc>
          <w:tcPr>
            <w:tcW w:w="2980" w:type="dxa"/>
            <w:vAlign w:val="bottom"/>
            <w:gridSpan w:val="3"/>
          </w:tcPr>
          <w:p>
            <w:pPr>
              <w:jc w:val="right"/>
              <w:ind w:right="440"/>
              <w:spacing w:after="0"/>
              <w:rPr>
                <w:sz w:val="20"/>
                <w:szCs w:val="20"/>
                <w:color w:val="auto"/>
              </w:rPr>
            </w:pPr>
            <w:r>
              <w:rPr>
                <w:rFonts w:ascii="Arial" w:cs="Arial" w:eastAsia="Arial" w:hAnsi="Arial"/>
                <w:sz w:val="18"/>
                <w:szCs w:val="18"/>
                <w:color w:val="auto"/>
              </w:rPr>
              <w:t>3.5%</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Internet services</w:t>
            </w:r>
          </w:p>
        </w:tc>
        <w:tc>
          <w:tcPr>
            <w:tcW w:w="2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2.6%</w:t>
            </w: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Manufacturing</w:t>
            </w:r>
          </w:p>
        </w:tc>
        <w:tc>
          <w:tcPr>
            <w:tcW w:w="2980" w:type="dxa"/>
            <w:vAlign w:val="bottom"/>
            <w:gridSpan w:val="3"/>
          </w:tcPr>
          <w:p>
            <w:pPr>
              <w:jc w:val="right"/>
              <w:ind w:right="440"/>
              <w:spacing w:after="0"/>
              <w:rPr>
                <w:sz w:val="20"/>
                <w:szCs w:val="20"/>
                <w:color w:val="auto"/>
              </w:rPr>
            </w:pPr>
            <w:r>
              <w:rPr>
                <w:rFonts w:ascii="Arial" w:cs="Arial" w:eastAsia="Arial" w:hAnsi="Arial"/>
                <w:sz w:val="18"/>
                <w:szCs w:val="18"/>
                <w:color w:val="auto"/>
              </w:rPr>
              <w:t>2.8%</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Metals and mining</w:t>
            </w:r>
          </w:p>
        </w:tc>
        <w:tc>
          <w:tcPr>
            <w:tcW w:w="2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2.9%</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Office products</w:t>
            </w:r>
          </w:p>
        </w:tc>
        <w:tc>
          <w:tcPr>
            <w:tcW w:w="2980" w:type="dxa"/>
            <w:vAlign w:val="bottom"/>
            <w:gridSpan w:val="3"/>
          </w:tcPr>
          <w:p>
            <w:pPr>
              <w:jc w:val="right"/>
              <w:ind w:right="440"/>
              <w:spacing w:after="0"/>
              <w:rPr>
                <w:sz w:val="20"/>
                <w:szCs w:val="20"/>
                <w:color w:val="auto"/>
              </w:rPr>
            </w:pPr>
            <w:r>
              <w:rPr>
                <w:rFonts w:ascii="Arial" w:cs="Arial" w:eastAsia="Arial" w:hAnsi="Arial"/>
                <w:sz w:val="18"/>
                <w:szCs w:val="18"/>
                <w:color w:val="auto"/>
              </w:rPr>
              <w:t>3.1%</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2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3.9%</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Transportation</w:t>
            </w:r>
          </w:p>
        </w:tc>
        <w:tc>
          <w:tcPr>
            <w:tcW w:w="16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4.6%</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geographic composition of Investments at fair value as of June 30, 2014 and December 31, 2013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35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June 30, 2014</w:t>
            </w:r>
          </w:p>
        </w:tc>
        <w:tc>
          <w:tcPr>
            <w:tcW w:w="17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3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440"/>
              <w:spacing w:after="0"/>
              <w:rPr>
                <w:sz w:val="20"/>
                <w:szCs w:val="20"/>
                <w:color w:val="auto"/>
              </w:rPr>
            </w:pPr>
            <w:r>
              <w:rPr>
                <w:rFonts w:ascii="Arial" w:cs="Arial" w:eastAsia="Arial" w:hAnsi="Arial"/>
                <w:sz w:val="18"/>
                <w:szCs w:val="18"/>
                <w:color w:val="auto"/>
              </w:rPr>
              <w:t>Midwest</w:t>
            </w:r>
          </w:p>
        </w:tc>
        <w:tc>
          <w:tcPr>
            <w:tcW w:w="3540" w:type="dxa"/>
            <w:vAlign w:val="bottom"/>
            <w:gridSpan w:val="3"/>
          </w:tcPr>
          <w:p>
            <w:pPr>
              <w:jc w:val="right"/>
              <w:ind w:right="460"/>
              <w:spacing w:after="0"/>
              <w:rPr>
                <w:sz w:val="20"/>
                <w:szCs w:val="20"/>
                <w:color w:val="auto"/>
              </w:rPr>
            </w:pPr>
            <w:r>
              <w:rPr>
                <w:rFonts w:ascii="Arial" w:cs="Arial" w:eastAsia="Arial" w:hAnsi="Arial"/>
                <w:sz w:val="18"/>
                <w:szCs w:val="18"/>
                <w:color w:val="auto"/>
              </w:rPr>
              <w:t>13.4%</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35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27.8%</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380" w:type="dxa"/>
            <w:vAlign w:val="bottom"/>
          </w:tcPr>
          <w:p>
            <w:pPr>
              <w:ind w:left="440"/>
              <w:spacing w:after="0"/>
              <w:rPr>
                <w:sz w:val="20"/>
                <w:szCs w:val="20"/>
                <w:color w:val="auto"/>
              </w:rPr>
            </w:pPr>
            <w:r>
              <w:rPr>
                <w:rFonts w:ascii="Arial" w:cs="Arial" w:eastAsia="Arial" w:hAnsi="Arial"/>
                <w:sz w:val="18"/>
                <w:szCs w:val="18"/>
                <w:color w:val="auto"/>
              </w:rPr>
              <w:t>South</w:t>
            </w:r>
          </w:p>
        </w:tc>
        <w:tc>
          <w:tcPr>
            <w:tcW w:w="3540" w:type="dxa"/>
            <w:vAlign w:val="bottom"/>
            <w:gridSpan w:val="3"/>
          </w:tcPr>
          <w:p>
            <w:pPr>
              <w:jc w:val="right"/>
              <w:ind w:right="460"/>
              <w:spacing w:after="0"/>
              <w:rPr>
                <w:sz w:val="20"/>
                <w:szCs w:val="20"/>
                <w:color w:val="auto"/>
              </w:rPr>
            </w:pPr>
            <w:r>
              <w:rPr>
                <w:rFonts w:ascii="Arial" w:cs="Arial" w:eastAsia="Arial" w:hAnsi="Arial"/>
                <w:sz w:val="18"/>
                <w:szCs w:val="18"/>
                <w:color w:val="auto"/>
              </w:rPr>
              <w:t>18.7%</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35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30.1%</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Europe</w:t>
            </w:r>
          </w:p>
        </w:tc>
        <w:tc>
          <w:tcPr>
            <w:tcW w:w="3540" w:type="dxa"/>
            <w:vAlign w:val="bottom"/>
            <w:gridSpan w:val="3"/>
          </w:tcPr>
          <w:p>
            <w:pPr>
              <w:jc w:val="right"/>
              <w:ind w:right="460"/>
              <w:spacing w:after="0"/>
              <w:rPr>
                <w:sz w:val="20"/>
                <w:szCs w:val="20"/>
                <w:color w:val="auto"/>
              </w:rPr>
            </w:pPr>
            <w:r>
              <w:rPr>
                <w:rFonts w:ascii="Arial" w:cs="Arial" w:eastAsia="Arial" w:hAnsi="Arial"/>
                <w:sz w:val="18"/>
                <w:szCs w:val="18"/>
                <w:color w:val="auto"/>
              </w:rPr>
              <w:t>8.6%</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2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80" w:type="dxa"/>
            <w:vAlign w:val="bottom"/>
            <w:vMerge w:val="continue"/>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380"/>
          </w:cols>
          <w:pgMar w:left="240" w:top="459" w:right="279" w:bottom="1440" w:gutter="0" w:footer="0" w:header="0"/>
        </w:sectPr>
      </w:pPr>
    </w:p>
    <w:p>
      <w:pPr>
        <w:jc w:val="center"/>
        <w:ind w:right="-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80"/>
          </w:cols>
          <w:pgMar w:left="240" w:top="459" w:right="27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160" w:firstLine="8"/>
        <w:spacing w:after="0" w:line="391" w:lineRule="auto"/>
        <w:tabs>
          <w:tab w:leader="none" w:pos="176"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Derivatives </w:t>
      </w:r>
      <w:r>
        <w:rPr>
          <w:rFonts w:ascii="Arial" w:cs="Arial" w:eastAsia="Arial" w:hAnsi="Arial"/>
          <w:sz w:val="16"/>
          <w:szCs w:val="16"/>
          <w:i w:val="1"/>
          <w:iCs w:val="1"/>
          <w:color w:val="auto"/>
        </w:rPr>
        <w:t>Foreign Currency</w:t>
      </w:r>
    </w:p>
    <w:p>
      <w:pPr>
        <w:spacing w:after="0" w:line="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six months ended June 30, 2014 and year ended December 31, 2013 had terms of approximately one to two months. Risks may arise as a result of the potential inability of the counterparties to meet the terms of their contracts. The Company attempts to limit this risk by dealing with only creditworthy counterparties.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During the six months ended June 30, 2014, the Company settled its foreign currency forward contracts related to its investments in Jeeves Information Systems AB and Soho House Bond Ltd., which in total generated a realized loss of $1.6 million.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have any open foreign currency forward contracts as of June 30, 2014.</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details of open foreign currency forward contracts were as follows:</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December 31, 2013</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Depreciation</w:t>
            </w:r>
          </w:p>
        </w:tc>
        <w:tc>
          <w:tcPr>
            <w:tcW w:w="0" w:type="dxa"/>
            <w:vAlign w:val="bottom"/>
          </w:tcPr>
          <w:p>
            <w:pPr>
              <w:spacing w:after="0"/>
              <w:rPr>
                <w:sz w:val="1"/>
                <w:szCs w:val="1"/>
                <w:color w:val="auto"/>
              </w:rPr>
            </w:pPr>
          </w:p>
        </w:tc>
      </w:tr>
      <w:tr>
        <w:trPr>
          <w:trHeight w:val="150"/>
        </w:trPr>
        <w:tc>
          <w:tcPr>
            <w:tcW w:w="2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line="150" w:lineRule="exact"/>
              <w:rPr>
                <w:sz w:val="20"/>
                <w:szCs w:val="20"/>
                <w:color w:val="auto"/>
              </w:rPr>
            </w:pPr>
            <w:r>
              <w:rPr>
                <w:rFonts w:ascii="Arial" w:cs="Arial" w:eastAsia="Arial" w:hAnsi="Arial"/>
                <w:sz w:val="14"/>
                <w:szCs w:val="14"/>
                <w:b w:val="1"/>
                <w:bCs w:val="1"/>
                <w:color w:val="auto"/>
                <w:w w:val="84"/>
              </w:rPr>
              <w:t>presented in</w:t>
            </w:r>
          </w:p>
        </w:tc>
        <w:tc>
          <w:tcPr>
            <w:tcW w:w="0" w:type="dxa"/>
            <w:vAlign w:val="bottom"/>
          </w:tcPr>
          <w:p>
            <w:pPr>
              <w:spacing w:after="0"/>
              <w:rPr>
                <w:sz w:val="1"/>
                <w:szCs w:val="1"/>
                <w:color w:val="auto"/>
              </w:rPr>
            </w:pPr>
          </w:p>
        </w:tc>
      </w:tr>
      <w:tr>
        <w:trPr>
          <w:trHeight w:val="149"/>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 Forward Contracts</w:t>
            </w: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0"/>
              </w:rPr>
              <w:t>Amount (in 000’s)</w:t>
            </w:r>
          </w:p>
        </w:tc>
        <w:tc>
          <w:tcPr>
            <w:tcW w:w="12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USD Value at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USD Value at</w:t>
            </w:r>
          </w:p>
        </w:tc>
        <w:tc>
          <w:tcPr>
            <w:tcW w:w="220" w:type="dxa"/>
            <w:vAlign w:val="bottom"/>
          </w:tcPr>
          <w:p>
            <w:pPr>
              <w:spacing w:after="0"/>
              <w:rPr>
                <w:sz w:val="12"/>
                <w:szCs w:val="12"/>
                <w:color w:val="auto"/>
              </w:rPr>
            </w:pPr>
          </w:p>
        </w:tc>
        <w:tc>
          <w:tcPr>
            <w:tcW w:w="14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Consolidated Financial</w:t>
            </w:r>
          </w:p>
        </w:tc>
        <w:tc>
          <w:tcPr>
            <w:tcW w:w="0" w:type="dxa"/>
            <w:vAlign w:val="bottom"/>
          </w:tcPr>
          <w:p>
            <w:pPr>
              <w:spacing w:after="0"/>
              <w:rPr>
                <w:sz w:val="1"/>
                <w:szCs w:val="1"/>
                <w:color w:val="auto"/>
              </w:rPr>
            </w:pPr>
          </w:p>
        </w:tc>
      </w:tr>
      <w:tr>
        <w:trPr>
          <w:trHeight w:val="168"/>
        </w:trPr>
        <w:tc>
          <w:tcPr>
            <w:tcW w:w="2340" w:type="dxa"/>
            <w:vAlign w:val="bottom"/>
            <w:tcBorders>
              <w:bottom w:val="single" w:sz="8" w:color="auto"/>
            </w:tcBorders>
            <w:vMerge w:val="continue"/>
          </w:tcPr>
          <w:p>
            <w:pPr>
              <w:spacing w:after="0"/>
              <w:rPr>
                <w:sz w:val="14"/>
                <w:szCs w:val="14"/>
                <w:color w:val="auto"/>
              </w:rPr>
            </w:pPr>
          </w:p>
        </w:tc>
        <w:tc>
          <w:tcPr>
            <w:tcW w:w="1260" w:type="dxa"/>
            <w:vAlign w:val="bottom"/>
          </w:tcPr>
          <w:p>
            <w:pPr>
              <w:spacing w:after="0"/>
              <w:rPr>
                <w:sz w:val="14"/>
                <w:szCs w:val="14"/>
                <w:color w:val="auto"/>
              </w:rPr>
            </w:pPr>
          </w:p>
        </w:tc>
        <w:tc>
          <w:tcPr>
            <w:tcW w:w="176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Settlement Date</w:t>
            </w:r>
          </w:p>
        </w:tc>
        <w:tc>
          <w:tcPr>
            <w:tcW w:w="158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and Transaction</w:t>
            </w:r>
          </w:p>
        </w:tc>
        <w:tc>
          <w:tcPr>
            <w:tcW w:w="12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Settlement Date</w:t>
            </w:r>
          </w:p>
        </w:tc>
        <w:tc>
          <w:tcPr>
            <w:tcW w:w="220" w:type="dxa"/>
            <w:vAlign w:val="bottom"/>
          </w:tcPr>
          <w:p>
            <w:pPr>
              <w:spacing w:after="0"/>
              <w:rPr>
                <w:sz w:val="14"/>
                <w:szCs w:val="14"/>
                <w:color w:val="auto"/>
              </w:rPr>
            </w:pPr>
          </w:p>
        </w:tc>
        <w:tc>
          <w:tcPr>
            <w:tcW w:w="13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December 31, 2013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4"/>
              </w:rPr>
              <w:t>Statements</w:t>
            </w:r>
          </w:p>
        </w:tc>
        <w:tc>
          <w:tcPr>
            <w:tcW w:w="0" w:type="dxa"/>
            <w:vAlign w:val="bottom"/>
          </w:tcPr>
          <w:p>
            <w:pPr>
              <w:spacing w:after="0"/>
              <w:rPr>
                <w:sz w:val="1"/>
                <w:szCs w:val="1"/>
                <w:color w:val="auto"/>
              </w:rPr>
            </w:pPr>
          </w:p>
        </w:tc>
      </w:tr>
      <w:tr>
        <w:trPr>
          <w:trHeight w:val="203"/>
        </w:trPr>
        <w:tc>
          <w:tcPr>
            <w:tcW w:w="2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Swedish Krona (SEK)</w:t>
            </w:r>
          </w:p>
        </w:tc>
        <w:tc>
          <w:tcPr>
            <w:tcW w:w="1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January 24, 2014</w:t>
            </w:r>
          </w:p>
        </w:tc>
        <w:tc>
          <w:tcPr>
            <w:tcW w:w="5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188,672 sold</w:t>
            </w: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77"/>
              </w:rPr>
              <w:t>(28,440)</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w w:val="77"/>
              </w:rPr>
              <w:t>(29,366)</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Pound Sterling (GBP)</w:t>
            </w:r>
          </w:p>
        </w:tc>
        <w:tc>
          <w:tcPr>
            <w:tcW w:w="126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color w:val="auto"/>
              </w:rPr>
              <w:t>January 24, 2014</w:t>
            </w: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7,000 sold</w:t>
            </w:r>
          </w:p>
        </w:tc>
        <w:tc>
          <w:tcPr>
            <w:tcW w:w="24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color w:val="auto"/>
              </w:rPr>
              <w:t>(11,274)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rPr>
              <w:t>(11,592)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(39,714)</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(40,958)</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earnings (changes in net assets) and are reported as separate line items within the Company’s consolidated statements of operations. Unrealized gains and losses on foreign currency forward contracts are also reported as a separate line item within the Company’s consolidated balance sheet.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not been required to post cash collateral related to its foreign currency forward contracts, but may be required to do so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June 2014, the Company entered into two interest rate swap transactions, each with a $57.5 million notional amount. The Company will receive fixed rate interest at 4.50% and pay variable rate interest based on the 3-month London Interbank Offered Rate (“LIBOR”) plus 2.529%. The swap transactions mature on December 15, 2019. For the three and six months ended June 30, 2014, the Company recognized $0.8 million in unrealized appreciation on derivatives in the consolidated statement of operations related to the swap transactions. As of June 30, 2014, the swap transactions had a fair value of $0.8 million, which is included in receivable on interest rate swaps in the accompanying consolidated balance sheet.</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June 30, 2014, $2.4 million of cash is pledged as collateral under the Company’s derivative instruments and is included in restricted cash as a component of other assets on the Company’s consolidated balance sheet.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enter into other derivative instruments and incur other exposures with other counterparties in the future.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440" w:firstLine="8"/>
        <w:spacing w:after="0" w:line="369" w:lineRule="auto"/>
        <w:tabs>
          <w:tab w:leader="none" w:pos="17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i w:val="1"/>
          <w:iCs w:val="1"/>
          <w:color w:val="auto"/>
        </w:rPr>
        <w:t>Investments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fair value measurements of investments as of June 30, 2014 and December 31, 2013.</w:t>
      </w:r>
    </w:p>
    <w:p>
      <w:pPr>
        <w:spacing w:after="0" w:line="200" w:lineRule="exact"/>
        <w:rPr>
          <w:sz w:val="20"/>
          <w:szCs w:val="20"/>
          <w:color w:val="auto"/>
        </w:rPr>
      </w:pP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9"/>
          </w:tcPr>
          <w:p>
            <w:pPr>
              <w:jc w:val="right"/>
              <w:ind w:right="3"/>
              <w:spacing w:after="0"/>
              <w:rPr>
                <w:sz w:val="20"/>
                <w:szCs w:val="20"/>
                <w:color w:val="auto"/>
              </w:rPr>
            </w:pPr>
            <w:r>
              <w:rPr>
                <w:rFonts w:ascii="Arial" w:cs="Arial" w:eastAsia="Arial" w:hAnsi="Arial"/>
                <w:sz w:val="14"/>
                <w:szCs w:val="14"/>
                <w:b w:val="1"/>
                <w:bCs w:val="1"/>
                <w:color w:val="auto"/>
                <w:w w:val="98"/>
              </w:rPr>
              <w:t>Fair Value Hierarchy at June 30, 2014</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54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84"/>
              </w:rPr>
              <w:t>Level 1</w:t>
            </w:r>
          </w:p>
        </w:tc>
        <w:tc>
          <w:tcPr>
            <w:tcW w:w="320" w:type="dxa"/>
            <w:vAlign w:val="bottom"/>
          </w:tcPr>
          <w:p>
            <w:pPr>
              <w:spacing w:after="0"/>
              <w:rPr>
                <w:sz w:val="12"/>
                <w:szCs w:val="12"/>
                <w:color w:val="auto"/>
              </w:rPr>
            </w:pPr>
          </w:p>
        </w:tc>
        <w:tc>
          <w:tcPr>
            <w:tcW w:w="1040" w:type="dxa"/>
            <w:vAlign w:val="bottom"/>
            <w:gridSpan w:val="4"/>
          </w:tcPr>
          <w:p>
            <w:pPr>
              <w:jc w:val="right"/>
              <w:ind w:right="54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9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72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$22,006</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947,985</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969,991</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40,765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102,413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143,178</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4,653</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Equity investments</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11,377</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11,377</w:t>
            </w:r>
          </w:p>
        </w:tc>
        <w:tc>
          <w:tcPr>
            <w:tcW w:w="180" w:type="dxa"/>
            <w:vAlign w:val="bottom"/>
          </w:tcPr>
          <w:p>
            <w:pPr>
              <w:spacing w:after="0"/>
              <w:rPr>
                <w:sz w:val="19"/>
                <w:szCs w:val="19"/>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Investments at Fair Value</w:t>
            </w: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6"/>
              </w:rPr>
              <w:t>$ —</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$62,771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$1,066,428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1,129,199</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80" w:type="dxa"/>
            <w:vAlign w:val="bottom"/>
          </w:tcPr>
          <w:p>
            <w:pPr>
              <w:spacing w:after="0"/>
              <w:rPr>
                <w:sz w:val="19"/>
                <w:szCs w:val="19"/>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63,563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1,066,428</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1,129,991</w:t>
            </w:r>
          </w:p>
        </w:tc>
        <w:tc>
          <w:tcPr>
            <w:tcW w:w="180" w:type="dxa"/>
            <w:vAlign w:val="bottom"/>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11"/>
          </w:tcPr>
          <w:p>
            <w:pPr>
              <w:jc w:val="right"/>
              <w:ind w:right="760"/>
              <w:spacing w:after="0"/>
              <w:rPr>
                <w:sz w:val="20"/>
                <w:szCs w:val="20"/>
                <w:color w:val="auto"/>
              </w:rPr>
            </w:pPr>
            <w:r>
              <w:rPr>
                <w:rFonts w:ascii="Arial" w:cs="Arial" w:eastAsia="Arial" w:hAnsi="Arial"/>
                <w:sz w:val="14"/>
                <w:szCs w:val="14"/>
                <w:b w:val="1"/>
                <w:bCs w:val="1"/>
                <w:color w:val="auto"/>
                <w:w w:val="93"/>
              </w:rPr>
              <w:t>Fair Value Hierarchy at December 31, 2013</w:t>
            </w:r>
          </w:p>
        </w:tc>
      </w:tr>
      <w:tr>
        <w:trPr>
          <w:trHeight w:val="142"/>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w w:val="96"/>
              </w:rPr>
              <w:t>Level 2</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 —</w:t>
            </w:r>
          </w:p>
        </w:tc>
        <w:tc>
          <w:tcPr>
            <w:tcW w:w="46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$22,192</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$854,972</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877,164</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5"/>
          </w:tcPr>
          <w:p>
            <w:pPr>
              <w:jc w:val="right"/>
              <w:ind w:right="320"/>
              <w:spacing w:after="0"/>
              <w:rPr>
                <w:sz w:val="20"/>
                <w:szCs w:val="20"/>
                <w:color w:val="auto"/>
              </w:rPr>
            </w:pPr>
            <w:r>
              <w:rPr>
                <w:rFonts w:ascii="Arial" w:cs="Arial" w:eastAsia="Arial" w:hAnsi="Arial"/>
                <w:sz w:val="18"/>
                <w:szCs w:val="18"/>
                <w:color w:val="auto"/>
              </w:rPr>
              <w:t>33,952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103,531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137,483</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Equity investments</w:t>
            </w:r>
          </w:p>
        </w:tc>
        <w:tc>
          <w:tcPr>
            <w:tcW w:w="12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180" w:type="dxa"/>
            <w:vAlign w:val="bottom"/>
          </w:tcPr>
          <w:p>
            <w:pPr>
              <w:spacing w:after="0"/>
              <w:rPr>
                <w:sz w:val="19"/>
                <w:szCs w:val="19"/>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Investments at Fair Value</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 —</w:t>
            </w:r>
          </w:p>
        </w:tc>
        <w:tc>
          <w:tcPr>
            <w:tcW w:w="13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$56,144</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$960,307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1,016,451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Payable on foreign currency forward contracts</w:t>
            </w:r>
          </w:p>
        </w:tc>
        <w:tc>
          <w:tcPr>
            <w:tcW w:w="12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(1,244)</w:t>
            </w:r>
          </w:p>
        </w:tc>
        <w:tc>
          <w:tcPr>
            <w:tcW w:w="1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(1,244)</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 —</w:t>
            </w:r>
          </w:p>
        </w:tc>
        <w:tc>
          <w:tcPr>
            <w:tcW w:w="13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54,900</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960,307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1,015,207</w:t>
            </w: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present changes in the fair value of investments for which Level 3 inputs were used to determine the fair value as of and for the three and six months ended June 30, 2014.</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As of and for the Three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center"/>
              <w:ind w:left="542"/>
              <w:spacing w:after="0"/>
              <w:rPr>
                <w:sz w:val="20"/>
                <w:szCs w:val="20"/>
                <w:color w:val="auto"/>
              </w:rPr>
            </w:pPr>
            <w:r>
              <w:rPr>
                <w:rFonts w:ascii="Arial" w:cs="Arial" w:eastAsia="Arial" w:hAnsi="Arial"/>
                <w:sz w:val="14"/>
                <w:szCs w:val="14"/>
                <w:b w:val="1"/>
                <w:bCs w:val="1"/>
                <w:color w:val="auto"/>
                <w:w w:val="87"/>
              </w:rPr>
              <w:t>Months Ended June 30, 2014</w:t>
            </w:r>
          </w:p>
        </w:tc>
        <w:tc>
          <w:tcPr>
            <w:tcW w:w="5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7"/>
              </w:rPr>
              <w:t>First-lien</w:t>
            </w:r>
          </w:p>
        </w:tc>
        <w:tc>
          <w:tcPr>
            <w:tcW w:w="260" w:type="dxa"/>
            <w:vAlign w:val="bottom"/>
          </w:tcPr>
          <w:p>
            <w:pPr>
              <w:spacing w:after="0"/>
              <w:rPr>
                <w:sz w:val="11"/>
                <w:szCs w:val="11"/>
                <w:color w:val="auto"/>
              </w:rPr>
            </w:pPr>
          </w:p>
        </w:tc>
        <w:tc>
          <w:tcPr>
            <w:tcW w:w="7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3"/>
              </w:rPr>
              <w:t>Second-lien</w:t>
            </w:r>
          </w:p>
        </w:tc>
        <w:tc>
          <w:tcPr>
            <w:tcW w:w="480" w:type="dxa"/>
            <w:vAlign w:val="bottom"/>
          </w:tcPr>
          <w:p>
            <w:pPr>
              <w:spacing w:after="0"/>
              <w:rPr>
                <w:sz w:val="11"/>
                <w:szCs w:val="11"/>
                <w:color w:val="auto"/>
              </w:rPr>
            </w:pPr>
          </w:p>
        </w:tc>
        <w:tc>
          <w:tcPr>
            <w:tcW w:w="960" w:type="dxa"/>
            <w:vAlign w:val="bottom"/>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88"/>
              </w:rPr>
              <w:t>Mezzanine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debt</w:t>
            </w:r>
          </w:p>
        </w:tc>
        <w:tc>
          <w:tcPr>
            <w:tcW w:w="2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1"/>
              </w:rPr>
              <w:t>debt</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debt</w:t>
            </w:r>
          </w:p>
        </w:tc>
        <w:tc>
          <w:tcPr>
            <w:tcW w:w="14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investments</w:t>
            </w:r>
          </w:p>
        </w:tc>
        <w:tc>
          <w:tcPr>
            <w:tcW w:w="26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0"/>
              </w:rPr>
              <w:t>investments</w:t>
            </w:r>
          </w:p>
        </w:tc>
        <w:tc>
          <w:tcPr>
            <w:tcW w:w="48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0"/>
              </w:rPr>
              <w:t>investments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88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$ 962,577</w:t>
            </w:r>
          </w:p>
        </w:tc>
        <w:tc>
          <w:tcPr>
            <w:tcW w:w="320" w:type="dxa"/>
            <w:vAlign w:val="bottom"/>
            <w:tcBorders>
              <w:top w:val="single" w:sz="8" w:color="CCEEFF"/>
              <w:left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$ 169,427</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4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30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1,139,008</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Purchases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95,099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8,872</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103,971</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88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900" w:type="dxa"/>
            <w:vAlign w:val="bottom"/>
            <w:gridSpan w:val="3"/>
          </w:tcPr>
          <w:p>
            <w:pPr>
              <w:jc w:val="right"/>
              <w:ind w:right="260"/>
              <w:spacing w:after="0"/>
              <w:rPr>
                <w:sz w:val="20"/>
                <w:szCs w:val="20"/>
                <w:color w:val="auto"/>
              </w:rPr>
            </w:pPr>
            <w:r>
              <w:rPr>
                <w:rFonts w:ascii="Arial" w:cs="Arial" w:eastAsia="Arial" w:hAnsi="Arial"/>
                <w:sz w:val="18"/>
                <w:szCs w:val="18"/>
                <w:color w:val="auto"/>
              </w:rPr>
              <w:t>(112,583)</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(65,441)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(178,024)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32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lef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900" w:type="dxa"/>
            <w:vAlign w:val="bottom"/>
            <w:gridSpan w:val="3"/>
          </w:tcPr>
          <w:p>
            <w:pPr>
              <w:jc w:val="right"/>
              <w:ind w:right="260"/>
              <w:spacing w:after="0"/>
              <w:rPr>
                <w:sz w:val="20"/>
                <w:szCs w:val="20"/>
                <w:color w:val="auto"/>
              </w:rPr>
            </w:pPr>
            <w:r>
              <w:rPr>
                <w:rFonts w:ascii="Arial" w:cs="Arial" w:eastAsia="Arial" w:hAnsi="Arial"/>
                <w:sz w:val="18"/>
                <w:szCs w:val="18"/>
                <w:color w:val="auto"/>
              </w:rPr>
              <w:t>(118)</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(3,793)</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88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32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Borders>
              <w:lef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4,658</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8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00" w:type="dxa"/>
            <w:vAlign w:val="bottom"/>
            <w:vMerge w:val="continue"/>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$ 947,985</w:t>
            </w:r>
          </w:p>
        </w:tc>
        <w:tc>
          <w:tcPr>
            <w:tcW w:w="3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$ 102,413</w:t>
            </w:r>
          </w:p>
        </w:tc>
        <w:tc>
          <w:tcPr>
            <w:tcW w:w="100" w:type="dxa"/>
            <w:vAlign w:val="bottom"/>
          </w:tcPr>
          <w:p>
            <w:pPr>
              <w:spacing w:after="0"/>
              <w:rPr>
                <w:sz w:val="19"/>
                <w:szCs w:val="19"/>
                <w:color w:val="auto"/>
              </w:rPr>
            </w:pPr>
          </w:p>
        </w:tc>
        <w:tc>
          <w:tcPr>
            <w:tcW w:w="620" w:type="dxa"/>
            <w:vAlign w:val="bottom"/>
            <w:gridSpan w:val="2"/>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4,653</w:t>
            </w:r>
          </w:p>
        </w:tc>
        <w:tc>
          <w:tcPr>
            <w:tcW w:w="3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11,377</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1,066,428</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As of and for the Six</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center"/>
              <w:ind w:left="542"/>
              <w:spacing w:after="0"/>
              <w:rPr>
                <w:sz w:val="20"/>
                <w:szCs w:val="20"/>
                <w:color w:val="auto"/>
              </w:rPr>
            </w:pPr>
            <w:r>
              <w:rPr>
                <w:rFonts w:ascii="Arial" w:cs="Arial" w:eastAsia="Arial" w:hAnsi="Arial"/>
                <w:sz w:val="14"/>
                <w:szCs w:val="14"/>
                <w:b w:val="1"/>
                <w:bCs w:val="1"/>
                <w:color w:val="auto"/>
                <w:w w:val="87"/>
              </w:rPr>
              <w:t>Months Ended June 30, 2014</w:t>
            </w:r>
          </w:p>
        </w:tc>
        <w:tc>
          <w:tcPr>
            <w:tcW w:w="5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1"/>
              </w:rPr>
              <w:t>First-lien</w:t>
            </w:r>
          </w:p>
        </w:tc>
        <w:tc>
          <w:tcPr>
            <w:tcW w:w="260" w:type="dxa"/>
            <w:vAlign w:val="bottom"/>
          </w:tcPr>
          <w:p>
            <w:pPr>
              <w:spacing w:after="0"/>
              <w:rPr>
                <w:sz w:val="11"/>
                <w:szCs w:val="11"/>
                <w:color w:val="auto"/>
              </w:rPr>
            </w:pPr>
          </w:p>
        </w:tc>
        <w:tc>
          <w:tcPr>
            <w:tcW w:w="7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3"/>
              </w:rPr>
              <w:t>Second-lien</w:t>
            </w:r>
          </w:p>
        </w:tc>
        <w:tc>
          <w:tcPr>
            <w:tcW w:w="480" w:type="dxa"/>
            <w:vAlign w:val="bottom"/>
          </w:tcPr>
          <w:p>
            <w:pPr>
              <w:spacing w:after="0"/>
              <w:rPr>
                <w:sz w:val="11"/>
                <w:szCs w:val="11"/>
                <w:color w:val="auto"/>
              </w:rPr>
            </w:pPr>
          </w:p>
        </w:tc>
        <w:tc>
          <w:tcPr>
            <w:tcW w:w="960" w:type="dxa"/>
            <w:vAlign w:val="bottom"/>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88"/>
              </w:rPr>
              <w:t>Mezzanine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debt</w:t>
            </w:r>
          </w:p>
        </w:tc>
        <w:tc>
          <w:tcPr>
            <w:tcW w:w="26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debt</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debt</w:t>
            </w:r>
          </w:p>
        </w:tc>
        <w:tc>
          <w:tcPr>
            <w:tcW w:w="14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investments</w:t>
            </w:r>
          </w:p>
        </w:tc>
        <w:tc>
          <w:tcPr>
            <w:tcW w:w="26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investments</w:t>
            </w:r>
          </w:p>
        </w:tc>
        <w:tc>
          <w:tcPr>
            <w:tcW w:w="48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3"/>
              </w:rPr>
              <w:t>investments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88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$ 854,972</w:t>
            </w:r>
          </w:p>
        </w:tc>
        <w:tc>
          <w:tcPr>
            <w:tcW w:w="320" w:type="dxa"/>
            <w:vAlign w:val="bottom"/>
            <w:tcBorders>
              <w:top w:val="single" w:sz="8" w:color="CCEEFF"/>
              <w:left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$ 103,531</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4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960,307</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Purchases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352,108</w:t>
            </w: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63,050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4,641</w:t>
            </w:r>
          </w:p>
        </w:tc>
        <w:tc>
          <w:tcPr>
            <w:tcW w:w="14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9,373</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429,172</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(51,642)</w:t>
            </w:r>
          </w:p>
        </w:tc>
        <w:tc>
          <w:tcPr>
            <w:tcW w:w="26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(51,642)</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900" w:type="dxa"/>
            <w:vAlign w:val="bottom"/>
            <w:gridSpan w:val="3"/>
          </w:tcPr>
          <w:p>
            <w:pPr>
              <w:jc w:val="right"/>
              <w:ind w:right="240"/>
              <w:spacing w:after="0"/>
              <w:rPr>
                <w:sz w:val="20"/>
                <w:szCs w:val="20"/>
                <w:color w:val="auto"/>
              </w:rPr>
            </w:pPr>
            <w:r>
              <w:rPr>
                <w:rFonts w:ascii="Arial" w:cs="Arial" w:eastAsia="Arial" w:hAnsi="Arial"/>
                <w:sz w:val="18"/>
                <w:szCs w:val="18"/>
                <w:color w:val="auto"/>
              </w:rPr>
              <w:t>(215,483)</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(65,905)</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(281,388)</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32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left w:val="single" w:sz="8" w:color="CCEEFF"/>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32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(885)</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88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8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6,880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9,030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$ 947,985</w:t>
            </w:r>
          </w:p>
        </w:tc>
        <w:tc>
          <w:tcPr>
            <w:tcW w:w="32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$ 102,413</w:t>
            </w:r>
          </w:p>
        </w:tc>
        <w:tc>
          <w:tcPr>
            <w:tcW w:w="10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4,653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11,377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1,066,428</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380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present changes in the fair value of investments for which Level 3 inputs were used to determine the fair value as of and for the three and six months ended June 30, 2013.</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7"/>
              </w:rPr>
              <w:t>As of and for the Three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12"/>
          </w:tcPr>
          <w:p>
            <w:pPr>
              <w:jc w:val="center"/>
              <w:ind w:left="256"/>
              <w:spacing w:after="0"/>
              <w:rPr>
                <w:sz w:val="20"/>
                <w:szCs w:val="20"/>
                <w:color w:val="auto"/>
              </w:rPr>
            </w:pPr>
            <w:r>
              <w:rPr>
                <w:rFonts w:ascii="Arial" w:cs="Arial" w:eastAsia="Arial" w:hAnsi="Arial"/>
                <w:sz w:val="14"/>
                <w:szCs w:val="14"/>
                <w:b w:val="1"/>
                <w:bCs w:val="1"/>
                <w:color w:val="auto"/>
                <w:w w:val="86"/>
              </w:rPr>
              <w:t>Months Ended June 30, 2013</w:t>
            </w: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29"/>
        </w:trPr>
        <w:tc>
          <w:tcPr>
            <w:tcW w:w="4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91"/>
              </w:rPr>
              <w:t>First-lien</w:t>
            </w:r>
          </w:p>
        </w:tc>
        <w:tc>
          <w:tcPr>
            <w:tcW w:w="78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w w:val="95"/>
              </w:rPr>
              <w:t>Second-lien</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4"/>
          </w:tcPr>
          <w:p>
            <w:pPr>
              <w:jc w:val="center"/>
              <w:ind w:right="240"/>
              <w:spacing w:after="0" w:line="129" w:lineRule="exact"/>
              <w:rPr>
                <w:sz w:val="20"/>
                <w:szCs w:val="20"/>
                <w:color w:val="auto"/>
              </w:rPr>
            </w:pPr>
            <w:r>
              <w:rPr>
                <w:rFonts w:ascii="Arial" w:cs="Arial" w:eastAsia="Arial" w:hAnsi="Arial"/>
                <w:sz w:val="14"/>
                <w:szCs w:val="14"/>
                <w:b w:val="1"/>
                <w:bCs w:val="1"/>
                <w:color w:val="auto"/>
                <w:w w:val="88"/>
              </w:rPr>
              <w:t>Mezzanine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49"/>
        </w:trPr>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debt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232"/>
              <w:spacing w:after="0" w:line="149" w:lineRule="exact"/>
              <w:rPr>
                <w:sz w:val="20"/>
                <w:szCs w:val="20"/>
                <w:color w:val="auto"/>
              </w:rPr>
            </w:pPr>
            <w:r>
              <w:rPr>
                <w:rFonts w:ascii="Arial" w:cs="Arial" w:eastAsia="Arial" w:hAnsi="Arial"/>
                <w:sz w:val="14"/>
                <w:szCs w:val="14"/>
                <w:b w:val="1"/>
                <w:bCs w:val="1"/>
                <w:color w:val="auto"/>
              </w:rPr>
              <w:t>debt</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debt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3"/>
              </w:rPr>
              <w:t>Equity</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6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0"/>
              </w:rPr>
              <w:t>investments</w:t>
            </w:r>
          </w:p>
        </w:tc>
        <w:tc>
          <w:tcPr>
            <w:tcW w:w="780" w:type="dxa"/>
            <w:vAlign w:val="bottom"/>
            <w:gridSpan w:val="5"/>
          </w:tcPr>
          <w:p>
            <w:pPr>
              <w:spacing w:after="0"/>
              <w:rPr>
                <w:sz w:val="20"/>
                <w:szCs w:val="20"/>
                <w:color w:val="auto"/>
              </w:rPr>
            </w:pPr>
            <w:r>
              <w:rPr>
                <w:rFonts w:ascii="Arial" w:cs="Arial" w:eastAsia="Arial" w:hAnsi="Arial"/>
                <w:sz w:val="14"/>
                <w:szCs w:val="14"/>
                <w:b w:val="1"/>
                <w:bCs w:val="1"/>
                <w:color w:val="auto"/>
                <w:w w:val="92"/>
              </w:rPr>
              <w:t>investments</w:t>
            </w:r>
          </w:p>
        </w:tc>
        <w:tc>
          <w:tcPr>
            <w:tcW w:w="440" w:type="dxa"/>
            <w:vAlign w:val="bottom"/>
          </w:tcPr>
          <w:p>
            <w:pPr>
              <w:spacing w:after="0"/>
              <w:rPr>
                <w:sz w:val="14"/>
                <w:szCs w:val="14"/>
                <w:color w:val="auto"/>
              </w:rPr>
            </w:pPr>
          </w:p>
        </w:tc>
        <w:tc>
          <w:tcPr>
            <w:tcW w:w="920" w:type="dxa"/>
            <w:vAlign w:val="bottom"/>
            <w:gridSpan w:val="5"/>
          </w:tcPr>
          <w:p>
            <w:pPr>
              <w:ind w:left="20"/>
              <w:spacing w:after="0"/>
              <w:rPr>
                <w:sz w:val="20"/>
                <w:szCs w:val="20"/>
                <w:color w:val="auto"/>
              </w:rPr>
            </w:pPr>
            <w:r>
              <w:rPr>
                <w:rFonts w:ascii="Arial" w:cs="Arial" w:eastAsia="Arial" w:hAnsi="Arial"/>
                <w:sz w:val="14"/>
                <w:szCs w:val="14"/>
                <w:b w:val="1"/>
                <w:bCs w:val="1"/>
                <w:color w:val="auto"/>
              </w:rPr>
              <w:t>investments</w:t>
            </w:r>
          </w:p>
        </w:tc>
        <w:tc>
          <w:tcPr>
            <w:tcW w:w="60" w:type="dxa"/>
            <w:vAlign w:val="bottom"/>
          </w:tcPr>
          <w:p>
            <w:pPr>
              <w:spacing w:after="0"/>
              <w:rPr>
                <w:sz w:val="14"/>
                <w:szCs w:val="14"/>
                <w:color w:val="auto"/>
              </w:rPr>
            </w:pP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rPr>
              <w:t>investments</w:t>
            </w: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10"/>
        </w:trPr>
        <w:tc>
          <w:tcPr>
            <w:tcW w:w="4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$ 502,510</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50,458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$554,968</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Purchases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179,024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179,024</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(19,547)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(302)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(19,849)</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(1,105)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8"/>
                <w:szCs w:val="18"/>
                <w:color w:val="auto"/>
              </w:rPr>
              <w:t>(756)</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(259)</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w:t>
            </w: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1,079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1,137</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3</w:t>
            </w: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29,926</w:t>
            </w:r>
          </w:p>
        </w:tc>
        <w:tc>
          <w:tcPr>
            <w:tcW w:w="5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29,926</w:t>
            </w:r>
          </w:p>
        </w:tc>
        <w:tc>
          <w:tcPr>
            <w:tcW w:w="280" w:type="dxa"/>
            <w:vAlign w:val="bottom"/>
            <w:shd w:val="clear" w:color="auto" w:fill="CCEEFF"/>
          </w:tcPr>
          <w:p>
            <w:pPr>
              <w:spacing w:after="0"/>
              <w:rPr>
                <w:sz w:val="18"/>
                <w:szCs w:val="18"/>
                <w:color w:val="auto"/>
              </w:rPr>
            </w:pPr>
          </w:p>
        </w:tc>
      </w:tr>
      <w:tr>
        <w:trPr>
          <w:trHeight w:val="222"/>
        </w:trPr>
        <w:tc>
          <w:tcPr>
            <w:tcW w:w="4960" w:type="dxa"/>
            <w:vAlign w:val="bottom"/>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$ 692,149</w:t>
            </w:r>
          </w:p>
        </w:tc>
        <w:tc>
          <w:tcPr>
            <w:tcW w:w="52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52,057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80" w:type="dxa"/>
            <w:vAlign w:val="bottom"/>
            <w:gridSpan w:val="3"/>
          </w:tcPr>
          <w:p>
            <w:pPr>
              <w:ind w:left="6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1,244</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745,450</w:t>
            </w:r>
          </w:p>
        </w:tc>
      </w:tr>
      <w:tr>
        <w:trPr>
          <w:trHeight w:val="20"/>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33"/>
        </w:trPr>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6"/>
              </w:rPr>
              <w:t>As of and for the Six</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6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12"/>
          </w:tcPr>
          <w:p>
            <w:pPr>
              <w:jc w:val="center"/>
              <w:ind w:left="256"/>
              <w:spacing w:after="0"/>
              <w:rPr>
                <w:sz w:val="20"/>
                <w:szCs w:val="20"/>
                <w:color w:val="auto"/>
              </w:rPr>
            </w:pPr>
            <w:r>
              <w:rPr>
                <w:rFonts w:ascii="Arial" w:cs="Arial" w:eastAsia="Arial" w:hAnsi="Arial"/>
                <w:sz w:val="14"/>
                <w:szCs w:val="14"/>
                <w:b w:val="1"/>
                <w:bCs w:val="1"/>
                <w:color w:val="auto"/>
                <w:w w:val="86"/>
              </w:rPr>
              <w:t>Months Ended June 30, 2013</w:t>
            </w: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29"/>
        </w:trPr>
        <w:tc>
          <w:tcPr>
            <w:tcW w:w="4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91"/>
              </w:rPr>
              <w:t>First-lien</w:t>
            </w:r>
          </w:p>
        </w:tc>
        <w:tc>
          <w:tcPr>
            <w:tcW w:w="20" w:type="dxa"/>
            <w:vAlign w:val="bottom"/>
          </w:tcPr>
          <w:p>
            <w:pPr>
              <w:spacing w:after="0"/>
              <w:rPr>
                <w:sz w:val="11"/>
                <w:szCs w:val="11"/>
                <w:color w:val="auto"/>
              </w:rPr>
            </w:pPr>
          </w:p>
        </w:tc>
        <w:tc>
          <w:tcPr>
            <w:tcW w:w="7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93"/>
              </w:rPr>
              <w:t>Second-lien</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4"/>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Mezzanine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49"/>
        </w:trPr>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debt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jc w:val="right"/>
              <w:ind w:right="232"/>
              <w:spacing w:after="0" w:line="149" w:lineRule="exact"/>
              <w:rPr>
                <w:sz w:val="20"/>
                <w:szCs w:val="20"/>
                <w:color w:val="auto"/>
              </w:rPr>
            </w:pPr>
            <w:r>
              <w:rPr>
                <w:rFonts w:ascii="Arial" w:cs="Arial" w:eastAsia="Arial" w:hAnsi="Arial"/>
                <w:sz w:val="14"/>
                <w:szCs w:val="14"/>
                <w:b w:val="1"/>
                <w:bCs w:val="1"/>
                <w:color w:val="auto"/>
              </w:rPr>
              <w:t>debt</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debt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8"/>
              </w:rPr>
              <w:t>Equity</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6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0"/>
              </w:rPr>
              <w:t>investments</w:t>
            </w:r>
          </w:p>
        </w:tc>
        <w:tc>
          <w:tcPr>
            <w:tcW w:w="2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w w:val="90"/>
              </w:rPr>
              <w:t>investments</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investments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investments</w:t>
            </w: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10"/>
        </w:trPr>
        <w:tc>
          <w:tcPr>
            <w:tcW w:w="4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$ 514,104</w:t>
            </w: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53,190</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$569,294</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Purchases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243,744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(180)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243,564</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(30,615)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(30,615)</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(68,540)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(3,483)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(72,023)</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487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1,252</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12"/>
              <w:spacing w:after="0"/>
              <w:rPr>
                <w:sz w:val="20"/>
                <w:szCs w:val="20"/>
                <w:color w:val="auto"/>
              </w:rPr>
            </w:pPr>
            <w:r>
              <w:rPr>
                <w:rFonts w:ascii="Arial" w:cs="Arial" w:eastAsia="Arial" w:hAnsi="Arial"/>
                <w:sz w:val="18"/>
                <w:szCs w:val="18"/>
                <w:color w:val="auto"/>
              </w:rPr>
              <w:t>1,883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(756)</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1,319</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2,431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12"/>
              <w:spacing w:after="0"/>
              <w:rPr>
                <w:sz w:val="20"/>
                <w:szCs w:val="20"/>
                <w:color w:val="auto"/>
              </w:rPr>
            </w:pPr>
            <w:r>
              <w:rPr>
                <w:rFonts w:ascii="Arial" w:cs="Arial" w:eastAsia="Arial" w:hAnsi="Arial"/>
                <w:sz w:val="18"/>
                <w:szCs w:val="18"/>
                <w:color w:val="auto"/>
              </w:rPr>
              <w:t>160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2,591</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3</w:t>
            </w: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29,926</w:t>
            </w:r>
          </w:p>
        </w:tc>
        <w:tc>
          <w:tcPr>
            <w:tcW w:w="280" w:type="dxa"/>
            <w:vAlign w:val="bottom"/>
            <w:shd w:val="clear" w:color="auto" w:fill="CCEEFF"/>
          </w:tcPr>
          <w:p>
            <w:pPr>
              <w:spacing w:after="0"/>
              <w:rPr>
                <w:sz w:val="18"/>
                <w:szCs w:val="18"/>
                <w:color w:val="auto"/>
              </w:rPr>
            </w:pPr>
          </w:p>
        </w:tc>
      </w:tr>
      <w:tr>
        <w:trPr>
          <w:trHeight w:val="222"/>
        </w:trPr>
        <w:tc>
          <w:tcPr>
            <w:tcW w:w="4960" w:type="dxa"/>
            <w:vAlign w:val="bottom"/>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$ 692,149</w:t>
            </w:r>
          </w:p>
        </w:tc>
        <w:tc>
          <w:tcPr>
            <w:tcW w:w="5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12"/>
              <w:spacing w:after="0"/>
              <w:rPr>
                <w:sz w:val="20"/>
                <w:szCs w:val="20"/>
                <w:color w:val="auto"/>
              </w:rPr>
            </w:pPr>
            <w:r>
              <w:rPr>
                <w:rFonts w:ascii="Arial" w:cs="Arial" w:eastAsia="Arial" w:hAnsi="Arial"/>
                <w:sz w:val="18"/>
                <w:szCs w:val="18"/>
                <w:color w:val="auto"/>
                <w:w w:val="94"/>
              </w:rPr>
              <w:t>52,057</w:t>
            </w:r>
          </w:p>
        </w:tc>
        <w:tc>
          <w:tcPr>
            <w:tcW w:w="6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80" w:type="dxa"/>
            <w:vAlign w:val="bottom"/>
            <w:gridSpan w:val="3"/>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1,244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745,450</w:t>
            </w:r>
          </w:p>
        </w:tc>
      </w:tr>
      <w:tr>
        <w:trPr>
          <w:trHeight w:val="20"/>
        </w:trPr>
        <w:tc>
          <w:tcPr>
            <w:tcW w:w="4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tables present information with respect to net change in unrealized appreciation or depreciation on investments for which Level 3 inputs were used in determining fair value that are still held by the Company at June 30, 2014 and 2013:</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7"/>
              </w:rPr>
              <w:t>Net Change in Unrealized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Net Change in Unrealized</w:t>
            </w:r>
          </w:p>
        </w:tc>
      </w:tr>
      <w:tr>
        <w:trPr>
          <w:trHeight w:val="149"/>
        </w:trPr>
        <w:tc>
          <w:tcPr>
            <w:tcW w:w="4540" w:type="dxa"/>
            <w:vAlign w:val="bottom"/>
          </w:tcPr>
          <w:p>
            <w:pPr>
              <w:spacing w:after="0"/>
              <w:rPr>
                <w:sz w:val="12"/>
                <w:szCs w:val="12"/>
                <w:color w:val="auto"/>
              </w:rPr>
            </w:pPr>
          </w:p>
        </w:tc>
        <w:tc>
          <w:tcPr>
            <w:tcW w:w="250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Appreciation or (Depreciation)</w:t>
            </w:r>
          </w:p>
        </w:tc>
        <w:tc>
          <w:tcPr>
            <w:tcW w:w="660" w:type="dxa"/>
            <w:vAlign w:val="bottom"/>
          </w:tcPr>
          <w:p>
            <w:pPr>
              <w:spacing w:after="0"/>
              <w:rPr>
                <w:sz w:val="12"/>
                <w:szCs w:val="12"/>
                <w:color w:val="auto"/>
              </w:rPr>
            </w:pPr>
          </w:p>
        </w:tc>
        <w:tc>
          <w:tcPr>
            <w:tcW w:w="1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Appreciation or (Depreciation)</w:t>
            </w:r>
          </w:p>
        </w:tc>
      </w:tr>
      <w:tr>
        <w:trPr>
          <w:trHeight w:val="149"/>
        </w:trPr>
        <w:tc>
          <w:tcPr>
            <w:tcW w:w="4540" w:type="dxa"/>
            <w:vAlign w:val="bottom"/>
          </w:tcPr>
          <w:p>
            <w:pPr>
              <w:spacing w:after="0"/>
              <w:rPr>
                <w:sz w:val="12"/>
                <w:szCs w:val="12"/>
                <w:color w:val="auto"/>
              </w:rPr>
            </w:pPr>
          </w:p>
        </w:tc>
        <w:tc>
          <w:tcPr>
            <w:tcW w:w="250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for the Three Months Ended</w:t>
            </w:r>
          </w:p>
        </w:tc>
        <w:tc>
          <w:tcPr>
            <w:tcW w:w="660" w:type="dxa"/>
            <w:vAlign w:val="bottom"/>
          </w:tcPr>
          <w:p>
            <w:pPr>
              <w:spacing w:after="0"/>
              <w:rPr>
                <w:sz w:val="12"/>
                <w:szCs w:val="12"/>
                <w:color w:val="auto"/>
              </w:rPr>
            </w:pPr>
          </w:p>
        </w:tc>
        <w:tc>
          <w:tcPr>
            <w:tcW w:w="1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for the Three Months Ended</w:t>
            </w:r>
          </w:p>
        </w:tc>
      </w:tr>
      <w:tr>
        <w:trPr>
          <w:trHeight w:val="149"/>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June 30, 2014 on</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June 30, 2013 on</w:t>
            </w:r>
          </w:p>
        </w:tc>
      </w:tr>
      <w:tr>
        <w:trPr>
          <w:trHeight w:val="149"/>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Investments Held at</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Investments Held at</w:t>
            </w:r>
          </w:p>
        </w:tc>
      </w:tr>
      <w:tr>
        <w:trPr>
          <w:trHeight w:val="161"/>
        </w:trPr>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5"/>
              </w:rPr>
              <w:t>June 30, 2014</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June 30, 2013</w:t>
            </w:r>
          </w:p>
        </w:tc>
      </w:tr>
      <w:tr>
        <w:trPr>
          <w:trHeight w:val="210"/>
        </w:trPr>
        <w:tc>
          <w:tcPr>
            <w:tcW w:w="4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7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8"/>
                <w:szCs w:val="18"/>
                <w:color w:val="auto"/>
              </w:rPr>
            </w:pPr>
          </w:p>
        </w:tc>
        <w:tc>
          <w:tcPr>
            <w:tcW w:w="2380" w:type="dxa"/>
            <w:vAlign w:val="bottom"/>
            <w:gridSpan w:val="2"/>
          </w:tcPr>
          <w:p>
            <w:pPr>
              <w:jc w:val="right"/>
              <w:ind w:right="660"/>
              <w:spacing w:after="0"/>
              <w:rPr>
                <w:sz w:val="20"/>
                <w:szCs w:val="20"/>
                <w:color w:val="auto"/>
              </w:rPr>
            </w:pPr>
            <w:r>
              <w:rPr>
                <w:rFonts w:ascii="Arial" w:cs="Arial" w:eastAsia="Arial" w:hAnsi="Arial"/>
                <w:sz w:val="18"/>
                <w:szCs w:val="18"/>
                <w:color w:val="auto"/>
              </w:rPr>
              <w:t>(457)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1,602</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Equity investments</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165</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(755)</w:t>
            </w:r>
          </w:p>
        </w:tc>
      </w:tr>
      <w:tr>
        <w:trPr>
          <w:trHeight w:val="27"/>
        </w:trPr>
        <w:tc>
          <w:tcPr>
            <w:tcW w:w="4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7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w:t>
            </w:r>
          </w:p>
        </w:tc>
      </w:tr>
      <w:tr>
        <w:trPr>
          <w:trHeight w:val="20"/>
        </w:trPr>
        <w:tc>
          <w:tcPr>
            <w:tcW w:w="4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right"/>
              <w:ind w:right="1360"/>
              <w:spacing w:after="0"/>
              <w:rPr>
                <w:sz w:val="20"/>
                <w:szCs w:val="20"/>
                <w:color w:val="auto"/>
              </w:rPr>
            </w:pPr>
            <w:r>
              <w:rPr>
                <w:rFonts w:ascii="Arial" w:cs="Arial" w:eastAsia="Arial" w:hAnsi="Arial"/>
                <w:sz w:val="18"/>
                <w:szCs w:val="18"/>
                <w:color w:val="auto"/>
                <w:w w:val="99"/>
              </w:rPr>
              <w:t>24</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87"/>
              </w:rPr>
              <w:t>Net Change in Unrealized</w:t>
            </w:r>
          </w:p>
        </w:tc>
        <w:tc>
          <w:tcPr>
            <w:tcW w:w="120" w:type="dxa"/>
            <w:vAlign w:val="bottom"/>
          </w:tcPr>
          <w:p>
            <w:pPr>
              <w:spacing w:after="0"/>
              <w:rPr>
                <w:sz w:val="14"/>
                <w:szCs w:val="14"/>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Net Change in Unrealized</w:t>
            </w:r>
          </w:p>
        </w:tc>
      </w:tr>
      <w:tr>
        <w:trPr>
          <w:trHeight w:val="149"/>
        </w:trPr>
        <w:tc>
          <w:tcPr>
            <w:tcW w:w="4580" w:type="dxa"/>
            <w:vAlign w:val="bottom"/>
          </w:tcPr>
          <w:p>
            <w:pPr>
              <w:spacing w:after="0"/>
              <w:rPr>
                <w:sz w:val="12"/>
                <w:szCs w:val="12"/>
                <w:color w:val="auto"/>
              </w:rPr>
            </w:pPr>
          </w:p>
        </w:tc>
        <w:tc>
          <w:tcPr>
            <w:tcW w:w="312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88"/>
              </w:rPr>
              <w:t>Appreciation or (Depreciation)</w:t>
            </w:r>
          </w:p>
        </w:tc>
        <w:tc>
          <w:tcPr>
            <w:tcW w:w="1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Appreciation or (Depreciation)</w:t>
            </w:r>
          </w:p>
        </w:tc>
      </w:tr>
      <w:tr>
        <w:trPr>
          <w:trHeight w:val="149"/>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gridSpan w:val="2"/>
          </w:tcPr>
          <w:p>
            <w:pPr>
              <w:jc w:val="center"/>
              <w:ind w:right="1460"/>
              <w:spacing w:after="0" w:line="149" w:lineRule="exact"/>
              <w:rPr>
                <w:sz w:val="20"/>
                <w:szCs w:val="20"/>
                <w:color w:val="auto"/>
              </w:rPr>
            </w:pPr>
            <w:r>
              <w:rPr>
                <w:rFonts w:ascii="Arial" w:cs="Arial" w:eastAsia="Arial" w:hAnsi="Arial"/>
                <w:sz w:val="14"/>
                <w:szCs w:val="14"/>
                <w:b w:val="1"/>
                <w:bCs w:val="1"/>
                <w:color w:val="auto"/>
                <w:w w:val="87"/>
              </w:rPr>
              <w:t>for the Six Months Ended</w:t>
            </w:r>
          </w:p>
        </w:tc>
        <w:tc>
          <w:tcPr>
            <w:tcW w:w="120" w:type="dxa"/>
            <w:vAlign w:val="bottom"/>
          </w:tcPr>
          <w:p>
            <w:pPr>
              <w:spacing w:after="0"/>
              <w:rPr>
                <w:sz w:val="12"/>
                <w:szCs w:val="12"/>
                <w:color w:val="auto"/>
              </w:rPr>
            </w:pPr>
          </w:p>
        </w:tc>
        <w:tc>
          <w:tcPr>
            <w:tcW w:w="1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for the Six Months Ended</w:t>
            </w:r>
          </w:p>
        </w:tc>
      </w:tr>
      <w:tr>
        <w:trPr>
          <w:trHeight w:val="149"/>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gridSpan w:val="2"/>
          </w:tcPr>
          <w:p>
            <w:pPr>
              <w:jc w:val="center"/>
              <w:ind w:right="1460"/>
              <w:spacing w:after="0" w:line="149" w:lineRule="exact"/>
              <w:rPr>
                <w:sz w:val="20"/>
                <w:szCs w:val="20"/>
                <w:color w:val="auto"/>
              </w:rPr>
            </w:pPr>
            <w:r>
              <w:rPr>
                <w:rFonts w:ascii="Arial" w:cs="Arial" w:eastAsia="Arial" w:hAnsi="Arial"/>
                <w:sz w:val="14"/>
                <w:szCs w:val="14"/>
                <w:b w:val="1"/>
                <w:bCs w:val="1"/>
                <w:color w:val="auto"/>
                <w:w w:val="85"/>
              </w:rPr>
              <w:t>June 30, 2014 on</w:t>
            </w:r>
          </w:p>
        </w:tc>
        <w:tc>
          <w:tcPr>
            <w:tcW w:w="120" w:type="dxa"/>
            <w:vAlign w:val="bottom"/>
          </w:tcPr>
          <w:p>
            <w:pPr>
              <w:spacing w:after="0"/>
              <w:rPr>
                <w:sz w:val="12"/>
                <w:szCs w:val="12"/>
                <w:color w:val="auto"/>
              </w:rPr>
            </w:pPr>
          </w:p>
        </w:tc>
        <w:tc>
          <w:tcPr>
            <w:tcW w:w="1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June 30, 2013 on</w:t>
            </w:r>
          </w:p>
        </w:tc>
      </w:tr>
      <w:tr>
        <w:trPr>
          <w:trHeight w:val="149"/>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gridSpan w:val="2"/>
          </w:tcPr>
          <w:p>
            <w:pPr>
              <w:jc w:val="center"/>
              <w:ind w:right="1460"/>
              <w:spacing w:after="0" w:line="149" w:lineRule="exact"/>
              <w:rPr>
                <w:sz w:val="20"/>
                <w:szCs w:val="20"/>
                <w:color w:val="auto"/>
              </w:rPr>
            </w:pPr>
            <w:r>
              <w:rPr>
                <w:rFonts w:ascii="Arial" w:cs="Arial" w:eastAsia="Arial" w:hAnsi="Arial"/>
                <w:sz w:val="14"/>
                <w:szCs w:val="14"/>
                <w:b w:val="1"/>
                <w:bCs w:val="1"/>
                <w:color w:val="auto"/>
                <w:w w:val="87"/>
              </w:rPr>
              <w:t>Investments Held at</w:t>
            </w:r>
          </w:p>
        </w:tc>
        <w:tc>
          <w:tcPr>
            <w:tcW w:w="120" w:type="dxa"/>
            <w:vAlign w:val="bottom"/>
          </w:tcPr>
          <w:p>
            <w:pPr>
              <w:spacing w:after="0"/>
              <w:rPr>
                <w:sz w:val="12"/>
                <w:szCs w:val="12"/>
                <w:color w:val="auto"/>
              </w:rPr>
            </w:pPr>
          </w:p>
        </w:tc>
        <w:tc>
          <w:tcPr>
            <w:tcW w:w="1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Investments Held at</w:t>
            </w:r>
          </w:p>
        </w:tc>
      </w:tr>
      <w:tr>
        <w:trPr>
          <w:trHeight w:val="161"/>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2"/>
          </w:tcPr>
          <w:p>
            <w:pPr>
              <w:jc w:val="center"/>
              <w:ind w:right="1440"/>
              <w:spacing w:after="0"/>
              <w:rPr>
                <w:sz w:val="20"/>
                <w:szCs w:val="20"/>
                <w:color w:val="auto"/>
              </w:rPr>
            </w:pPr>
            <w:r>
              <w:rPr>
                <w:rFonts w:ascii="Arial" w:cs="Arial" w:eastAsia="Arial" w:hAnsi="Arial"/>
                <w:sz w:val="14"/>
                <w:szCs w:val="14"/>
                <w:b w:val="1"/>
                <w:bCs w:val="1"/>
                <w:color w:val="auto"/>
                <w:w w:val="85"/>
              </w:rPr>
              <w:t>June 30, 2014</w:t>
            </w:r>
          </w:p>
        </w:tc>
        <w:tc>
          <w:tcPr>
            <w:tcW w:w="120" w:type="dxa"/>
            <w:vAlign w:val="bottom"/>
          </w:tcPr>
          <w:p>
            <w:pPr>
              <w:spacing w:after="0"/>
              <w:rPr>
                <w:sz w:val="14"/>
                <w:szCs w:val="14"/>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June 30, 2013</w:t>
            </w:r>
          </w:p>
        </w:tc>
      </w:tr>
      <w:tr>
        <w:trPr>
          <w:trHeight w:val="210"/>
        </w:trPr>
        <w:tc>
          <w:tcPr>
            <w:tcW w:w="4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1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8"/>
                <w:szCs w:val="18"/>
                <w:color w:val="auto"/>
              </w:rPr>
            </w:pPr>
          </w:p>
        </w:tc>
        <w:tc>
          <w:tcPr>
            <w:tcW w:w="3020" w:type="dxa"/>
            <w:vAlign w:val="bottom"/>
            <w:gridSpan w:val="2"/>
          </w:tcPr>
          <w:p>
            <w:pPr>
              <w:jc w:val="right"/>
              <w:ind w:right="1280"/>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200</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(755)</w:t>
            </w: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3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100" w:type="dxa"/>
            <w:vAlign w:val="bottom"/>
            <w:shd w:val="clear" w:color="auto" w:fill="CCEEFF"/>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following tables present the Level 3 Investments at fair value and the significant unobservable inputs used in the valuations as of June 30, 2014 and December 31, 2013. The below tables are not intended to be all-inclusive, but rather to provide information on the significant unobservable inputs and valuation techniques as they relate to the Company’s determination of fair values.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June 30, 2014</w:t>
            </w:r>
          </w:p>
        </w:tc>
        <w:tc>
          <w:tcPr>
            <w:tcW w:w="1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6"/>
              </w:rPr>
              <w:t>Impact to Valuation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Valuation Technique</w:t>
            </w: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6"/>
              </w:rPr>
              <w:t>from an Increase to</w:t>
            </w: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0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Unobservable Input</w:t>
            </w:r>
          </w:p>
        </w:tc>
        <w:tc>
          <w:tcPr>
            <w:tcW w:w="2120" w:type="dxa"/>
            <w:vAlign w:val="bottom"/>
            <w:gridSpan w:val="2"/>
          </w:tcPr>
          <w:p>
            <w:pPr>
              <w:ind w:left="180"/>
              <w:spacing w:after="0"/>
              <w:rPr>
                <w:sz w:val="20"/>
                <w:szCs w:val="20"/>
                <w:color w:val="auto"/>
              </w:rPr>
            </w:pPr>
            <w:r>
              <w:rPr>
                <w:rFonts w:ascii="Arial" w:cs="Arial" w:eastAsia="Arial" w:hAnsi="Arial"/>
                <w:sz w:val="14"/>
                <w:szCs w:val="14"/>
                <w:b w:val="1"/>
                <w:bCs w:val="1"/>
                <w:color w:val="auto"/>
              </w:rPr>
              <w:t>Range (Weighted Average)</w:t>
            </w:r>
          </w:p>
        </w:tc>
        <w:tc>
          <w:tcPr>
            <w:tcW w:w="1260" w:type="dxa"/>
            <w:vAlign w:val="bottom"/>
            <w:gridSpan w:val="2"/>
          </w:tcPr>
          <w:p>
            <w:pPr>
              <w:ind w:left="400"/>
              <w:spacing w:after="0"/>
              <w:rPr>
                <w:sz w:val="20"/>
                <w:szCs w:val="20"/>
                <w:color w:val="auto"/>
              </w:rPr>
            </w:pPr>
            <w:r>
              <w:rPr>
                <w:rFonts w:ascii="Arial" w:cs="Arial" w:eastAsia="Arial" w:hAnsi="Arial"/>
                <w:sz w:val="14"/>
                <w:szCs w:val="14"/>
                <w:b w:val="1"/>
                <w:bCs w:val="1"/>
                <w:color w:val="auto"/>
              </w:rPr>
              <w:t>Input</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947,985</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Income Approach (1)</w:t>
            </w: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Yield</w:t>
            </w:r>
          </w:p>
        </w:tc>
        <w:tc>
          <w:tcPr>
            <w:tcW w:w="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7.45% — 13.49% (9.87%)</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Decrease</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102,413</w:t>
            </w:r>
          </w:p>
        </w:tc>
        <w:tc>
          <w:tcPr>
            <w:tcW w:w="2220" w:type="dxa"/>
            <w:vAlign w:val="bottom"/>
            <w:gridSpan w:val="3"/>
          </w:tcPr>
          <w:p>
            <w:pPr>
              <w:ind w:left="300"/>
              <w:spacing w:after="0"/>
              <w:rPr>
                <w:sz w:val="20"/>
                <w:szCs w:val="20"/>
                <w:color w:val="auto"/>
              </w:rPr>
            </w:pPr>
            <w:r>
              <w:rPr>
                <w:rFonts w:ascii="Arial" w:cs="Arial" w:eastAsia="Arial" w:hAnsi="Arial"/>
                <w:sz w:val="18"/>
                <w:szCs w:val="18"/>
                <w:color w:val="auto"/>
              </w:rPr>
              <w:t>Income Approach</w:t>
            </w:r>
          </w:p>
        </w:tc>
        <w:tc>
          <w:tcPr>
            <w:tcW w:w="1500" w:type="dxa"/>
            <w:vAlign w:val="bottom"/>
            <w:gridSpan w:val="2"/>
          </w:tcPr>
          <w:p>
            <w:pPr>
              <w:spacing w:after="0"/>
              <w:rPr>
                <w:sz w:val="20"/>
                <w:szCs w:val="20"/>
                <w:color w:val="auto"/>
              </w:rPr>
            </w:pPr>
            <w:r>
              <w:rPr>
                <w:rFonts w:ascii="Arial" w:cs="Arial" w:eastAsia="Arial" w:hAnsi="Arial"/>
                <w:sz w:val="18"/>
                <w:szCs w:val="18"/>
                <w:color w:val="auto"/>
              </w:rPr>
              <w:t>Market Yield</w:t>
            </w: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9.53% — 9.65% (9.59%)</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22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Income Approach</w:t>
            </w:r>
          </w:p>
        </w:tc>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17.49%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08"/>
        </w:trPr>
        <w:tc>
          <w:tcPr>
            <w:tcW w:w="3640" w:type="dxa"/>
            <w:vAlign w:val="bottom"/>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11,377</w:t>
            </w:r>
          </w:p>
        </w:tc>
        <w:tc>
          <w:tcPr>
            <w:tcW w:w="2220" w:type="dxa"/>
            <w:vAlign w:val="bottom"/>
            <w:gridSpan w:val="3"/>
          </w:tcPr>
          <w:p>
            <w:pPr>
              <w:ind w:left="300"/>
              <w:spacing w:after="0"/>
              <w:rPr>
                <w:sz w:val="20"/>
                <w:szCs w:val="20"/>
                <w:color w:val="auto"/>
              </w:rPr>
            </w:pPr>
            <w:r>
              <w:rPr>
                <w:rFonts w:ascii="Arial" w:cs="Arial" w:eastAsia="Arial" w:hAnsi="Arial"/>
                <w:sz w:val="18"/>
                <w:szCs w:val="18"/>
                <w:color w:val="auto"/>
              </w:rPr>
              <w:t>EV Market Multiple</w:t>
            </w:r>
          </w:p>
        </w:tc>
        <w:tc>
          <w:tcPr>
            <w:tcW w:w="1500" w:type="dxa"/>
            <w:vAlign w:val="bottom"/>
            <w:gridSpan w:val="2"/>
          </w:tcPr>
          <w:p>
            <w:pPr>
              <w:spacing w:after="0"/>
              <w:rPr>
                <w:sz w:val="20"/>
                <w:szCs w:val="20"/>
                <w:color w:val="auto"/>
              </w:rPr>
            </w:pPr>
            <w:r>
              <w:rPr>
                <w:rFonts w:ascii="Arial" w:cs="Arial" w:eastAsia="Arial" w:hAnsi="Arial"/>
                <w:sz w:val="18"/>
                <w:szCs w:val="18"/>
                <w:color w:val="auto"/>
              </w:rPr>
              <w:t>EBITDA Multiple</w:t>
            </w: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12.0x — 19.3x (14.0x)</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22"/>
        </w:trPr>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20" w:type="dxa"/>
            <w:vAlign w:val="bottom"/>
            <w:gridSpan w:val="3"/>
          </w:tcPr>
          <w:p>
            <w:pPr>
              <w:ind w:left="300"/>
              <w:spacing w:after="0"/>
              <w:rPr>
                <w:sz w:val="20"/>
                <w:szCs w:val="20"/>
                <w:color w:val="auto"/>
              </w:rPr>
            </w:pPr>
            <w:r>
              <w:rPr>
                <w:rFonts w:ascii="Arial" w:cs="Arial" w:eastAsia="Arial" w:hAnsi="Arial"/>
                <w:sz w:val="18"/>
                <w:szCs w:val="18"/>
                <w:color w:val="auto"/>
              </w:rPr>
              <w:t>Analysis (2)</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right="240" w:hanging="452"/>
        <w:spacing w:after="0" w:line="25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$50.2 million first-lien debt investments which, due to the proximity of the transactions relative to the measurement date, were valued using the cost of the investments.</w:t>
      </w:r>
    </w:p>
    <w:p>
      <w:pPr>
        <w:ind w:left="460" w:right="26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$8.9 million equity investment which, due to the proximity of the transaction relative to the measurement date, was valued using the cost of the investment.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December 31, 2013</w:t>
            </w: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Impact to Valuation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Valuation Technique</w:t>
            </w: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80" w:type="dxa"/>
            <w:vAlign w:val="bottom"/>
            <w:gridSpan w:val="3"/>
          </w:tcPr>
          <w:p>
            <w:pPr>
              <w:ind w:left="460"/>
              <w:spacing w:after="0" w:line="149" w:lineRule="exact"/>
              <w:rPr>
                <w:sz w:val="20"/>
                <w:szCs w:val="20"/>
                <w:color w:val="auto"/>
              </w:rPr>
            </w:pPr>
            <w:r>
              <w:rPr>
                <w:rFonts w:ascii="Arial" w:cs="Arial" w:eastAsia="Arial" w:hAnsi="Arial"/>
                <w:sz w:val="14"/>
                <w:szCs w:val="14"/>
                <w:b w:val="1"/>
                <w:bCs w:val="1"/>
                <w:color w:val="auto"/>
              </w:rPr>
              <w:t>Range (Weighted</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6"/>
              </w:rPr>
              <w:t>from an Increase to</w:t>
            </w:r>
          </w:p>
        </w:tc>
        <w:tc>
          <w:tcPr>
            <w:tcW w:w="0" w:type="dxa"/>
            <w:vAlign w:val="bottom"/>
          </w:tcPr>
          <w:p>
            <w:pPr>
              <w:spacing w:after="0"/>
              <w:rPr>
                <w:sz w:val="1"/>
                <w:szCs w:val="1"/>
                <w:color w:val="auto"/>
              </w:rPr>
            </w:pPr>
          </w:p>
        </w:tc>
      </w:tr>
      <w:tr>
        <w:trPr>
          <w:trHeight w:val="161"/>
        </w:trPr>
        <w:tc>
          <w:tcPr>
            <w:tcW w:w="342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760" w:type="dxa"/>
            <w:vAlign w:val="bottom"/>
            <w:gridSpan w:val="2"/>
            <w:vMerge w:val="continue"/>
          </w:tcPr>
          <w:p>
            <w:pPr>
              <w:spacing w:after="0"/>
              <w:rPr>
                <w:sz w:val="14"/>
                <w:szCs w:val="14"/>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Unobservable Input</w:t>
            </w:r>
          </w:p>
        </w:tc>
        <w:tc>
          <w:tcPr>
            <w:tcW w:w="1340" w:type="dxa"/>
            <w:vAlign w:val="bottom"/>
          </w:tcPr>
          <w:p>
            <w:pPr>
              <w:jc w:val="right"/>
              <w:ind w:right="20"/>
              <w:spacing w:after="0"/>
              <w:rPr>
                <w:sz w:val="20"/>
                <w:szCs w:val="20"/>
                <w:color w:val="auto"/>
              </w:rPr>
            </w:pPr>
            <w:r>
              <w:rPr>
                <w:rFonts w:ascii="Arial" w:cs="Arial" w:eastAsia="Arial" w:hAnsi="Arial"/>
                <w:sz w:val="14"/>
                <w:szCs w:val="14"/>
                <w:b w:val="1"/>
                <w:bCs w:val="1"/>
                <w:color w:val="auto"/>
              </w:rPr>
              <w:t>Average)</w:t>
            </w: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Input</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854,972</w:t>
            </w:r>
          </w:p>
        </w:tc>
        <w:tc>
          <w:tcPr>
            <w:tcW w:w="4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Income Approach</w:t>
            </w: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Yield</w:t>
            </w:r>
          </w:p>
        </w:tc>
        <w:tc>
          <w:tcPr>
            <w:tcW w:w="3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5.50% — 13.12%</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(9.81%)</w:t>
            </w:r>
          </w:p>
        </w:tc>
        <w:tc>
          <w:tcPr>
            <w:tcW w:w="4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Decrease</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103,531</w:t>
            </w:r>
          </w:p>
        </w:tc>
        <w:tc>
          <w:tcPr>
            <w:tcW w:w="44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color w:val="auto"/>
              </w:rPr>
              <w:t>Income Approach</w:t>
            </w:r>
          </w:p>
        </w:tc>
        <w:tc>
          <w:tcPr>
            <w:tcW w:w="1500" w:type="dxa"/>
            <w:vAlign w:val="bottom"/>
            <w:gridSpan w:val="2"/>
          </w:tcPr>
          <w:p>
            <w:pPr>
              <w:spacing w:after="0"/>
              <w:rPr>
                <w:sz w:val="20"/>
                <w:szCs w:val="20"/>
                <w:color w:val="auto"/>
              </w:rPr>
            </w:pPr>
            <w:r>
              <w:rPr>
                <w:rFonts w:ascii="Arial" w:cs="Arial" w:eastAsia="Arial" w:hAnsi="Arial"/>
                <w:sz w:val="18"/>
                <w:szCs w:val="18"/>
                <w:color w:val="auto"/>
              </w:rPr>
              <w:t>Market Yield</w:t>
            </w:r>
          </w:p>
        </w:tc>
        <w:tc>
          <w:tcPr>
            <w:tcW w:w="2380" w:type="dxa"/>
            <w:vAlign w:val="bottom"/>
            <w:gridSpan w:val="3"/>
          </w:tcPr>
          <w:p>
            <w:pPr>
              <w:ind w:left="100"/>
              <w:spacing w:after="0"/>
              <w:rPr>
                <w:sz w:val="20"/>
                <w:szCs w:val="20"/>
                <w:color w:val="auto"/>
              </w:rPr>
            </w:pPr>
            <w:r>
              <w:rPr>
                <w:rFonts w:ascii="Arial" w:cs="Arial" w:eastAsia="Arial" w:hAnsi="Arial"/>
                <w:sz w:val="18"/>
                <w:szCs w:val="18"/>
                <w:color w:val="auto"/>
              </w:rPr>
              <w:t>9.32% — 9.87% (9.59%)</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20" w:type="dxa"/>
            <w:vAlign w:val="bottom"/>
          </w:tcPr>
          <w:p>
            <w:pPr>
              <w:spacing w:after="0"/>
              <w:rPr>
                <w:sz w:val="20"/>
                <w:szCs w:val="20"/>
                <w:color w:val="auto"/>
              </w:rPr>
            </w:pPr>
            <w:r>
              <w:rPr>
                <w:rFonts w:ascii="Arial" w:cs="Arial" w:eastAsia="Arial" w:hAnsi="Arial"/>
                <w:sz w:val="18"/>
                <w:szCs w:val="18"/>
                <w:color w:val="auto"/>
              </w:rPr>
              <w:t>Equity 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1,804</w:t>
            </w:r>
          </w:p>
        </w:tc>
        <w:tc>
          <w:tcPr>
            <w:tcW w:w="44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color w:val="auto"/>
              </w:rPr>
              <w:t>Income Approach</w:t>
            </w:r>
          </w:p>
        </w:tc>
        <w:tc>
          <w:tcPr>
            <w:tcW w:w="1500" w:type="dxa"/>
            <w:vAlign w:val="bottom"/>
            <w:gridSpan w:val="2"/>
          </w:tcPr>
          <w:p>
            <w:pPr>
              <w:spacing w:after="0"/>
              <w:rPr>
                <w:sz w:val="20"/>
                <w:szCs w:val="20"/>
                <w:color w:val="auto"/>
              </w:rPr>
            </w:pPr>
            <w:r>
              <w:rPr>
                <w:rFonts w:ascii="Arial" w:cs="Arial" w:eastAsia="Arial" w:hAnsi="Arial"/>
                <w:sz w:val="18"/>
                <w:szCs w:val="18"/>
                <w:color w:val="auto"/>
              </w:rPr>
              <w:t>Weighted</w:t>
            </w:r>
          </w:p>
        </w:tc>
        <w:tc>
          <w:tcPr>
            <w:tcW w:w="1340" w:type="dxa"/>
            <w:vAlign w:val="bottom"/>
          </w:tcPr>
          <w:p>
            <w:pPr>
              <w:jc w:val="right"/>
              <w:spacing w:after="0"/>
              <w:rPr>
                <w:sz w:val="20"/>
                <w:szCs w:val="20"/>
                <w:color w:val="auto"/>
              </w:rPr>
            </w:pPr>
            <w:r>
              <w:rPr>
                <w:rFonts w:ascii="Arial" w:cs="Arial" w:eastAsia="Arial" w:hAnsi="Arial"/>
                <w:sz w:val="18"/>
                <w:szCs w:val="18"/>
                <w:color w:val="auto"/>
                <w:w w:val="99"/>
              </w:rPr>
              <w:t>12.1% — 15.3%</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(14.0%)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22"/>
        </w:trPr>
        <w:tc>
          <w:tcPr>
            <w:tcW w:w="3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Average Cost</w:t>
            </w: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280"/>
        <w:spacing w:after="0"/>
        <w:rPr>
          <w:sz w:val="20"/>
          <w:szCs w:val="20"/>
          <w:color w:val="auto"/>
        </w:rPr>
      </w:pPr>
      <w:r>
        <w:rPr>
          <w:rFonts w:ascii="Arial" w:cs="Arial" w:eastAsia="Arial" w:hAnsi="Arial"/>
          <w:sz w:val="18"/>
          <w:szCs w:val="18"/>
          <w:color w:val="auto"/>
        </w:rPr>
        <w:t>of Capital</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(WACC)</w:t>
      </w:r>
    </w:p>
    <w:p>
      <w:pPr>
        <w:spacing w:after="0" w:line="17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 Company’s Level 3 equity investments, multiples of similar companies’ revenues, earnings before income taxes, depreciation and amortization (“EBITDA”) or some combination thereof and comparable market transactions are typically used.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fair value of the Company’s revolving credit facilities, which are categorized as Level 3 within the fair value hierarchy, as of June 30, 2014 and December 31, 2013, approximates their carrying value as the outstanding balances are callable at carrying value. The fair value of the Company’s Convertible Senior Notes, which is categorized as Level 2 within the fair value hierarchy, as of June 30, 2014, is $116.5 million, based on broker quotes received by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96"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In accordance with the 1940 Act, with certain limitations, the Company is allowed to borrow amounts such that its asset coverage, as defined in the 1940 Act, is at least 200% after such borrowing. As of June 30, 2014 and December 31, 2013, the Company’s asset coverage was 382.5% and 232.9%, respectively.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 as of June 30, 2014 and December 31, 2013:</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4"/>
                <w:szCs w:val="14"/>
                <w:b w:val="1"/>
                <w:bCs w:val="1"/>
                <w:color w:val="auto"/>
              </w:rPr>
              <w:t>June 30, 2014</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6"/>
              </w:rPr>
              <w:t>Aggregate Principal</w:t>
            </w:r>
          </w:p>
        </w:tc>
        <w:tc>
          <w:tcPr>
            <w:tcW w:w="54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w w:val="86"/>
              </w:rPr>
              <w:t>Amount</w:t>
            </w:r>
          </w:p>
        </w:tc>
        <w:tc>
          <w:tcPr>
            <w:tcW w:w="3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87"/>
              </w:rPr>
              <w:t>Amount Committed</w:t>
            </w:r>
          </w:p>
        </w:tc>
        <w:tc>
          <w:tcPr>
            <w:tcW w:w="5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Available (1)</w:t>
            </w:r>
          </w:p>
        </w:tc>
        <w:tc>
          <w:tcPr>
            <w:tcW w:w="10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SPV Asset Facility (2)</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$ 138,725</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24,547</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138,725</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Revolving Credit Facility (3)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781,250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46,014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503,844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46,014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111,653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ind w:left="440"/>
              <w:spacing w:after="0"/>
              <w:rPr>
                <w:sz w:val="20"/>
                <w:szCs w:val="20"/>
                <w:color w:val="auto"/>
              </w:rPr>
            </w:pPr>
            <w:r>
              <w:rPr>
                <w:rFonts w:ascii="Arial" w:cs="Arial" w:eastAsia="Arial" w:hAnsi="Arial"/>
                <w:sz w:val="18"/>
                <w:szCs w:val="18"/>
                <w:b w:val="1"/>
                <w:bCs w:val="1"/>
                <w:color w:val="auto"/>
              </w:rPr>
              <w:t>Total Debt</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1,071,250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$ 299,739</w:t>
            </w:r>
          </w:p>
        </w:tc>
        <w:tc>
          <w:tcPr>
            <w:tcW w:w="1620" w:type="dxa"/>
            <w:vAlign w:val="bottom"/>
            <w:gridSpan w:val="4"/>
          </w:tcPr>
          <w:p>
            <w:pPr>
              <w:jc w:val="right"/>
              <w:ind w:right="320"/>
              <w:spacing w:after="0"/>
              <w:rPr>
                <w:sz w:val="20"/>
                <w:szCs w:val="20"/>
                <w:color w:val="auto"/>
              </w:rPr>
            </w:pPr>
            <w:r>
              <w:rPr>
                <w:rFonts w:ascii="Arial" w:cs="Arial" w:eastAsia="Arial" w:hAnsi="Arial"/>
                <w:sz w:val="18"/>
                <w:szCs w:val="18"/>
                <w:color w:val="auto"/>
              </w:rPr>
              <w:t>$ 528,391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296,392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2013</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6"/>
              </w:rPr>
              <w:t>Aggregate Principal</w:t>
            </w:r>
          </w:p>
        </w:tc>
        <w:tc>
          <w:tcPr>
            <w:tcW w:w="54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w w:val="86"/>
              </w:rPr>
              <w:t>Amount</w:t>
            </w:r>
          </w:p>
        </w:tc>
        <w:tc>
          <w:tcPr>
            <w:tcW w:w="3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87"/>
              </w:rPr>
              <w:t>Amount Committed</w:t>
            </w:r>
          </w:p>
        </w:tc>
        <w:tc>
          <w:tcPr>
            <w:tcW w:w="5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Available (1)</w:t>
            </w:r>
          </w:p>
        </w:tc>
        <w:tc>
          <w:tcPr>
            <w:tcW w:w="10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Subscription Credit Facility (4)</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32,000</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SPV Asset Facility (2)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77,767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77,767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(3)</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322,500</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322,500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ind w:left="440"/>
              <w:spacing w:after="0"/>
              <w:rPr>
                <w:sz w:val="20"/>
                <w:szCs w:val="20"/>
                <w:color w:val="auto"/>
              </w:rPr>
            </w:pPr>
            <w:r>
              <w:rPr>
                <w:rFonts w:ascii="Arial" w:cs="Arial" w:eastAsia="Arial" w:hAnsi="Arial"/>
                <w:sz w:val="18"/>
                <w:szCs w:val="18"/>
                <w:b w:val="1"/>
                <w:bCs w:val="1"/>
                <w:color w:val="auto"/>
              </w:rPr>
              <w:t>Total Debt</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600,000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$ 432,267</w:t>
            </w:r>
          </w:p>
        </w:tc>
        <w:tc>
          <w:tcPr>
            <w:tcW w:w="1620" w:type="dxa"/>
            <w:vAlign w:val="bottom"/>
            <w:gridSpan w:val="4"/>
          </w:tcPr>
          <w:p>
            <w:pPr>
              <w:jc w:val="right"/>
              <w:ind w:right="320"/>
              <w:spacing w:after="0"/>
              <w:rPr>
                <w:sz w:val="20"/>
                <w:szCs w:val="20"/>
                <w:color w:val="auto"/>
              </w:rPr>
            </w:pPr>
            <w:r>
              <w:rPr>
                <w:rFonts w:ascii="Arial" w:cs="Arial" w:eastAsia="Arial" w:hAnsi="Arial"/>
                <w:sz w:val="18"/>
                <w:szCs w:val="18"/>
                <w:color w:val="auto"/>
              </w:rPr>
              <w:t>$ 145,500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432,267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January 21, 2014, the Company amended the SPV Asset Facility to increase the size of the facility to $175.0 million.</w:t>
      </w:r>
    </w:p>
    <w:p>
      <w:pPr>
        <w:spacing w:after="0" w:line="9" w:lineRule="exact"/>
        <w:rPr>
          <w:rFonts w:ascii="Arial" w:cs="Arial" w:eastAsia="Arial" w:hAnsi="Arial"/>
          <w:sz w:val="18"/>
          <w:szCs w:val="18"/>
          <w:color w:val="auto"/>
        </w:rPr>
      </w:pPr>
    </w:p>
    <w:p>
      <w:pPr>
        <w:ind w:left="460" w:right="240" w:hanging="452"/>
        <w:spacing w:after="0" w:line="281"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February 27, 2014, the Company amended the Revolving Credit Facility to increase the size of the facility to $581.3 million. On May 30, 2014, the Company increased aggregate commitments under the Revolving Credit Facility from $581.3 million to $781.3 million.</w:t>
      </w:r>
    </w:p>
    <w:p>
      <w:pPr>
        <w:spacing w:after="0" w:line="1" w:lineRule="exact"/>
        <w:rPr>
          <w:rFonts w:ascii="Arial" w:cs="Arial" w:eastAsia="Arial" w:hAnsi="Arial"/>
          <w:sz w:val="16"/>
          <w:szCs w:val="16"/>
          <w:color w:val="auto"/>
        </w:rPr>
      </w:pPr>
    </w:p>
    <w:p>
      <w:pPr>
        <w:ind w:left="46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February 27, 2014, the Company terminated the Subscription Credit Facility, effective March 4, 2014. The outstanding balance was paid down prior to terminating the facility.</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00"/>
          </w:cols>
          <w:pgMar w:left="24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For the three and six months ended June 30, 2014 and 2013, the components of interest expense associated with the Convertible Senior Notes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6"/>
          </w:tcPr>
          <w:p>
            <w:pPr>
              <w:jc w:val="right"/>
              <w:ind w:right="12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1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30, 2014</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June 30, 2013</w:t>
            </w:r>
          </w:p>
        </w:tc>
        <w:tc>
          <w:tcPr>
            <w:tcW w:w="680" w:type="dxa"/>
            <w:vAlign w:val="bottom"/>
          </w:tcPr>
          <w:p>
            <w:pPr>
              <w:spacing w:after="0"/>
              <w:rPr>
                <w:sz w:val="12"/>
                <w:szCs w:val="12"/>
                <w:color w:val="auto"/>
              </w:rPr>
            </w:pPr>
          </w:p>
        </w:tc>
        <w:tc>
          <w:tcPr>
            <w:tcW w:w="11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June 30, 2014</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3"/>
              </w:rPr>
              <w:t>June 30, 2013</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Commitment fees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497</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397</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1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20" w:type="dxa"/>
            <w:vAlign w:val="bottom"/>
            <w:vMerge w:val="continue"/>
          </w:tcPr>
          <w:p>
            <w:pPr>
              <w:spacing w:after="0"/>
              <w:rPr>
                <w:sz w:val="19"/>
                <w:szCs w:val="19"/>
                <w:color w:val="auto"/>
              </w:rPr>
            </w:pPr>
          </w:p>
        </w:tc>
        <w:tc>
          <w:tcPr>
            <w:tcW w:w="15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3,460</w:t>
            </w:r>
          </w:p>
        </w:tc>
        <w:tc>
          <w:tcPr>
            <w:tcW w:w="400" w:type="dxa"/>
            <w:vAlign w:val="bottom"/>
          </w:tcPr>
          <w:p>
            <w:pPr>
              <w:spacing w:after="0"/>
              <w:rPr>
                <w:sz w:val="19"/>
                <w:szCs w:val="19"/>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2,429</w:t>
            </w:r>
          </w:p>
        </w:tc>
        <w:tc>
          <w:tcPr>
            <w:tcW w:w="6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7,284</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4,679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5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354,829</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218,987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412,602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203,571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2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5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90" w:lineRule="exact"/>
        <w:rPr>
          <w:rFonts w:ascii="Arial" w:cs="Arial" w:eastAsia="Arial" w:hAnsi="Arial"/>
          <w:sz w:val="18"/>
          <w:szCs w:val="18"/>
          <w:color w:val="auto"/>
        </w:rPr>
      </w:pPr>
    </w:p>
    <w:p>
      <w:pPr>
        <w:ind w:left="1480" w:right="420" w:hanging="446"/>
        <w:spacing w:after="0" w:line="268"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May 30, 2014, the Company entered into agreements with various financial institutions pursuant to which each of the institutions agreed to provide commitments through the accordion feature of the Company’s Revolving Credit Facility, increasing the aggregate commitments from $581.3 million to $781.3 million. The Revolving Credit Facility continues to include the accordion feature, which would allow the Company, under certain circumstances, to increase the size of the Revolving Credit Facility further to a maximum of $956.3 million.</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June 27, 2014, the Company further amended the Revolving Credit Facility to extend the $36.25 million in commitments not previously extended such that the revolving period as it relates to all outstanding commitments will expire on February 27, 2018 and the stated maturity date as it relates to all outstanding commitments will be February 27, 2019.</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Net proceeds received from the exercise of the underwriters’ over-allotment option from the Company’s IPO and net proceeds received from the issuance of the Convertible Senior Notes were used to pay down borrowings on the Revolving Credit Facility.</w:t>
      </w:r>
    </w:p>
    <w:p>
      <w:pPr>
        <w:spacing w:after="0" w:line="132"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Company may borrow amounts in U.S. dollars or certain other permitted currencies. In connection with the Company settling its foreign currency forward contracts related to its investments in Jeeves Information Systems AB and Soho House Bond Ltd., during the six months ended June 30, 2014 the Company borrowed in foreign currencies from its Revolving Credit Facility. As of June 30, 2014, the Company has outstanding debt denominated in Swedish Krona (SEK) of 218,379,000 and outstanding debt denominated in Pound Sterling (GBP) of 7,807,000 on its Revolving Credit Facility, included in the Outstanding Principal amount in the table above.</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Revolving Credit Facility is guaranteed by TC Lending, LLC and may be guaranteed by certain domestic subsidiaries that are formed or acquired by the Company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5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90" w:lineRule="exact"/>
        <w:rPr>
          <w:rFonts w:ascii="Arial" w:cs="Arial" w:eastAsia="Arial" w:hAnsi="Arial"/>
          <w:sz w:val="18"/>
          <w:szCs w:val="18"/>
          <w:color w:val="auto"/>
        </w:rPr>
      </w:pPr>
    </w:p>
    <w:p>
      <w:pPr>
        <w:ind w:left="900" w:right="40" w:hanging="325"/>
        <w:spacing w:after="0" w:line="357" w:lineRule="auto"/>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stockholders’ equity of at least $205 million plus 25% of the net proceeds of the sale of equity interests after August 23,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May 8, 2012, the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21, 2014, TPG SL SPV entered into an agreement to amend and restate the credit and security agreement (as amended, SPV Asset Facility).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amended and restated facility, among other things:</w:t>
      </w:r>
    </w:p>
    <w:p>
      <w:pPr>
        <w:spacing w:after="0" w:line="84"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the size of the facility from $100 million to $175 million;</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reinvestment period was subsequently extended by the borrower for an additional six month period (pursuant to an extension right exercisable by the borrower) so that the reinvestment period will remain open until January 21, 2015;</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Amounts drawn under the original credit and security agreement bore interest at LIBOR plus a margin or base rate plus a margin, in each case at TPG SL SPV’s option. Amounts drawn under the amended and restated SPV Asset Facility bear interest at LIBOR plus a margin, base rate plus a margin or the lenders’ cost of funds plus a margin, in each case at TPG SL SPV’s option. TPG SL SPV’s ability to borrow at lenders’ cost of funds plus a margin under the amended and restated SPV Asset Facility lowered the interest rate currently applicable on the Company’s borrowings under the SPV Asset Facility. The undrawn portion of the commitment bears an unutilized commitment fee of 0.75%.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the Company’s other debt obligations.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As of June 30, 2014 and December 31, 2013, TPG SL SPV had $364.5 million and $184.3 million, respectively, in investments at fair value, and $141.5 million and $78.3 million, respectively, in liabilities, including the outstanding borrowings, on its balance sheet. As of June 30, 2014 and December 31, 2013, TPG SL SPV had $12.2 million and $6.3 million, respectively, in restricted cash, a component of prepaid expenses and other assets, in the accompanying consolidated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June 10, 2014, the Company issued $115 million aggregate principal amount convertible senior notes due December 2019 (the “Convertible Senior Notes”). The Convertible Senior Notes were issued in a private placement only to qualified institutional buyers pursuant to Rule 144A under the Securities Act of 1933, as amended. The Convertible Senior Notes are unsecured, and bear interest at a rate of 4.50% per year, payable semiannually. The Convertible Senior Notes will mature on December 15, 2019. In certain circumstances, the Convertible Senior Notes will be convertible into cash, shares of the Company’s common stock or a combination of cash and shares of the Company’s common stock, at the Company’s election, at an initial conversion rate of 38.7162 shares of common stock per $1,000 principal amount of Convertible Senior Notes, which is equivalent to an initial conversion price of approximately $25.83 per share of the Company’s common stock, subject to customary anti-dilution adjustments. The sale of the Convertible Senior Notes generated net proceeds of approximately $110.8 million. The Company used the net proceeds of the offering to pay down debt under the Revolving Credit Facility. In connection with the offering of Convertible Senior Notes, the Company entered into an interest rate swap to continue to align the interest rates of its liabilities with its investment portfolio, which consists of predominately floating rate loans. As a result of the swap, the Company’s effective interest rate on the Convertible Senior Notes is three-month LIBOR plus 252.9 basis points. See Note 5 for further information related to the interest rate swaps the Company entered into.</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Holders may convert their Convertible Senior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Convertible Senior Notes Indenture)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notes are senior unsecured obligations and rank senior in right of payment to the Company’s future indebtedness that is expressly subordinated in right of payment to the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six months ended June 30, 2014, the components of interest expense related to the Convertible Senior Notes were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3120" w:type="dxa"/>
            <w:vAlign w:val="bottom"/>
            <w:gridSpan w:val="4"/>
          </w:tcPr>
          <w:p>
            <w:pPr>
              <w:ind w:left="2220"/>
              <w:spacing w:after="0"/>
              <w:rPr>
                <w:sz w:val="20"/>
                <w:szCs w:val="20"/>
                <w:color w:val="auto"/>
              </w:rPr>
            </w:pPr>
            <w:r>
              <w:rPr>
                <w:rFonts w:ascii="Arial" w:cs="Arial" w:eastAsia="Arial" w:hAnsi="Arial"/>
                <w:sz w:val="14"/>
                <w:szCs w:val="14"/>
                <w:b w:val="1"/>
                <w:bCs w:val="1"/>
                <w:color w:val="auto"/>
                <w:w w:val="96"/>
              </w:rPr>
              <w:t>June 30, 2014</w:t>
            </w:r>
          </w:p>
        </w:tc>
      </w:tr>
      <w:tr>
        <w:trPr>
          <w:trHeight w:val="210"/>
        </w:trPr>
        <w:tc>
          <w:tcPr>
            <w:tcW w:w="4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Amortization of debt issuance cost</w:t>
            </w:r>
          </w:p>
        </w:tc>
        <w:tc>
          <w:tcPr>
            <w:tcW w:w="2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252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of June 30, 2014, the principal amount of the Convertible Senior Notes exceeded the value of the underlying shares multiplied by the per share closing price of the Company’s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2014, the components of the carrying value of the Convertible Senior Notes and the stated interest rate were as follows: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December 2019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3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Convertible Senior Notes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Principal amount of debt</w:t>
            </w:r>
          </w:p>
        </w:tc>
        <w:tc>
          <w:tcPr>
            <w:tcW w:w="1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of debt</w:t>
            </w:r>
          </w:p>
        </w:tc>
        <w:tc>
          <w:tcPr>
            <w:tcW w:w="18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Stated interest rate</w:t>
            </w:r>
          </w:p>
        </w:tc>
        <w:tc>
          <w:tcPr>
            <w:tcW w:w="1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4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Convertible Senior Notes Indenture contains certain covenants, including covenants requiring the Company to comply with the requirement under the Investment Company Act that the Company’s asset coverage ratio, as defined in the Investment Company Act, equal at least 200% and to provide financial information to the holders of the Convertible Senior Notes under certain circumstances. These covenants are subject to important limitations and exceptions that are described in the Convertible Senior Notes Indenture. As of June 30, 2014, the Company was in compliance with the terms of the Convertible Senior Notes Indenture.</w:t>
      </w:r>
    </w:p>
    <w:p>
      <w:pPr>
        <w:spacing w:after="0" w:line="14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Convertible Senior Notes Indenture. The Company has determined that the embedded conversion options in the Convertible Senior Notes are not required to be separately accounted for as a derivative under U.S. GAAP. In accounting for the Convertible Senior Notes, the Company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Credit Facility</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February 27, 2014, the Company terminated its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2014 and December 31, 2013, the Company was in compliance with the terms of its debt obligations.</w:t>
      </w:r>
    </w:p>
    <w:p>
      <w:pPr>
        <w:spacing w:after="0" w:line="246" w:lineRule="exact"/>
        <w:rPr>
          <w:sz w:val="20"/>
          <w:szCs w:val="20"/>
          <w:color w:val="auto"/>
        </w:rPr>
      </w:pPr>
    </w:p>
    <w:p>
      <w:pPr>
        <w:ind w:right="8720" w:firstLine="8"/>
        <w:spacing w:after="0" w:line="417" w:lineRule="auto"/>
        <w:tabs>
          <w:tab w:leader="none" w:pos="176"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Portfolio Company Commitments</w:t>
      </w:r>
    </w:p>
    <w:p>
      <w:pPr>
        <w:spacing w:after="0" w:line="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From time to time, the Company may enter into commitments to fund investments. As of June 30, 2014 and December 31, 2013, the Company had the following commitments to fund investments: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2014</w:t>
            </w:r>
          </w:p>
        </w:tc>
        <w:tc>
          <w:tcPr>
            <w:tcW w:w="20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2013</w:t>
            </w:r>
          </w:p>
        </w:tc>
      </w:tr>
      <w:tr>
        <w:trPr>
          <w:trHeight w:val="210"/>
        </w:trPr>
        <w:tc>
          <w:tcPr>
            <w:tcW w:w="4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27,980</w:t>
            </w:r>
          </w:p>
        </w:tc>
        <w:tc>
          <w:tcPr>
            <w:tcW w:w="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36,845</w:t>
            </w:r>
          </w:p>
        </w:tc>
        <w:tc>
          <w:tcPr>
            <w:tcW w:w="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36,600</w:t>
            </w:r>
          </w:p>
        </w:tc>
        <w:tc>
          <w:tcPr>
            <w:tcW w:w="100" w:type="dxa"/>
            <w:vAlign w:val="bottom"/>
          </w:tcPr>
          <w:p>
            <w:pPr>
              <w:spacing w:after="0"/>
              <w:rPr>
                <w:sz w:val="19"/>
                <w:szCs w:val="19"/>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4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64,825</w:t>
            </w:r>
          </w:p>
        </w:tc>
        <w:tc>
          <w:tcPr>
            <w:tcW w:w="1180" w:type="dxa"/>
            <w:vAlign w:val="bottom"/>
            <w:gridSpan w:val="2"/>
            <w:shd w:val="clear" w:color="auto" w:fill="CCEEFF"/>
          </w:tcPr>
          <w:p>
            <w:pPr>
              <w:jc w:val="right"/>
              <w:ind w:right="20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54,974</w:t>
            </w:r>
          </w:p>
        </w:tc>
        <w:tc>
          <w:tcPr>
            <w:tcW w:w="100" w:type="dxa"/>
            <w:vAlign w:val="bottom"/>
            <w:shd w:val="clear" w:color="auto" w:fill="CCEEFF"/>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December 31, 2013 the Company had $1.5 billion in total capital commitments from investors (over $0.9 billion unfunded). Of this amount, $117.1 million was from the Adviser and its affiliates ($76.7 million unfunded). The remaining unfunded capital commitments terminated upon the completion of the Company’s IPO.</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June 30, 2014,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On March 21, 2014, the Company completed its IPO, issuing 7,000,000 shares at $16.00 per share, and its concurrent private placement, issuing 3,124,984 shares at $16.00 per share. Net of underwriting fees and offering costs, the Company received total cash proceeds of $151.6 million.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April 2014, a total of 1,050,000 shares of stock were issued pursuant to the exercise of the underwriters’ over-allotment option in connection with the Company’s IPO. Net of underwriting fees and offering costs, the Company received total cash proceeds of $15.4 million.</w:t>
      </w:r>
    </w:p>
    <w:p>
      <w:pPr>
        <w:spacing w:after="0" w:line="132"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Prior to December 31, 2013, the Company entered into subscription agreements (collectively, the “Subscription Agreements”) with several investors, including the Adviser and its affiliates, providing for the private placement of the Company’s Common Stock. Under the terms of the Subscription Agreements, investors were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 The remaining unfunded capital commitments related to these subscription agreements terminated upon the completion of the Company’s IPO.</w:t>
      </w:r>
    </w:p>
    <w:p>
      <w:pPr>
        <w:spacing w:after="0" w:line="10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six months ended June 30, 2014 and 2013:</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3"/>
          </w:tcPr>
          <w:p>
            <w:pPr>
              <w:jc w:val="right"/>
              <w:ind w:right="63"/>
              <w:spacing w:after="0"/>
              <w:rPr>
                <w:sz w:val="20"/>
                <w:szCs w:val="20"/>
                <w:color w:val="auto"/>
              </w:rPr>
            </w:pPr>
            <w:r>
              <w:rPr>
                <w:rFonts w:ascii="Arial" w:cs="Arial" w:eastAsia="Arial" w:hAnsi="Arial"/>
                <w:sz w:val="14"/>
                <w:szCs w:val="14"/>
                <w:b w:val="1"/>
                <w:bCs w:val="1"/>
                <w:color w:val="auto"/>
                <w:w w:val="92"/>
              </w:rPr>
              <w:t>Six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03"/>
              <w:spacing w:after="0"/>
              <w:rPr>
                <w:sz w:val="20"/>
                <w:szCs w:val="20"/>
                <w:color w:val="auto"/>
              </w:rPr>
            </w:pPr>
            <w:r>
              <w:rPr>
                <w:rFonts w:ascii="Arial" w:cs="Arial" w:eastAsia="Arial" w:hAnsi="Arial"/>
                <w:sz w:val="14"/>
                <w:szCs w:val="14"/>
                <w:b w:val="1"/>
                <w:bCs w:val="1"/>
                <w:color w:val="auto"/>
                <w:w w:val="94"/>
              </w:rPr>
              <w:t>June 30, 2014</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0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0"/>
              </w:rPr>
              <w:t>Shares Issued</w:t>
            </w:r>
          </w:p>
        </w:tc>
        <w:tc>
          <w:tcPr>
            <w:tcW w:w="17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Proceeds Received</w:t>
            </w:r>
          </w:p>
        </w:tc>
        <w:tc>
          <w:tcPr>
            <w:tcW w:w="100" w:type="dxa"/>
            <w:vAlign w:val="bottom"/>
          </w:tcPr>
          <w:p>
            <w:pPr>
              <w:spacing w:after="0"/>
              <w:rPr>
                <w:sz w:val="12"/>
                <w:szCs w:val="12"/>
                <w:color w:val="auto"/>
              </w:rPr>
            </w:pPr>
          </w:p>
        </w:tc>
      </w:tr>
      <w:tr>
        <w:trPr>
          <w:trHeight w:val="210"/>
        </w:trPr>
        <w:tc>
          <w:tcPr>
            <w:tcW w:w="4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January 15, 2014</w:t>
            </w:r>
          </w:p>
        </w:tc>
        <w:tc>
          <w:tcPr>
            <w:tcW w:w="16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4,234,501</w:t>
            </w:r>
          </w:p>
        </w:tc>
        <w:tc>
          <w:tcPr>
            <w:tcW w:w="7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020" w:type="dxa"/>
            <w:vAlign w:val="bottom"/>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1980" w:type="dxa"/>
            <w:vAlign w:val="bottom"/>
            <w:gridSpan w:val="2"/>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4,234,501</w:t>
            </w:r>
          </w:p>
        </w:tc>
        <w:tc>
          <w:tcPr>
            <w:tcW w:w="116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3"/>
        </w:trPr>
        <w:tc>
          <w:tcPr>
            <w:tcW w:w="4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4"/>
          </w:tcPr>
          <w:p>
            <w:pPr>
              <w:jc w:val="right"/>
              <w:ind w:right="223"/>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4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363"/>
              <w:spacing w:after="0"/>
              <w:rPr>
                <w:sz w:val="20"/>
                <w:szCs w:val="20"/>
                <w:color w:val="auto"/>
              </w:rPr>
            </w:pPr>
            <w:r>
              <w:rPr>
                <w:rFonts w:ascii="Arial" w:cs="Arial" w:eastAsia="Arial" w:hAnsi="Arial"/>
                <w:sz w:val="14"/>
                <w:szCs w:val="14"/>
                <w:b w:val="1"/>
                <w:bCs w:val="1"/>
                <w:color w:val="auto"/>
                <w:w w:val="90"/>
              </w:rPr>
              <w:t>June 30, 2013</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0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00" w:type="dxa"/>
            <w:vAlign w:val="bottom"/>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w w:val="81"/>
              </w:rPr>
              <w:t>Shares Issued (1)</w:t>
            </w:r>
          </w:p>
        </w:tc>
        <w:tc>
          <w:tcPr>
            <w:tcW w:w="17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Proceeds Received</w:t>
            </w:r>
          </w:p>
        </w:tc>
        <w:tc>
          <w:tcPr>
            <w:tcW w:w="100" w:type="dxa"/>
            <w:vAlign w:val="bottom"/>
          </w:tcPr>
          <w:p>
            <w:pPr>
              <w:spacing w:after="0"/>
              <w:rPr>
                <w:sz w:val="12"/>
                <w:szCs w:val="12"/>
                <w:color w:val="auto"/>
              </w:rPr>
            </w:pPr>
          </w:p>
        </w:tc>
      </w:tr>
      <w:tr>
        <w:trPr>
          <w:trHeight w:val="210"/>
        </w:trPr>
        <w:tc>
          <w:tcPr>
            <w:tcW w:w="4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20, 2013</w:t>
            </w:r>
          </w:p>
        </w:tc>
        <w:tc>
          <w:tcPr>
            <w:tcW w:w="16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2,079,224</w:t>
            </w: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020" w:type="dxa"/>
            <w:vAlign w:val="bottom"/>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2660" w:type="dxa"/>
            <w:vAlign w:val="bottom"/>
            <w:gridSpan w:val="3"/>
          </w:tcPr>
          <w:p>
            <w:pPr>
              <w:jc w:val="right"/>
              <w:spacing w:after="0"/>
              <w:rPr>
                <w:sz w:val="20"/>
                <w:szCs w:val="20"/>
                <w:color w:val="auto"/>
              </w:rPr>
            </w:pPr>
            <w:r>
              <w:rPr>
                <w:rFonts w:ascii="Arial" w:cs="Arial" w:eastAsia="Arial" w:hAnsi="Arial"/>
                <w:sz w:val="18"/>
                <w:szCs w:val="18"/>
                <w:color w:val="auto"/>
              </w:rPr>
              <w:t>2,079,224</w:t>
            </w:r>
          </w:p>
        </w:tc>
        <w:tc>
          <w:tcPr>
            <w:tcW w:w="120" w:type="dxa"/>
            <w:vAlign w:val="bottom"/>
          </w:tcPr>
          <w:p>
            <w:pPr>
              <w:spacing w:after="0"/>
              <w:rPr>
                <w:sz w:val="19"/>
                <w:szCs w:val="19"/>
                <w:color w:val="auto"/>
              </w:rPr>
            </w:pPr>
          </w:p>
        </w:tc>
        <w:tc>
          <w:tcPr>
            <w:tcW w:w="1160" w:type="dxa"/>
            <w:vAlign w:val="bottom"/>
            <w:gridSpan w:val="2"/>
          </w:tcPr>
          <w:p>
            <w:pPr>
              <w:jc w:val="right"/>
              <w:ind w:right="28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0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further described in this Note 9, the indicated amounts have been retroactively adjusted for the stock split, which was effected in the form of a stock dividend.</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2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shareholders who have not opted out of the Company’s dividend reinvestment plan during the six months ended June 30, 2014 and 2013. All shares issued to shareholders in the tables below are newly issued shares.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7"/>
              </w:rPr>
              <w:t>Six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center"/>
              <w:ind w:right="760"/>
              <w:spacing w:after="0"/>
              <w:rPr>
                <w:sz w:val="20"/>
                <w:szCs w:val="20"/>
                <w:color w:val="auto"/>
              </w:rPr>
            </w:pPr>
            <w:r>
              <w:rPr>
                <w:rFonts w:ascii="Arial" w:cs="Arial" w:eastAsia="Arial" w:hAnsi="Arial"/>
                <w:sz w:val="14"/>
                <w:szCs w:val="14"/>
                <w:b w:val="1"/>
                <w:bCs w:val="1"/>
                <w:color w:val="auto"/>
                <w:w w:val="85"/>
              </w:rPr>
              <w:t>June 30, 2014</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420" w:type="dxa"/>
            <w:vAlign w:val="bottom"/>
            <w:vMerge w:val="restart"/>
          </w:tcPr>
          <w:p>
            <w:pPr>
              <w:spacing w:after="0"/>
              <w:rPr>
                <w:sz w:val="11"/>
                <w:szCs w:val="11"/>
                <w:color w:val="auto"/>
              </w:rPr>
            </w:pPr>
          </w:p>
        </w:tc>
        <w:tc>
          <w:tcPr>
            <w:tcW w:w="18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4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2"/>
              </w:rPr>
              <w:t>Date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242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154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rPr>
              <w:t>Record Date</w:t>
            </w:r>
          </w:p>
        </w:tc>
        <w:tc>
          <w:tcPr>
            <w:tcW w:w="280" w:type="dxa"/>
            <w:vAlign w:val="bottom"/>
          </w:tcPr>
          <w:p>
            <w:pPr>
              <w:spacing w:after="0"/>
              <w:rPr>
                <w:sz w:val="14"/>
                <w:szCs w:val="14"/>
                <w:color w:val="auto"/>
              </w:rPr>
            </w:pPr>
          </w:p>
        </w:tc>
        <w:tc>
          <w:tcPr>
            <w:tcW w:w="174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6"/>
              </w:rPr>
              <w:t>Shares Issued</w:t>
            </w:r>
          </w:p>
        </w:tc>
        <w:tc>
          <w:tcPr>
            <w:tcW w:w="88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0"/>
              </w:rPr>
              <w:t>Shares Issued</w:t>
            </w:r>
          </w:p>
        </w:tc>
        <w:tc>
          <w:tcPr>
            <w:tcW w:w="0" w:type="dxa"/>
            <w:vAlign w:val="bottom"/>
          </w:tcPr>
          <w:p>
            <w:pPr>
              <w:spacing w:after="0"/>
              <w:rPr>
                <w:sz w:val="1"/>
                <w:szCs w:val="1"/>
                <w:color w:val="auto"/>
              </w:rPr>
            </w:pPr>
          </w:p>
        </w:tc>
      </w:tr>
      <w:tr>
        <w:trPr>
          <w:trHeight w:val="203"/>
        </w:trPr>
        <w:tc>
          <w:tcPr>
            <w:tcW w:w="33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2013</w:t>
            </w:r>
          </w:p>
        </w:tc>
        <w:tc>
          <w:tcPr>
            <w:tcW w:w="18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December 31, 2013</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February 13, 2014</w:t>
            </w: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502,200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color w:val="auto"/>
              </w:rPr>
              <w:t>March 26, 2014</w:t>
            </w:r>
          </w:p>
        </w:tc>
        <w:tc>
          <w:tcPr>
            <w:tcW w:w="184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March 31, 2014</w:t>
            </w:r>
          </w:p>
        </w:tc>
        <w:tc>
          <w:tcPr>
            <w:tcW w:w="280" w:type="dxa"/>
            <w:vAlign w:val="bottom"/>
          </w:tcPr>
          <w:p>
            <w:pPr>
              <w:spacing w:after="0"/>
              <w:rPr>
                <w:sz w:val="19"/>
                <w:szCs w:val="19"/>
                <w:color w:val="auto"/>
              </w:rPr>
            </w:pP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May 1, 2014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8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40" w:type="dxa"/>
            <w:vAlign w:val="bottom"/>
            <w:vMerge w:val="restart"/>
          </w:tcPr>
          <w:p>
            <w:pPr>
              <w:jc w:val="right"/>
              <w:ind w:right="172"/>
              <w:spacing w:after="0"/>
              <w:rPr>
                <w:sz w:val="20"/>
                <w:szCs w:val="20"/>
                <w:color w:val="auto"/>
              </w:rPr>
            </w:pPr>
            <w:r>
              <w:rPr>
                <w:rFonts w:ascii="Arial" w:cs="Arial" w:eastAsia="Arial" w:hAnsi="Arial"/>
                <w:sz w:val="18"/>
                <w:szCs w:val="18"/>
                <w:color w:val="auto"/>
              </w:rPr>
              <w:t>31</w:t>
            </w: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7"/>
              </w:rPr>
              <w:t>Six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880"/>
              <w:spacing w:after="0"/>
              <w:rPr>
                <w:sz w:val="20"/>
                <w:szCs w:val="20"/>
                <w:color w:val="auto"/>
              </w:rPr>
            </w:pPr>
            <w:r>
              <w:rPr>
                <w:rFonts w:ascii="Arial" w:cs="Arial" w:eastAsia="Arial" w:hAnsi="Arial"/>
                <w:sz w:val="14"/>
                <w:szCs w:val="14"/>
                <w:b w:val="1"/>
                <w:bCs w:val="1"/>
                <w:color w:val="auto"/>
              </w:rPr>
              <w:t>June 30, 2013</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4080" w:type="dxa"/>
            <w:vAlign w:val="bottom"/>
            <w:vMerge w:val="restart"/>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gridSpan w:val="2"/>
          </w:tcPr>
          <w:p>
            <w:pPr>
              <w:jc w:val="right"/>
              <w:ind w:right="920"/>
              <w:spacing w:after="0" w:line="129" w:lineRule="exact"/>
              <w:rPr>
                <w:sz w:val="20"/>
                <w:szCs w:val="20"/>
                <w:color w:val="auto"/>
              </w:rPr>
            </w:pPr>
            <w:r>
              <w:rPr>
                <w:rFonts w:ascii="Arial" w:cs="Arial" w:eastAsia="Arial" w:hAnsi="Arial"/>
                <w:sz w:val="14"/>
                <w:szCs w:val="14"/>
                <w:b w:val="1"/>
                <w:bCs w:val="1"/>
                <w:color w:val="auto"/>
              </w:rPr>
              <w:t>Date</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4080" w:type="dxa"/>
            <w:vAlign w:val="bottom"/>
            <w:vMerge w:val="continue"/>
          </w:tcPr>
          <w:p>
            <w:pPr>
              <w:spacing w:after="0"/>
              <w:rPr>
                <w:sz w:val="14"/>
                <w:szCs w:val="14"/>
                <w:color w:val="auto"/>
              </w:rPr>
            </w:pPr>
          </w:p>
        </w:tc>
        <w:tc>
          <w:tcPr>
            <w:tcW w:w="1600" w:type="dxa"/>
            <w:vAlign w:val="bottom"/>
            <w:gridSpan w:val="2"/>
          </w:tcPr>
          <w:p>
            <w:pPr>
              <w:ind w:left="360"/>
              <w:spacing w:after="0" w:line="148" w:lineRule="exact"/>
              <w:rPr>
                <w:sz w:val="20"/>
                <w:szCs w:val="20"/>
                <w:color w:val="auto"/>
              </w:rPr>
            </w:pPr>
            <w:r>
              <w:rPr>
                <w:rFonts w:ascii="Arial" w:cs="Arial" w:eastAsia="Arial" w:hAnsi="Arial"/>
                <w:sz w:val="14"/>
                <w:szCs w:val="14"/>
                <w:b w:val="1"/>
                <w:bCs w:val="1"/>
                <w:color w:val="auto"/>
              </w:rPr>
              <w:t>Record Date</w:t>
            </w:r>
          </w:p>
        </w:tc>
        <w:tc>
          <w:tcPr>
            <w:tcW w:w="300" w:type="dxa"/>
            <w:vAlign w:val="bottom"/>
          </w:tcPr>
          <w:p>
            <w:pPr>
              <w:spacing w:after="0"/>
              <w:rPr>
                <w:sz w:val="14"/>
                <w:szCs w:val="14"/>
                <w:color w:val="auto"/>
              </w:rPr>
            </w:pPr>
          </w:p>
        </w:tc>
        <w:tc>
          <w:tcPr>
            <w:tcW w:w="1640" w:type="dxa"/>
            <w:vAlign w:val="bottom"/>
            <w:gridSpan w:val="2"/>
          </w:tcPr>
          <w:p>
            <w:pPr>
              <w:jc w:val="right"/>
              <w:ind w:right="640"/>
              <w:spacing w:after="0" w:line="148" w:lineRule="exact"/>
              <w:rPr>
                <w:sz w:val="20"/>
                <w:szCs w:val="20"/>
                <w:color w:val="auto"/>
              </w:rPr>
            </w:pPr>
            <w:r>
              <w:rPr>
                <w:rFonts w:ascii="Arial" w:cs="Arial" w:eastAsia="Arial" w:hAnsi="Arial"/>
                <w:sz w:val="14"/>
                <w:szCs w:val="14"/>
                <w:b w:val="1"/>
                <w:bCs w:val="1"/>
                <w:color w:val="auto"/>
              </w:rPr>
              <w:t>Shares Issued</w:t>
            </w:r>
          </w:p>
        </w:tc>
        <w:tc>
          <w:tcPr>
            <w:tcW w:w="108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2"/>
              </w:rPr>
              <w:t>Shares Issued (1)</w:t>
            </w:r>
          </w:p>
        </w:tc>
        <w:tc>
          <w:tcPr>
            <w:tcW w:w="0" w:type="dxa"/>
            <w:vAlign w:val="bottom"/>
          </w:tcPr>
          <w:p>
            <w:pPr>
              <w:spacing w:after="0"/>
              <w:rPr>
                <w:sz w:val="1"/>
                <w:szCs w:val="1"/>
                <w:color w:val="auto"/>
              </w:rPr>
            </w:pPr>
          </w:p>
        </w:tc>
      </w:tr>
      <w:tr>
        <w:trPr>
          <w:trHeight w:val="203"/>
        </w:trPr>
        <w:tc>
          <w:tcPr>
            <w:tcW w:w="4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14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December 31, 2012</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March 12, 2013</w:t>
            </w:r>
          </w:p>
        </w:tc>
        <w:tc>
          <w:tcPr>
            <w:tcW w:w="4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343,981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March 12, 2013</w:t>
            </w: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w w:val="99"/>
              </w:rPr>
              <w:t>March 31, 2013</w:t>
            </w:r>
          </w:p>
        </w:tc>
        <w:tc>
          <w:tcPr>
            <w:tcW w:w="300" w:type="dxa"/>
            <w:vAlign w:val="bottom"/>
          </w:tcPr>
          <w:p>
            <w:pPr>
              <w:spacing w:after="0"/>
              <w:rPr>
                <w:sz w:val="19"/>
                <w:szCs w:val="19"/>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May 7, 2013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8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further described in this Note 9, the indicated amounts have been retroactively adjusted for the stock split which was effected in the form of a stock dividend.</w:t>
      </w:r>
    </w:p>
    <w:p>
      <w:pPr>
        <w:spacing w:after="0" w:line="132"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Prior to the Company’s IPO, the number of shares issued through the dividend reinvestment plan was determined by dividing the total dollar amount of the dividend payable to such shareholder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8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On August 1, 2014, pursuant to its dividend reinvestment plan, the Company issued 218,892 shares in connection with the dividend that was paid on July 31, 2014. This dividend was declared on May 6, 2014 for shareholders of record on June 30, 2014.</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40" w:type="dxa"/>
            <w:vAlign w:val="bottom"/>
            <w:gridSpan w:val="5"/>
          </w:tcPr>
          <w:p>
            <w:pPr>
              <w:ind w:left="54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6060" w:type="dxa"/>
            <w:vAlign w:val="bottom"/>
          </w:tcPr>
          <w:p>
            <w:pPr>
              <w:spacing w:after="0"/>
              <w:rPr>
                <w:sz w:val="12"/>
                <w:szCs w:val="12"/>
                <w:color w:val="auto"/>
              </w:rPr>
            </w:pPr>
          </w:p>
        </w:tc>
        <w:tc>
          <w:tcPr>
            <w:tcW w:w="1460" w:type="dxa"/>
            <w:vAlign w:val="bottom"/>
            <w:tcBorders>
              <w:top w:val="single" w:sz="8" w:color="auto"/>
            </w:tcBorders>
            <w:gridSpan w:val="3"/>
          </w:tcPr>
          <w:p>
            <w:pPr>
              <w:jc w:val="right"/>
              <w:ind w:right="620"/>
              <w:spacing w:after="0" w:line="142" w:lineRule="exact"/>
              <w:rPr>
                <w:sz w:val="20"/>
                <w:szCs w:val="20"/>
                <w:color w:val="auto"/>
              </w:rPr>
            </w:pPr>
            <w:r>
              <w:rPr>
                <w:rFonts w:ascii="Arial" w:cs="Arial" w:eastAsia="Arial" w:hAnsi="Arial"/>
                <w:sz w:val="14"/>
                <w:szCs w:val="14"/>
                <w:b w:val="1"/>
                <w:bCs w:val="1"/>
                <w:color w:val="auto"/>
                <w:w w:val="90"/>
              </w:rPr>
              <w:t>June 30, 2014</w:t>
            </w: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June 30, 2013</w:t>
            </w:r>
          </w:p>
        </w:tc>
        <w:tc>
          <w:tcPr>
            <w:tcW w:w="580" w:type="dxa"/>
            <w:vAlign w:val="bottom"/>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June 30, 2014</w:t>
            </w:r>
          </w:p>
        </w:tc>
        <w:tc>
          <w:tcPr>
            <w:tcW w:w="5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June 30, 2013</w:t>
            </w:r>
          </w:p>
        </w:tc>
        <w:tc>
          <w:tcPr>
            <w:tcW w:w="100" w:type="dxa"/>
            <w:vAlign w:val="bottom"/>
          </w:tcPr>
          <w:p>
            <w:pPr>
              <w:spacing w:after="0"/>
              <w:rPr>
                <w:sz w:val="12"/>
                <w:szCs w:val="12"/>
                <w:color w:val="auto"/>
              </w:rPr>
            </w:pPr>
          </w:p>
        </w:tc>
      </w:tr>
      <w:tr>
        <w:trPr>
          <w:trHeight w:val="210"/>
        </w:trPr>
        <w:tc>
          <w:tcPr>
            <w:tcW w:w="6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Increase in net assets resulting from operations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27,294</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14,208</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52,642</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w w:val="97"/>
              </w:rPr>
              <w:t>Weighted average shares of common stock outstanding - basic and diluted (1)</w:t>
            </w:r>
          </w:p>
        </w:tc>
        <w:tc>
          <w:tcPr>
            <w:tcW w:w="1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w w:val="84"/>
              </w:rPr>
              <w:t>53,120,358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34,270,130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47,361,713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33,419,945</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basic and diluted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right="12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three months ended June 30, 2014 was less than the conversion price for the Convertible Senior Notes outstanding as of June 30, 2014. Therefore, for all periods presented in the financial statements, the underlying shares for the intrinsic value of the embedded options in the Convertible Senior Notes have no impact on the computation of diluted earnings per common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six months ended June 30, 2014 and 2013:</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3"/>
          </w:tcPr>
          <w:p>
            <w:pPr>
              <w:ind w:left="280"/>
              <w:spacing w:after="0"/>
              <w:rPr>
                <w:sz w:val="20"/>
                <w:szCs w:val="20"/>
                <w:color w:val="auto"/>
              </w:rPr>
            </w:pPr>
            <w:r>
              <w:rPr>
                <w:rFonts w:ascii="Arial" w:cs="Arial" w:eastAsia="Arial" w:hAnsi="Arial"/>
                <w:sz w:val="14"/>
                <w:szCs w:val="14"/>
                <w:b w:val="1"/>
                <w:bCs w:val="1"/>
                <w:color w:val="auto"/>
              </w:rPr>
              <w:t>Six Months Ended</w:t>
            </w: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2040" w:type="dxa"/>
            <w:vAlign w:val="bottom"/>
            <w:vMerge w:val="restart"/>
          </w:tcPr>
          <w:p>
            <w:pPr>
              <w:spacing w:after="0"/>
              <w:rPr>
                <w:sz w:val="14"/>
                <w:szCs w:val="14"/>
                <w:color w:val="auto"/>
              </w:rPr>
            </w:pPr>
          </w:p>
        </w:tc>
        <w:tc>
          <w:tcPr>
            <w:tcW w:w="20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2014</w:t>
            </w: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2020" w:type="dxa"/>
            <w:vAlign w:val="bottom"/>
          </w:tcPr>
          <w:p>
            <w:pPr>
              <w:spacing w:after="0"/>
              <w:rPr>
                <w:sz w:val="12"/>
                <w:szCs w:val="12"/>
                <w:color w:val="auto"/>
              </w:rPr>
            </w:pPr>
          </w:p>
        </w:tc>
        <w:tc>
          <w:tcPr>
            <w:tcW w:w="146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rPr>
              <w:t>Record Date</w:t>
            </w:r>
          </w:p>
        </w:tc>
        <w:tc>
          <w:tcPr>
            <w:tcW w:w="300" w:type="dxa"/>
            <w:vAlign w:val="bottom"/>
          </w:tcPr>
          <w:p>
            <w:pPr>
              <w:spacing w:after="0"/>
              <w:rPr>
                <w:sz w:val="12"/>
                <w:szCs w:val="12"/>
                <w:color w:val="auto"/>
              </w:rPr>
            </w:pPr>
          </w:p>
        </w:tc>
        <w:tc>
          <w:tcPr>
            <w:tcW w:w="166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Payment Date</w:t>
            </w:r>
          </w:p>
        </w:tc>
        <w:tc>
          <w:tcPr>
            <w:tcW w:w="11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Dividend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26, 2014</w:t>
            </w:r>
          </w:p>
        </w:tc>
        <w:tc>
          <w:tcPr>
            <w:tcW w:w="20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March 31, 2014</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April 30, 2014</w:t>
            </w:r>
          </w:p>
        </w:tc>
        <w:tc>
          <w:tcPr>
            <w:tcW w:w="5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20" w:type="dxa"/>
            <w:vAlign w:val="bottom"/>
            <w:gridSpan w:val="2"/>
          </w:tcPr>
          <w:p>
            <w:pPr>
              <w:spacing w:after="0"/>
              <w:rPr>
                <w:sz w:val="20"/>
                <w:szCs w:val="20"/>
                <w:color w:val="auto"/>
              </w:rPr>
            </w:pPr>
            <w:r>
              <w:rPr>
                <w:rFonts w:ascii="Arial" w:cs="Arial" w:eastAsia="Arial" w:hAnsi="Arial"/>
                <w:sz w:val="18"/>
                <w:szCs w:val="18"/>
                <w:color w:val="auto"/>
              </w:rPr>
              <w:t>May 6, 2014</w:t>
            </w:r>
          </w:p>
        </w:tc>
        <w:tc>
          <w:tcPr>
            <w:tcW w:w="202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June 30, 2014</w:t>
            </w:r>
          </w:p>
        </w:tc>
        <w:tc>
          <w:tcPr>
            <w:tcW w:w="300" w:type="dxa"/>
            <w:vAlign w:val="bottom"/>
          </w:tcPr>
          <w:p>
            <w:pPr>
              <w:spacing w:after="0"/>
              <w:rPr>
                <w:sz w:val="19"/>
                <w:szCs w:val="19"/>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rPr>
              <w:t>July 31, 2014</w:t>
            </w: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2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Six Months Ended</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820" w:type="dxa"/>
            <w:vAlign w:val="bottom"/>
            <w:vMerge w:val="restart"/>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85"/>
              </w:rPr>
              <w:t>June 30, 2013</w:t>
            </w:r>
          </w:p>
        </w:tc>
        <w:tc>
          <w:tcPr>
            <w:tcW w:w="5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3820" w:type="dxa"/>
            <w:vAlign w:val="bottom"/>
            <w:vMerge w:val="continue"/>
          </w:tcPr>
          <w:p>
            <w:pPr>
              <w:spacing w:after="0"/>
              <w:rPr>
                <w:sz w:val="12"/>
                <w:szCs w:val="12"/>
                <w:color w:val="auto"/>
              </w:rPr>
            </w:pPr>
          </w:p>
        </w:tc>
        <w:tc>
          <w:tcPr>
            <w:tcW w:w="180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rPr>
              <w:t>Record Date</w:t>
            </w:r>
          </w:p>
        </w:tc>
        <w:tc>
          <w:tcPr>
            <w:tcW w:w="16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Payment Date</w:t>
            </w:r>
          </w:p>
        </w:tc>
        <w:tc>
          <w:tcPr>
            <w:tcW w:w="13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Dividend per Share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12, 2013</w:t>
            </w:r>
          </w:p>
        </w:tc>
        <w:tc>
          <w:tcPr>
            <w:tcW w:w="11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March 31, 2013</w:t>
            </w:r>
          </w:p>
        </w:tc>
        <w:tc>
          <w:tcPr>
            <w:tcW w:w="6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ind w:left="44"/>
              <w:spacing w:after="0" w:line="203" w:lineRule="exact"/>
              <w:rPr>
                <w:sz w:val="20"/>
                <w:szCs w:val="20"/>
                <w:color w:val="auto"/>
              </w:rPr>
            </w:pPr>
            <w:r>
              <w:rPr>
                <w:rFonts w:ascii="Arial" w:cs="Arial" w:eastAsia="Arial" w:hAnsi="Arial"/>
                <w:sz w:val="18"/>
                <w:szCs w:val="18"/>
                <w:color w:val="auto"/>
                <w:w w:val="90"/>
              </w:rPr>
              <w:t>May 6, 2013</w:t>
            </w:r>
          </w:p>
        </w:tc>
        <w:tc>
          <w:tcPr>
            <w:tcW w:w="6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1800" w:type="dxa"/>
            <w:vAlign w:val="bottom"/>
            <w:gridSpan w:val="2"/>
          </w:tcPr>
          <w:p>
            <w:pPr>
              <w:ind w:left="180"/>
              <w:spacing w:after="0"/>
              <w:rPr>
                <w:sz w:val="20"/>
                <w:szCs w:val="20"/>
                <w:color w:val="auto"/>
              </w:rPr>
            </w:pPr>
            <w:r>
              <w:rPr>
                <w:rFonts w:ascii="Arial" w:cs="Arial" w:eastAsia="Arial" w:hAnsi="Arial"/>
                <w:sz w:val="18"/>
                <w:szCs w:val="18"/>
                <w:color w:val="auto"/>
              </w:rPr>
              <w:t>June 30, 2013</w:t>
            </w: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July 31, 2013</w:t>
            </w: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2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dividends declared during the six months ended June 30, 2014 and 2013, were derived from net investment income determined on a tax basis.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Highlights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a share of Common Stock outstanding during the six months ended June 30, 2014 and 2013.</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340" w:type="dxa"/>
            <w:vAlign w:val="bottom"/>
            <w:gridSpan w:val="4"/>
          </w:tcPr>
          <w:p>
            <w:pPr>
              <w:ind w:left="680"/>
              <w:spacing w:after="0"/>
              <w:rPr>
                <w:sz w:val="20"/>
                <w:szCs w:val="20"/>
                <w:color w:val="auto"/>
              </w:rPr>
            </w:pPr>
            <w:r>
              <w:rPr>
                <w:rFonts w:ascii="Arial" w:cs="Arial" w:eastAsia="Arial" w:hAnsi="Arial"/>
                <w:sz w:val="14"/>
                <w:szCs w:val="14"/>
                <w:b w:val="1"/>
                <w:bCs w:val="1"/>
                <w:color w:val="auto"/>
              </w:rPr>
              <w:t>Six Months Ended</w:t>
            </w:r>
          </w:p>
        </w:tc>
        <w:tc>
          <w:tcPr>
            <w:tcW w:w="1720" w:type="dxa"/>
            <w:vAlign w:val="bottom"/>
            <w:gridSpan w:val="4"/>
          </w:tcPr>
          <w:p>
            <w:pPr>
              <w:ind w:lef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4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7"/>
              </w:rPr>
              <w:t>June 30, 2014</w:t>
            </w:r>
          </w:p>
        </w:tc>
        <w:tc>
          <w:tcPr>
            <w:tcW w:w="440" w:type="dxa"/>
            <w:vAlign w:val="bottom"/>
          </w:tcPr>
          <w:p>
            <w:pPr>
              <w:spacing w:after="0"/>
              <w:rPr>
                <w:sz w:val="14"/>
                <w:szCs w:val="14"/>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9"/>
              </w:rPr>
              <w:t>June 30, 2013 (6)</w:t>
            </w: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15.52</w:t>
            </w:r>
          </w:p>
        </w:tc>
        <w:tc>
          <w:tcPr>
            <w:tcW w:w="580" w:type="dxa"/>
            <w:vAlign w:val="bottom"/>
          </w:tcPr>
          <w:p>
            <w:pPr>
              <w:spacing w:after="0"/>
              <w:rPr>
                <w:sz w:val="18"/>
                <w:szCs w:val="18"/>
                <w:color w:val="auto"/>
              </w:rPr>
            </w:pP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Net realized and unrealized gains (1)</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from investment operations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Issuances of common stock, net of offering costs (1)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(0.18)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(0.76)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30"/>
        </w:trPr>
        <w:tc>
          <w:tcPr>
            <w:tcW w:w="4620" w:type="dxa"/>
            <w:vAlign w:val="bottom"/>
          </w:tcPr>
          <w:p>
            <w:pPr>
              <w:ind w:left="440"/>
              <w:spacing w:after="0"/>
              <w:rPr>
                <w:sz w:val="20"/>
                <w:szCs w:val="20"/>
                <w:color w:val="auto"/>
              </w:rPr>
            </w:pPr>
            <w:r>
              <w:rPr>
                <w:rFonts w:ascii="Arial" w:cs="Arial" w:eastAsia="Arial" w:hAnsi="Arial"/>
                <w:sz w:val="18"/>
                <w:szCs w:val="18"/>
                <w:color w:val="auto"/>
              </w:rPr>
              <w:t>Total increase in net assets</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Asset Value, End of Period</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5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Per share market value at end of period</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20" w:type="dxa"/>
            <w:vAlign w:val="bottom"/>
            <w:vMerge w:val="continue"/>
          </w:tcPr>
          <w:p>
            <w:pPr>
              <w:spacing w:after="0"/>
              <w:rPr>
                <w:sz w:val="18"/>
                <w:szCs w:val="18"/>
                <w:color w:val="auto"/>
              </w:rPr>
            </w:pP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21.83</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market value (3)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41.19%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 return based on net asset value (4)</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6.03%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End of Period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53,347,891</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34,442,887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Ratios/Supplemental Data</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Ratio of net expenses to average net assets (5)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Ratio of net investment income to average net assets (5)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15.9%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837,426</w:t>
            </w:r>
          </w:p>
        </w:tc>
        <w:tc>
          <w:tcPr>
            <w:tcW w:w="580" w:type="dxa"/>
            <w:vAlign w:val="bottom"/>
          </w:tcPr>
          <w:p>
            <w:pPr>
              <w:spacing w:after="0"/>
              <w:rPr>
                <w:sz w:val="19"/>
                <w:szCs w:val="19"/>
                <w:color w:val="auto"/>
              </w:rPr>
            </w:pP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526,547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80" w:right="40" w:hanging="572"/>
        <w:spacing w:after="0" w:line="250"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580" w:right="40" w:hanging="572"/>
        <w:spacing w:after="0" w:line="250"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ind w:left="580" w:hanging="572"/>
        <w:spacing w:after="0" w:line="261"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60"/>
          </w:cols>
          <w:pgMar w:left="240" w:top="459" w:right="3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1"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March 21, 2014, we completed our IPO, issuing 7,000,000 shares at $16.00 per share, and our concurrent private placement, issuing 3,124,984 shares at $16.00 per share. Net of underwriting fees and offering costs, we received total cash proceeds of $151.6 million.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April 2014, an additional 1,050,000 shares of stock were issued pursuant to the exercise of the underwriters’ over-allotment option. Net of underwriting fees and offering costs, we received additional total cash proceeds of approximately $15.4 million.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a specialty finance company focused on lending to middle-market companies. Since we began our investment activities in July 2011, through June 30, 2014 we have originated more than $2.8 billion aggregate principal amount of investments and retained approximately $1.9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June 30, 2014, our borrowers had weighted average annual revenue of $165 million and weighted average annual EBITDA of $30 million.</w:t>
      </w:r>
    </w:p>
    <w:p>
      <w:pPr>
        <w:spacing w:after="0" w:line="14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invest in first-lien debt, second-lien debt, mezzanine debt and equity securities.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2014, our average investment size in our portfolio companies was $36 million.</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We expect that no single investment will represent more than 15% of our total investment portfolio. The debt in which we invest typically is not rated by any rating agency, but if these instruments were rated, they would likely receive a rating of below investment grade (that is, below BBB- or Baa3), which is often referred to as “junk”.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Through our Adviser, we consider potential investments utilizing a four-tiered investment framework and against our existing portfolio as a whole:</w:t>
      </w:r>
    </w:p>
    <w:p>
      <w:pPr>
        <w:spacing w:after="0" w:line="19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2014, no industry represented more than 14.8% of our total investment portfolio.</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Investment Structuring. </w:t>
      </w:r>
      <w:r>
        <w:rPr>
          <w:rFonts w:ascii="Arial" w:cs="Arial" w:eastAsia="Arial" w:hAnsi="Arial"/>
          <w:sz w:val="16"/>
          <w:szCs w:val="16"/>
          <w:color w:val="auto"/>
        </w:rPr>
        <w:t>We focus on investing at the top of the capital structure and protecting that position. As of June 30, 2014, approximately 98.6% of</w:t>
      </w:r>
      <w:r>
        <w:rPr>
          <w:rFonts w:ascii="Arial" w:cs="Arial" w:eastAsia="Arial" w:hAnsi="Arial"/>
          <w:sz w:val="16"/>
          <w:szCs w:val="16"/>
          <w:i w:val="1"/>
          <w:iCs w:val="1"/>
          <w:color w:val="auto"/>
        </w:rPr>
        <w:t xml:space="preserve"> </w:t>
      </w:r>
      <w:r>
        <w:rPr>
          <w:rFonts w:ascii="Arial" w:cs="Arial" w:eastAsia="Arial" w:hAnsi="Arial"/>
          <w:sz w:val="16"/>
          <w:szCs w:val="16"/>
          <w:color w:val="auto"/>
        </w:rPr>
        <w:t>our portfolio at fair value was invested in secured debt, including 85.9% in first-lien debt investments.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June 30, 2014, the weighted average term on new investment commitments in new portfolio companies was 4.7 years.</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Risk Mitigation. </w:t>
      </w:r>
      <w:r>
        <w:rPr>
          <w:rFonts w:ascii="Arial" w:cs="Arial" w:eastAsia="Arial" w:hAnsi="Arial"/>
          <w:sz w:val="16"/>
          <w:szCs w:val="16"/>
          <w:color w:val="auto"/>
        </w:rPr>
        <w:t>We seek to mitigate non-credit-related risk on our returns in several ways, including call protection provisions to protect future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As of June 30, 2014, we had call protection on 98.9% of our debt investments, with weighted average call prices of 107.1% for the first year, 104.2% for the second year and 101.8% for the third year, in each case from the date of the initial investment. As of June 30, 2014, 98.3% of our debt investments bore interest at floating rates, subject to interest rate floors, which we believe helps act as a portfolio-wide hedge against inflation.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 with our Adviser, TSSP and TPG</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TPG Special Situations Partners, LLC (“TSSP”) and TPG Global, LLC (“TPG”).</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TSSP, which encompasses TPG Specialty Lending, TPG Opportunities Partners, which invests in special situations and distressed investments across the credit cycle, and TPG Institutional Credit Partners, which is a “public-side” credit investment platform focused on investment opportunities in broadly syndicated leveraged loan markets, is TPG’s special situations and credit platform. TSSP had over $10 billion of assets under management as of June 30, 2014. TSSP has extensive experience with highly complex, global public and private investments executed through primary originations, secondary market purchases and restructurings, and has a team of over 80 investment and operating professionals. Twenty three of these personnel are dedicated to our business, including 17 investment professionals.</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 SEC grants the exemptive relief we have requested, to the extent the size of the opportunity exceeds the amount our Adviser independently determines is appropriate for us to invest, our affiliates may be able to co-invest with us. We believe our ability to co-invest with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Management Fee and may also pay the Incentive Fee.</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Adviser has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 Our debt investments typically have a term of two to six years, and, as of June 30, 2014, 98.3% bear interest at a floating rate, subject to interest rate floors. Interest on debt securities is generally payable quarterly or semiannually. Some of our investments provide for deferred interest payments or PIK interest. For the six months ended June 30, 2014, approximately 1.7% of our total investment income was comprised of PIK interest income.</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or due diligence fees, fees for providing managerial assistance and consulting fees.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Dividend income on common equity securities is recorded on the record date for private portfolio companies or on the ex-dividend date for publicly traded portfolio companies.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59" w:lineRule="exact"/>
        <w:rPr>
          <w:sz w:val="20"/>
          <w:szCs w:val="20"/>
          <w:color w:val="auto"/>
        </w:rPr>
      </w:pPr>
    </w:p>
    <w:p>
      <w:pPr>
        <w:ind w:left="5620" w:right="1540" w:hanging="5045"/>
        <w:spacing w:after="0" w:line="440" w:lineRule="auto"/>
        <w:tabs>
          <w:tab w:leader="none" w:pos="893"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 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Adviser’s allocable share of costs incurred in providing significant managerial assistance to those portfolio companies that request it;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90" w:lineRule="exact"/>
        <w:rPr>
          <w:rFonts w:ascii="Arial" w:cs="Arial" w:eastAsia="Arial" w:hAnsi="Arial"/>
          <w:sz w:val="18"/>
          <w:szCs w:val="18"/>
          <w:color w:val="auto"/>
        </w:rPr>
      </w:pPr>
    </w:p>
    <w:p>
      <w:pPr>
        <w:ind w:left="900" w:right="160" w:hanging="325"/>
        <w:spacing w:after="0" w:line="306"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25" w:lineRule="exact"/>
        <w:rPr>
          <w:rFonts w:ascii="Arial" w:cs="Arial" w:eastAsia="Arial" w:hAnsi="Arial"/>
          <w:sz w:val="16"/>
          <w:szCs w:val="16"/>
          <w:color w:val="auto"/>
        </w:rPr>
      </w:pPr>
    </w:p>
    <w:p>
      <w:pPr>
        <w:ind w:left="900" w:right="220" w:hanging="325"/>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In any period, our interest expense will depend largely on the extent of our borrowing. In addition, we may continue to dedicate assets to financing facilities, such as the Amended and Restated Revolving Credit and Security Agreement between our wholly owned subsidiary, TPG SL SPV, LLC and Natixis, which we refer to as the SPV Asset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Trends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323" w:lineRule="auto"/>
        <w:rPr>
          <w:sz w:val="20"/>
          <w:szCs w:val="20"/>
          <w:color w:val="auto"/>
        </w:rPr>
      </w:pPr>
      <w:r>
        <w:rPr>
          <w:rFonts w:ascii="Arial" w:cs="Arial" w:eastAsia="Arial" w:hAnsi="Arial"/>
          <w:sz w:val="15"/>
          <w:szCs w:val="15"/>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June 30, 2014, our portfolio at fair value consisted of 85.9% first-lien debt investments, 12.7% second-lien debt investments, 0.4% mezzanine debt investments, and 1.0% equity investments. As of December 31, 2013, our portfolio at fair value consisted of 86.3% first-lien debt investments, 13.5% second-lien debt investments, and 0.2% equity investments.</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June 30, 2014 and December 31, 2013, our weighted average total yield of debt and income producing securities at fair value (which includes interest income and amortization of fees and discounts) was 10.3% and 10.4%, respectively, and our weighted average total yield of debt and income producing securities at amortized cost (which includes interest income and amortization of fees and discounts) was 10.5% and 10.6%, respectively.</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June 30, 2014 and December 31, 2013, we had investments in 31 and 27 portfolio companies, respectively, with an aggregate fair value of $1,129.2 million and $1,016.5 million, respectively.</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the three months ended June 30, 2014, we made new investment commitments of $116.4 million, $114.0 million in four new portfolio companies and $2.4 million in two existing portfolio companies. For this period, we had $159.2 million aggregate principal amount in exits and repayments, resulting in a net portfolio decrease of $54.8 million aggregate principal amount.</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three months ended June 30, 2013, we made new investment commitments of $176.1 million, $171.6 million in four new portfolio companies and $4.5 million in one existing portfolio company. For this period, we had $11.4 million aggregate principal amount in exits and repayments, resulting in a net portfolio increase of $169.9 million aggregate principal amount.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investment activity for the three months ended June 30, 2014 and 2013 is presented below (information presented herein is at par value unless otherwise indicated).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80" w:type="dxa"/>
            <w:vAlign w:val="bottom"/>
            <w:gridSpan w:val="11"/>
          </w:tcPr>
          <w:p>
            <w:pPr>
              <w:ind w:left="14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420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Borders>
              <w:top w:val="single" w:sz="8" w:color="auto"/>
            </w:tcBorders>
            <w:gridSpan w:val="5"/>
          </w:tcPr>
          <w:p>
            <w:pPr>
              <w:jc w:val="right"/>
              <w:ind w:right="188"/>
              <w:spacing w:after="0" w:line="129" w:lineRule="exact"/>
              <w:rPr>
                <w:sz w:val="20"/>
                <w:szCs w:val="20"/>
                <w:color w:val="auto"/>
              </w:rPr>
            </w:pPr>
            <w:r>
              <w:rPr>
                <w:rFonts w:ascii="Arial" w:cs="Arial" w:eastAsia="Arial" w:hAnsi="Arial"/>
                <w:sz w:val="14"/>
                <w:szCs w:val="14"/>
                <w:b w:val="1"/>
                <w:bCs w:val="1"/>
                <w:color w:val="auto"/>
                <w:w w:val="96"/>
              </w:rPr>
              <w:t>June 30,</w:t>
            </w:r>
          </w:p>
        </w:tc>
        <w:tc>
          <w:tcPr>
            <w:tcW w:w="5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jc w:val="right"/>
              <w:ind w:right="32"/>
              <w:spacing w:after="0" w:line="129" w:lineRule="exact"/>
              <w:rPr>
                <w:sz w:val="20"/>
                <w:szCs w:val="20"/>
                <w:color w:val="auto"/>
              </w:rPr>
            </w:pPr>
            <w:r>
              <w:rPr>
                <w:rFonts w:ascii="Arial" w:cs="Arial" w:eastAsia="Arial" w:hAnsi="Arial"/>
                <w:sz w:val="14"/>
                <w:szCs w:val="14"/>
                <w:b w:val="1"/>
                <w:bCs w:val="1"/>
                <w:color w:val="auto"/>
                <w:w w:val="99"/>
              </w:rPr>
              <w:t>June 30,</w:t>
            </w:r>
          </w:p>
        </w:tc>
        <w:tc>
          <w:tcPr>
            <w:tcW w:w="38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4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ind w:right="114"/>
              <w:spacing w:after="0" w:line="148" w:lineRule="exact"/>
              <w:rPr>
                <w:sz w:val="20"/>
                <w:szCs w:val="20"/>
                <w:color w:val="auto"/>
              </w:rPr>
            </w:pPr>
            <w:r>
              <w:rPr>
                <w:rFonts w:ascii="Arial" w:cs="Arial" w:eastAsia="Arial" w:hAnsi="Arial"/>
                <w:sz w:val="14"/>
                <w:szCs w:val="14"/>
                <w:b w:val="1"/>
                <w:bCs w:val="1"/>
                <w:color w:val="auto"/>
                <w:w w:val="96"/>
              </w:rPr>
              <w:t>2014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3"/>
          </w:tcPr>
          <w:p>
            <w:pPr>
              <w:jc w:val="right"/>
              <w:ind w:right="132"/>
              <w:spacing w:after="0" w:line="148"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504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New investment commitments:</w:t>
            </w:r>
          </w:p>
        </w:tc>
        <w:tc>
          <w:tcPr>
            <w:tcW w:w="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60" w:type="dxa"/>
            <w:vAlign w:val="bottom"/>
            <w:gridSpan w:val="2"/>
          </w:tcPr>
          <w:p>
            <w:pPr>
              <w:ind w:left="60"/>
              <w:spacing w:after="0"/>
              <w:rPr>
                <w:sz w:val="20"/>
                <w:szCs w:val="20"/>
                <w:color w:val="auto"/>
              </w:rPr>
            </w:pPr>
            <w:r>
              <w:rPr>
                <w:rFonts w:ascii="Arial" w:cs="Arial" w:eastAsia="Arial" w:hAnsi="Arial"/>
                <w:sz w:val="18"/>
                <w:szCs w:val="18"/>
                <w:color w:val="auto"/>
              </w:rPr>
              <w:t>Gross originations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Less: syndications/sell downs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0" w:type="dxa"/>
            <w:vAlign w:val="bottom"/>
          </w:tcPr>
          <w:p>
            <w:pPr>
              <w:ind w:left="40"/>
              <w:spacing w:after="0"/>
              <w:rPr>
                <w:sz w:val="20"/>
                <w:szCs w:val="20"/>
                <w:color w:val="auto"/>
              </w:rPr>
            </w:pPr>
            <w:r>
              <w:rPr>
                <w:rFonts w:ascii="Arial" w:cs="Arial" w:eastAsia="Arial" w:hAnsi="Arial"/>
                <w:sz w:val="18"/>
                <w:szCs w:val="18"/>
                <w:color w:val="auto"/>
              </w:rPr>
              <w:t>Total new investment commitments</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176.1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60" w:type="dxa"/>
            <w:vAlign w:val="bottom"/>
            <w:gridSpan w:val="2"/>
          </w:tcPr>
          <w:p>
            <w:pPr>
              <w:ind w:left="60"/>
              <w:spacing w:after="0"/>
              <w:rPr>
                <w:sz w:val="20"/>
                <w:szCs w:val="20"/>
                <w:color w:val="auto"/>
              </w:rPr>
            </w:pPr>
            <w:r>
              <w:rPr>
                <w:rFonts w:ascii="Arial" w:cs="Arial" w:eastAsia="Arial" w:hAnsi="Arial"/>
                <w:sz w:val="18"/>
                <w:szCs w:val="18"/>
                <w:color w:val="auto"/>
              </w:rPr>
              <w:t>First-lien</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Second-lien</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60" w:type="dxa"/>
            <w:vAlign w:val="bottom"/>
            <w:gridSpan w:val="2"/>
          </w:tcPr>
          <w:p>
            <w:pPr>
              <w:ind w:left="60"/>
              <w:spacing w:after="0"/>
              <w:rPr>
                <w:sz w:val="20"/>
                <w:szCs w:val="20"/>
                <w:color w:val="auto"/>
              </w:rPr>
            </w:pPr>
            <w:r>
              <w:rPr>
                <w:rFonts w:ascii="Arial" w:cs="Arial" w:eastAsia="Arial" w:hAnsi="Arial"/>
                <w:sz w:val="18"/>
                <w:szCs w:val="18"/>
                <w:color w:val="auto"/>
              </w:rPr>
              <w:t>Mezzanine</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Equity</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0" w:type="dxa"/>
            <w:vAlign w:val="bottom"/>
          </w:tcPr>
          <w:p>
            <w:pPr>
              <w:ind w:left="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181.3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60" w:type="dxa"/>
            <w:vAlign w:val="bottom"/>
            <w:gridSpan w:val="2"/>
          </w:tcPr>
          <w:p>
            <w:pPr>
              <w:ind w:left="60"/>
              <w:spacing w:after="0"/>
              <w:rPr>
                <w:sz w:val="20"/>
                <w:szCs w:val="20"/>
                <w:color w:val="auto"/>
              </w:rPr>
            </w:pPr>
            <w:r>
              <w:rPr>
                <w:rFonts w:ascii="Arial" w:cs="Arial" w:eastAsia="Arial" w:hAnsi="Arial"/>
                <w:sz w:val="18"/>
                <w:szCs w:val="18"/>
                <w:color w:val="auto"/>
              </w:rPr>
              <w:t>First-lien</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Second-lien</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60" w:type="dxa"/>
            <w:vAlign w:val="bottom"/>
            <w:gridSpan w:val="2"/>
          </w:tcPr>
          <w:p>
            <w:pPr>
              <w:ind w:left="60"/>
              <w:spacing w:after="0"/>
              <w:rPr>
                <w:sz w:val="20"/>
                <w:szCs w:val="20"/>
                <w:color w:val="auto"/>
              </w:rPr>
            </w:pPr>
            <w:r>
              <w:rPr>
                <w:rFonts w:ascii="Arial" w:cs="Arial" w:eastAsia="Arial" w:hAnsi="Arial"/>
                <w:sz w:val="18"/>
                <w:szCs w:val="18"/>
                <w:color w:val="auto"/>
              </w:rPr>
              <w:t>Mezzanine</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Equity</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0" w:type="dxa"/>
            <w:vAlign w:val="bottom"/>
          </w:tcPr>
          <w:p>
            <w:pPr>
              <w:ind w:left="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r>
              <w:rPr>
                <w:rFonts w:ascii="Arial" w:cs="Arial" w:eastAsia="Arial" w:hAnsi="Arial"/>
                <w:sz w:val="18"/>
                <w:szCs w:val="18"/>
                <w:u w:val="single" w:color="auto"/>
                <w:color w:val="auto"/>
              </w:rPr>
              <w:t>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w w:val="95"/>
              </w:rPr>
              <w:t>Number of new investment commitments in new portfolio companies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80" w:type="dxa"/>
            <w:vAlign w:val="bottom"/>
            <w:gridSpan w:val="6"/>
          </w:tcPr>
          <w:p>
            <w:pPr>
              <w:spacing w:after="0"/>
              <w:rPr>
                <w:sz w:val="20"/>
                <w:szCs w:val="20"/>
                <w:color w:val="auto"/>
              </w:rPr>
            </w:pPr>
            <w:r>
              <w:rPr>
                <w:rFonts w:ascii="Arial" w:cs="Arial" w:eastAsia="Arial" w:hAnsi="Arial"/>
                <w:sz w:val="18"/>
                <w:szCs w:val="18"/>
                <w:b w:val="1"/>
                <w:bCs w:val="1"/>
                <w:color w:val="auto"/>
                <w:w w:val="89"/>
              </w:rPr>
              <w:t>Average new investment commitment amount in new portfolio companies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660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0"/>
              </w:rPr>
              <w:t>Weighted average term for new investment commitments in new portfolio companies</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04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(in years)</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b w:val="1"/>
                <w:bCs w:val="1"/>
                <w:color w:val="auto"/>
                <w:w w:val="89"/>
              </w:rPr>
              <w:t>Percentage of new debt investment commitments at floating rates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98.8%</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8"/>
              </w:rPr>
              <w:t>100.0%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2"/>
              </w:rPr>
              <w:t>Percentage of new debt investment commitments at fixed rates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b w:val="1"/>
                <w:bCs w:val="1"/>
                <w:color w:val="auto"/>
                <w:w w:val="91"/>
              </w:rPr>
              <w:t>Weighted average interest rate of new investment commitments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10.6%</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w w:val="92"/>
              </w:rPr>
              <w:t>Weighted average spread over LIBOR of new floating rate investment commitments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Arial" w:cs="Arial" w:eastAsia="Arial" w:hAnsi="Arial"/>
                <w:sz w:val="18"/>
                <w:szCs w:val="18"/>
                <w:b w:val="1"/>
                <w:bCs w:val="1"/>
                <w:color w:val="auto"/>
                <w:w w:val="89"/>
              </w:rPr>
              <w:t>Weighted average interest rate on investments sold or paid down</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9.7%</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7060" w:type="dxa"/>
            <w:vAlign w:val="bottom"/>
            <w:gridSpan w:val="9"/>
          </w:tcPr>
          <w:p>
            <w:pPr>
              <w:spacing w:after="0"/>
              <w:rPr>
                <w:sz w:val="20"/>
                <w:szCs w:val="20"/>
                <w:color w:val="auto"/>
              </w:rPr>
            </w:pPr>
            <w:r>
              <w:rPr>
                <w:rFonts w:ascii="Arial" w:cs="Arial" w:eastAsia="Arial" w:hAnsi="Arial"/>
                <w:sz w:val="18"/>
                <w:szCs w:val="18"/>
                <w:color w:val="auto"/>
                <w:w w:val="99"/>
              </w:rPr>
              <w:t>As of June 30, 2014 and December 31, 2013, our investments consisted of the following:</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4660" w:type="dxa"/>
            <w:vAlign w:val="bottom"/>
            <w:gridSpan w:val="2"/>
            <w:vMerge w:val="restart"/>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June 30, 2014</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8"/>
          </w:tcPr>
          <w:p>
            <w:pPr>
              <w:ind w:left="3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49"/>
        </w:trPr>
        <w:tc>
          <w:tcPr>
            <w:tcW w:w="840" w:type="dxa"/>
            <w:vAlign w:val="bottom"/>
            <w:tcBorders>
              <w:bottom w:val="single" w:sz="8" w:color="auto"/>
            </w:tcBorders>
            <w:gridSpan w:val="2"/>
            <w:vMerge w:val="continue"/>
          </w:tcPr>
          <w:p>
            <w:pPr>
              <w:spacing w:after="0"/>
              <w:rPr>
                <w:sz w:val="12"/>
                <w:szCs w:val="12"/>
                <w:color w:val="auto"/>
              </w:rPr>
            </w:pPr>
          </w:p>
        </w:tc>
        <w:tc>
          <w:tcPr>
            <w:tcW w:w="4660" w:type="dxa"/>
            <w:vAlign w:val="bottom"/>
            <w:gridSpan w:val="2"/>
            <w:vMerge w:val="continue"/>
          </w:tcPr>
          <w:p>
            <w:pPr>
              <w:spacing w:after="0"/>
              <w:rPr>
                <w:sz w:val="12"/>
                <w:szCs w:val="12"/>
                <w:color w:val="auto"/>
              </w:rPr>
            </w:pPr>
          </w:p>
        </w:tc>
        <w:tc>
          <w:tcPr>
            <w:tcW w:w="6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2"/>
              </w:rPr>
              <w:t>Fair Value</w:t>
            </w:r>
          </w:p>
        </w:tc>
        <w:tc>
          <w:tcPr>
            <w:tcW w:w="6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w w:val="85"/>
              </w:rPr>
              <w:t>Amortized Cost</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Fair Value</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w w:val="86"/>
              </w:rPr>
              <w:t>Amortized Cost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gridSpan w:val="4"/>
            <w:shd w:val="clear" w:color="auto" w:fill="CCEEFF"/>
          </w:tcPr>
          <w:p>
            <w:pPr>
              <w:spacing w:after="0" w:line="202" w:lineRule="exact"/>
              <w:rPr>
                <w:sz w:val="20"/>
                <w:szCs w:val="20"/>
                <w:color w:val="auto"/>
              </w:rPr>
            </w:pPr>
            <w:r>
              <w:rPr>
                <w:rFonts w:ascii="Arial" w:cs="Arial" w:eastAsia="Arial" w:hAnsi="Arial"/>
                <w:sz w:val="18"/>
                <w:szCs w:val="18"/>
                <w:color w:val="auto"/>
              </w:rPr>
              <w:t>First-lien debt investments</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970.0</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956.0</w:t>
            </w: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877.2</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863.4</w:t>
            </w: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4"/>
          </w:tcPr>
          <w:p>
            <w:pPr>
              <w:spacing w:after="0"/>
              <w:rPr>
                <w:sz w:val="20"/>
                <w:szCs w:val="20"/>
                <w:color w:val="auto"/>
              </w:rPr>
            </w:pPr>
            <w:r>
              <w:rPr>
                <w:rFonts w:ascii="Arial" w:cs="Arial" w:eastAsia="Arial" w:hAnsi="Arial"/>
                <w:sz w:val="18"/>
                <w:szCs w:val="18"/>
                <w:color w:val="auto"/>
              </w:rPr>
              <w:t>Second-lien debt investments</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143.1</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137.2</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right"/>
              <w:ind w:right="28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5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Mezzanine debt investments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00" w:type="dxa"/>
            <w:vAlign w:val="bottom"/>
            <w:gridSpan w:val="4"/>
          </w:tcPr>
          <w:p>
            <w:pPr>
              <w:spacing w:after="0"/>
              <w:rPr>
                <w:sz w:val="20"/>
                <w:szCs w:val="20"/>
                <w:color w:val="auto"/>
              </w:rPr>
            </w:pPr>
            <w:r>
              <w:rPr>
                <w:rFonts w:ascii="Arial" w:cs="Arial" w:eastAsia="Arial" w:hAnsi="Arial"/>
                <w:sz w:val="18"/>
                <w:szCs w:val="18"/>
                <w:color w:val="auto"/>
              </w:rPr>
              <w:t>Equity investments</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gridSpan w:val="4"/>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1,129.2</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6"/>
              </w:rPr>
              <w:t>1,110.</w:t>
            </w:r>
            <w:r>
              <w:rPr>
                <w:rFonts w:ascii="Arial" w:cs="Arial" w:eastAsia="Arial" w:hAnsi="Arial"/>
                <w:sz w:val="18"/>
                <w:szCs w:val="18"/>
                <w:u w:val="single" w:color="auto"/>
                <w:color w:val="auto"/>
                <w:w w:val="96"/>
              </w:rPr>
              <w:t>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1,016.5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997.3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amortized cost of our performing and non-accrual investments as of June 30, 2014 and December 31, 2013:</w:t>
      </w:r>
    </w:p>
    <w:p>
      <w:pPr>
        <w:spacing w:after="0" w:line="200" w:lineRule="exact"/>
        <w:rPr>
          <w:sz w:val="20"/>
          <w:szCs w:val="20"/>
          <w:color w:val="auto"/>
        </w:rPr>
      </w:pP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2300" w:type="dxa"/>
            <w:vAlign w:val="bottom"/>
            <w:vMerge w:val="restart"/>
          </w:tcPr>
          <w:p>
            <w:pPr>
              <w:spacing w:after="0"/>
              <w:rPr>
                <w:sz w:val="14"/>
                <w:szCs w:val="14"/>
                <w:color w:val="auto"/>
              </w:rPr>
            </w:pP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June 30, 2014</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96"/>
              </w:rPr>
              <w:t>December 31, 2013</w:t>
            </w:r>
          </w:p>
        </w:tc>
        <w:tc>
          <w:tcPr>
            <w:tcW w:w="0" w:type="dxa"/>
            <w:vAlign w:val="bottom"/>
          </w:tcPr>
          <w:p>
            <w:pPr>
              <w:spacing w:after="0"/>
              <w:rPr>
                <w:sz w:val="1"/>
                <w:szCs w:val="1"/>
                <w:color w:val="auto"/>
              </w:rPr>
            </w:pPr>
          </w:p>
        </w:tc>
      </w:tr>
      <w:tr>
        <w:trPr>
          <w:trHeight w:val="134"/>
        </w:trPr>
        <w:tc>
          <w:tcPr>
            <w:tcW w:w="840" w:type="dxa"/>
            <w:vAlign w:val="bottom"/>
            <w:tcBorders>
              <w:bottom w:val="single" w:sz="8" w:color="auto"/>
            </w:tcBorders>
            <w:vMerge w:val="continue"/>
          </w:tcPr>
          <w:p>
            <w:pPr>
              <w:spacing w:after="0"/>
              <w:rPr>
                <w:sz w:val="11"/>
                <w:szCs w:val="11"/>
                <w:color w:val="auto"/>
              </w:rPr>
            </w:pPr>
          </w:p>
        </w:tc>
        <w:tc>
          <w:tcPr>
            <w:tcW w:w="2300" w:type="dxa"/>
            <w:vAlign w:val="bottom"/>
            <w:vMerge w:val="continue"/>
          </w:tcPr>
          <w:p>
            <w:pPr>
              <w:spacing w:after="0"/>
              <w:rPr>
                <w:sz w:val="11"/>
                <w:szCs w:val="11"/>
                <w:color w:val="auto"/>
              </w:rPr>
            </w:pPr>
          </w:p>
        </w:tc>
        <w:tc>
          <w:tcPr>
            <w:tcW w:w="2060" w:type="dxa"/>
            <w:vAlign w:val="bottom"/>
          </w:tcPr>
          <w:p>
            <w:pPr>
              <w:spacing w:after="0"/>
              <w:rPr>
                <w:sz w:val="11"/>
                <w:szCs w:val="11"/>
                <w:color w:val="auto"/>
              </w:rPr>
            </w:pPr>
          </w:p>
        </w:tc>
        <w:tc>
          <w:tcPr>
            <w:tcW w:w="1580" w:type="dxa"/>
            <w:vAlign w:val="bottom"/>
            <w:tcBorders>
              <w:top w:val="single" w:sz="8" w:color="auto"/>
            </w:tcBorders>
            <w:gridSpan w:val="3"/>
          </w:tcPr>
          <w:p>
            <w:pPr>
              <w:jc w:val="right"/>
              <w:ind w:right="660"/>
              <w:spacing w:after="0" w:line="129" w:lineRule="exact"/>
              <w:rPr>
                <w:sz w:val="20"/>
                <w:szCs w:val="20"/>
                <w:color w:val="auto"/>
              </w:rPr>
            </w:pPr>
            <w:r>
              <w:rPr>
                <w:rFonts w:ascii="Arial" w:cs="Arial" w:eastAsia="Arial" w:hAnsi="Arial"/>
                <w:sz w:val="14"/>
                <w:szCs w:val="14"/>
                <w:b w:val="1"/>
                <w:bCs w:val="1"/>
                <w:color w:val="auto"/>
                <w:w w:val="86"/>
              </w:rPr>
              <w:t>Amortized Cost</w:t>
            </w:r>
          </w:p>
        </w:tc>
        <w:tc>
          <w:tcPr>
            <w:tcW w:w="66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2"/>
              </w:rPr>
              <w:t>Percentage</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Amortized Cost</w:t>
            </w:r>
          </w:p>
        </w:tc>
        <w:tc>
          <w:tcPr>
            <w:tcW w:w="3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2"/>
              </w:rPr>
              <w:t>Percentage</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Performing</w:t>
            </w:r>
          </w:p>
        </w:tc>
        <w:tc>
          <w:tcPr>
            <w:tcW w:w="206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gridSpan w:val="2"/>
            <w:vMerge w:val="continue"/>
            <w:shd w:val="clear" w:color="auto" w:fill="CCEEFF"/>
          </w:tcPr>
          <w:p>
            <w:pPr>
              <w:spacing w:after="0"/>
              <w:rPr>
                <w:sz w:val="17"/>
                <w:szCs w:val="17"/>
                <w:color w:val="auto"/>
              </w:rPr>
            </w:pPr>
          </w:p>
        </w:tc>
        <w:tc>
          <w:tcPr>
            <w:tcW w:w="206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center"/>
              <w:ind w:right="99"/>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1,110.0</w:t>
            </w:r>
          </w:p>
        </w:tc>
        <w:tc>
          <w:tcPr>
            <w:tcW w:w="660" w:type="dxa"/>
            <w:vAlign w:val="bottom"/>
            <w:vMerge w:val="continue"/>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100.0%</w:t>
            </w:r>
          </w:p>
        </w:tc>
        <w:tc>
          <w:tcPr>
            <w:tcW w:w="30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997.3</w:t>
            </w:r>
          </w:p>
        </w:tc>
        <w:tc>
          <w:tcPr>
            <w:tcW w:w="36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3140" w:type="dxa"/>
            <w:vAlign w:val="bottom"/>
            <w:gridSpan w:val="2"/>
          </w:tcPr>
          <w:p>
            <w:pPr>
              <w:spacing w:after="0"/>
              <w:rPr>
                <w:sz w:val="20"/>
                <w:szCs w:val="20"/>
                <w:color w:val="auto"/>
              </w:rPr>
            </w:pPr>
            <w:r>
              <w:rPr>
                <w:rFonts w:ascii="Arial" w:cs="Arial" w:eastAsia="Arial" w:hAnsi="Arial"/>
                <w:sz w:val="18"/>
                <w:szCs w:val="18"/>
                <w:color w:val="auto"/>
              </w:rPr>
              <w:t>Non-accrual (1)</w:t>
            </w:r>
          </w:p>
        </w:tc>
        <w:tc>
          <w:tcPr>
            <w:tcW w:w="2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99"/>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1,110.0</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340" w:type="dxa"/>
            <w:vAlign w:val="bottom"/>
            <w:gridSpan w:val="2"/>
          </w:tcPr>
          <w:p>
            <w:pPr>
              <w:jc w:val="center"/>
              <w:ind w:left="1792"/>
              <w:spacing w:after="0"/>
              <w:rPr>
                <w:sz w:val="20"/>
                <w:szCs w:val="20"/>
                <w:color w:val="auto"/>
              </w:rPr>
            </w:pPr>
            <w:r>
              <w:rPr>
                <w:rFonts w:ascii="Arial" w:cs="Arial" w:eastAsia="Arial" w:hAnsi="Arial"/>
                <w:sz w:val="18"/>
                <w:szCs w:val="18"/>
                <w:color w:val="auto"/>
                <w:w w:val="89"/>
              </w:rPr>
              <w:t>39</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60" w:hanging="452"/>
        <w:spacing w:after="0" w:line="256"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4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weighted average yields and interest rates of our debt investments at fair value as of June 30, 2014 and December 31, 2013 were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0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June 30, 2014</w:t>
            </w:r>
          </w:p>
        </w:tc>
        <w:tc>
          <w:tcPr>
            <w:tcW w:w="1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2013</w:t>
            </w:r>
          </w:p>
        </w:tc>
      </w:tr>
      <w:tr>
        <w:trPr>
          <w:trHeight w:val="188"/>
        </w:trPr>
        <w:tc>
          <w:tcPr>
            <w:tcW w:w="48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Weighted average total yield of debt and income producing</w:t>
            </w:r>
          </w:p>
        </w:tc>
        <w:tc>
          <w:tcPr>
            <w:tcW w:w="6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24"/>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2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10.3%</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08"/>
        </w:trPr>
        <w:tc>
          <w:tcPr>
            <w:tcW w:w="4880" w:type="dxa"/>
            <w:vAlign w:val="bottom"/>
          </w:tcPr>
          <w:p>
            <w:pPr>
              <w:spacing w:after="0"/>
              <w:rPr>
                <w:sz w:val="20"/>
                <w:szCs w:val="20"/>
                <w:color w:val="auto"/>
              </w:rPr>
            </w:pPr>
            <w:r>
              <w:rPr>
                <w:rFonts w:ascii="Arial" w:cs="Arial" w:eastAsia="Arial" w:hAnsi="Arial"/>
                <w:sz w:val="18"/>
                <w:szCs w:val="18"/>
                <w:color w:val="auto"/>
                <w:w w:val="99"/>
              </w:rPr>
              <w:t>Weighted average interest rate of debt and income producing</w:t>
            </w: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488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2020" w:type="dxa"/>
            <w:vAlign w:val="bottom"/>
            <w:gridSpan w:val="3"/>
          </w:tcPr>
          <w:p>
            <w:pPr>
              <w:jc w:val="right"/>
              <w:ind w:right="480"/>
              <w:spacing w:after="0"/>
              <w:rPr>
                <w:sz w:val="20"/>
                <w:szCs w:val="20"/>
                <w:color w:val="auto"/>
              </w:rPr>
            </w:pPr>
            <w:r>
              <w:rPr>
                <w:rFonts w:ascii="Arial" w:cs="Arial" w:eastAsia="Arial" w:hAnsi="Arial"/>
                <w:sz w:val="18"/>
                <w:szCs w:val="18"/>
                <w:color w:val="auto"/>
              </w:rPr>
              <w:t>9.8%</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spread over LIBOR of all floating rate</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2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8.6%</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bl>
    <w:p>
      <w:pPr>
        <w:spacing w:after="0" w:line="15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59"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71"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59" w:lineRule="exact"/>
        <w:rPr>
          <w:sz w:val="20"/>
          <w:szCs w:val="20"/>
          <w:color w:val="auto"/>
        </w:rPr>
      </w:pPr>
    </w:p>
    <w:p>
      <w:pPr>
        <w:ind w:left="900" w:right="20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59" w:lineRule="exact"/>
        <w:rPr>
          <w:rFonts w:ascii="Arial" w:cs="Arial" w:eastAsia="Arial" w:hAnsi="Arial"/>
          <w:sz w:val="18"/>
          <w:szCs w:val="18"/>
          <w:color w:val="auto"/>
        </w:rPr>
      </w:pPr>
    </w:p>
    <w:p>
      <w:pPr>
        <w:ind w:left="900" w:right="42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59" w:lineRule="exact"/>
        <w:rPr>
          <w:rFonts w:ascii="Arial" w:cs="Arial" w:eastAsia="Arial" w:hAnsi="Arial"/>
          <w:sz w:val="18"/>
          <w:szCs w:val="18"/>
          <w:color w:val="auto"/>
        </w:rPr>
      </w:pPr>
    </w:p>
    <w:p>
      <w:pPr>
        <w:ind w:left="900" w:right="80" w:hanging="325"/>
        <w:spacing w:after="0" w:line="294"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34"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June 30, 2014 and December 31, 2013. Investment performance ratings are accurate only as of those dates and may change due to subsequent developments relating to a portfolio company’s business or financial condition, market conditions or developments, and other factors.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500" w:type="dxa"/>
            <w:vAlign w:val="bottom"/>
            <w:gridSpan w:val="2"/>
            <w:vMerge w:val="restart"/>
          </w:tcPr>
          <w:p>
            <w:pPr>
              <w:jc w:val="center"/>
              <w:ind w:right="1080"/>
              <w:spacing w:after="0"/>
              <w:rPr>
                <w:sz w:val="20"/>
                <w:szCs w:val="20"/>
                <w:color w:val="auto"/>
              </w:rPr>
            </w:pPr>
            <w:r>
              <w:rPr>
                <w:rFonts w:ascii="Arial" w:cs="Arial" w:eastAsia="Arial" w:hAnsi="Arial"/>
                <w:sz w:val="14"/>
                <w:szCs w:val="14"/>
                <w:b w:val="1"/>
                <w:bCs w:val="1"/>
                <w:color w:val="auto"/>
                <w:w w:val="89"/>
              </w:rPr>
              <w:t>Investment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ind w:left="180"/>
              <w:spacing w:after="0"/>
              <w:rPr>
                <w:sz w:val="20"/>
                <w:szCs w:val="20"/>
                <w:color w:val="auto"/>
              </w:rPr>
            </w:pPr>
            <w:r>
              <w:rPr>
                <w:rFonts w:ascii="Arial" w:cs="Arial" w:eastAsia="Arial" w:hAnsi="Arial"/>
                <w:sz w:val="14"/>
                <w:szCs w:val="14"/>
                <w:b w:val="1"/>
                <w:bCs w:val="1"/>
                <w:color w:val="auto"/>
              </w:rPr>
              <w:t>June 30, 2014</w:t>
            </w: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16"/>
        </w:trPr>
        <w:tc>
          <w:tcPr>
            <w:tcW w:w="2500" w:type="dxa"/>
            <w:vAlign w:val="bottom"/>
            <w:gridSpan w:val="2"/>
            <w:vMerge w:val="continue"/>
          </w:tcPr>
          <w:p>
            <w:pPr>
              <w:spacing w:after="0"/>
              <w:rPr>
                <w:sz w:val="10"/>
                <w:szCs w:val="10"/>
                <w:color w:val="auto"/>
              </w:rPr>
            </w:pPr>
          </w:p>
        </w:tc>
        <w:tc>
          <w:tcPr>
            <w:tcW w:w="2020" w:type="dxa"/>
            <w:vAlign w:val="bottom"/>
            <w:tcBorders>
              <w:top w:val="single" w:sz="8" w:color="auto"/>
            </w:tcBorders>
            <w:gridSpan w:val="3"/>
          </w:tcPr>
          <w:p>
            <w:pPr>
              <w:spacing w:after="0" w:line="116" w:lineRule="exact"/>
              <w:rPr>
                <w:sz w:val="20"/>
                <w:szCs w:val="20"/>
                <w:color w:val="auto"/>
              </w:rPr>
            </w:pPr>
            <w:r>
              <w:rPr>
                <w:rFonts w:ascii="Arial" w:cs="Arial" w:eastAsia="Arial" w:hAnsi="Arial"/>
                <w:sz w:val="12"/>
                <w:szCs w:val="12"/>
                <w:b w:val="1"/>
                <w:bCs w:val="1"/>
                <w:color w:val="auto"/>
              </w:rPr>
              <w:t>Investments at</w:t>
            </w:r>
          </w:p>
        </w:tc>
        <w:tc>
          <w:tcPr>
            <w:tcW w:w="840" w:type="dxa"/>
            <w:vAlign w:val="bottom"/>
            <w:tcBorders>
              <w:top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00" w:type="dxa"/>
            <w:vAlign w:val="bottom"/>
            <w:tcBorders>
              <w:top w:val="single" w:sz="8" w:color="auto"/>
            </w:tcBorders>
            <w:gridSpan w:val="3"/>
          </w:tcPr>
          <w:p>
            <w:pPr>
              <w:spacing w:after="0" w:line="116" w:lineRule="exact"/>
              <w:rPr>
                <w:sz w:val="20"/>
                <w:szCs w:val="20"/>
                <w:color w:val="auto"/>
              </w:rPr>
            </w:pPr>
            <w:r>
              <w:rPr>
                <w:rFonts w:ascii="Arial" w:cs="Arial" w:eastAsia="Arial" w:hAnsi="Arial"/>
                <w:sz w:val="12"/>
                <w:szCs w:val="12"/>
                <w:b w:val="1"/>
                <w:bCs w:val="1"/>
                <w:color w:val="auto"/>
              </w:rPr>
              <w:t>Investments at</w:t>
            </w:r>
          </w:p>
        </w:tc>
        <w:tc>
          <w:tcPr>
            <w:tcW w:w="84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0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00" w:type="dxa"/>
            <w:vAlign w:val="bottom"/>
          </w:tcPr>
          <w:p>
            <w:pPr>
              <w:spacing w:after="0"/>
              <w:rPr>
                <w:sz w:val="12"/>
                <w:szCs w:val="12"/>
                <w:color w:val="auto"/>
              </w:rPr>
            </w:pPr>
          </w:p>
        </w:tc>
        <w:tc>
          <w:tcPr>
            <w:tcW w:w="1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Fair Value</w:t>
            </w:r>
          </w:p>
        </w:tc>
        <w:tc>
          <w:tcPr>
            <w:tcW w:w="156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6"/>
              </w:rPr>
              <w:t>Percentage of</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Fair Value</w:t>
            </w:r>
          </w:p>
        </w:tc>
        <w:tc>
          <w:tcPr>
            <w:tcW w:w="14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75"/>
        </w:trPr>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7"/>
              </w:rPr>
              <w:t>Rating</w:t>
            </w:r>
          </w:p>
        </w:tc>
        <w:tc>
          <w:tcPr>
            <w:tcW w:w="108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 in millions)</w:t>
            </w:r>
          </w:p>
        </w:tc>
        <w:tc>
          <w:tcPr>
            <w:tcW w:w="1160" w:type="dxa"/>
            <w:vAlign w:val="bottom"/>
          </w:tcPr>
          <w:p>
            <w:pPr>
              <w:spacing w:after="0"/>
              <w:rPr>
                <w:sz w:val="15"/>
                <w:szCs w:val="15"/>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6"/>
              </w:rPr>
              <w:t>Total Portfolio</w:t>
            </w:r>
          </w:p>
        </w:tc>
        <w:tc>
          <w:tcPr>
            <w:tcW w:w="560" w:type="dxa"/>
            <w:vAlign w:val="bottom"/>
          </w:tcPr>
          <w:p>
            <w:pPr>
              <w:spacing w:after="0"/>
              <w:rPr>
                <w:sz w:val="15"/>
                <w:szCs w:val="15"/>
                <w:color w:val="auto"/>
              </w:rPr>
            </w:pPr>
          </w:p>
        </w:tc>
        <w:tc>
          <w:tcPr>
            <w:tcW w:w="15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8"/>
              </w:rPr>
              <w:t>($ in millions)</w:t>
            </w:r>
          </w:p>
        </w:tc>
        <w:tc>
          <w:tcPr>
            <w:tcW w:w="14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6"/>
              </w:rPr>
              <w:t>Total Portfolio</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10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943.0</w:t>
            </w:r>
          </w:p>
        </w:tc>
        <w:tc>
          <w:tcPr>
            <w:tcW w:w="1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83.5%</w:t>
            </w: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w:t>
            </w: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14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85.4</w:t>
            </w:r>
          </w:p>
        </w:tc>
        <w:tc>
          <w:tcPr>
            <w:tcW w:w="1160" w:type="dxa"/>
            <w:vAlign w:val="bottom"/>
          </w:tcPr>
          <w:p>
            <w:pPr>
              <w:spacing w:after="0"/>
              <w:rPr>
                <w:sz w:val="18"/>
                <w:szCs w:val="18"/>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7.6%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116.4</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4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center"/>
              <w:ind w:left="317"/>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00" w:type="dxa"/>
            <w:vAlign w:val="bottom"/>
            <w:gridSpan w:val="2"/>
          </w:tcPr>
          <w:p>
            <w:pPr>
              <w:jc w:val="center"/>
              <w:ind w:right="110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1,129.2</w:t>
            </w:r>
          </w:p>
        </w:tc>
        <w:tc>
          <w:tcPr>
            <w:tcW w:w="1160" w:type="dxa"/>
            <w:vAlign w:val="bottom"/>
          </w:tcPr>
          <w:p>
            <w:pPr>
              <w:spacing w:after="0"/>
              <w:rPr>
                <w:sz w:val="19"/>
                <w:szCs w:val="19"/>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1,016.5</w:t>
            </w:r>
          </w:p>
        </w:tc>
        <w:tc>
          <w:tcPr>
            <w:tcW w:w="660" w:type="dxa"/>
            <w:vAlign w:val="bottom"/>
          </w:tcPr>
          <w:p>
            <w:pPr>
              <w:spacing w:after="0"/>
              <w:rPr>
                <w:sz w:val="19"/>
                <w:szCs w:val="19"/>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three and six months ended June 30, 2014 and 2013 were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Three Months</w:t>
            </w:r>
          </w:p>
        </w:tc>
        <w:tc>
          <w:tcPr>
            <w:tcW w:w="460" w:type="dxa"/>
            <w:vAlign w:val="bottom"/>
          </w:tcPr>
          <w:p>
            <w:pPr>
              <w:spacing w:after="0"/>
              <w:rPr>
                <w:sz w:val="14"/>
                <w:szCs w:val="14"/>
                <w:color w:val="auto"/>
              </w:rPr>
            </w:pPr>
          </w:p>
        </w:tc>
        <w:tc>
          <w:tcPr>
            <w:tcW w:w="1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47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Ended June 30,</w:t>
            </w:r>
          </w:p>
        </w:tc>
        <w:tc>
          <w:tcPr>
            <w:tcW w:w="460" w:type="dxa"/>
            <w:vAlign w:val="bottom"/>
          </w:tcPr>
          <w:p>
            <w:pPr>
              <w:spacing w:after="0"/>
              <w:rPr>
                <w:sz w:val="14"/>
                <w:szCs w:val="14"/>
                <w:color w:val="auto"/>
              </w:rPr>
            </w:pPr>
          </w:p>
        </w:tc>
        <w:tc>
          <w:tcPr>
            <w:tcW w:w="1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Ended June 30,</w:t>
            </w: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4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auto"/>
            </w:tcBorders>
          </w:tcPr>
          <w:p>
            <w:pPr>
              <w:jc w:val="right"/>
              <w:ind w:right="1"/>
              <w:spacing w:after="0" w:line="129" w:lineRule="exact"/>
              <w:rPr>
                <w:sz w:val="20"/>
                <w:szCs w:val="20"/>
                <w:color w:val="auto"/>
              </w:rPr>
            </w:pPr>
            <w:r>
              <w:rPr>
                <w:rFonts w:ascii="Arial" w:cs="Arial" w:eastAsia="Arial" w:hAnsi="Arial"/>
                <w:sz w:val="14"/>
                <w:szCs w:val="14"/>
                <w:b w:val="1"/>
                <w:bCs w:val="1"/>
                <w:color w:val="auto"/>
                <w:w w:val="89"/>
              </w:rPr>
              <w:t>2014</w:t>
            </w: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2"/>
                <w:szCs w:val="12"/>
                <w:color w:val="auto"/>
              </w:rPr>
            </w:pPr>
          </w:p>
        </w:tc>
        <w:tc>
          <w:tcPr>
            <w:tcW w:w="420" w:type="dxa"/>
            <w:vAlign w:val="bottom"/>
            <w:tcBorders>
              <w:top w:val="single" w:sz="8" w:color="auto"/>
            </w:tcBorders>
          </w:tcPr>
          <w:p>
            <w:pPr>
              <w:jc w:val="right"/>
              <w:ind w:right="2"/>
              <w:spacing w:after="0" w:line="129"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$45.7</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$20.9</w:t>
            </w: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$79.1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$41.7</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color w:val="auto"/>
              </w:rPr>
              <w:t>Net expenses</w:t>
            </w:r>
          </w:p>
        </w:tc>
        <w:tc>
          <w:tcPr>
            <w:tcW w:w="2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4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investment income before income taxes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Income taxes, including excise taxes</w:t>
            </w:r>
          </w:p>
        </w:tc>
        <w:tc>
          <w:tcPr>
            <w:tcW w:w="2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4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investment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Net realized gains (losses) on investments (1)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unrealized gains (losses) on investments (2)</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00" w:type="dxa"/>
            <w:vAlign w:val="bottom"/>
            <w:gridSpan w:val="2"/>
            <w:vMerge w:val="continue"/>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27.3</w:t>
            </w:r>
          </w:p>
        </w:tc>
        <w:tc>
          <w:tcPr>
            <w:tcW w:w="2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14.2</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52.6</w:t>
            </w:r>
          </w:p>
        </w:tc>
        <w:tc>
          <w:tcPr>
            <w:tcW w:w="1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foreign exchange forward contracts.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foreign exchange forward contracts, foreign currency debt and interest rate swaps.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2320" w:type="dxa"/>
            <w:vAlign w:val="bottom"/>
            <w:vMerge w:val="restart"/>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4"/>
          </w:tcPr>
          <w:p>
            <w:pPr>
              <w:jc w:val="right"/>
              <w:ind w:right="117"/>
              <w:spacing w:after="0"/>
              <w:rPr>
                <w:sz w:val="20"/>
                <w:szCs w:val="20"/>
                <w:color w:val="auto"/>
              </w:rPr>
            </w:pPr>
            <w:r>
              <w:rPr>
                <w:rFonts w:ascii="Arial" w:cs="Arial" w:eastAsia="Arial" w:hAnsi="Arial"/>
                <w:sz w:val="14"/>
                <w:szCs w:val="14"/>
                <w:b w:val="1"/>
                <w:bCs w:val="1"/>
                <w:color w:val="auto"/>
                <w:w w:val="89"/>
              </w:rPr>
              <w:t>Three Months Ended June 30,</w:t>
            </w:r>
          </w:p>
        </w:tc>
        <w:tc>
          <w:tcPr>
            <w:tcW w:w="560" w:type="dxa"/>
            <w:vAlign w:val="bottom"/>
          </w:tcPr>
          <w:p>
            <w:pPr>
              <w:spacing w:after="0"/>
              <w:rPr>
                <w:sz w:val="14"/>
                <w:szCs w:val="14"/>
                <w:color w:val="auto"/>
              </w:rPr>
            </w:pPr>
          </w:p>
        </w:tc>
        <w:tc>
          <w:tcPr>
            <w:tcW w:w="198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232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60"/>
              <w:spacing w:after="0" w:line="129"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4"/>
                <w:szCs w:val="14"/>
                <w:b w:val="1"/>
                <w:bCs w:val="1"/>
                <w:color w:val="auto"/>
                <w:w w:val="96"/>
              </w:rPr>
              <w:t>2014</w:t>
            </w: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from investments</w:t>
            </w:r>
          </w:p>
        </w:tc>
        <w:tc>
          <w:tcPr>
            <w:tcW w:w="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44.8</w:t>
            </w:r>
          </w:p>
        </w:tc>
        <w:tc>
          <w:tcPr>
            <w:tcW w:w="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19.9</w:t>
            </w: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75.9</w:t>
            </w: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40.5</w:t>
            </w: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 income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8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Interest from investments, which includes amortization of upfront fees and prepayment fees, was $19.9 million for the three months ended June 30, 2013 compared to $44.8 million for the three months ended June 30, 2014, primarily due to the increase in the size of our portfolio. The average size of our total investment portfolio increased from $707 million during the three months ended June 30, 2013 to $1.2 billion during the three months ended June 30, 2014. In addition, accelerated amortization of upfront fees primarily from unscheduled paydowns increased from $0.2 million for the three months ended June 30, 2013 to $3.3 million for the three months ended June 30, 2014; and prepayment fees increased from $0.3 million for the three months ended June 30, 2013 to $11.0 million for the three months ended June 30, 2014. The accelerated amortization and prepayment fees primarily resulted from a partial paydown on one portfolio investment during the three months ended June 30, 2013 and from full paydowns on three portfolio investments during the three months ended June 30, 2014. Other income decreased from $1.0 million for the three months ended June 30, 2013 to $0.9 million for the three months ended June 30, 2014, primarily due to higher syndication, amendment and agency fees earned during the second quarter of 2013.</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Interest from investments, which includes amortization of upfront fees and prepayment fees, was $40.5 million for the six months ended June 30, 2013 compared to $75.9 million for the six months ended June 30, 2014, primarily due to the increase in the size of our portfolio. The average size of our total investment portfolio increased from $689 million during the six months ended June 30, 2013 to $1.1 billion during the six months ended June 30, 2014. In addition, accelerated amortization of upfront fees primarily from unscheduled paydowns increased from $1.6 million for the six months ended June 30, 2013 to $4.6 million for the six months ended June 30, 2014; and prepayment fees increased from $1.7 million for the six months ended June 30, 2013 to $11.9 million for the six months ended June 30, 2014. The accelerated amortization and prepayment fees primarily resulted from a partial paydown on one portfolio investment and full paydowns on two portfolio investments during the six months ended June 30, 2013 and from full paydowns on six portfolio investments during the six months ended June 30, 2014. Other income increased from $1.3 million for the six months ended June 30, 2013 to $3.2 million for the six months ended June 30, 2014, primarily due to higher syndication, amendment and agency fees earned during the first quarter of 2014.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for the three and six months ended June 30, 2014 and 2013 were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30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jc w:val="right"/>
              <w:ind w:right="134"/>
              <w:spacing w:after="0"/>
              <w:rPr>
                <w:sz w:val="20"/>
                <w:szCs w:val="20"/>
                <w:color w:val="auto"/>
              </w:rPr>
            </w:pPr>
            <w:r>
              <w:rPr>
                <w:rFonts w:ascii="Arial" w:cs="Arial" w:eastAsia="Arial" w:hAnsi="Arial"/>
                <w:sz w:val="14"/>
                <w:szCs w:val="14"/>
                <w:b w:val="1"/>
                <w:bCs w:val="1"/>
                <w:color w:val="auto"/>
                <w:w w:val="89"/>
              </w:rPr>
              <w:t>Three Months Ended June 30,</w:t>
            </w:r>
          </w:p>
        </w:tc>
        <w:tc>
          <w:tcPr>
            <w:tcW w:w="600" w:type="dxa"/>
            <w:vAlign w:val="bottom"/>
          </w:tcPr>
          <w:p>
            <w:pPr>
              <w:spacing w:after="0"/>
              <w:rPr>
                <w:sz w:val="14"/>
                <w:szCs w:val="14"/>
                <w:color w:val="auto"/>
              </w:rPr>
            </w:pPr>
          </w:p>
        </w:tc>
        <w:tc>
          <w:tcPr>
            <w:tcW w:w="204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30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w w:val="96"/>
              </w:rPr>
              <w:t>2013</w:t>
            </w:r>
          </w:p>
        </w:tc>
        <w:tc>
          <w:tcPr>
            <w:tcW w:w="6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w w:val="96"/>
              </w:rPr>
              <w:t>2014</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w:t>
            </w: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Management fees (net of waivers)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fees related to Pre-incentive fee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investment income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860" w:type="dxa"/>
            <w:vAlign w:val="bottom"/>
            <w:gridSpan w:val="2"/>
          </w:tcPr>
          <w:p>
            <w:pPr>
              <w:spacing w:after="0"/>
              <w:rPr>
                <w:sz w:val="20"/>
                <w:szCs w:val="20"/>
                <w:color w:val="auto"/>
              </w:rPr>
            </w:pPr>
            <w:r>
              <w:rPr>
                <w:rFonts w:ascii="Arial" w:cs="Arial" w:eastAsia="Arial" w:hAnsi="Arial"/>
                <w:sz w:val="18"/>
                <w:szCs w:val="18"/>
                <w:color w:val="auto"/>
              </w:rPr>
              <w:t>Incentive fees related to realized/unrealized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60" w:type="dxa"/>
            <w:vAlign w:val="bottom"/>
            <w:gridSpan w:val="2"/>
          </w:tcPr>
          <w:p>
            <w:pPr>
              <w:ind w:left="220"/>
              <w:spacing w:after="0"/>
              <w:rPr>
                <w:sz w:val="20"/>
                <w:szCs w:val="20"/>
                <w:color w:val="auto"/>
              </w:rPr>
            </w:pPr>
            <w:r>
              <w:rPr>
                <w:rFonts w:ascii="Arial" w:cs="Arial" w:eastAsia="Arial" w:hAnsi="Arial"/>
                <w:sz w:val="18"/>
                <w:szCs w:val="18"/>
                <w:color w:val="auto"/>
              </w:rPr>
              <w:t>capital gains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Directors’ fees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60" w:type="dxa"/>
            <w:vAlign w:val="bottom"/>
            <w:gridSpan w:val="2"/>
          </w:tcPr>
          <w:p>
            <w:pPr>
              <w:ind w:left="440"/>
              <w:spacing w:after="0"/>
              <w:rPr>
                <w:sz w:val="20"/>
                <w:szCs w:val="20"/>
                <w:color w:val="auto"/>
              </w:rPr>
            </w:pPr>
            <w:r>
              <w:rPr>
                <w:rFonts w:ascii="Arial" w:cs="Arial" w:eastAsia="Arial" w:hAnsi="Arial"/>
                <w:sz w:val="18"/>
                <w:szCs w:val="18"/>
                <w:b w:val="1"/>
                <w:bCs w:val="1"/>
                <w:color w:val="auto"/>
              </w:rPr>
              <w:t>Net Expenses</w:t>
            </w: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16.0</w:t>
            </w:r>
          </w:p>
        </w:tc>
        <w:tc>
          <w:tcPr>
            <w:tcW w:w="3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Interest, including other debt financing expenses, increased from $2.4 million for the three months ended June 30, 2013 to $3.5 million for the three months ended June 30, 2014. This increase was primarily due to an increase in the average debt outstanding from $219 million for the three months ended June 30, 2013 to $328 million for the three months ended June 30, 2014. The average stated interest rate on our debt outstanding decreased from 2.8% for the three months ended June 30, 2013 to 2.7% for the three months ended June 30, 2014.</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Interest, including other debt financing expenses, increased from $4.7 million for the six months ended June 30, 2013 to $7.3 million for the six months ended June 30, 2014. This increase was primarily due to an increase in the average debt outstanding from $204 million for the six months ended June 30, 2013 to $399 million for the six months ended June 30, 2014. The average stated interest rate on our debt outstanding decreased from 2.8% for the six months ended June 30, 2013 to 2.6% for the six months ended June 30, 2014.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Management Fees (net of waivers) increased from $1.6 million for the three months ended June 30, 2013 to $4.5 million for the three months ended</w:t>
      </w:r>
    </w:p>
    <w:p>
      <w:pPr>
        <w:spacing w:after="0" w:line="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June 30, 2014. Management Fees increased from $3.2 million for the three months ended June 30, 2013 to $4.5 million for the three months ended June 30, 2014 due to the increase in total assets, which increased from an average of $868 million for the three months ended June 30, 2013 to an average of $1.2 billion for the three months ended June 30, 2014. Management Fees waived for the three months ended June 30, 2013 were $1.7 million. There were no management fees waived for the three months ended June 30, 2014.</w:t>
      </w:r>
    </w:p>
    <w:p>
      <w:pPr>
        <w:spacing w:after="0" w:line="144"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Management Fees (net of waivers) increased from $3.1 million for the six months ended June 30, 2013 to $6.3 million for the six months ended June 30, 2014. Management Fees increased from $6.3 million for the six months ended June 30, 2013 to $8.8 million for the six months ended June 30, 2014 due to the increase in total assets, which increased from an average of $856 million for the six months ended June 30, 2013 to an average of $1.2 billion for the six months ended June 30, 2014. Management Fees waived decreased from $3.2 million for the six months ended June 30, 2013 to $2.5 million for the six months ended June 30, 2014 as no management fees were waived for the three months ended June 30, 2014.</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Until our IPO,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are not subject to recoupment by the Adviser. Following our IPO, the Adviser does not intend to waive its right to receive the full Management Fee, and accordingly, we will be required to pay the full amount of the Management Fee.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Fees</w:t>
      </w:r>
    </w:p>
    <w:p>
      <w:pPr>
        <w:spacing w:after="0" w:line="90"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color w:val="auto"/>
        </w:rPr>
        <w:t>Incentive Fees related to pre-Incentive Fee net investment income increased from $2.3 million for the three months ended June 30, 2013 to $6.2 million for the three months ended June 30, 2014. This increase resulted from the increase in the size of the portfolio and related increase in pre-Incentive Fee net investment income, including an increase in prepayment fees and accelerated amortization of upfront fees primarily from unscheduled paydowns. This increase also resulted from an increase in the Incentive Fee rate from 15% through March 31, 2014 to 17.5% beginning April 1, 2014 as a result of the consummation of our IPO.</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Incentive Fees related to capital gains decreased from $0.2 million for the three months ended June 30, 2013 to ($0.3) million for the three months ended June 30, 2014 due to changes in unrealized gains and losses on our investments, realized gains on our investments, unrealized gains on foreign currency forward contracts and unrealized gains on interest rate swaps.</w:t>
      </w:r>
    </w:p>
    <w:p>
      <w:pPr>
        <w:spacing w:after="0" w:line="144" w:lineRule="exact"/>
        <w:rPr>
          <w:sz w:val="20"/>
          <w:szCs w:val="20"/>
          <w:color w:val="auto"/>
        </w:rPr>
      </w:pPr>
    </w:p>
    <w:p>
      <w:pPr>
        <w:jc w:val="both"/>
        <w:ind w:right="60" w:firstLine="456"/>
        <w:spacing w:after="0" w:line="291" w:lineRule="auto"/>
        <w:rPr>
          <w:sz w:val="20"/>
          <w:szCs w:val="20"/>
          <w:color w:val="auto"/>
        </w:rPr>
      </w:pPr>
      <w:r>
        <w:rPr>
          <w:rFonts w:ascii="Arial" w:cs="Arial" w:eastAsia="Arial" w:hAnsi="Arial"/>
          <w:sz w:val="16"/>
          <w:szCs w:val="16"/>
          <w:color w:val="auto"/>
        </w:rPr>
        <w:t>Incentive Fees related to pre-Incentive Fee net investment income increased from $4.7 million for the six months ended June 30, 2013 to $10.0 million for the six months ended June 30, 2014. This increase resulted from the increase in the size of the portfolio and related increase in pre-Incentive Fee net investment income. This increase also resulted from an increase in the Incentive Fee rate from 15% through March 31, 2014 to 17.5% beginning April 1, 2014 as a result of the consummation of our IPO. Incentive Fees related to capital gains decreased from $0.6 million for the six months ended June 30, 2013 to $0.3 million for the six months ended June 30, 2014 due to changes in unrealized gains and losses on our investments, realized gains on our investments, unrealized gains on foreign currency forward contracts and unrealized gains on interest rate swaps.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Professional fees increased from $0.9 million for the three months ended June 30, 2013 to $1.1 million for the three months ended June 30, 2014 and other general and administrative fees increased from $0.6 million for the three months ended June 30, 2013 to $0.9 million for the three months ended June 30, 2014, both due to an increase in costs associated with servicing a growing investment portfolio.</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Professional fees increased from $1.5 million for the six months ended June 30, 2013 to $2.3 million for the six months ended June 30, 2014 and other general and administrative fees increased from $1.1 million for the six months ended June 30, 2013 to $1.8 million for the six months ended June 30, 2014, both due to an increase in costs associated with servicing a growing investment portfolio.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Including Excise Taxes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43"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three months ended June 30, 2014 we recorded a net expense of $225 thousand for U.S. federal excise tax. We did not record any federal excise tax for the three months ended June 30, 2013. For the six months ended June 30, 2014 and 2013 we recorded a net expense of $234 thousand and $4 thousand, respectively, for U.S. federal excise tax.</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Realized and Unrealized Gains and Losses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realized and unrealized gains (losses) for the three and six months ended June 30, 2014 and 2013:</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0"/>
              </w:rPr>
              <w:t>Six Months Ended</w:t>
            </w:r>
          </w:p>
        </w:tc>
        <w:tc>
          <w:tcPr>
            <w:tcW w:w="0" w:type="dxa"/>
            <w:vAlign w:val="bottom"/>
          </w:tcPr>
          <w:p>
            <w:pPr>
              <w:spacing w:after="0"/>
              <w:rPr>
                <w:sz w:val="1"/>
                <w:szCs w:val="1"/>
                <w:color w:val="auto"/>
              </w:rPr>
            </w:pPr>
          </w:p>
        </w:tc>
      </w:tr>
      <w:tr>
        <w:trPr>
          <w:trHeight w:val="161"/>
        </w:trPr>
        <w:tc>
          <w:tcPr>
            <w:tcW w:w="698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9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15"/>
              <w:spacing w:after="0" w:line="129" w:lineRule="exact"/>
              <w:rPr>
                <w:sz w:val="20"/>
                <w:szCs w:val="20"/>
                <w:color w:val="auto"/>
              </w:rPr>
            </w:pPr>
            <w:r>
              <w:rPr>
                <w:rFonts w:ascii="Arial" w:cs="Arial" w:eastAsia="Arial" w:hAnsi="Arial"/>
                <w:sz w:val="14"/>
                <w:szCs w:val="14"/>
                <w:b w:val="1"/>
                <w:bCs w:val="1"/>
                <w:color w:val="auto"/>
                <w:w w:val="83"/>
              </w:rPr>
              <w:t>2014</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jc w:val="right"/>
              <w:ind w:right="34"/>
              <w:spacing w:after="0" w:line="129" w:lineRule="exact"/>
              <w:rPr>
                <w:sz w:val="20"/>
                <w:szCs w:val="20"/>
                <w:color w:val="auto"/>
              </w:rPr>
            </w:pPr>
            <w:r>
              <w:rPr>
                <w:rFonts w:ascii="Arial" w:cs="Arial" w:eastAsia="Arial" w:hAnsi="Arial"/>
                <w:sz w:val="14"/>
                <w:szCs w:val="14"/>
                <w:b w:val="1"/>
                <w:bCs w:val="1"/>
                <w:color w:val="auto"/>
                <w:w w:val="83"/>
              </w:rPr>
              <w:t>2013</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14"/>
              <w:spacing w:after="0" w:line="129"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realized gains on investments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0.1</w:t>
            </w:r>
          </w:p>
        </w:tc>
        <w:tc>
          <w:tcPr>
            <w:tcW w:w="5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ind w:left="94"/>
              <w:spacing w:after="0" w:line="203" w:lineRule="exact"/>
              <w:rPr>
                <w:sz w:val="20"/>
                <w:szCs w:val="20"/>
                <w:color w:val="auto"/>
              </w:rPr>
            </w:pPr>
            <w:r>
              <w:rPr>
                <w:rFonts w:ascii="Arial" w:cs="Arial" w:eastAsia="Arial" w:hAnsi="Arial"/>
                <w:sz w:val="18"/>
                <w:szCs w:val="18"/>
                <w:color w:val="auto"/>
                <w:w w:val="87"/>
              </w:rPr>
              <w:t>0.1</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Net realized gains on foreign currency transactions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45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gains (losses) on foreign currency forward contracts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87"/>
              </w:rPr>
              <w:t>0.1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7"/>
              </w:rPr>
              <w:t>(1.6)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realized gains (losses)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gridSpan w:val="3"/>
            <w:vMerge w:val="continue"/>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452"/>
              <w:spacing w:after="0"/>
              <w:rPr>
                <w:sz w:val="20"/>
                <w:szCs w:val="20"/>
                <w:color w:val="auto"/>
              </w:rPr>
            </w:pPr>
            <w:r>
              <w:rPr>
                <w:rFonts w:ascii="Arial" w:cs="Arial" w:eastAsia="Arial" w:hAnsi="Arial"/>
                <w:sz w:val="18"/>
                <w:szCs w:val="18"/>
                <w:color w:val="auto"/>
              </w:rPr>
              <w:t>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center"/>
              <w:ind w:left="94"/>
              <w:spacing w:after="0"/>
              <w:rPr>
                <w:sz w:val="20"/>
                <w:szCs w:val="20"/>
                <w:color w:val="auto"/>
              </w:rPr>
            </w:pPr>
            <w:r>
              <w:rPr>
                <w:rFonts w:ascii="Arial" w:cs="Arial" w:eastAsia="Arial" w:hAnsi="Arial"/>
                <w:sz w:val="18"/>
                <w:szCs w:val="18"/>
                <w:color w:val="auto"/>
                <w:w w:val="87"/>
              </w:rPr>
              <w:t>0.2</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32"/>
              <w:spacing w:after="0"/>
              <w:rPr>
                <w:sz w:val="20"/>
                <w:szCs w:val="20"/>
                <w:color w:val="auto"/>
              </w:rPr>
            </w:pPr>
            <w:r>
              <w:rPr>
                <w:rFonts w:ascii="Arial" w:cs="Arial" w:eastAsia="Arial" w:hAnsi="Arial"/>
                <w:sz w:val="18"/>
                <w:szCs w:val="18"/>
                <w:color w:val="auto"/>
                <w:w w:val="97"/>
              </w:rPr>
              <w:t>(1.4)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unrealized gains on investments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452"/>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87"/>
              </w:rPr>
              <w:t>4.3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Change in unrealized losses on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92"/>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32"/>
              <w:spacing w:after="0"/>
              <w:rPr>
                <w:sz w:val="20"/>
                <w:szCs w:val="20"/>
                <w:color w:val="auto"/>
              </w:rPr>
            </w:pPr>
            <w:r>
              <w:rPr>
                <w:rFonts w:ascii="Arial" w:cs="Arial" w:eastAsia="Arial" w:hAnsi="Arial"/>
                <w:sz w:val="18"/>
                <w:szCs w:val="18"/>
                <w:color w:val="auto"/>
                <w:w w:val="97"/>
              </w:rPr>
              <w:t>(7.1)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87"/>
              </w:rPr>
              <w:t>0.5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Unrealized appreciation on foreign currency borrowings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45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appreciation on foreign currency forward contracts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87"/>
              </w:rPr>
              <w:t>0.7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Unrealized appreciation on interest rate swaps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45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6"/>
              </w:rPr>
              <w:t>Net Change in Unrealized Gains on Foreign Currency Transactions and Interest Rate</w:t>
            </w: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Swaps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452"/>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87"/>
              </w:rPr>
              <w:t>0.7</w:t>
            </w:r>
          </w:p>
        </w:tc>
        <w:tc>
          <w:tcPr>
            <w:tcW w:w="28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gridSpan w:val="3"/>
            <w:vMerge w:val="continue"/>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392"/>
              <w:spacing w:after="0"/>
              <w:rPr>
                <w:sz w:val="20"/>
                <w:szCs w:val="20"/>
                <w:color w:val="auto"/>
              </w:rPr>
            </w:pPr>
            <w:r>
              <w:rPr>
                <w:rFonts w:ascii="Arial" w:cs="Arial" w:eastAsia="Arial" w:hAnsi="Arial"/>
                <w:sz w:val="18"/>
                <w:szCs w:val="18"/>
                <w:color w:val="auto"/>
              </w:rPr>
              <w:t>(2.4)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center"/>
              <w:ind w:left="94"/>
              <w:spacing w:after="0"/>
              <w:rPr>
                <w:sz w:val="20"/>
                <w:szCs w:val="20"/>
                <w:color w:val="auto"/>
              </w:rPr>
            </w:pPr>
            <w:r>
              <w:rPr>
                <w:rFonts w:ascii="Arial" w:cs="Arial" w:eastAsia="Arial" w:hAnsi="Arial"/>
                <w:sz w:val="18"/>
                <w:szCs w:val="18"/>
                <w:color w:val="auto"/>
                <w:w w:val="87"/>
              </w:rPr>
              <w:t>1.2</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and six months ended June 30, 2014 we had net realized gains on investments of $0.1 million primarily as a result of the partial sale of two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our investments. For the three and six months ended June 30, 2014 we had net realized gains on foreign currency transactions of $0.1 million primarily as a result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two of our non-U.S. denominated investments. For the six months ended June 30, 2014 we had net realized losses on foreign currency forward contracts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 million primarily as a result of settling our foreign currency forward contracts related to our investments in Jeeves Information Systems AB and Soho House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Bond Ltd.</w:t>
      </w:r>
    </w:p>
    <w:p>
      <w:pPr>
        <w:spacing w:after="0" w:line="16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For the three months ended June 30, 2014 we had $3.1 million in unrealized appreciation on 18 portfolio company investments, which was offset by $7.0 million in unrealized depreciation on 13 portfolio company investments. For the six months ended June 30, 2014 we had $7.2 million in unrealized appreciation on 19 portfolio company investments, which was mostly offset by $7.1 million in unrealized depreciation on 14 portfolio company investments. Unrealized appreciation for the three and six months ended June 30, 2014 resulted from an increase in fair market value, primarily due to a tightening spread environment and positive credit-related adjustments. Unrealized depreciation for the three and six months ended June 30, 2014 primarily resulted from the reversal of prior period unrealized appreciation and in some instances negative credit-related adjustments.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For the three and six months ended June 30, 2014 we had unrealized appreciation on foreign currency borrowings of $0.7 million and $1.2 million, respectively, primarily as a result of fluctuations in the GBP and SEK exchange rates. For the six months ended June 30, 2014 we had unrealized appreciation on foreign currency forward contracts of $1.2 million as a result of the reversal of prior period unrealized depreciation due to settling our foreign currency forward contracts related to our investments in Jeeves Information Systems AB and Soho House Bond Ltd. For the three and six months ended June 30, 2014 we had unrealized appreciation on interest rate swaps of $0.8 million due to fluctuations in interest rates.</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For the three months ended June 30, 2013 we had net realized gains on investments of $0.1 million primarily as a result of the sale of one of our investments and a partial sale of two of our investments. For the six months ended June 30, 2013 we had net realized gains on investments of $0.5 million primarily as a result of the sale of two of our investments and a partial sale of three of our investments. For the three and six months ended June 30, 2013 we had net realized gains on foreign currency forward contracts of $0.1 million as a result of settling and rolling foreign currency forward contracts related to our investment in Jeeves Information Systems AB.</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 three months ended June 30, 2013 we had $4.3 million in unrealized appreciation on 10 portfolio company investments, which was mostly offset by $3.8 million in unrealized depreciation on 15 portfolio company investments. For the six months ended June 30, 2013 we had $7.7 million in unrealized appreciation on 18 portfolio company investments, which was partially offset by $5.3 million in unrealized depreciation on 9 portfolio company investments. Unrealized appreciation for the three and six months ended June 30, 2013 resulted from an increase in fair market value, primarily due to a tightening spread environment and positive credit-related adjustments. Unrealized depreciation for the three and six months ended June 30, 2013 primarily resulted from the reversal of prior period unrealized appreciation and in some instances negative credit-related adjustments.</w:t>
      </w:r>
    </w:p>
    <w:p>
      <w:pPr>
        <w:spacing w:after="0" w:line="12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For the three and six months ended June 30, 2013 we had unrealized appreciation on foreign currency forward contracts of $0.7 million as a result of fluctuations in the SEK exchange rate.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Cash Flow Realized Gross Internal Rate of Return</w:t>
      </w:r>
    </w:p>
    <w:p>
      <w:pPr>
        <w:spacing w:after="0" w:line="90"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Since we began investing in 2011 through June 30, 2014, our exited investments have resulted in an aggregate cash flow realized gross internal rate of return to us of 16.4% (based on cash invested of $619 million and total proceeds from these exited investments of $718 million). Eighty one percent of these exited investments resulted in an aggregate cash flow realized gross internal rate of return to us of 10% or greater.</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4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represent any inception-to-date realized losses on foreign currency forward contracts allocable to the investment, if any.</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represent any inception-to-date realized gains on foreign currency forward contracts allocable to the investment, if any.</w:t>
      </w:r>
    </w:p>
    <w:p>
      <w:pPr>
        <w:spacing w:after="0" w:line="11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40" w:lineRule="exact"/>
        <w:rPr>
          <w:sz w:val="20"/>
          <w:szCs w:val="20"/>
          <w:color w:val="auto"/>
        </w:rPr>
      </w:pPr>
    </w:p>
    <w:p>
      <w:pPr>
        <w:jc w:val="both"/>
        <w:ind w:right="140" w:firstLine="456"/>
        <w:spacing w:after="0" w:line="33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six months ended June 30, 2014, we settled our foreign currency forward contracts related to our investments in Jeeves Information Systems AB and Soho House Bond Ltd., which in total generated a realized loss of $1.6 million. We did not have any open foreign currency forward contracts as of June 30, 2014. We bear the costs incurred in connection with entering into, administering and settling derivative contracts. There can be no assurance any hedging strategy we employ will be successful.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liquidity and capital resources are derived primarily from proceeds from equity and debt issuances, advances from our credit facilities, and cash flows from operations. The primary uses of our cash and cash equivalents are:</w:t>
      </w:r>
    </w:p>
    <w:p>
      <w:pPr>
        <w:spacing w:after="0" w:line="51"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capital commitments of our private phase investors terminated on the completion of our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June 30, 2014 and December 31, 2013, our asset coverage ratio was 382.5% and 232.9%, respectively.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Cash and cash equivalents as of June 30, 2014, taken together with cash available under our credit facilities, is expected to be sufficient for our investing activities and to conduct our operations in the near term. On May 30, 2014, we increased aggregate commitments under the Revolving Credit Facility from $581.3 million to $781.3 million. As of June 30, 2014, we had approximately $771 million of undrawn commitments on our revolving credit facilities.</w:t>
      </w:r>
    </w:p>
    <w:p>
      <w:pPr>
        <w:spacing w:after="0" w:line="8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of June 30, 2014, we had $6.5 million in cash and cash equivalents, an increase of $3.0 million from December 31, 2013. The increase was primarily attributable to cash received on June 30, 2014 from amortization and interest payments. During the six months ended June 30, 2014, we used $72.5 million in cash for operating activities, primarily as a result of funding of portfolio investments of $441.1 million, which was partially offset by proceeds from investments of $55.8 million, repayments on investments of $281.6 million, an increase in net assets resulting from operations of $52.6 million and other operating activity of $21.4 million. Lastly, cash provided by financing activities was $75.5 million during the period, primarily due to proceeds from issuance of common stock of $235.2 million partially offset by net repayments on debt of $134.6 million, debt issuance costs of $5.4 million and dividends paid of $19.7 million.</w:t>
      </w:r>
    </w:p>
    <w:p>
      <w:pPr>
        <w:spacing w:after="0" w:line="12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As of June 30, 2014, we had $2.4 million of restricted cash pledged as collateral under our interest rate swap agreements, which we entered into in June 2014, an increase of $2.4 million from December 31, 2013. As of June 30, 2014, we had $12.2 million of restricted cash in our wholly owned subsidiary TPG SL SPV, an increase of $5.8 million from December 31, 2013. The increase was primarily attributable to increased interest payments from additional investments contributed to TPG SL SPV. Proceeds received by TPG SL SPV from interest and principal at the end of a reporting period that have not gone through a settlement process are considered to be restricted cash. The settlement process involves the payment of certain required amounts under the SPV Asset Facility, following which excess cash generated in TPG SL SPV may be distributed to us. Restricted cash is a component of prepaid expenses and other assets in our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Issuances</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On March 26, 2014, we closed our IPO and issued 7,000,000 shares at $16.00 per share, and closed our concurrent private placement and issued 3,124,984 shares at $16.00 per share. Net of underwriting fees and offering costs, we received total cash proceeds of $151.6 million.</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April 2014, an additional 1,050,000 shares of stock were issued pursuant to the exercise of the underwriters’ over-allotment option. Net of underwriting fees and offering costs, we received additional total cash proceeds of $15.4 million.</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Prior to December 31, 2013, we entered into Subscription Agreements with our existing investors, including our Adviser and its affiliates, providing for the private placement of our common stock, which brought our total capital commitments to $1.5 billion (including $117.1 million from our Adviser and its affiliates). From inception through June 30, 2014, we had drawn down a total of $0.6 billion of capital and issued 38.9 million shares, excluding equity and shares issued through our dividend reinvestment plan. As of December 31, 2013, over $0.9 billion of capital commitments remained unfunded. These unfunded commitments terminated upon the completion of our IPO, and hence as of June 30, 2014 no longer remain in effect.</w:t>
      </w:r>
    </w:p>
    <w:p>
      <w:pPr>
        <w:spacing w:after="0" w:line="1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During the six months ended June 30, 2014 and 2013, we received fundings from drawdown notices to our investors relating to the issuance of 4,234,501 shares and 2,079,224 shares, respectively, of our common stock for aggregate proceeds of $65 million and $32 million, respectively. Proceeds from the issuances were used in investing activities and for other general corporate purposes.</w:t>
      </w:r>
    </w:p>
    <w:p>
      <w:pPr>
        <w:spacing w:after="0" w:line="140"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In addition to the drawdowns noted above, during the six months ended June 30, 2014 and 2013, we issued 912,383 and 780,709 shares of our common stock, respectively, to shareholders who have not opted out of our dividend reinvestment plan for proceeds of $14.9 million and $11.9 million, respectively.</w:t>
      </w:r>
    </w:p>
    <w:p>
      <w:pPr>
        <w:spacing w:after="0" w:line="6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August 1, 2014, pursuant to our dividend reinvestment plan, we issued 218,892 shares in connection with the dividend that was paid on July 31, 2014 to shareholders who opted out of the dividend reinvestment plan. This dividend was declared on May 6, 2014 for shareholders of record on June 30, 2014.</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 as of June 30, 2014 and December 31, 2013:</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85"/>
              </w:rPr>
              <w:t>June 30, 2014</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7"/>
              </w:rPr>
              <w:t>Aggregate Principal</w:t>
            </w:r>
          </w:p>
        </w:tc>
        <w:tc>
          <w:tcPr>
            <w:tcW w:w="540" w:type="dxa"/>
            <w:vAlign w:val="bottom"/>
          </w:tcPr>
          <w:p>
            <w:pPr>
              <w:spacing w:after="0"/>
              <w:rPr>
                <w:sz w:val="11"/>
                <w:szCs w:val="11"/>
                <w:color w:val="auto"/>
              </w:rPr>
            </w:pPr>
          </w:p>
        </w:tc>
        <w:tc>
          <w:tcPr>
            <w:tcW w:w="130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7"/>
              </w:rPr>
              <w:t>Outstanding</w:t>
            </w:r>
          </w:p>
        </w:tc>
        <w:tc>
          <w:tcPr>
            <w:tcW w:w="100" w:type="dxa"/>
            <w:vAlign w:val="bottom"/>
          </w:tcPr>
          <w:p>
            <w:pPr>
              <w:spacing w:after="0"/>
              <w:rPr>
                <w:sz w:val="11"/>
                <w:szCs w:val="11"/>
                <w:color w:val="auto"/>
              </w:rPr>
            </w:pPr>
          </w:p>
        </w:tc>
        <w:tc>
          <w:tcPr>
            <w:tcW w:w="6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89"/>
              </w:rPr>
              <w:t>Amount Committed</w:t>
            </w:r>
          </w:p>
        </w:tc>
        <w:tc>
          <w:tcPr>
            <w:tcW w:w="540" w:type="dxa"/>
            <w:vAlign w:val="bottom"/>
          </w:tcPr>
          <w:p>
            <w:pPr>
              <w:spacing w:after="0"/>
              <w:rPr>
                <w:sz w:val="14"/>
                <w:szCs w:val="14"/>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Available (1)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SPV Asset Facility (2)</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$ 138,725</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138,725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Revolving Credit Facility (3)</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781,250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46,014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503,844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111,653</w:t>
            </w:r>
          </w:p>
        </w:tc>
        <w:tc>
          <w:tcPr>
            <w:tcW w:w="0" w:type="dxa"/>
            <w:vAlign w:val="bottom"/>
          </w:tcPr>
          <w:p>
            <w:pPr>
              <w:spacing w:after="0"/>
              <w:rPr>
                <w:sz w:val="1"/>
                <w:szCs w:val="1"/>
                <w:color w:val="auto"/>
              </w:rPr>
            </w:pPr>
          </w:p>
        </w:tc>
      </w:tr>
      <w:tr>
        <w:trPr>
          <w:trHeight w:val="20"/>
        </w:trPr>
        <w:tc>
          <w:tcPr>
            <w:tcW w:w="45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Debt</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1,071,250</w:t>
            </w:r>
          </w:p>
        </w:tc>
        <w:tc>
          <w:tcPr>
            <w:tcW w:w="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$ 299,739</w:t>
            </w:r>
          </w:p>
        </w:tc>
        <w:tc>
          <w:tcPr>
            <w:tcW w:w="580" w:type="dxa"/>
            <w:vAlign w:val="bottom"/>
          </w:tcPr>
          <w:p>
            <w:pPr>
              <w:spacing w:after="0"/>
              <w:rPr>
                <w:sz w:val="19"/>
                <w:szCs w:val="19"/>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w w:val="87"/>
              </w:rPr>
              <w:t>$ 528,391</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296,392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87"/>
              </w:rPr>
              <w:t>December 31, 2013</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7"/>
              </w:rPr>
              <w:t>Aggregate Principal</w:t>
            </w:r>
          </w:p>
        </w:tc>
        <w:tc>
          <w:tcPr>
            <w:tcW w:w="540" w:type="dxa"/>
            <w:vAlign w:val="bottom"/>
          </w:tcPr>
          <w:p>
            <w:pPr>
              <w:spacing w:after="0"/>
              <w:rPr>
                <w:sz w:val="11"/>
                <w:szCs w:val="11"/>
                <w:color w:val="auto"/>
              </w:rPr>
            </w:pPr>
          </w:p>
        </w:tc>
        <w:tc>
          <w:tcPr>
            <w:tcW w:w="130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7"/>
              </w:rPr>
              <w:t>Outstanding</w:t>
            </w:r>
          </w:p>
        </w:tc>
        <w:tc>
          <w:tcPr>
            <w:tcW w:w="100" w:type="dxa"/>
            <w:vAlign w:val="bottom"/>
          </w:tcPr>
          <w:p>
            <w:pPr>
              <w:spacing w:after="0"/>
              <w:rPr>
                <w:sz w:val="11"/>
                <w:szCs w:val="11"/>
                <w:color w:val="auto"/>
              </w:rPr>
            </w:pPr>
          </w:p>
        </w:tc>
        <w:tc>
          <w:tcPr>
            <w:tcW w:w="6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89"/>
              </w:rPr>
              <w:t>Amount Committed</w:t>
            </w:r>
          </w:p>
        </w:tc>
        <w:tc>
          <w:tcPr>
            <w:tcW w:w="540" w:type="dxa"/>
            <w:vAlign w:val="bottom"/>
          </w:tcPr>
          <w:p>
            <w:pPr>
              <w:spacing w:after="0"/>
              <w:rPr>
                <w:sz w:val="14"/>
                <w:szCs w:val="14"/>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Available (1)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Subscription Credit Facility (4)</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32,000</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SPV Asset Facility (2)</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77,767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(3)</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77,500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Debt</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$ 432,267</w:t>
            </w:r>
          </w:p>
        </w:tc>
        <w:tc>
          <w:tcPr>
            <w:tcW w:w="580" w:type="dxa"/>
            <w:vAlign w:val="bottom"/>
          </w:tcPr>
          <w:p>
            <w:pPr>
              <w:spacing w:after="0"/>
              <w:rPr>
                <w:sz w:val="19"/>
                <w:szCs w:val="19"/>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w w:val="87"/>
              </w:rPr>
              <w:t>$ 145,500</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432,267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January 21, 2014, we amended the SPV Asset Facility to increase the size of the facility to $175.0 million.</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February 27, 2014, we amended the Revolving Credit Facility to increase the total commitments of the facility to $581.3 million. On May 30, 2014, we further increased the total commitments of the facility to $781.3 million.</w:t>
      </w:r>
    </w:p>
    <w:p>
      <w:pPr>
        <w:ind w:left="460" w:right="820" w:hanging="452"/>
        <w:spacing w:after="0" w:line="261"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February 27, 2014, we terminated the Subscription Credit Facility, effective March 4, 2014. The outstanding balance was paid down prior to terminating the facility.</w:t>
      </w:r>
    </w:p>
    <w:p>
      <w:pPr>
        <w:spacing w:after="0" w:line="13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June 30, 2014 and December 31, 2013, we were in compliance with the terms of our debt arrangements. We intend to continue to utilize our credit facilities to fund investments and for other general corporate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2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On February 27, 2014, we further amended and restated the agreement, which we refer to as the Revolving Credit Facility. The second amended and restated Revolving Credit Facility, among other things:</w:t>
      </w:r>
    </w:p>
    <w:p>
      <w:pPr>
        <w:spacing w:after="0" w:line="5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90" w:lineRule="exact"/>
        <w:rPr>
          <w:rFonts w:ascii="Arial" w:cs="Arial" w:eastAsia="Arial" w:hAnsi="Arial"/>
          <w:sz w:val="18"/>
          <w:szCs w:val="18"/>
          <w:color w:val="auto"/>
        </w:rPr>
      </w:pPr>
    </w:p>
    <w:p>
      <w:pPr>
        <w:ind w:left="1480" w:right="640" w:hanging="446"/>
        <w:spacing w:after="0" w:line="268"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May 30, 2014, we entered into agreements with various financial institutions pursuant to which each of the institutions agreed to provide commitments through the accordion feature of our Revolving Credit Facility, increasing the aggregate commitments from $581.3 million to $781.3 million. The Revolving Credit Facility continues to include the accordion feature, which would allow us, under certain circumstances, to increase the size of the Revolving Credit Facility further to a maximum of $956.3 million.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On June 27, 2014, we further amended the Revolving Credit Facility to extend the $36.25 million in commitments not previously extended such that the revolving period as it relates to all outstanding commitments will expire on February 27, 2018 and the stated maturity date as it relates to all outstanding commitments will be February 27, 2019.</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Net proceeds received from the exercise of the underwriters’ over-allotment option from our IPO and net proceeds received from the issuance of the Convertible Senior Notes were used to pay down borrowings on the Revolving Credit Facility.</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may borrow amounts in U.S. dollars or certain other permitted currencies. In connection with settling our foreign currency forward contracts related to our investments in Jeeves Information Systems AB and Soho House Bond Ltd., during the six months ended June 30, 2014 we borrowed in foreign currencies from our Revolving Credit Facility. As of June 30, 2014, we have outstanding debt denominated in Swedish Krona (SEK) of 218,379,000 and outstanding debt denominated in Pound Sterling (GBP) of 7,807,000 on our Revolving Credit Facility, included in the Outstanding Principal amount in the table above.</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Revolving Credit Facility is guaranteed by TC Lending, LLC and may be guaranteed by certain domestic subsidiaries that are formed or acquired by us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51"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stockholders’ equity of at least $205 million plus 25% of the net proceeds of the sale of equity interests after August 23,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May 8, 2012, the “Closing Date,” our wholly owned subsidiary TPG SL SPV, LLC, a Delaware limited liability company,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may be used to finance the acquisition of eligible assets by TPG SL SPV, including the purchase of such assets from us. We retain a residual interest in assets contributed to or acquired by TPG SL SPV through our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us,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January 21, 2014, TPG SL SPV entered into an agreement to amend and restate the credit and security agreement, which we refer to as the SPV Asset Facility. The amended and restated facility, among other things:</w:t>
      </w:r>
    </w:p>
    <w:p>
      <w:pPr>
        <w:spacing w:after="0" w:line="51" w:lineRule="exact"/>
        <w:rPr>
          <w:sz w:val="20"/>
          <w:szCs w:val="20"/>
          <w:color w:val="auto"/>
        </w:rPr>
      </w:pPr>
    </w:p>
    <w:p>
      <w:pPr>
        <w:ind w:left="5620" w:right="5620" w:hanging="5045"/>
        <w:spacing w:after="0" w:line="382" w:lineRule="auto"/>
        <w:tabs>
          <w:tab w:leader="none" w:pos="893"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increased the size of the facility from $100 million to $175 million; 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reopened the reinvestment period thereunder for an additional period of six months following the closing date of January 21, 2014, which reinvestment period was subsequently extended by the borrower for an additional six month period (pursuant to an extension right exercisable by the borrower) so that the reinvestment period will remain open until January 21, 2015;</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extended the stated maturity date from May 8, 2020 to January 21,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modified pricing;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made certain changes to the eligibility criteria and concentration limits.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Amounts drawn under the original credit and security agreement bore interest at LIBOR plus a margin or base rate plus a margin, in each case at TPG SL SPV’s option. Amounts drawn under the amended and restated SPV Asset Facility bear interest at LIBOR plus a margin, base rate plus a margin or the lenders’ cost of funds plus a margin, in each case at TPG SL SPV’s option. TPG SL SPV’s ability to borrow at lenders’ cost of funds plus a margin under the amended and restated SPV Asset Facility lowered the interest rate currently applicable on our borrowings under the SPV Asset Facility. The undrawn portion of the commitment bears an unutilized commitment fee of 0.75%.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our other debt obligations.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2014 and December 31, 2013, TPG SL SPV had $364.5 million and $184.3 million, respectively, in investments at fair value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$141.5 million and $78.3 million, respectively, in liabilities, including the outstanding borrowings, on its balance sheet. As of June 30, 2014 and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TPG SL SPV had $12.2 million and $6.3 million, respectively, in restricted cash, a component of prepaid expenses and other assets, in the accompanying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our borrowings for purposes of complying with the asset coverage requirements of the 1940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June 10, 2014, we issued in a private offering $115 million aggregate principal amount convertible senior notes due December 2019, or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“Convertible Senior Notes”). The Convertible Senior Notes were issued in a private placement only to qualified institutional buyers pursuant to Rule 144A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Act of 1933, as amended. The Convertible Senior Notes are unsecured, and bear interest at a rate of 4.50% per year, payable semiannually.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Convertible Senior Notes will mature on December 15, 2019. In certain circumstances, the Convertible Senior Notes will be convertible into cash, shares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or a combination of cash and shares of our common stock, at our election, at an initial conversion rate of 38.7162 shares of common stock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principal amount of Convertible Senior Notes, which is equivalent to an initial conversion price of approximately $25.83 per share of our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subject to customary anti-dilution adjustments. The sale of the Convertible Senior Notes generated net proceeds of approximately $110.8 million. We used the net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proceeds of the offering to pay down debt under the Revolving Credit Facility. In connection with the offering of Convertible Senior Notes, we entered into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swap to continue to align the interest rates of our liabilities with our investment portfolio, which consists of predominately floating rate loans. 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 of the swap, our effective interest rate on the Convertible Senior Notes is three-month LIBOR plus 252.9 basis points.</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Holders may convert their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Convertible Senior Notes Indenture)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notes are senior unsecured obligations and rank senior in right of payment to our future indebtedness that is expressly subordinated in right of payment to the notes; equal in right of payment to our existing and future indebtedness that is not so subordinated; effectively junior in right of payment to any of our secured indebtedness (including unsecured indebtedness that we later secures) to the extent of the value of the assets securing such indebtedness; and structurally junior to all existing and future indebtedness (including trade payables) incurred by our subsidiaries, financing vehicles or similar facilities.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of June 30, 2014, the principal amount of the Convertible Senior Notes exceeded the value of the underlying shares multiplied by the per share closing price of our common stock.</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Convertible Senior Notes Indenture contains certain covenants, including covenants requiring us to comply with the requirement under the Investment Company Act that our asset coverage ratio, as defined in the Investment Company Act, equal at least 200% and to provide financial information to the holders of the Convertible Senior Notes under certain circumstances. These covenants are subject to important limitations and exceptions that are described in the Convertible Senior Notes Indenture. As of June 30, 2014, we were in compliance with the terms of the Convertible Senior Notes Indenture.</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Convertible Senior Notes are accounted for in accordance with Accounting Standards Codification (“ASC”) 470-20. Upon conversion of any of the Convertible Senior Notes, we intend to pay the outstanding principal amount in cash and, to the extent that the conversion value exceeds the principal amount, the Company has the option to pay in cash or shares of our common stock (or a combination of cash and shares) in respect of the excess amount, subject to the requirements of the Convertible Senior Notes Indenture. We have determined that the embedded conversion options in the Convertible Senior Notes are not required to be separately accounted for as a derivative under U.S. GAAP. In accounting for the Convertible Senior Notes, we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Credit Facility</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On February 27, 2014, we terminated our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June 30, 2014 and December 31, 2013, we had the following commitments to fund investments: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3740" w:type="dxa"/>
            <w:vAlign w:val="bottom"/>
          </w:tcPr>
          <w:p>
            <w:pPr>
              <w:spacing w:after="0"/>
              <w:rPr>
                <w:sz w:val="15"/>
                <w:szCs w:val="15"/>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2014</w:t>
            </w:r>
          </w:p>
        </w:tc>
        <w:tc>
          <w:tcPr>
            <w:tcW w:w="21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2013</w:t>
            </w:r>
          </w:p>
        </w:tc>
      </w:tr>
      <w:tr>
        <w:trPr>
          <w:trHeight w:val="203"/>
        </w:trPr>
        <w:tc>
          <w:tcPr>
            <w:tcW w:w="4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28.0</w:t>
            </w:r>
          </w:p>
        </w:tc>
        <w:tc>
          <w:tcPr>
            <w:tcW w:w="9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18.4</w:t>
            </w: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color w:val="auto"/>
              </w:rPr>
              <w:t>Senior secured term loan commitments</w:t>
            </w:r>
          </w:p>
        </w:tc>
        <w:tc>
          <w:tcPr>
            <w:tcW w:w="1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9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r>
      <w:tr>
        <w:trPr>
          <w:trHeight w:val="216"/>
        </w:trPr>
        <w:tc>
          <w:tcPr>
            <w:tcW w:w="45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46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40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r>
      <w:tr>
        <w:trPr>
          <w:trHeight w:val="20"/>
        </w:trPr>
        <w:tc>
          <w:tcPr>
            <w:tcW w:w="8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of December 31, 2013 we had $1.5 billion in total capital commitments from investors (over $0.9 billion unfunded). These unfunded commitments terminated upon the completion of our IPO, and hence as of June 30, 2014 no longer remain in effect.</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June 30, 2014 and December 31, 2013, we had outstanding commitments to fund investments totaling $64.8 million and $55.0 million, respectively.</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financial officer and chief compliance officer and their respective staffs. Our Adviser also offers on our behalf significant managerial assistance to those portfolio companies to which we are required to offer to provide such assistance.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June 30, 2014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Payments Due by Period</w:t>
            </w: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5740" w:type="dxa"/>
            <w:vAlign w:val="bottom"/>
            <w:vMerge w:val="restart"/>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40" w:type="dxa"/>
            <w:vAlign w:val="bottom"/>
            <w:tcBorders>
              <w:bottom w:val="single" w:sz="8" w:color="auto"/>
            </w:tcBorders>
            <w:vMerge w:val="continue"/>
          </w:tcPr>
          <w:p>
            <w:pPr>
              <w:spacing w:after="0"/>
              <w:rPr>
                <w:sz w:val="14"/>
                <w:szCs w:val="14"/>
                <w:color w:val="auto"/>
              </w:rPr>
            </w:pPr>
          </w:p>
        </w:tc>
        <w:tc>
          <w:tcPr>
            <w:tcW w:w="5740" w:type="dxa"/>
            <w:vAlign w:val="bottom"/>
            <w:vMerge w:val="continue"/>
          </w:tcPr>
          <w:p>
            <w:pPr>
              <w:spacing w:after="0"/>
              <w:rPr>
                <w:sz w:val="14"/>
                <w:szCs w:val="14"/>
                <w:color w:val="auto"/>
              </w:rPr>
            </w:pPr>
          </w:p>
        </w:tc>
        <w:tc>
          <w:tcPr>
            <w:tcW w:w="96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460" w:type="dxa"/>
            <w:vAlign w:val="bottom"/>
          </w:tcPr>
          <w:p>
            <w:pPr>
              <w:spacing w:after="0" w:line="148" w:lineRule="exact"/>
              <w:rPr>
                <w:sz w:val="20"/>
                <w:szCs w:val="20"/>
                <w:color w:val="auto"/>
              </w:rPr>
            </w:pPr>
            <w:r>
              <w:rPr>
                <w:rFonts w:ascii="Arial" w:cs="Arial" w:eastAsia="Arial" w:hAnsi="Arial"/>
                <w:sz w:val="14"/>
                <w:szCs w:val="14"/>
                <w:b w:val="1"/>
                <w:bCs w:val="1"/>
                <w:color w:val="auto"/>
              </w:rPr>
              <w:t>1 year</w:t>
            </w:r>
          </w:p>
        </w:tc>
        <w:tc>
          <w:tcPr>
            <w:tcW w:w="480" w:type="dxa"/>
            <w:vAlign w:val="bottom"/>
          </w:tcPr>
          <w:p>
            <w:pPr>
              <w:spacing w:after="0"/>
              <w:rPr>
                <w:sz w:val="14"/>
                <w:szCs w:val="14"/>
                <w:color w:val="auto"/>
              </w:rPr>
            </w:pPr>
          </w:p>
        </w:tc>
        <w:tc>
          <w:tcPr>
            <w:tcW w:w="5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2"/>
              </w:rPr>
              <w:t>1-3 years</w:t>
            </w:r>
          </w:p>
        </w:tc>
        <w:tc>
          <w:tcPr>
            <w:tcW w:w="460" w:type="dxa"/>
            <w:vAlign w:val="bottom"/>
          </w:tcPr>
          <w:p>
            <w:pPr>
              <w:spacing w:after="0"/>
              <w:rPr>
                <w:sz w:val="14"/>
                <w:szCs w:val="14"/>
                <w:color w:val="auto"/>
              </w:rPr>
            </w:pPr>
          </w:p>
        </w:tc>
        <w:tc>
          <w:tcPr>
            <w:tcW w:w="54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5"/>
              </w:rPr>
              <w:t>3-5 years</w:t>
            </w:r>
          </w:p>
        </w:tc>
        <w:tc>
          <w:tcPr>
            <w:tcW w:w="460" w:type="dxa"/>
            <w:vAlign w:val="bottom"/>
          </w:tcPr>
          <w:p>
            <w:pPr>
              <w:spacing w:after="0"/>
              <w:rPr>
                <w:sz w:val="14"/>
                <w:szCs w:val="14"/>
                <w:color w:val="auto"/>
              </w:rPr>
            </w:pPr>
          </w:p>
        </w:tc>
        <w:tc>
          <w:tcPr>
            <w:tcW w:w="860" w:type="dxa"/>
            <w:vAlign w:val="bottom"/>
            <w:gridSpan w:val="3"/>
          </w:tcPr>
          <w:p>
            <w:pPr>
              <w:jc w:val="right"/>
              <w:ind w:right="100"/>
              <w:spacing w:after="0" w:line="148" w:lineRule="exact"/>
              <w:rPr>
                <w:sz w:val="20"/>
                <w:szCs w:val="20"/>
                <w:color w:val="auto"/>
              </w:rPr>
            </w:pPr>
            <w:r>
              <w:rPr>
                <w:rFonts w:ascii="Arial" w:cs="Arial" w:eastAsia="Arial" w:hAnsi="Arial"/>
                <w:sz w:val="14"/>
                <w:szCs w:val="14"/>
                <w:b w:val="1"/>
                <w:bCs w:val="1"/>
                <w:color w:val="auto"/>
                <w:w w:val="87"/>
              </w:rPr>
              <w:t>After 5 years</w:t>
            </w:r>
          </w:p>
        </w:tc>
        <w:tc>
          <w:tcPr>
            <w:tcW w:w="0" w:type="dxa"/>
            <w:vAlign w:val="bottom"/>
          </w:tcPr>
          <w:p>
            <w:pPr>
              <w:spacing w:after="0"/>
              <w:rPr>
                <w:sz w:val="1"/>
                <w:szCs w:val="1"/>
                <w:color w:val="auto"/>
              </w:rPr>
            </w:pPr>
          </w:p>
        </w:tc>
      </w:tr>
      <w:tr>
        <w:trPr>
          <w:trHeight w:val="203"/>
        </w:trPr>
        <w:tc>
          <w:tcPr>
            <w:tcW w:w="6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SPV Asset Facility</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$138.7</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500" w:type="dxa"/>
            <w:vAlign w:val="bottom"/>
          </w:tcPr>
          <w:p>
            <w:pPr>
              <w:jc w:val="right"/>
              <w:spacing w:after="0"/>
              <w:rPr>
                <w:sz w:val="20"/>
                <w:szCs w:val="20"/>
                <w:color w:val="auto"/>
              </w:rPr>
            </w:pPr>
            <w:r>
              <w:rPr>
                <w:rFonts w:ascii="Arial" w:cs="Arial" w:eastAsia="Arial" w:hAnsi="Arial"/>
                <w:sz w:val="18"/>
                <w:szCs w:val="18"/>
                <w:color w:val="auto"/>
              </w:rPr>
              <w:t>46.0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46.0</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Contractual Obligations</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299.7</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46.0</w:t>
            </w:r>
          </w:p>
        </w:tc>
        <w:tc>
          <w:tcPr>
            <w:tcW w:w="70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253.</w:t>
            </w:r>
            <w:r>
              <w:rPr>
                <w:rFonts w:ascii="Arial" w:cs="Arial" w:eastAsia="Arial" w:hAnsi="Arial"/>
                <w:sz w:val="18"/>
                <w:szCs w:val="18"/>
                <w:u w:val="single" w:color="auto"/>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4" w:lineRule="exact"/>
        <w:rPr>
          <w:sz w:val="20"/>
          <w:szCs w:val="20"/>
          <w:color w:val="auto"/>
        </w:rPr>
      </w:pPr>
    </w:p>
    <w:p>
      <w:pPr>
        <w:ind w:left="900" w:right="2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 exempt interest income over certain disallowed deductions) for such taxable year.</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4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4"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98.0% of our net ordinary income excluding certain ordinary gains or losses for that calendar year;</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4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 distribution carefully and should not assume that the source of any distribution is our ordinary income or gains.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2013, filed with the SEC on March 4, 2014, and our Form 10-K/A, filed with the SEC on March 14, 2014, and elsewhere in our filings with the SEC.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Risk</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June 30, 2014, 98.3% of our debt investments bore interest at floating rates, subject to interest rate floors. Our credit facilities bear interest at floating rates, and in connection with our issuance of convertible notes, we entered into an interest rate swap to continue to align the interest rates of our liabilities with our investment portfolio.</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Assuming that our consolidated balance sheet as of June 30, 2014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Net</w:t>
            </w:r>
          </w:p>
        </w:tc>
      </w:tr>
      <w:tr>
        <w:trPr>
          <w:trHeight w:val="149"/>
        </w:trPr>
        <w:tc>
          <w:tcPr>
            <w:tcW w:w="70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Basis Point Change</w:t>
            </w:r>
          </w:p>
        </w:tc>
        <w:tc>
          <w:tcPr>
            <w:tcW w:w="10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Income</w:t>
            </w: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Expense</w:t>
            </w:r>
          </w:p>
        </w:tc>
        <w:tc>
          <w:tcPr>
            <w:tcW w:w="5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Income</w:t>
            </w:r>
          </w:p>
        </w:tc>
      </w:tr>
      <w:tr>
        <w:trPr>
          <w:trHeight w:val="20"/>
        </w:trPr>
        <w:tc>
          <w:tcPr>
            <w:tcW w:w="120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7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Up 300 basis points</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22.0</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13.0</w:t>
            </w:r>
          </w:p>
        </w:tc>
        <w:tc>
          <w:tcPr>
            <w:tcW w:w="100" w:type="dxa"/>
            <w:vAlign w:val="bottom"/>
            <w:shd w:val="clear" w:color="auto" w:fill="CCEEFF"/>
          </w:tcPr>
          <w:p>
            <w:pPr>
              <w:spacing w:after="0"/>
              <w:rPr>
                <w:sz w:val="17"/>
                <w:szCs w:val="17"/>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w w:val="91"/>
              </w:rPr>
              <w:t>11.0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22"/>
        </w:trPr>
        <w:tc>
          <w:tcPr>
            <w:tcW w:w="7020" w:type="dxa"/>
            <w:vAlign w:val="bottom"/>
            <w:gridSpan w:val="2"/>
          </w:tcPr>
          <w:p>
            <w:pPr>
              <w:spacing w:after="0"/>
              <w:rPr>
                <w:sz w:val="20"/>
                <w:szCs w:val="20"/>
                <w:color w:val="auto"/>
              </w:rPr>
            </w:pPr>
            <w:r>
              <w:rPr>
                <w:rFonts w:ascii="Arial" w:cs="Arial" w:eastAsia="Arial" w:hAnsi="Arial"/>
                <w:sz w:val="18"/>
                <w:szCs w:val="18"/>
                <w:color w:val="auto"/>
              </w:rPr>
              <w:t>Down 25 basis points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bl>
    <w:p>
      <w:pPr>
        <w:spacing w:after="0" w:line="14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i w:val="1"/>
          <w:iCs w:val="1"/>
          <w:color w:val="auto"/>
        </w:rPr>
        <w:t>Evaluation of Disclosure Controls and Procedures</w:t>
      </w:r>
      <w:r>
        <w:rPr>
          <w:rFonts w:ascii="Arial" w:cs="Arial" w:eastAsia="Arial" w:hAnsi="Arial"/>
          <w:sz w:val="15"/>
          <w:szCs w:val="15"/>
          <w:color w:val="auto"/>
        </w:rPr>
        <w:t>. As of the end of the period covered by this report, we carried out an evaluation, under the supervision</w:t>
      </w:r>
      <w:r>
        <w:rPr>
          <w:rFonts w:ascii="Arial" w:cs="Arial" w:eastAsia="Arial" w:hAnsi="Arial"/>
          <w:sz w:val="15"/>
          <w:szCs w:val="15"/>
          <w:i w:val="1"/>
          <w:iCs w:val="1"/>
          <w:color w:val="auto"/>
        </w:rPr>
        <w:t xml:space="preserve"> </w:t>
      </w:r>
      <w:r>
        <w:rPr>
          <w:rFonts w:ascii="Arial" w:cs="Arial" w:eastAsia="Arial" w:hAnsi="Arial"/>
          <w:sz w:val="15"/>
          <w:szCs w:val="15"/>
          <w:color w:val="auto"/>
        </w:rPr>
        <w:t>and with the participation of our management, including our Co-Chief Executive Officers and Chief Financial Officer, of the effectiveness of the design and operation of our disclosure controls and procedures (as defined in Rule 13a-15 under the Securities Exchange Act of 1934). Based on that evaluation, our Co-Chief Executive Officers and Chief Financial Officer have concluded that our current disclosure controls and procedures are effective in timely alerting them to material information relating to us that is required to be disclosed by us in the reports we file or submit under the Securities Exchange Act of 1934.</w:t>
      </w:r>
    </w:p>
    <w:p>
      <w:pPr>
        <w:spacing w:after="0" w:line="10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There have been no changes in our internal control over financial reporting that occurred during our</w:t>
      </w:r>
      <w:r>
        <w:rPr>
          <w:rFonts w:ascii="Arial" w:cs="Arial" w:eastAsia="Arial" w:hAnsi="Arial"/>
          <w:sz w:val="16"/>
          <w:szCs w:val="16"/>
          <w:i w:val="1"/>
          <w:iCs w:val="1"/>
          <w:color w:val="auto"/>
        </w:rPr>
        <w:t xml:space="preserve"> </w:t>
      </w:r>
      <w:r>
        <w:rPr>
          <w:rFonts w:ascii="Arial" w:cs="Arial" w:eastAsia="Arial" w:hAnsi="Arial"/>
          <w:sz w:val="16"/>
          <w:szCs w:val="16"/>
          <w:color w:val="auto"/>
        </w:rPr>
        <w:t>most recently completed fiscal quarter that have materially affected, or are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to the other information set forth in this report, you should carefully consider the risk factors discussed in Part I, “Item 1A. Risk Factors” in our Annual Report on Form 10-K for the fiscal year ended December 31, 2013, which could materially affect our business, financial condition and/or operating results. The risks described in our Annual Report on Form 10-K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June 10, 2014, the Company, issued $115 million aggregate principal amount of 4.50% Convertible Senior Notes due 2019 (the “Convertible Senior Notes). The Convertible Senior Notes were issued pursuant to an Indenture, dated June 10, 2014 (the “Indenture”), between the Company and Wells Fargo Bank, National Association, as trustee (the “Trustee”). The sale of the Convertible Senior Notes generated net proceeds of approximately $110.8 million. Aggregate estimated offering expenses in connection with the transaction, including the initial purchasers’ discount of approximately $3.4 million, were approximately $4.2 million. The Convertible Senior Notes were offered only to qualified institutional buyers (as defined in the Securities Act) pursuant to Rule 144A under the Securities Act. Merrill Lynch, Pierce, Fenner &amp; Smith Incorporated, J. P. Morgan Securities LLC and Goldman, Sachs &amp; Co. and Morgan Stanley &amp; Co. LLC acted as principal initial purchasers for the offering.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used the net proceeds of this offering to pay down debt under its revolving credit facility.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Convertible Senior Notes mature on December 15, 2019 (the “Maturity Date”), unless previously converted or repurchased in accordance with their terms. The Convertible Senior Notes bear interest at a rate of 4.50% per year payable semiannually in arrears on June 15 and December 15 of each year, commencing on December 15, 2014.</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the close of business on the business day immediately preceding June 15, 2019, holders may convert their Convertible Senior Notes only under certain circumstances set forth in the Indenture. On or after June 15, 2019 until the close of business on the scheduled trading day immediately preceding the Maturity Date, holders may convert their Convertible Senior Notes at any time. Upon conversion, the Company will pay or deliver, as the case may be, at its election, cash, shares of its common stock or a combination of cash and shares of its common stock. The conversion rate is initially 38.7162 shares of common stock per $1,000 principal amount of Convertible Senior Notes (equivalent to an initial conversion price of approximately $25.83 per share of common stock). The conversion rate will be subject to adjustment in some events but will not be adjusted for any accrued and unpaid interest. In addition, if certain corporate events occur prior to the Maturity Date, the conversion rate will be increased for converting holders.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It is the Company’s current intent and policy to settle conversions through a combination of cash and shares of its common stock with a specified dollar amount of $1,000.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jc w:val="center"/>
        <w:ind w:right="9140"/>
        <w:spacing w:after="0"/>
        <w:rPr>
          <w:sz w:val="20"/>
          <w:szCs w:val="20"/>
          <w:color w:val="auto"/>
        </w:rPr>
      </w:pPr>
      <w:r>
        <w:rPr>
          <w:rFonts w:ascii="Arial" w:cs="Arial" w:eastAsia="Arial" w:hAnsi="Arial"/>
          <w:sz w:val="16"/>
          <w:szCs w:val="16"/>
          <w:b w:val="1"/>
          <w:bCs w:val="1"/>
          <w:color w:val="auto"/>
        </w:rPr>
        <w:t>Item 5. Other Information.</w:t>
      </w:r>
    </w:p>
    <w:p>
      <w:pPr>
        <w:spacing w:after="0" w:line="119" w:lineRule="exact"/>
        <w:rPr>
          <w:sz w:val="20"/>
          <w:szCs w:val="20"/>
          <w:color w:val="auto"/>
        </w:rPr>
      </w:pPr>
    </w:p>
    <w:p>
      <w:pPr>
        <w:jc w:val="center"/>
        <w:ind w:right="918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 Exhibits.</w:t>
      </w:r>
    </w:p>
    <w:p>
      <w:pPr>
        <w:spacing w:after="0" w:line="326" w:lineRule="exact"/>
        <w:rPr>
          <w:sz w:val="20"/>
          <w:szCs w:val="20"/>
          <w:color w:val="auto"/>
        </w:rPr>
      </w:pPr>
    </w:p>
    <w:p>
      <w:pPr>
        <w:ind w:left="1600" w:right="720" w:hanging="674"/>
        <w:spacing w:after="0" w:line="332" w:lineRule="auto"/>
        <w:tabs>
          <w:tab w:leader="none" w:pos="1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Indenture, dated June 10, 2014, between TPG Specialty Lending, Inc. and Wells Fargo Bank, National Association, as Trustee (incorporated by reference to Exhibit 4.1 to the Company’s Current Report on Form 8-K filed on June 10, 2014)</w:t>
      </w:r>
    </w:p>
    <w:p>
      <w:pPr>
        <w:spacing w:after="0" w:line="31" w:lineRule="exact"/>
        <w:rPr>
          <w:sz w:val="20"/>
          <w:szCs w:val="20"/>
          <w:color w:val="auto"/>
        </w:rPr>
      </w:pPr>
    </w:p>
    <w:p>
      <w:pPr>
        <w:ind w:left="1600" w:right="720" w:hanging="674"/>
        <w:spacing w:after="0" w:line="268" w:lineRule="auto"/>
        <w:tabs>
          <w:tab w:leader="none" w:pos="15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4.50% Convertible Senior Note Due 2019 (incorporated by reference to Exhibit 4.2 to the Company’s Current Report on Form 8-K filed on June 10, 2014)</w:t>
      </w:r>
    </w:p>
    <w:p>
      <w:pPr>
        <w:spacing w:after="0" w:line="78" w:lineRule="exact"/>
        <w:rPr>
          <w:sz w:val="20"/>
          <w:szCs w:val="20"/>
          <w:color w:val="auto"/>
        </w:rPr>
      </w:pPr>
    </w:p>
    <w:p>
      <w:pPr>
        <w:ind w:left="1600" w:right="760" w:hanging="674"/>
        <w:spacing w:after="0" w:line="259" w:lineRule="auto"/>
        <w:tabs>
          <w:tab w:leader="none" w:pos="15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Increase Letter pursuant to the Second Amended and Restated Senior Secured Credit Agreement, dated February 27, 2014, among TPG Specialty Lending, Inc., as Borrower, the Lenders Party Hereto and SunTrust Bank, as Administrative Agent, and JPMorgan Chase Bank, N.A., as Syndication Agent</w:t>
      </w:r>
    </w:p>
    <w:p>
      <w:pPr>
        <w:spacing w:after="0" w:line="86" w:lineRule="exact"/>
        <w:rPr>
          <w:sz w:val="20"/>
          <w:szCs w:val="20"/>
          <w:color w:val="auto"/>
        </w:rPr>
      </w:pPr>
    </w:p>
    <w:p>
      <w:pPr>
        <w:ind w:left="1600" w:right="760" w:hanging="674"/>
        <w:spacing w:after="0" w:line="259" w:lineRule="auto"/>
        <w:tabs>
          <w:tab w:leader="none" w:pos="1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First Amendment to the Second Amended and Restated Senior Secured Revolving Credit Agreement, dated June 3, 2014, among TPG Specialty Lending, Inc., as Borrower, the Lenders party thereto and SunTrust Bank, as Administrative Agent and Collateral Agent</w:t>
      </w:r>
    </w:p>
    <w:p>
      <w:pPr>
        <w:spacing w:after="0" w:line="86" w:lineRule="exact"/>
        <w:rPr>
          <w:sz w:val="20"/>
          <w:szCs w:val="20"/>
          <w:color w:val="auto"/>
        </w:rPr>
      </w:pPr>
    </w:p>
    <w:p>
      <w:pPr>
        <w:ind w:left="1600" w:right="740" w:hanging="674"/>
        <w:spacing w:after="0" w:line="259" w:lineRule="auto"/>
        <w:tabs>
          <w:tab w:leader="none" w:pos="15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Second Amendment to the Second Amended and Restated Senior Secured Revolving Credit Agreement, dated June 27, 2014, among TPG Specialty Lending, Inc., as Borrower, Morgan Stanley Bank, N.A., as a Lender, and SunTrust Bank, as Administrative Agent</w:t>
      </w:r>
    </w:p>
    <w:p>
      <w:pPr>
        <w:spacing w:after="0" w:line="86" w:lineRule="exact"/>
        <w:rPr>
          <w:sz w:val="20"/>
          <w:szCs w:val="20"/>
          <w:color w:val="auto"/>
        </w:rPr>
      </w:pPr>
    </w:p>
    <w:p>
      <w:pPr>
        <w:ind w:left="1600" w:right="920" w:hanging="674"/>
        <w:spacing w:after="0" w:line="268" w:lineRule="auto"/>
        <w:tabs>
          <w:tab w:leader="none" w:pos="15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Co-Chief Executive Officer Pursuant to 18 U.S.C. Section 1350, as Adopted Pursuant to Section 302 of the Sarbanes-Oxley Act of 2002</w:t>
      </w:r>
    </w:p>
    <w:p>
      <w:pPr>
        <w:spacing w:after="0" w:line="78" w:lineRule="exact"/>
        <w:rPr>
          <w:sz w:val="20"/>
          <w:szCs w:val="20"/>
          <w:color w:val="auto"/>
        </w:rPr>
      </w:pPr>
    </w:p>
    <w:p>
      <w:pPr>
        <w:ind w:left="1600" w:right="920" w:hanging="674"/>
        <w:spacing w:after="0" w:line="268" w:lineRule="auto"/>
        <w:tabs>
          <w:tab w:leader="none" w:pos="15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Co-Chief Executive Officer Pursuant to 18 U.S.C. Section 1350, as Adopted Pursuant to Section 302 of the Sarbanes-Oxley Act of 2002</w:t>
      </w:r>
    </w:p>
    <w:p>
      <w:pPr>
        <w:spacing w:after="0" w:line="78" w:lineRule="exact"/>
        <w:rPr>
          <w:sz w:val="20"/>
          <w:szCs w:val="20"/>
          <w:color w:val="auto"/>
        </w:rPr>
      </w:pPr>
    </w:p>
    <w:p>
      <w:pPr>
        <w:ind w:left="1600" w:right="1240" w:hanging="674"/>
        <w:spacing w:after="0" w:line="268" w:lineRule="auto"/>
        <w:tabs>
          <w:tab w:leader="none" w:pos="15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Certification of Chief Financial Officer Pursuant to 18 U.S.C. Section 1350, as Adopted Pursuant to Section 302 of the Sarbanes-Oxley Act of 2002</w:t>
      </w:r>
    </w:p>
    <w:p>
      <w:pPr>
        <w:spacing w:after="0" w:line="78" w:lineRule="exact"/>
        <w:rPr>
          <w:sz w:val="20"/>
          <w:szCs w:val="20"/>
          <w:color w:val="auto"/>
        </w:rPr>
      </w:pPr>
    </w:p>
    <w:p>
      <w:pPr>
        <w:ind w:left="1600" w:right="1100" w:hanging="674"/>
        <w:spacing w:after="0" w:line="268" w:lineRule="auto"/>
        <w:tabs>
          <w:tab w:leader="none" w:pos="1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Certification of CEO and CFO Pursuant to 18 U.S.C. Section 1350, as Adopted Pursuant to Section 906 of the Sarbanes-Oxley Act of 2002</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Date: August 4, 2014</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 August 4, 2014</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 August 4, 2014</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TPG SPECIALTY LENDING, INC.</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10795</wp:posOffset>
            </wp:positionV>
            <wp:extent cx="32588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Joshua Easterly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Co-Chief Executive Officer</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10795</wp:posOffset>
            </wp:positionV>
            <wp:extent cx="32588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Michael Fishman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Co-Chief Executive Officer</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10795</wp:posOffset>
            </wp:positionV>
            <wp:extent cx="32588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Alan Kirshenbaum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55</w:t>
      </w:r>
    </w:p>
    <w:p>
      <w:pPr>
        <w:sectPr>
          <w:pgSz w:w="11900" w:h="16838" w:orient="portrait"/>
          <w:cols w:equalWidth="0" w:num="2">
            <w:col w:w="4900" w:space="720"/>
            <w:col w:w="5780"/>
          </w:cols>
          <w:pgMar w:left="240" w:top="459" w:right="259" w:bottom="1440" w:gutter="0" w:footer="0" w:header="0"/>
          <w:type w:val="continuous"/>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RESPONSE TO NOTICE INCREASE REQUEST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30,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303 Peachtree Street, N.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Robert Ashcom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Number: (404) 581-1775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TPG Specialty Lending, Inc.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340" w:firstLine="456"/>
        <w:spacing w:after="0" w:line="276" w:lineRule="auto"/>
        <w:rPr>
          <w:sz w:val="20"/>
          <w:szCs w:val="20"/>
          <w:color w:val="auto"/>
        </w:rPr>
      </w:pPr>
      <w:r>
        <w:rPr>
          <w:rFonts w:ascii="Arial" w:cs="Arial" w:eastAsia="Arial" w:hAnsi="Arial"/>
          <w:sz w:val="17"/>
          <w:szCs w:val="17"/>
          <w:color w:val="auto"/>
        </w:rPr>
        <w:t>We refer to (a) that certain Second Amended and Restated Senior Secured Revolving Credit Agreement, dated as February 27, 2014 (as amended, supplemented, amended and restated,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capitalized terms used in this response and not otherwise defined have the meanings for such terms set forth in the Credit Agreement), by and among the Company, the Lenders from time to time party thereto and SunTrust Bank,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(b) the Notice of Commitment Increase Request, dated as of May 28, 2014, provided by the Company to the Administrative Agent (the “</w:t>
      </w:r>
      <w:r>
        <w:rPr>
          <w:rFonts w:ascii="Arial" w:cs="Arial" w:eastAsia="Arial" w:hAnsi="Arial"/>
          <w:sz w:val="17"/>
          <w:szCs w:val="17"/>
          <w:u w:val="single" w:color="auto"/>
          <w:color w:val="auto"/>
        </w:rPr>
        <w:t>Notice</w:t>
      </w:r>
      <w:r>
        <w:rPr>
          <w:rFonts w:ascii="Arial" w:cs="Arial" w:eastAsia="Arial" w:hAnsi="Arial"/>
          <w:sz w:val="17"/>
          <w:szCs w:val="17"/>
          <w:color w:val="auto"/>
        </w:rPr>
        <w: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Pursuant to the Notice and Section 2.08(e) of the Credit Agreement, we deliver this response (this “</w:t>
      </w:r>
      <w:r>
        <w:rPr>
          <w:rFonts w:ascii="Arial" w:cs="Arial" w:eastAsia="Arial" w:hAnsi="Arial"/>
          <w:sz w:val="17"/>
          <w:szCs w:val="17"/>
          <w:u w:val="single" w:color="auto"/>
          <w:color w:val="auto"/>
        </w:rPr>
        <w:t>Response Letter</w:t>
      </w:r>
      <w:r>
        <w:rPr>
          <w:rFonts w:ascii="Arial" w:cs="Arial" w:eastAsia="Arial" w:hAnsi="Arial"/>
          <w:sz w:val="17"/>
          <w:szCs w:val="17"/>
          <w:color w:val="auto"/>
        </w:rPr>
        <w:t>”) to confirm that each of the</w:t>
      </w:r>
    </w:p>
    <w:p>
      <w:pPr>
        <w:spacing w:after="0" w:line="3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Company and [</w:t>
      </w:r>
      <w:r>
        <w:rPr>
          <w:sz w:val="20"/>
          <w:szCs w:val="20"/>
          <w:color w:val="auto"/>
        </w:rPr>
        <w:tab/>
      </w:r>
      <w:r>
        <w:rPr>
          <w:rFonts w:ascii="Arial" w:cs="Arial" w:eastAsia="Arial" w:hAnsi="Arial"/>
          <w:sz w:val="16"/>
          <w:szCs w:val="16"/>
          <w:color w:val="auto"/>
        </w:rPr>
        <w:t>] (the “</w:t>
      </w:r>
      <w:r>
        <w:rPr>
          <w:rFonts w:ascii="Arial" w:cs="Arial" w:eastAsia="Arial" w:hAnsi="Arial"/>
          <w:sz w:val="16"/>
          <w:szCs w:val="16"/>
          <w:u w:val="single" w:color="auto"/>
          <w:color w:val="auto"/>
        </w:rPr>
        <w:t>Assuming Lender</w:t>
      </w:r>
      <w:r>
        <w:rPr>
          <w:rFonts w:ascii="Arial" w:cs="Arial" w:eastAsia="Arial" w:hAnsi="Arial"/>
          <w:sz w:val="16"/>
          <w:szCs w:val="16"/>
          <w:color w:val="auto"/>
        </w:rPr>
        <w:t>”) agrees that, effective upon the satisfaction of the conditions set forth in Sections 2.08(e)(i) and (ii) of the</w:t>
      </w:r>
    </w:p>
    <w:p>
      <w:pPr>
        <w:spacing w:after="0" w:line="9"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Credit Agreement, the Assuming Lender shall assume a Multicurrency Commitment under the Credit Agreement equal to [ ] and shall for all purposes be deemed a “Multicurrency Lender” under the Credit Agreement and any other documents or instruments delivered pursuant thereto.</w:t>
      </w:r>
    </w:p>
    <w:p>
      <w:pPr>
        <w:spacing w:after="0" w:line="162"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This Response Letter shall be binding upon, and inure to the benefit of, the parties hereto and their respective successors and assigns. This Response Letter may be executed in any number of counterparts, which together shall constitute one instrument. Delivery of an executed counterpart of a signature page of this Response Letter by telecopy, email, or other electronic method of transmission shall be effective as delivery of a manually executed counterpart of this Response Letter. This Response Letter shall be governed by, and construed in accordance with, the laws of the State of New York.</w:t>
      </w:r>
    </w:p>
    <w:p>
      <w:pPr>
        <w:sectPr>
          <w:pgSz w:w="11900" w:h="16838" w:orient="portrait"/>
          <w:cols w:equalWidth="0" w:num="1">
            <w:col w:w="11420"/>
          </w:cols>
          <w:pgMar w:left="240" w:top="121" w:right="239" w:bottom="1440" w:gutter="0" w:footer="0" w:header="0"/>
        </w:sectPr>
      </w:pPr>
    </w:p>
    <w:bookmarkStart w:id="56" w:name="page57"/>
    <w:bookmarkEnd w:id="56"/>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1" w:lineRule="exact"/>
        <w:rPr>
          <w:sz w:val="20"/>
          <w:szCs w:val="20"/>
          <w:color w:val="auto"/>
        </w:rPr>
      </w:pPr>
    </w:p>
    <w:p>
      <w:pPr>
        <w:jc w:val="right"/>
        <w:ind w:right="2540"/>
        <w:spacing w:after="0"/>
        <w:rPr>
          <w:sz w:val="20"/>
          <w:szCs w:val="20"/>
          <w:color w:val="auto"/>
        </w:rPr>
      </w:pPr>
      <w:r>
        <w:rPr>
          <w:rFonts w:ascii="Arial" w:cs="Arial" w:eastAsia="Arial" w:hAnsi="Arial"/>
          <w:sz w:val="18"/>
          <w:szCs w:val="18"/>
          <w:b w:val="1"/>
          <w:bCs w:val="1"/>
          <w:color w:val="auto"/>
        </w:rPr>
        <w:t>CITY NATIONAL BANK</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Brandon L. Feitelson, C.F.A.</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Brandon L. Feitelson, C.F.A.</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Senior 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TPG SPECIALTY LENDING, INC.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Alan Kirshenbaum</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Alan Kirshenbaum</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ACKNOWLEDGED, ACCEPTED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AGREED: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SUNTRUST BANK,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and Issuing Bank</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Doug Kennedy</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Doug Kennedy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420"/>
          </w:cols>
          <w:pgMar w:left="240" w:top="274" w:right="239" w:bottom="1440" w:gutter="0" w:footer="0" w:header="0"/>
        </w:sectPr>
      </w:pPr>
    </w:p>
    <w:bookmarkStart w:id="57" w:name="page58"/>
    <w:bookmarkEnd w:id="57"/>
    <w:p>
      <w:pPr>
        <w:ind w:left="6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COMERICA BANK</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Timothy O’Rourke</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Timothy O’Rourke</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jc w:val="right"/>
        <w:ind w:right="178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Alan Kirshenbaum</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Alan Kirshenbaum</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ACKNOWLEDGED, ACCEPTED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AGREED: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SUNTRUST BANK,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and Issuing Bank</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Doug Kennedy</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Doug Kennedy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420"/>
          </w:cols>
          <w:pgMar w:left="240" w:top="486" w:right="239" w:bottom="1440" w:gutter="0" w:footer="0" w:header="0"/>
        </w:sectPr>
      </w:pPr>
    </w:p>
    <w:bookmarkStart w:id="58" w:name="page59"/>
    <w:bookmarkEnd w:id="58"/>
    <w:p>
      <w:pPr>
        <w:ind w:left="6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HSBC BANK USA, NATIONAL</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ASSOCIATION</w:t>
      </w:r>
    </w:p>
    <w:p>
      <w:pPr>
        <w:spacing w:after="0" w:line="224"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Edwin Soogrim</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Edwin Soogrim</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jc w:val="right"/>
        <w:ind w:right="178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Alan Kirshenbaum</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Alan Kirshenbaum</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ACKNOWLEDGED, ACCEPTED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AGREED: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SUNTRUST BANK,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and Issuing Bank</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Doug Kennedy</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Doug Kennedy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420"/>
          </w:cols>
          <w:pgMar w:left="240" w:top="486" w:right="239" w:bottom="1440" w:gutter="0" w:footer="0" w:header="0"/>
        </w:sectPr>
      </w:pPr>
    </w:p>
    <w:bookmarkStart w:id="59" w:name="page60"/>
    <w:bookmarkEnd w:id="59"/>
    <w:p>
      <w:pPr>
        <w:ind w:left="6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MIZUHO BANK, LTD.</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James R. Fayen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James R. Fayen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Deputy General Manager</w:t>
            </w:r>
          </w:p>
        </w:tc>
      </w:tr>
    </w:tbl>
    <w:p>
      <w:pPr>
        <w:spacing w:after="0" w:line="198" w:lineRule="exact"/>
        <w:rPr>
          <w:sz w:val="20"/>
          <w:szCs w:val="20"/>
          <w:color w:val="auto"/>
        </w:rPr>
      </w:pPr>
    </w:p>
    <w:p>
      <w:pPr>
        <w:jc w:val="right"/>
        <w:ind w:right="178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Alan Kirshenbaum</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Alan Kirshenbaum</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ACKNOWLEDGED, ACCEPTED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AGREED: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SUNTRUST BANK,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and Issuing Bank</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Doug Kennedy</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Doug Kennedy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420"/>
          </w:cols>
          <w:pgMar w:left="240" w:top="486" w:right="239" w:bottom="1440" w:gutter="0" w:footer="0" w:header="0"/>
        </w:sectPr>
      </w:pPr>
    </w:p>
    <w:bookmarkStart w:id="60" w:name="page61"/>
    <w:bookmarkEnd w:id="60"/>
    <w:p>
      <w:pPr>
        <w:ind w:left="6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PATRIOT BANK</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Bill Holbert</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Bill Holbert</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Senior Vice President</w:t>
            </w:r>
          </w:p>
        </w:tc>
      </w:tr>
    </w:tbl>
    <w:p>
      <w:pPr>
        <w:spacing w:after="0" w:line="198" w:lineRule="exact"/>
        <w:rPr>
          <w:sz w:val="20"/>
          <w:szCs w:val="20"/>
          <w:color w:val="auto"/>
        </w:rPr>
      </w:pPr>
    </w:p>
    <w:p>
      <w:pPr>
        <w:jc w:val="right"/>
        <w:ind w:right="178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Alan Kirshenbaum</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Alan Kirshenbaum</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ACKNOWLEDGED, ACCEPTED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AGREED: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SUNTRUST BANK,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and Issuing Bank</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Doug Kennedy</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Doug Kennedy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420"/>
          </w:cols>
          <w:pgMar w:left="240" w:top="486" w:right="239" w:bottom="1440" w:gutter="0" w:footer="0" w:header="0"/>
        </w:sectPr>
      </w:pPr>
    </w:p>
    <w:bookmarkStart w:id="61" w:name="page62"/>
    <w:bookmarkEnd w:id="61"/>
    <w:p>
      <w:pPr>
        <w:ind w:left="6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SANTANDER BANK, N.A.</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Gilbert Torres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Gilbert Torres</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Senior Vice President</w:t>
            </w:r>
          </w:p>
        </w:tc>
      </w:tr>
    </w:tbl>
    <w:p>
      <w:pPr>
        <w:spacing w:after="0" w:line="198" w:lineRule="exact"/>
        <w:rPr>
          <w:sz w:val="20"/>
          <w:szCs w:val="20"/>
          <w:color w:val="auto"/>
        </w:rPr>
      </w:pPr>
    </w:p>
    <w:p>
      <w:pPr>
        <w:jc w:val="right"/>
        <w:ind w:right="178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Alan Kirshenbaum</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Alan Kirshenbaum</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ACKNOWLEDGED, ACCEPTED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AGREED: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SUNTRUST BANK,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and Issuing Bank</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Doug Kennedy</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Doug Kennedy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420"/>
          </w:cols>
          <w:pgMar w:left="240" w:top="486"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SECOND AMENDED AND RESTATED SENIOR SECURED REVOLVING CREDIT AGREEMENT</w:t>
      </w:r>
    </w:p>
    <w:p>
      <w:pPr>
        <w:spacing w:after="0" w:line="2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FIRST AMENDMENT TO SECOND AMENDED AND RESTATED SENIOR SECURED REVOLVING CREDIT AGREEMENT, dated as of June 3, 2014 (this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to the Existing Credit Agreement (capitalized terms used herein and not otherwise defined shall have the meanings given to such terms in </w:t>
      </w:r>
      <w:r>
        <w:rPr>
          <w:rFonts w:ascii="Arial" w:cs="Arial" w:eastAsia="Arial" w:hAnsi="Arial"/>
          <w:sz w:val="18"/>
          <w:szCs w:val="18"/>
          <w:u w:val="single" w:color="auto"/>
          <w:color w:val="auto"/>
        </w:rPr>
        <w:t>Article I</w:t>
      </w:r>
      <w:r>
        <w:rPr>
          <w:rFonts w:ascii="Arial" w:cs="Arial" w:eastAsia="Arial" w:hAnsi="Arial"/>
          <w:sz w:val="18"/>
          <w:szCs w:val="18"/>
          <w:color w:val="auto"/>
        </w:rPr>
        <w:t>) is among TPG SPECIALTY LENDING,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hereto and SUNTRUST BANK, as Administrative Agent and, for purposes of Article III, as Collateral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480" w:firstLine="456"/>
        <w:spacing w:after="0" w:line="286" w:lineRule="auto"/>
        <w:rPr>
          <w:sz w:val="20"/>
          <w:szCs w:val="20"/>
          <w:color w:val="auto"/>
        </w:rPr>
      </w:pPr>
      <w:r>
        <w:rPr>
          <w:rFonts w:ascii="Arial" w:cs="Arial" w:eastAsia="Arial" w:hAnsi="Arial"/>
          <w:sz w:val="17"/>
          <w:szCs w:val="17"/>
          <w:color w:val="auto"/>
        </w:rPr>
        <w:t>WHEREAS, the Borrower, the Lenders and the Administrative Agent are parties to the Second Amended and Restated Senior Secured Revolving Credit Agreement, dated as of February 27, 2014 (the “</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as amended by this Amendment and as the same may be further amended, supplemented, amended and restated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w:t>
      </w:r>
    </w:p>
    <w:p>
      <w:pPr>
        <w:spacing w:after="0" w:line="166"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WHEREAS, the Borrower, Administrative Agent, each subsidiary of the Borrower from time to time party thereto, each holder (or a representative or trustee therefor) from time to time of any Secured Longer-Term Indebtedness or Secured Shorter-Term Indebtedness and the Collateral Agent are parties to the Amended and Restated Guarantee and Security Agreement, dated as of July 2, 2013 (the “</w:t>
      </w:r>
      <w:r>
        <w:rPr>
          <w:rFonts w:ascii="Arial" w:cs="Arial" w:eastAsia="Arial" w:hAnsi="Arial"/>
          <w:sz w:val="16"/>
          <w:szCs w:val="16"/>
          <w:u w:val="single" w:color="auto"/>
          <w:color w:val="auto"/>
        </w:rPr>
        <w:t>Guarantee and Security Agreement</w:t>
      </w:r>
      <w:r>
        <w:rPr>
          <w:rFonts w:ascii="Arial" w:cs="Arial" w:eastAsia="Arial" w:hAnsi="Arial"/>
          <w:sz w:val="16"/>
          <w:szCs w:val="16"/>
          <w:color w:val="auto"/>
        </w:rPr>
        <w:t>”); and</w:t>
      </w:r>
    </w:p>
    <w:p>
      <w:pPr>
        <w:spacing w:after="0" w:line="14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WHEREAS, the Borrower has requested that the Lenders agree to amend the Existing Credit Agreement and to direct the Collateral Agent to amend the Guarantee and Security Agreement, and the Lenders are willing, on the terms and subject to the conditions hereinafter set forth, to agree to the amendments set forth below and the other terms hereof;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hereby covenant and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The following terms when used in this Amendment shall have the following meanings (such meanings to be equally applicable to the singular and plural forms thereof):</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63" w:name="page64"/>
    <w:bookmarkEnd w:id="6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first recital</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first recital</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and Security 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second recital</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Definitions</w:t>
      </w:r>
      <w:r>
        <w:rPr>
          <w:rFonts w:ascii="Arial" w:cs="Arial" w:eastAsia="Arial" w:hAnsi="Arial"/>
          <w:sz w:val="18"/>
          <w:szCs w:val="18"/>
          <w:color w:val="auto"/>
        </w:rPr>
        <w:t>. Capitalized terms for which meanings are provided in the Existing Credit Agreement are, unless otherwise defined herein or the context otherwise requires, used in this Amendment with such meanings.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 TO EXISTING CREDIT AGREEMENT</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Subject to the occurrence of the First Amendment Effective Date (as hereinafter defined), the Existing Credit Agreement is amended in accordance with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Amendments to Section 1.01</w:t>
      </w:r>
      <w:r>
        <w:rPr>
          <w:rFonts w:ascii="Arial" w:cs="Arial" w:eastAsia="Arial" w:hAnsi="Arial"/>
          <w:sz w:val="18"/>
          <w:szCs w:val="18"/>
          <w:color w:val="auto"/>
        </w:rPr>
        <w:t>. Section 1.01 of the Existing Credit Agreement is hereby amended as follows: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 The definition of “Covered Debt Amount” in Section 1.01 of the Existing Credit Agreement is hereby amended and restated as follows:</w:t>
      </w:r>
    </w:p>
    <w:p>
      <w:pPr>
        <w:spacing w:after="0" w:line="129" w:lineRule="exact"/>
        <w:rPr>
          <w:sz w:val="20"/>
          <w:szCs w:val="20"/>
          <w:color w:val="auto"/>
        </w:rPr>
      </w:pPr>
    </w:p>
    <w:p>
      <w:pPr>
        <w:ind w:left="920" w:firstLine="42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Debt Amount</w:t>
      </w:r>
      <w:r>
        <w:rPr>
          <w:rFonts w:ascii="Arial" w:cs="Arial" w:eastAsia="Arial" w:hAnsi="Arial"/>
          <w:sz w:val="16"/>
          <w:szCs w:val="16"/>
          <w:color w:val="auto"/>
        </w:rPr>
        <w:t xml:space="preserve">” means, on any date, the sum of (x) all of the Revolving Credit Exposures of all Lenders on such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aggregate amount of Other Covered Indebtedness, the 2019 Convertible Notes and Unsecured Longer Term Indebtedness on such date </w:t>
      </w:r>
      <w:r>
        <w:rPr>
          <w:rFonts w:ascii="Arial" w:cs="Arial" w:eastAsia="Arial" w:hAnsi="Arial"/>
          <w:sz w:val="16"/>
          <w:szCs w:val="16"/>
          <w:u w:val="single" w:color="auto"/>
          <w:color w:val="auto"/>
        </w:rPr>
        <w:t>minus</w:t>
      </w:r>
    </w:p>
    <w:p>
      <w:pPr>
        <w:ind w:left="920" w:firstLine="1"/>
        <w:spacing w:after="0" w:line="268" w:lineRule="auto"/>
        <w:tabs>
          <w:tab w:leader="none" w:pos="1165"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the LC Exposures fully Cash Collateralized on such date pursuant to </w:t>
      </w:r>
      <w:r>
        <w:rPr>
          <w:rFonts w:ascii="Arial" w:cs="Arial" w:eastAsia="Arial" w:hAnsi="Arial"/>
          <w:sz w:val="17"/>
          <w:szCs w:val="17"/>
          <w:u w:val="single" w:color="auto"/>
          <w:color w:val="auto"/>
        </w:rPr>
        <w:t>Section 2.05(k)</w:t>
      </w:r>
      <w:r>
        <w:rPr>
          <w:rFonts w:ascii="Arial" w:cs="Arial" w:eastAsia="Arial" w:hAnsi="Arial"/>
          <w:sz w:val="17"/>
          <w:szCs w:val="17"/>
          <w:color w:val="auto"/>
        </w:rPr>
        <w:t xml:space="preserve"> and the last paragraph of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2019 Convertible Notes and Unsecured Longer-Term Indebtedness shall be excluded from the calculation of the Covered Debt Amount, in each case, until the date that is nine (9) months prior to the scheduled maturity date of the 2019 Convertible Notes or such Unsecured Longer-Term Indebtedness, as applicable (provided that, to the extent, but only to the extent, any portion of the 2019 Convertible Notes or Unsecured Longer-Term Indebtedness is subject to a contractually scheduled amortization payment or other principal payment or mandatory redemption (other than in common stock of the Borrower) earlier than six (6) months after the Final Maturity Date, such portion of such Indebtedness shall be included in the calculation of the Covered Debt Amount beginning upon the date that is the later of (i) nine (9) months prior to such scheduled amortization payment or other principal payment or mandatory redemption and (ii) the date the Borrower becomes aware that such Indebtedness is required to be paid or redeemed). For the avoidance of doubt, for purposes of calculating the Covered Debt Amount, any convertible securities will be included at the then outstanding principal balance thereof.”.</w:t>
      </w:r>
    </w:p>
    <w:p>
      <w:pPr>
        <w:sectPr>
          <w:pgSz w:w="11900" w:h="16838" w:orient="portrait"/>
          <w:cols w:equalWidth="0" w:num="1">
            <w:col w:w="11380"/>
          </w:cols>
          <w:pgMar w:left="240" w:top="274" w:right="279" w:bottom="1440" w:gutter="0" w:footer="0" w:header="0"/>
        </w:sectPr>
      </w:pPr>
    </w:p>
    <w:bookmarkStart w:id="64" w:name="page65"/>
    <w:bookmarkEnd w:id="64"/>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Section 1.01 of the Existing Credit Agreement is hereby amended by adding the following new definitions in the appropriate alphabetical</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order:</w:t>
      </w:r>
    </w:p>
    <w:p>
      <w:pPr>
        <w:spacing w:after="0" w:line="103" w:lineRule="exact"/>
        <w:rPr>
          <w:sz w:val="20"/>
          <w:szCs w:val="20"/>
          <w:color w:val="auto"/>
        </w:rPr>
      </w:pPr>
    </w:p>
    <w:p>
      <w:pPr>
        <w:ind w:left="920" w:right="240" w:firstLine="4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2019 Convertible Notes</w:t>
      </w:r>
      <w:r>
        <w:rPr>
          <w:rFonts w:ascii="Arial" w:cs="Arial" w:eastAsia="Arial" w:hAnsi="Arial"/>
          <w:sz w:val="17"/>
          <w:szCs w:val="17"/>
          <w:color w:val="auto"/>
        </w:rPr>
        <w:t>” means the Borrower’s $100,000,000 aggregate principal amount convertible notes due December 2019 to be issued in June 2014 and any additional notes issued as a result of the exercise of the initial purchasers’ overallotment option.</w:t>
      </w:r>
    </w:p>
    <w:p>
      <w:pPr>
        <w:spacing w:after="0" w:line="38" w:lineRule="exact"/>
        <w:rPr>
          <w:sz w:val="20"/>
          <w:szCs w:val="20"/>
          <w:color w:val="auto"/>
        </w:rPr>
      </w:pPr>
    </w:p>
    <w:p>
      <w:pPr>
        <w:ind w:left="920" w:right="20" w:firstLine="4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Equity Interests</w:t>
      </w:r>
      <w:r>
        <w:rPr>
          <w:rFonts w:ascii="Arial" w:cs="Arial" w:eastAsia="Arial" w:hAnsi="Arial"/>
          <w:sz w:val="18"/>
          <w:szCs w:val="18"/>
          <w:color w:val="auto"/>
        </w:rPr>
        <w:t>” means common stock of the Borrower that after its issuance is not subject to any agreement between the holder of such common stock and the Borrower where the Borrower is required to purchase, redeem, retire, acquire, cancel or terminate any such common stock.”.</w:t>
      </w:r>
    </w:p>
    <w:p>
      <w:pPr>
        <w:spacing w:after="0" w:line="73"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Amendment to Section 6.02</w:t>
      </w:r>
      <w:r>
        <w:rPr>
          <w:rFonts w:ascii="Arial" w:cs="Arial" w:eastAsia="Arial" w:hAnsi="Arial"/>
          <w:sz w:val="18"/>
          <w:szCs w:val="18"/>
          <w:color w:val="auto"/>
        </w:rPr>
        <w:t>. Clause (i) of Section 6.02 of the Existing Credit Agreement is hereby amended and restated to read as follows:</w:t>
      </w:r>
    </w:p>
    <w:p>
      <w:pPr>
        <w:spacing w:after="0" w:line="62" w:lineRule="exact"/>
        <w:rPr>
          <w:sz w:val="20"/>
          <w:szCs w:val="20"/>
          <w:color w:val="auto"/>
        </w:rPr>
      </w:pPr>
    </w:p>
    <w:p>
      <w:pPr>
        <w:ind w:left="460" w:right="100" w:firstLine="438"/>
        <w:spacing w:after="0" w:line="286" w:lineRule="auto"/>
        <w:rPr>
          <w:sz w:val="20"/>
          <w:szCs w:val="20"/>
          <w:color w:val="auto"/>
        </w:rPr>
      </w:pPr>
      <w:r>
        <w:rPr>
          <w:rFonts w:ascii="Arial" w:cs="Arial" w:eastAsia="Arial" w:hAnsi="Arial"/>
          <w:sz w:val="16"/>
          <w:szCs w:val="16"/>
          <w:color w:val="auto"/>
        </w:rPr>
        <w:t xml:space="preserve">“(i) (x) Liens securing Hedging Agreements permitted under </w:t>
      </w:r>
      <w:r>
        <w:rPr>
          <w:rFonts w:ascii="Arial" w:cs="Arial" w:eastAsia="Arial" w:hAnsi="Arial"/>
          <w:sz w:val="16"/>
          <w:szCs w:val="16"/>
          <w:u w:val="single" w:color="auto"/>
          <w:color w:val="auto"/>
        </w:rPr>
        <w:t>Section 6.04(c)</w:t>
      </w:r>
      <w:r>
        <w:rPr>
          <w:rFonts w:ascii="Arial" w:cs="Arial" w:eastAsia="Arial" w:hAnsi="Arial"/>
          <w:sz w:val="16"/>
          <w:szCs w:val="16"/>
          <w:color w:val="auto"/>
        </w:rPr>
        <w:t xml:space="preserve"> and not otherwise permitted under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in an aggregate amount not to exceed $5,000,000 at any time and (y) Liens incurred in connection with any Hedging Agreement either entered into with a Lender (or an Affiliate of a Lender) on an uncleared basis or cleared through a Lender (or Affiliate of a Lender) as futures commission merchant in the ordinary course of business and not for speculative purposes (it being understood that such Lien shall continue to be permitted pursuant to this </w:t>
      </w:r>
      <w:r>
        <w:rPr>
          <w:rFonts w:ascii="Arial" w:cs="Arial" w:eastAsia="Arial" w:hAnsi="Arial"/>
          <w:sz w:val="16"/>
          <w:szCs w:val="16"/>
          <w:u w:val="single" w:color="auto"/>
          <w:color w:val="auto"/>
        </w:rPr>
        <w:t>sub-clause</w:t>
      </w:r>
    </w:p>
    <w:p>
      <w:pPr>
        <w:spacing w:after="0" w:line="2" w:lineRule="exact"/>
        <w:rPr>
          <w:sz w:val="20"/>
          <w:szCs w:val="20"/>
          <w:color w:val="auto"/>
        </w:rPr>
      </w:pPr>
    </w:p>
    <w:p>
      <w:pPr>
        <w:ind w:left="460" w:right="40" w:firstLine="4"/>
        <w:spacing w:after="0" w:line="271" w:lineRule="auto"/>
        <w:tabs>
          <w:tab w:leader="none" w:pos="715" w:val="left"/>
        </w:tabs>
        <w:numPr>
          <w:ilvl w:val="0"/>
          <w:numId w:val="49"/>
        </w:numPr>
        <w:rPr>
          <w:rFonts w:ascii="Arial" w:cs="Arial" w:eastAsia="Arial" w:hAnsi="Arial"/>
          <w:sz w:val="17"/>
          <w:szCs w:val="17"/>
          <w:u w:val="single" w:color="auto"/>
          <w:color w:val="auto"/>
        </w:rPr>
      </w:pPr>
      <w:r>
        <w:rPr>
          <w:rFonts w:ascii="Arial" w:cs="Arial" w:eastAsia="Arial" w:hAnsi="Arial"/>
          <w:sz w:val="17"/>
          <w:szCs w:val="17"/>
          <w:color w:val="auto"/>
        </w:rPr>
        <w:t xml:space="preserve">even if such Lender has assigned all of its Loans and other interests in the Credit Agreement and thus has ceased to be a Lender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Obligor be permitted to create, incur or assume any Lien pursuant to this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increase the aggregate amount of collateral securing any Liens previously permitted under this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unless both before and after giving effect to the creation, incurrence or assumption of such Lien or such increase in the aggregate amount of collateral securing such Lien the Covered Debt Amount does not exceed the Borrowing Base (after giving effect to the exclusion of all such collateral from the Borrowing Base);”.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Amendment to Section 6.12</w:t>
      </w:r>
      <w:r>
        <w:rPr>
          <w:rFonts w:ascii="Arial" w:cs="Arial" w:eastAsia="Arial" w:hAnsi="Arial"/>
          <w:sz w:val="17"/>
          <w:szCs w:val="17"/>
          <w:color w:val="auto"/>
        </w:rPr>
        <w:t>. Section 6.12 of the Existing Credit Agreement is hereby amended and restated to read as follows:</w:t>
      </w:r>
    </w:p>
    <w:p>
      <w:pPr>
        <w:spacing w:after="0" w:line="129"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Payments of Longer-Term Indebtedness and 2019 Convertible Notes</w:t>
      </w:r>
      <w:r>
        <w:rPr>
          <w:rFonts w:ascii="Arial" w:cs="Arial" w:eastAsia="Arial" w:hAnsi="Arial"/>
          <w:sz w:val="18"/>
          <w:szCs w:val="18"/>
          <w:color w:val="auto"/>
        </w:rPr>
        <w:t xml:space="preserve">. The Borrower will not, nor will it permit any of the Subsidiary Guarantors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Unsecured Longer-Term Indebtedness or the 2019 Convertible Notes (other than the refinancing of Secured Longer-Term Indebtedness, Unsecured Longer-Term Indebtedness or the 2019 Convertible Notes with Indebtedness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except for (a) regularly scheduled payments, prepayments or redemptions of principal and interest in respect thereof required pursuant to the instruments evidencing such Indebtedness (it being understood that: (w) the conversion features into Permitted Equity Interests under convertible notes; (x) the triggering of such conversion</w:t>
      </w:r>
    </w:p>
    <w:p>
      <w:pPr>
        <w:sectPr>
          <w:pgSz w:w="11900" w:h="16838" w:orient="portrait"/>
          <w:cols w:equalWidth="0" w:num="1">
            <w:col w:w="11400"/>
          </w:cols>
          <w:pgMar w:left="240" w:top="274" w:right="259" w:bottom="1440" w:gutter="0" w:footer="0" w:header="0"/>
        </w:sectPr>
      </w:pPr>
    </w:p>
    <w:bookmarkStart w:id="65" w:name="page66"/>
    <w:bookmarkEnd w:id="65"/>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and/or settlement thereof solely with Permitted Equity Interests; and (y) any cash payment on account of interest or expenses on such convertible notes made by the Borrower in respect of such triggering and/or settlement thereof shall be permitted under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(b) so long as no Default shall exist or be continuing, any payment that, if treated as a Restricted Payment for purposes of </w:t>
      </w:r>
      <w:r>
        <w:rPr>
          <w:rFonts w:ascii="Arial" w:cs="Arial" w:eastAsia="Arial" w:hAnsi="Arial"/>
          <w:sz w:val="17"/>
          <w:szCs w:val="17"/>
          <w:u w:val="single" w:color="auto"/>
          <w:color w:val="auto"/>
        </w:rPr>
        <w:t>Section 6.05(d)</w:t>
      </w:r>
      <w:r>
        <w:rPr>
          <w:rFonts w:ascii="Arial" w:cs="Arial" w:eastAsia="Arial" w:hAnsi="Arial"/>
          <w:sz w:val="17"/>
          <w:szCs w:val="17"/>
          <w:color w:val="auto"/>
        </w:rPr>
        <w:t xml:space="preserve">, would be permitted to be made pursuant to the provisions set forth in </w:t>
      </w:r>
      <w:r>
        <w:rPr>
          <w:rFonts w:ascii="Arial" w:cs="Arial" w:eastAsia="Arial" w:hAnsi="Arial"/>
          <w:sz w:val="17"/>
          <w:szCs w:val="17"/>
          <w:u w:val="single" w:color="auto"/>
          <w:color w:val="auto"/>
        </w:rPr>
        <w:t>Section 6.05(d)</w:t>
      </w:r>
      <w:r>
        <w:rPr>
          <w:rFonts w:ascii="Arial" w:cs="Arial" w:eastAsia="Arial" w:hAnsi="Arial"/>
          <w:sz w:val="17"/>
          <w:szCs w:val="17"/>
          <w:color w:val="auto"/>
        </w:rPr>
        <w:t xml:space="preserve">; (c) voluntary payments or prepayments of Secured Longer-Term Indebtedness, so long as both before and after giving effect to such voluntary payment or prepayment (i) the Borrower is in pro forma compliance with the financial covenants set forth in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and (ii) no Default shall exist or be continuing; and (d) mandatory payments, required prepayments or mandatory redemptions of the 2019 Convertible Notes and any other convertible notes constituting Unsecured Longer-Term Indebtedness in Cash (including any cash payment elected to be paid in connection with the settlement by the Borrower of any conversion at the option of any holder of such 2019 Convertible Notes or other convertible notes pursuant to the conversion features thereunder), so long as both before and after giving effect to such payment (i) no Event of Default shall exist or be continuing and (ii) the Covered Debt Amount does not exceed the Borrowing Base.”.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Amendment to Section 9.02(b)</w:t>
      </w:r>
      <w:r>
        <w:rPr>
          <w:rFonts w:ascii="Arial" w:cs="Arial" w:eastAsia="Arial" w:hAnsi="Arial"/>
          <w:sz w:val="16"/>
          <w:szCs w:val="16"/>
          <w:color w:val="auto"/>
        </w:rPr>
        <w:t>. Section 9.02(b) is hereby amended by adding the following new sentence at the end of such Section:</w:t>
      </w:r>
    </w:p>
    <w:p>
      <w:pPr>
        <w:spacing w:after="0" w:line="14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“Anything in this Agreement to the contrary notwithstanding, this Agreement may be amended by the Borrower with the consent of the Administrative Agent and any Non-Extending Lender (but without the consent of the Required Lenders) for the sole purpose of extending the Commitments of such Non-Extending Lender so that such Non-Extending Lender becomes an Extending Lender hereunder.”.</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 TO GUARANTEE AND SECURITY AGREEMENT</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Amendment of Collateral and Guarantee Agreement</w:t>
      </w:r>
      <w:r>
        <w:rPr>
          <w:rFonts w:ascii="Arial" w:cs="Arial" w:eastAsia="Arial" w:hAnsi="Arial"/>
          <w:sz w:val="18"/>
          <w:szCs w:val="18"/>
          <w:color w:val="auto"/>
        </w:rPr>
        <w:t>. The Lenders hereby consent to, and instruct the Collateral Agent to enter into, an amendment to the Guarantee and Security Agreement to amend and restate the definition of “Hedging Agreement Obligations” in Section 1.02 of the Guarantee and Security Agreement as follows:</w:t>
      </w:r>
    </w:p>
    <w:p>
      <w:pPr>
        <w:spacing w:after="0" w:line="73" w:lineRule="exact"/>
        <w:rPr>
          <w:sz w:val="20"/>
          <w:szCs w:val="20"/>
          <w:color w:val="auto"/>
        </w:rPr>
      </w:pPr>
    </w:p>
    <w:p>
      <w:pPr>
        <w:ind w:left="92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Hedging Agreement Obligations</w:t>
      </w:r>
      <w:r>
        <w:rPr>
          <w:rFonts w:ascii="Arial" w:cs="Arial" w:eastAsia="Arial" w:hAnsi="Arial"/>
          <w:sz w:val="17"/>
          <w:szCs w:val="17"/>
          <w:color w:val="auto"/>
        </w:rPr>
        <w:t xml:space="preserve">” means, collectively, all obligations of any Obligor to any Lender (or any Affiliate thereof) under any Hedging Agreement including in each case all fees, indemnification payments and other amounts whatsoever, whether direct or indirect, absolute or contingent, now or hereafter from time to time owing to such Lender (or any Affiliate thereof) under such Hedging Agreement, and including all interest and expenses accrued or incurred subsequent to the commencement of any bankruptcy or insolvency proceeding with respect to such Obligor, whether or not such interest or expenses are allowed as a claim in such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any such obligations to constitute Hedging Agreement Obligations for purposes hereof, the Borrower (or any other Obligor) shall have delivered written notice to the Collateral Agent to the effect that such obligations constitute Hedging Agreement Obligations hereunder.</w:t>
      </w:r>
    </w:p>
    <w:p>
      <w:pPr>
        <w:sectPr>
          <w:pgSz w:w="11900" w:h="16838" w:orient="portrait"/>
          <w:cols w:equalWidth="0" w:num="1">
            <w:col w:w="11380"/>
          </w:cols>
          <w:pgMar w:left="240" w:top="274" w:right="279" w:bottom="1440" w:gutter="0" w:footer="0" w:header="0"/>
        </w:sectPr>
      </w:pPr>
    </w:p>
    <w:bookmarkStart w:id="66" w:name="page67"/>
    <w:bookmarkEnd w:id="66"/>
    <w:p>
      <w:pPr>
        <w:ind w:left="920"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hereof, it is understood that any obligations of any Obligor to a Person arising under a Hedging Agreement entered into at the time such Person (or an Affiliate thereof) is a “Lender” party to the Credit Agreement shall nevertheless continue to constitute Hedging Agreement Obligations for purposes hereof, notwithstanding that such Person (or Affiliate) may have assigned all of its Loans and other interests in the Credit Agreement and therefore, at the time a claim is to be made in respect of such obligations, such Person (or its Affiliate) is no longer a “Lender” party to the Credit Agreement.”.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CONDITIONS TO EFFECTIVENESS</w:t>
      </w:r>
    </w:p>
    <w:p>
      <w:pPr>
        <w:spacing w:after="0" w:line="225"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Effective Date</w:t>
      </w:r>
      <w:r>
        <w:rPr>
          <w:rFonts w:ascii="Arial" w:cs="Arial" w:eastAsia="Arial" w:hAnsi="Arial"/>
          <w:sz w:val="16"/>
          <w:szCs w:val="16"/>
          <w:color w:val="auto"/>
        </w:rPr>
        <w:t>. This Amendment shall become effective on the date (the “</w:t>
      </w:r>
      <w:r>
        <w:rPr>
          <w:rFonts w:ascii="Arial" w:cs="Arial" w:eastAsia="Arial" w:hAnsi="Arial"/>
          <w:sz w:val="16"/>
          <w:szCs w:val="16"/>
          <w:u w:val="single" w:color="auto"/>
          <w:color w:val="auto"/>
        </w:rPr>
        <w:t>First Amendment Effective Date</w:t>
      </w:r>
      <w:r>
        <w:rPr>
          <w:rFonts w:ascii="Arial" w:cs="Arial" w:eastAsia="Arial" w:hAnsi="Arial"/>
          <w:sz w:val="16"/>
          <w:szCs w:val="16"/>
          <w:color w:val="auto"/>
        </w:rPr>
        <w:t>”) when the Administrative Agent shall have received counterparts of this Amendment duly executed and delivered on behalf of the Borrower and each of the Lenders party hereto.</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Cross-References</w:t>
      </w:r>
      <w:r>
        <w:rPr>
          <w:rFonts w:ascii="Arial" w:cs="Arial" w:eastAsia="Arial" w:hAnsi="Arial"/>
          <w:sz w:val="18"/>
          <w:szCs w:val="18"/>
          <w:color w:val="auto"/>
        </w:rPr>
        <w:t>. References in this Amendment to any Article or Section are, unless otherwise specified, to such Article or Section of this Amendment.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Loan Document Pursuant to Existing Credit Agreement</w:t>
      </w:r>
      <w:r>
        <w:rPr>
          <w:rFonts w:ascii="Arial" w:cs="Arial" w:eastAsia="Arial" w:hAnsi="Arial"/>
          <w:sz w:val="18"/>
          <w:szCs w:val="18"/>
          <w:color w:val="auto"/>
        </w:rPr>
        <w:t>. This Amendment is a Loan Document executed pursuant to the Existing Credit Agreement and shall (unless otherwise expressly indicated therein) be construed, administered and applied in accordance with all of the terms and provisions of the Existing Credit Agreement, as amended hereby, including Article IX thereof.</w:t>
      </w:r>
    </w:p>
    <w:p>
      <w:pPr>
        <w:spacing w:after="0" w:line="18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Amendment shall be binding upon and inure to the benefit of the parties hereto and their respective successors and assigns.</w:t>
      </w:r>
    </w:p>
    <w:p>
      <w:pPr>
        <w:spacing w:after="0" w:line="170"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electronically (e.g. pdf) shall be effective as delivery of a manually executed counterpart of this Amendment.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governed by and construed in accordance with the laws of the State of New York.</w:t>
      </w:r>
    </w:p>
    <w:p>
      <w:pPr>
        <w:sectPr>
          <w:pgSz w:w="11900" w:h="16838" w:orient="portrait"/>
          <w:cols w:equalWidth="0" w:num="1">
            <w:col w:w="11380"/>
          </w:cols>
          <w:pgMar w:left="240" w:top="274" w:right="279" w:bottom="1440" w:gutter="0" w:footer="0" w:header="0"/>
        </w:sectPr>
      </w:pPr>
    </w:p>
    <w:bookmarkStart w:id="67" w:name="page68"/>
    <w:bookmarkEnd w:id="67"/>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5.6. </w:t>
      </w:r>
      <w:r>
        <w:rPr>
          <w:rFonts w:ascii="Arial" w:cs="Arial" w:eastAsia="Arial" w:hAnsi="Arial"/>
          <w:sz w:val="16"/>
          <w:szCs w:val="16"/>
          <w:u w:val="single" w:color="auto"/>
          <w:color w:val="auto"/>
        </w:rPr>
        <w:t>Full Force and Effect; Limited Amendment</w:t>
      </w:r>
      <w:r>
        <w:rPr>
          <w:rFonts w:ascii="Arial" w:cs="Arial" w:eastAsia="Arial" w:hAnsi="Arial"/>
          <w:sz w:val="16"/>
          <w:szCs w:val="16"/>
          <w:color w:val="auto"/>
        </w:rPr>
        <w:t>. Except as expressly amended hereby, all of the representations, warranties, terms, covenants, conditions and other provisions of the Existing Credit Agreement and the other Loan Documents shall remain unchanged and shall continue to be, and shall remain, in full force and effect in accordance with their respective terms. The amendment set forth herein shall be limited precisely as provided for herein to the provisions expressly amended herein and shall not be deemed to be an amendment to, waiver of, consent to or modification of any other terms or provisions of the Existing Credit Agreement or any other Loan Document or of any transaction or further or future action on the part of the Borrower which would require the consent of the Lenders under the Existing Credit Agreement or any of the Loan Documents. Upon and after the execution of this Amendment by each of the parties hereto, each reference in the Existing Credit Agreement to “this Agreement”, “hereunder”, “hereof” or words of like import referring to the Existing Credit Agreement, and each reference in the other Loan Documents to “the Credit Agreement”, “thereunder”, “thereof” or words of like import referring to the Existing Credit Agreement, shall mean and be a reference to the Existing Credit Agreement as modified hereby.</w:t>
      </w:r>
    </w:p>
    <w:p>
      <w:pPr>
        <w:spacing w:after="0" w:line="16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To induce the Lenders to execute and deliver this Amendment, the Borrower hereby represents and warrants to the Lenders on the First Amendment Effective Date that (A) the representations and warranties contained in Article III of the Existing Credit Agreement and the other Loan Documents are true and correct in all material respects, except to the extent that such representations and warranties specifically refer to an earlier date, in which case they are true and correct in all material respects as of such earlier date and (B) no Default has occurred and is continuing.</w:t>
      </w:r>
    </w:p>
    <w:p>
      <w:pPr>
        <w:sectPr>
          <w:pgSz w:w="11900" w:h="16838" w:orient="portrait"/>
          <w:cols w:equalWidth="0" w:num="1">
            <w:col w:w="11400"/>
          </w:cols>
          <w:pgMar w:left="240" w:top="274" w:right="259"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and delivered this Amendment as of the date first above written.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gridSpan w:val="2"/>
          </w:tcPr>
          <w:p>
            <w:pPr>
              <w:spacing w:after="0"/>
              <w:rPr>
                <w:sz w:val="20"/>
                <w:szCs w:val="20"/>
                <w:color w:val="auto"/>
              </w:rPr>
            </w:pPr>
            <w:r>
              <w:rPr>
                <w:rFonts w:ascii="Arial" w:cs="Arial" w:eastAsia="Arial" w:hAnsi="Arial"/>
                <w:sz w:val="18"/>
                <w:szCs w:val="18"/>
                <w:color w:val="auto"/>
              </w:rPr>
              <w:t>BORROWER:</w:t>
            </w:r>
          </w:p>
        </w:tc>
        <w:tc>
          <w:tcPr>
            <w:tcW w:w="7980" w:type="dxa"/>
            <w:vAlign w:val="bottom"/>
            <w:gridSpan w:val="2"/>
          </w:tcPr>
          <w:p>
            <w:pPr>
              <w:ind w:left="2380"/>
              <w:spacing w:after="0"/>
              <w:rPr>
                <w:sz w:val="20"/>
                <w:szCs w:val="20"/>
                <w:color w:val="auto"/>
              </w:rPr>
            </w:pPr>
            <w:r>
              <w:rPr>
                <w:rFonts w:ascii="Arial" w:cs="Arial" w:eastAsia="Arial" w:hAnsi="Arial"/>
                <w:sz w:val="18"/>
                <w:szCs w:val="18"/>
                <w:b w:val="1"/>
                <w:bCs w:val="1"/>
                <w:color w:val="auto"/>
              </w:rPr>
              <w:t>TPG SPECIALTY LENDING, INC.</w:t>
            </w:r>
          </w:p>
        </w:tc>
      </w:tr>
      <w:tr>
        <w:trPr>
          <w:trHeight w:val="453"/>
        </w:trPr>
        <w:tc>
          <w:tcPr>
            <w:tcW w:w="102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2860" w:type="dxa"/>
            <w:vAlign w:val="bottom"/>
          </w:tcPr>
          <w:p>
            <w:pPr>
              <w:ind w:left="23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Alan Kirshenbaum</w:t>
            </w:r>
          </w:p>
        </w:tc>
      </w:tr>
      <w:tr>
        <w:trPr>
          <w:trHeight w:val="195"/>
        </w:trPr>
        <w:tc>
          <w:tcPr>
            <w:tcW w:w="10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860" w:type="dxa"/>
            <w:vAlign w:val="bottom"/>
          </w:tcPr>
          <w:p>
            <w:pPr>
              <w:ind w:left="238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Alan Kirshenbaum</w:t>
            </w:r>
          </w:p>
        </w:tc>
      </w:tr>
      <w:tr>
        <w:trPr>
          <w:trHeight w:val="230"/>
        </w:trPr>
        <w:tc>
          <w:tcPr>
            <w:tcW w:w="10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60" w:type="dxa"/>
            <w:vAlign w:val="bottom"/>
          </w:tcPr>
          <w:p>
            <w:pPr>
              <w:ind w:left="238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FIRST AMENDMENT – TPG</w:t>
      </w:r>
    </w:p>
    <w:p>
      <w:pPr>
        <w:sectPr>
          <w:pgSz w:w="11900" w:h="16838" w:orient="portrait"/>
          <w:cols w:equalWidth="0" w:num="1">
            <w:col w:w="11420"/>
          </w:cols>
          <w:pgMar w:left="240" w:top="274"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3340" w:type="dxa"/>
            <w:vAlign w:val="bottom"/>
            <w:gridSpan w:val="2"/>
          </w:tcPr>
          <w:p>
            <w:pPr>
              <w:spacing w:after="0"/>
              <w:rPr>
                <w:sz w:val="20"/>
                <w:szCs w:val="20"/>
                <w:color w:val="auto"/>
              </w:rPr>
            </w:pPr>
            <w:r>
              <w:rPr>
                <w:rFonts w:ascii="Arial" w:cs="Arial" w:eastAsia="Arial" w:hAnsi="Arial"/>
                <w:sz w:val="18"/>
                <w:szCs w:val="18"/>
                <w:color w:val="auto"/>
              </w:rPr>
              <w:t>LENDERS:</w:t>
            </w:r>
          </w:p>
        </w:tc>
        <w:tc>
          <w:tcPr>
            <w:tcW w:w="8080" w:type="dxa"/>
            <w:vAlign w:val="bottom"/>
            <w:gridSpan w:val="2"/>
          </w:tcPr>
          <w:p>
            <w:pPr>
              <w:ind w:left="2480"/>
              <w:spacing w:after="0"/>
              <w:rPr>
                <w:sz w:val="20"/>
                <w:szCs w:val="20"/>
                <w:color w:val="auto"/>
              </w:rPr>
            </w:pPr>
            <w:r>
              <w:rPr>
                <w:rFonts w:ascii="Arial" w:cs="Arial" w:eastAsia="Arial" w:hAnsi="Arial"/>
                <w:sz w:val="18"/>
                <w:szCs w:val="18"/>
                <w:b w:val="1"/>
                <w:bCs w:val="1"/>
                <w:color w:val="auto"/>
              </w:rPr>
              <w:t>SUNTRUST BANK</w:t>
            </w:r>
          </w:p>
        </w:tc>
      </w:tr>
      <w:tr>
        <w:trPr>
          <w:trHeight w:val="222"/>
        </w:trPr>
        <w:tc>
          <w:tcPr>
            <w:tcW w:w="820" w:type="dxa"/>
            <w:vAlign w:val="bottom"/>
            <w:tcBorders>
              <w:top w:val="single" w:sz="8" w:color="auto"/>
            </w:tcBorders>
          </w:tcPr>
          <w:p>
            <w:pPr>
              <w:spacing w:after="0"/>
              <w:rPr>
                <w:sz w:val="19"/>
                <w:szCs w:val="19"/>
                <w:color w:val="auto"/>
              </w:rPr>
            </w:pPr>
          </w:p>
        </w:tc>
        <w:tc>
          <w:tcPr>
            <w:tcW w:w="2520" w:type="dxa"/>
            <w:vAlign w:val="bottom"/>
          </w:tcPr>
          <w:p>
            <w:pPr>
              <w:spacing w:after="0"/>
              <w:rPr>
                <w:sz w:val="19"/>
                <w:szCs w:val="19"/>
                <w:color w:val="auto"/>
              </w:rPr>
            </w:pPr>
          </w:p>
        </w:tc>
        <w:tc>
          <w:tcPr>
            <w:tcW w:w="8080" w:type="dxa"/>
            <w:vAlign w:val="bottom"/>
            <w:gridSpan w:val="2"/>
          </w:tcPr>
          <w:p>
            <w:pPr>
              <w:ind w:left="2480"/>
              <w:spacing w:after="0"/>
              <w:rPr>
                <w:sz w:val="20"/>
                <w:szCs w:val="20"/>
                <w:color w:val="auto"/>
              </w:rPr>
            </w:pPr>
            <w:r>
              <w:rPr>
                <w:rFonts w:ascii="Arial" w:cs="Arial" w:eastAsia="Arial" w:hAnsi="Arial"/>
                <w:sz w:val="18"/>
                <w:szCs w:val="18"/>
                <w:color w:val="auto"/>
              </w:rPr>
              <w:t>as Administrative Agent, Swingline Lender, Issuing</w:t>
            </w:r>
          </w:p>
        </w:tc>
      </w:tr>
      <w:tr>
        <w:trPr>
          <w:trHeight w:val="216"/>
        </w:trPr>
        <w:tc>
          <w:tcPr>
            <w:tcW w:w="8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80" w:type="dxa"/>
            <w:vAlign w:val="bottom"/>
            <w:gridSpan w:val="2"/>
          </w:tcPr>
          <w:p>
            <w:pPr>
              <w:ind w:left="2480"/>
              <w:spacing w:after="0"/>
              <w:rPr>
                <w:sz w:val="20"/>
                <w:szCs w:val="20"/>
                <w:color w:val="auto"/>
              </w:rPr>
            </w:pPr>
            <w:r>
              <w:rPr>
                <w:rFonts w:ascii="Arial" w:cs="Arial" w:eastAsia="Arial" w:hAnsi="Arial"/>
                <w:sz w:val="18"/>
                <w:szCs w:val="18"/>
                <w:color w:val="auto"/>
              </w:rPr>
              <w:t>Bank and as a Lender and, for purposes of Article</w:t>
            </w:r>
          </w:p>
        </w:tc>
      </w:tr>
      <w:tr>
        <w:trPr>
          <w:trHeight w:val="230"/>
        </w:trPr>
        <w:tc>
          <w:tcPr>
            <w:tcW w:w="8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080" w:type="dxa"/>
            <w:vAlign w:val="bottom"/>
            <w:gridSpan w:val="2"/>
          </w:tcPr>
          <w:p>
            <w:pPr>
              <w:ind w:left="2480"/>
              <w:spacing w:after="0"/>
              <w:rPr>
                <w:sz w:val="20"/>
                <w:szCs w:val="20"/>
                <w:color w:val="auto"/>
              </w:rPr>
            </w:pPr>
            <w:r>
              <w:rPr>
                <w:rFonts w:ascii="Arial" w:cs="Arial" w:eastAsia="Arial" w:hAnsi="Arial"/>
                <w:sz w:val="18"/>
                <w:szCs w:val="18"/>
                <w:color w:val="auto"/>
              </w:rPr>
              <w:t>III hereof only, as Collateral Agent</w:t>
            </w:r>
          </w:p>
        </w:tc>
      </w:tr>
      <w:tr>
        <w:trPr>
          <w:trHeight w:val="446"/>
        </w:trPr>
        <w:tc>
          <w:tcPr>
            <w:tcW w:w="8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Bennett</w:t>
            </w:r>
          </w:p>
        </w:tc>
      </w:tr>
      <w:tr>
        <w:trPr>
          <w:trHeight w:val="195"/>
        </w:trPr>
        <w:tc>
          <w:tcPr>
            <w:tcW w:w="8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960" w:type="dxa"/>
            <w:vAlign w:val="bottom"/>
          </w:tcPr>
          <w:p>
            <w:pPr>
              <w:ind w:left="248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David Bennett</w:t>
            </w:r>
          </w:p>
        </w:tc>
      </w:tr>
      <w:tr>
        <w:trPr>
          <w:trHeight w:val="230"/>
        </w:trPr>
        <w:tc>
          <w:tcPr>
            <w:tcW w:w="8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960" w:type="dxa"/>
            <w:vAlign w:val="bottom"/>
          </w:tcPr>
          <w:p>
            <w:pPr>
              <w:ind w:left="248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i w:val="1"/>
          <w:iCs w:val="1"/>
          <w:color w:val="auto"/>
        </w:rPr>
        <w:t>SIGNATURE PAGE TO FIRST AMENDMENT – TPG</w:t>
      </w:r>
    </w:p>
    <w:p>
      <w:pPr>
        <w:sectPr>
          <w:pgSz w:w="11900" w:h="16838" w:orient="portrait"/>
          <w:cols w:equalWidth="0" w:num="1">
            <w:col w:w="11420"/>
          </w:cols>
          <w:pgMar w:left="240" w:top="257" w:right="239" w:bottom="1440" w:gutter="0" w:footer="0" w:header="0"/>
        </w:sectPr>
      </w:pPr>
    </w:p>
    <w:bookmarkStart w:id="70" w:name="page71"/>
    <w:bookmarkEnd w:id="70"/>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OF AMERICA, N.A</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Jacob Garcia</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Jacob Garcia</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Director</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70" w:right="239" w:bottom="1440" w:gutter="0" w:footer="0" w:header="0"/>
        </w:sectPr>
      </w:pPr>
    </w:p>
    <w:bookmarkStart w:id="71" w:name="page72"/>
    <w:bookmarkEnd w:id="71"/>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BARCLAYS BANK PLC</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Gregory Fishbein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Gregory Fishbein</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Assistant Vice President</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70" w:right="239" w:bottom="1440" w:gutter="0" w:footer="0" w:header="0"/>
        </w:sectPr>
      </w:pPr>
    </w:p>
    <w:bookmarkStart w:id="72" w:name="page73"/>
    <w:bookmarkEnd w:id="7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CIT FINANCE LLC</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Renee M. Singer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Renee M. Singer</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Managing Director</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70" w:right="239" w:bottom="1440" w:gutter="0" w:footer="0" w:header="0"/>
        </w:sectPr>
      </w:pPr>
    </w:p>
    <w:bookmarkStart w:id="73" w:name="page74"/>
    <w:bookmarkEnd w:id="7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Eros Marshall</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Eros Marshall</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Vice President</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70" w:right="239" w:bottom="1440" w:gutter="0" w:footer="0" w:header="0"/>
        </w:sectPr>
      </w:pPr>
    </w:p>
    <w:bookmarkStart w:id="74" w:name="page75"/>
    <w:bookmarkEnd w:id="7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CITY NATIONAL BANK</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Brandon L. Feitelson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Brandon L. Feitelson, C.F.A.</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Senior Vice President</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70" w:right="239" w:bottom="1440" w:gutter="0" w:footer="0" w:header="0"/>
        </w:sectPr>
      </w:pPr>
    </w:p>
    <w:bookmarkStart w:id="75" w:name="page76"/>
    <w:bookmarkEnd w:id="7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COMERICA BANK</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Timothy O’Rourke</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Timothy O’Rourke</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Vice President</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70" w:right="239" w:bottom="1440" w:gutter="0" w:footer="0" w:header="0"/>
        </w:sectPr>
      </w:pPr>
    </w:p>
    <w:bookmarkStart w:id="76" w:name="page77"/>
    <w:bookmarkEnd w:id="7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GOLDMAN SACHS BANK USA</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Michelle Latzoni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Michelle Latzoni</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Authorized Signatory</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70" w:right="239" w:bottom="1440" w:gutter="0" w:footer="0" w:header="0"/>
        </w:sectPr>
      </w:pPr>
    </w:p>
    <w:bookmarkStart w:id="77" w:name="page78"/>
    <w:bookmarkEnd w:id="7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HSBC BANK USA</w:t>
      </w:r>
      <w:r>
        <w:rPr>
          <w:rFonts w:ascii="Arial" w:cs="Arial" w:eastAsia="Arial" w:hAnsi="Arial"/>
          <w:sz w:val="18"/>
          <w:szCs w:val="18"/>
          <w:color w:val="auto"/>
        </w:rPr>
        <w:t>, as a Lender</w:t>
      </w:r>
    </w:p>
    <w:p>
      <w:pPr>
        <w:spacing w:after="0" w:line="22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Edwin Soogrim</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Edwin Soogrim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-130810</wp:posOffset>
            </wp:positionV>
            <wp:extent cx="25469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SIGNATURE PAGE TO FIRST AMENDMENT – TPG</w:t>
      </w:r>
    </w:p>
    <w:p>
      <w:pPr>
        <w:sectPr>
          <w:pgSz w:w="11900" w:h="16838" w:orient="portrait"/>
          <w:cols w:equalWidth="0" w:num="1">
            <w:col w:w="10220"/>
          </w:cols>
          <w:pgMar w:left="1440" w:top="270" w:right="239" w:bottom="1440" w:gutter="0" w:footer="0" w:header="0"/>
        </w:sectPr>
      </w:pPr>
    </w:p>
    <w:bookmarkStart w:id="78" w:name="page79"/>
    <w:bookmarkEnd w:id="7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Lauren Gubkin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Lauren Gubkin</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Vice President</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70" w:right="239" w:bottom="1440" w:gutter="0" w:footer="0" w:header="0"/>
        </w:sectPr>
      </w:pPr>
    </w:p>
    <w:bookmarkStart w:id="79" w:name="page80"/>
    <w:bookmarkEnd w:id="7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LLOYDS BANK PLC</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Dennis McClellan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Dennis McClellan M040</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Assistant Vice President</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Joel Slomko</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Joel Slomko S088</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Assistant Vice President</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70" w:right="239" w:bottom="1440" w:gutter="0" w:footer="0" w:header="0"/>
        </w:sectPr>
      </w:pPr>
    </w:p>
    <w:bookmarkStart w:id="80" w:name="page81"/>
    <w:bookmarkEnd w:id="80"/>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MIZUHO BANK, LTD.</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James R. Fayen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James R. Fayen</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Deputy General Manager</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70" w:right="239" w:bottom="1440" w:gutter="0" w:footer="0" w:header="0"/>
        </w:sectPr>
      </w:pPr>
    </w:p>
    <w:bookmarkStart w:id="81" w:name="page82"/>
    <w:bookmarkEnd w:id="81"/>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MORGAN STANLEY BANK, N.A.</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Harry Comninellis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Harry Comninellis</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Authorized Signatory</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70" w:right="239" w:bottom="1440" w:gutter="0" w:footer="0" w:header="0"/>
        </w:sectPr>
      </w:pPr>
    </w:p>
    <w:bookmarkStart w:id="82" w:name="page83"/>
    <w:bookmarkEnd w:id="8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PATRIOT BANK</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Bill Holbert</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Bill Holbert</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Senior Vice President</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70" w:right="239" w:bottom="1440" w:gutter="0" w:footer="0" w:header="0"/>
        </w:sectPr>
      </w:pPr>
    </w:p>
    <w:bookmarkStart w:id="83" w:name="page84"/>
    <w:bookmarkEnd w:id="8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STREET BANK AND TRUST COMPANY</w:t>
      </w:r>
      <w:r>
        <w:rPr>
          <w:rFonts w:ascii="Arial" w:cs="Arial" w:eastAsia="Arial" w:hAnsi="Arial"/>
          <w:sz w:val="18"/>
          <w:szCs w:val="18"/>
          <w:color w:val="auto"/>
        </w:rPr>
        <w:t>, as 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/s/ Janet B. Nolin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Janet B. Nolin</w:t>
            </w:r>
          </w:p>
        </w:tc>
        <w:tc>
          <w:tcPr>
            <w:tcW w:w="2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gridSpan w:val="2"/>
          </w:tcPr>
          <w:p>
            <w:pPr>
              <w:ind w:left="40"/>
              <w:spacing w:after="0"/>
              <w:rPr>
                <w:sz w:val="20"/>
                <w:szCs w:val="20"/>
                <w:color w:val="auto"/>
              </w:rPr>
            </w:pPr>
            <w:r>
              <w:rPr>
                <w:rFonts w:ascii="Arial" w:cs="Arial" w:eastAsia="Arial" w:hAnsi="Arial"/>
                <w:sz w:val="18"/>
                <w:szCs w:val="18"/>
                <w:color w:val="auto"/>
              </w:rPr>
              <w:t>Vice President</w:t>
            </w:r>
          </w:p>
        </w:tc>
      </w:tr>
      <w:tr>
        <w:trPr>
          <w:trHeight w:val="365"/>
        </w:trPr>
        <w:tc>
          <w:tcPr>
            <w:tcW w:w="540" w:type="dxa"/>
            <w:vAlign w:val="bottom"/>
          </w:tcPr>
          <w:p>
            <w:pPr>
              <w:spacing w:after="0"/>
              <w:rPr>
                <w:sz w:val="24"/>
                <w:szCs w:val="24"/>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i w:val="1"/>
                <w:iCs w:val="1"/>
                <w:color w:val="auto"/>
                <w:w w:val="91"/>
              </w:rPr>
              <w:t>SIGNATURE PAGE TO FIRST AMENDMENT – TPG</w:t>
            </w:r>
          </w:p>
        </w:tc>
      </w:tr>
    </w:tbl>
    <w:p>
      <w:pPr>
        <w:sectPr>
          <w:pgSz w:w="11900" w:h="16838" w:orient="portrait"/>
          <w:cols w:equalWidth="0" w:num="1">
            <w:col w:w="10220"/>
          </w:cols>
          <w:pgMar w:left="1440" w:top="270"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SECOND AMENDED AND RESTATED SENIOR SECURED REVOLVING CREDIT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SECOND AMENDMENT TO SECOND AMENDED AND RESTATED SENIOR SECURED REVOLVING CREDIT AGREEMENT, dated as of June 27, 2014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the Existing Credit Agreement (capitalized terms used herein and not otherwise defined shall have the meanings given to such terms in Article I) is among TPG SPECIALTY LENDING,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MORGAN STANLEY BANK, N.A., as a Lender (the “</w:t>
      </w:r>
      <w:r>
        <w:rPr>
          <w:rFonts w:ascii="Arial" w:cs="Arial" w:eastAsia="Arial" w:hAnsi="Arial"/>
          <w:sz w:val="18"/>
          <w:szCs w:val="18"/>
          <w:u w:val="single" w:color="auto"/>
          <w:color w:val="auto"/>
        </w:rPr>
        <w:t>Consenting Lender</w:t>
      </w:r>
      <w:r>
        <w:rPr>
          <w:rFonts w:ascii="Arial" w:cs="Arial" w:eastAsia="Arial" w:hAnsi="Arial"/>
          <w:sz w:val="18"/>
          <w:szCs w:val="18"/>
          <w:color w:val="auto"/>
        </w:rPr>
        <w:t>”), and SUNTRUST BANK, as Administrative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WHEREAS, the Borrower, the Lenders (including the Consenting Lender) and the Administrative Agent are parties to the Second Amended and Restated Senior Secured Revolving Credit Agreement, dated as of February 27, 2014 (the “</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as amended by the First Amendment to Second Amended and Restated Senior Secured Revolving Credit Agreement, dated as of June 3, 2014, and by this Amendment and as the same may be further amended, supplemented, amended and restated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and</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WHEREAS, the Borrower has requested that the Administrative Agent and the Consenting Lender agree to amend the Existing Credit Agreement for the purpose of extending the Commitment of the Consenting Lender as a Non-Extending Lender so that the Consenting Lender becomes an Extending Lender thereunder and each of the Administrative Agent and the Consenting Lender is willing, on the terms and subject to the conditions hereinafter set forth, to agree to the amendment set forth below and the other terms hereof;</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hereby covenant and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The following terms when used in this Amendment shall have the following meanings (such meanings to be equally applicable to the singular and plural forms thereof):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Consenting Lender</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preamble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first recital</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xml:space="preserve">” is defined in the </w:t>
      </w:r>
      <w:r>
        <w:rPr>
          <w:rFonts w:ascii="Arial" w:cs="Arial" w:eastAsia="Arial" w:hAnsi="Arial"/>
          <w:sz w:val="18"/>
          <w:szCs w:val="18"/>
          <w:u w:val="single" w:color="auto"/>
          <w:color w:val="auto"/>
        </w:rPr>
        <w:t>first recital</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85" w:name="page86"/>
    <w:bookmarkEnd w:id="8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Definitions</w:t>
      </w:r>
      <w:r>
        <w:rPr>
          <w:rFonts w:ascii="Arial" w:cs="Arial" w:eastAsia="Arial" w:hAnsi="Arial"/>
          <w:sz w:val="18"/>
          <w:szCs w:val="18"/>
          <w:color w:val="auto"/>
        </w:rPr>
        <w:t>. Capitalized terms for which meanings are provided in the Existing Credit Agreement are, unless otherwise defined herein or the context otherwise requires, used in this Amendment with such meanings.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TO EXISTING CREDIT AGREEMENT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Subject to the occurrence of the Second Amendment Effective Date (as hereinafter defined), the Existing Credit Agreement is amended in accordance with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Amendments to Schedule 1.01(b)</w:t>
      </w:r>
      <w:r>
        <w:rPr>
          <w:rFonts w:ascii="Arial" w:cs="Arial" w:eastAsia="Arial" w:hAnsi="Arial"/>
          <w:sz w:val="18"/>
          <w:szCs w:val="18"/>
          <w:color w:val="auto"/>
        </w:rPr>
        <w:t>. Schedule 1.01(b) is hereby amended by removing Morgan Stanley Bank, N.A. as a Non-Extending Lender and adding it as an Extending Lender.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TO EFFECTIVENESS</w:t>
      </w:r>
    </w:p>
    <w:p>
      <w:pPr>
        <w:spacing w:after="0" w:line="225"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Effective Date</w:t>
      </w:r>
      <w:r>
        <w:rPr>
          <w:rFonts w:ascii="Arial" w:cs="Arial" w:eastAsia="Arial" w:hAnsi="Arial"/>
          <w:sz w:val="18"/>
          <w:szCs w:val="18"/>
          <w:color w:val="auto"/>
        </w:rPr>
        <w:t>. This Amendment shall become effective on the date (the “</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when the Administrative Agent shall have received counterparts of this Amendment duly executed and delivered on behalf of the Borrower and each of the Lenders party hereto.</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Cross-References</w:t>
      </w:r>
      <w:r>
        <w:rPr>
          <w:rFonts w:ascii="Arial" w:cs="Arial" w:eastAsia="Arial" w:hAnsi="Arial"/>
          <w:sz w:val="18"/>
          <w:szCs w:val="18"/>
          <w:color w:val="auto"/>
        </w:rPr>
        <w:t>. References in this Amendment to any Article or Section are, unless otherwise specified, to such Article or Section of this Amendment.</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Loan Document Pursuant to Existing Credit Agreement</w:t>
      </w:r>
      <w:r>
        <w:rPr>
          <w:rFonts w:ascii="Arial" w:cs="Arial" w:eastAsia="Arial" w:hAnsi="Arial"/>
          <w:sz w:val="18"/>
          <w:szCs w:val="18"/>
          <w:color w:val="auto"/>
        </w:rPr>
        <w:t>. This Amendment is a Loan Document executed pursuant to the Existing Credit Agreement and shall (unless otherwise expressly indicated therein) be construed, administered and applied in accordance with all of the terms and provisions of the Existing Credit Agreement, as amended hereby, including Article IX thereof.</w:t>
      </w:r>
    </w:p>
    <w:p>
      <w:pPr>
        <w:spacing w:after="0" w:line="181" w:lineRule="exact"/>
        <w:rPr>
          <w:sz w:val="20"/>
          <w:szCs w:val="20"/>
          <w:color w:val="auto"/>
        </w:rPr>
      </w:pPr>
    </w:p>
    <w:p>
      <w:pPr>
        <w:jc w:val="both"/>
        <w:ind w:right="60" w:firstLine="456"/>
        <w:spacing w:after="0" w:line="277"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Amendment shall be binding upon and inure to the benefit of the parties hereto and their respective successors and assigns.</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electronically (e.g. pdf) shall be effective as delivery of a manually executed counterpart of this Amendment.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86" w:name="page87"/>
    <w:bookmarkEnd w:id="86"/>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4.5.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governed by and construed in accordance with the laws of the State of New York.</w:t>
      </w:r>
    </w:p>
    <w:p>
      <w:pPr>
        <w:spacing w:after="0" w:line="2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Full Force and Effect; Limited Amendment</w:t>
      </w:r>
      <w:r>
        <w:rPr>
          <w:rFonts w:ascii="Arial" w:cs="Arial" w:eastAsia="Arial" w:hAnsi="Arial"/>
          <w:sz w:val="16"/>
          <w:szCs w:val="16"/>
          <w:color w:val="auto"/>
        </w:rPr>
        <w:t>. Except as expressly amended hereby, all of the representations, warranties, terms, covenants, conditions and other provisions of the Existing Credit Agreement and the other Loan Documents shall remain unchanged and shall continue to be, and shall remain, in full force and effect in accordance with their respective terms. The amendment set forth herein shall be limited precisely as provided for herein to the provisions expressly amended herein and shall not be deemed to be an amendment to, waiver of, consent to or modification of any other terms or provisions of the Existing Credit Agreement or any other Loan Document or of any transaction or further or future action on the part of the Borrower which would require the consent of the Lenders under the Existing Credit Agreement or any of the Loan Documents. Upon and after the execution of this Amendment by each of the parties hereto, each reference in the Existing Credit Agreement to “this Agreement”, “hereunder”, “hereof’ or words of like import referring to the Existing Credit Agreement, and each reference in the other Loan Documents to “the Credit Agreement”, “thereunder”, “thereof’ or words of like import referring to the Existing Credit Agreement shall mean and be a reference to the Existing Credit Agreement as modified hereby.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and delivered this Amendment as of the date first above written.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Kirshenbaum</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Alan Kirshenbaum</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SIGNATURE PAGE TO SECOND AMENDMENT - TPG</w:t>
      </w:r>
    </w:p>
    <w:p>
      <w:pPr>
        <w:sectPr>
          <w:pgSz w:w="11900" w:h="16838" w:orient="portrait"/>
          <w:cols w:equalWidth="0" w:num="1">
            <w:col w:w="10960"/>
          </w:cols>
          <w:pgMar w:left="700" w:top="274" w:right="239" w:bottom="1440" w:gutter="0" w:footer="0" w:header="0"/>
        </w:sectPr>
      </w:pPr>
    </w:p>
    <w:bookmarkStart w:id="88" w:name="page89"/>
    <w:bookmarkEnd w:id="8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SUNTRUST BANK</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 Kennedy</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Doug Kennedy</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148" w:lineRule="exact"/>
        <w:rPr>
          <w:sz w:val="20"/>
          <w:szCs w:val="20"/>
          <w:color w:val="auto"/>
        </w:rPr>
      </w:pPr>
    </w:p>
    <w:p>
      <w:pPr>
        <w:ind w:left="5900"/>
        <w:spacing w:after="0"/>
        <w:rPr>
          <w:sz w:val="20"/>
          <w:szCs w:val="20"/>
          <w:color w:val="auto"/>
        </w:rPr>
      </w:pPr>
      <w:r>
        <w:rPr>
          <w:rFonts w:ascii="Arial" w:cs="Arial" w:eastAsia="Arial" w:hAnsi="Arial"/>
          <w:sz w:val="17"/>
          <w:szCs w:val="17"/>
          <w:b w:val="1"/>
          <w:bCs w:val="1"/>
          <w:i w:val="1"/>
          <w:iCs w:val="1"/>
          <w:color w:val="auto"/>
        </w:rPr>
        <w:t>SIGNATURE PAGE TO SECOND AMENDMENT - TPG</w:t>
      </w:r>
    </w:p>
    <w:p>
      <w:pPr>
        <w:sectPr>
          <w:pgSz w:w="11900" w:h="16838" w:orient="portrait"/>
          <w:cols w:equalWidth="0" w:num="1">
            <w:col w:w="10220"/>
          </w:cols>
          <w:pgMar w:left="1440" w:top="270" w:right="239" w:bottom="1440" w:gutter="0" w:footer="0" w:header="0"/>
        </w:sectPr>
      </w:pPr>
    </w:p>
    <w:bookmarkStart w:id="89" w:name="page90"/>
    <w:bookmarkEnd w:id="8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MORGAN STANLEY BANK, N.A., </w:t>
      </w:r>
      <w:r>
        <w:rPr>
          <w:rFonts w:ascii="Arial" w:cs="Arial" w:eastAsia="Arial" w:hAnsi="Arial"/>
          <w:sz w:val="18"/>
          <w:szCs w:val="18"/>
          <w:color w:val="auto"/>
        </w:rPr>
        <w:t>as the Consenting</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King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Michael King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p>
    <w:p>
      <w:pPr>
        <w:ind w:left="5900"/>
        <w:spacing w:after="0"/>
        <w:rPr>
          <w:sz w:val="20"/>
          <w:szCs w:val="20"/>
          <w:color w:val="auto"/>
        </w:rPr>
      </w:pPr>
      <w:r>
        <w:rPr>
          <w:rFonts w:ascii="Arial" w:cs="Arial" w:eastAsia="Arial" w:hAnsi="Arial"/>
          <w:sz w:val="17"/>
          <w:szCs w:val="17"/>
          <w:b w:val="1"/>
          <w:bCs w:val="1"/>
          <w:i w:val="1"/>
          <w:iCs w:val="1"/>
          <w:color w:val="auto"/>
        </w:rPr>
        <w:t>SIGNATURE PAGE TO SECOND AMENDMENT - TPG</w:t>
      </w:r>
    </w:p>
    <w:p>
      <w:pPr>
        <w:sectPr>
          <w:pgSz w:w="11900" w:h="16838" w:orient="portrait"/>
          <w:cols w:equalWidth="0" w:num="1">
            <w:col w:w="10220"/>
          </w:cols>
          <w:pgMar w:left="1440" w:top="270"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90"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5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780" w:val="left"/>
          <w:tab w:leader="none" w:pos="6380" w:val="left"/>
        </w:tabs>
        <w:rPr>
          <w:sz w:val="20"/>
          <w:szCs w:val="20"/>
          <w:color w:val="auto"/>
        </w:rPr>
      </w:pPr>
      <w:r>
        <w:rPr>
          <w:rFonts w:ascii="Arial" w:cs="Arial" w:eastAsia="Arial" w:hAnsi="Arial"/>
          <w:sz w:val="18"/>
          <w:szCs w:val="18"/>
          <w:color w:val="auto"/>
        </w:rPr>
        <w:t>Date: August 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Joshua Easterly</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420"/>
          </w:cols>
          <w:pgMar w:left="240" w:top="12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90"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5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460" w:val="left"/>
          <w:tab w:leader="none" w:pos="6040" w:val="left"/>
        </w:tabs>
        <w:rPr>
          <w:sz w:val="20"/>
          <w:szCs w:val="20"/>
          <w:color w:val="auto"/>
        </w:rPr>
      </w:pPr>
      <w:r>
        <w:rPr>
          <w:rFonts w:ascii="Arial" w:cs="Arial" w:eastAsia="Arial" w:hAnsi="Arial"/>
          <w:sz w:val="18"/>
          <w:szCs w:val="18"/>
          <w:color w:val="auto"/>
        </w:rPr>
        <w:t>Date: August 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Fishman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420"/>
          </w:cols>
          <w:pgMar w:left="240" w:top="125"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Alan Kirshenbaum, certify that:</w:t>
      </w:r>
    </w:p>
    <w:p>
      <w:pPr>
        <w:spacing w:after="0" w:line="90"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5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460" w:val="left"/>
          <w:tab w:leader="none" w:pos="6040" w:val="left"/>
        </w:tabs>
        <w:rPr>
          <w:sz w:val="20"/>
          <w:szCs w:val="20"/>
          <w:color w:val="auto"/>
        </w:rPr>
      </w:pPr>
      <w:r>
        <w:rPr>
          <w:rFonts w:ascii="Arial" w:cs="Arial" w:eastAsia="Arial" w:hAnsi="Arial"/>
          <w:sz w:val="18"/>
          <w:szCs w:val="18"/>
          <w:color w:val="auto"/>
        </w:rPr>
        <w:t>Date: August 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Alan Kirshenbaum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In connection with the quarterly report on Form 10-Q of TPG Specialty Lending, Inc. (the “Company”) for the quarterly period ended June 30, 2014, as filed with the Securities and Exchange Commission on the date hereof (the “Report”), Joshua Easterly and Michael Fishman, as Co-Chief Executive Officers of the Company, and Alan Kirshenbaum, as Chief Financial Officer of the Company, each hereby certifies, pursuant to 18 U.S.C. § 1350, as adopted pursuant to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906 of the Sarbanes-Oxley Act of 2002, that, to such officer’s knowledge:</w:t>
      </w:r>
    </w:p>
    <w:p>
      <w:pPr>
        <w:spacing w:after="0" w:line="84" w:lineRule="exact"/>
        <w:rPr>
          <w:sz w:val="20"/>
          <w:szCs w:val="20"/>
          <w:color w:val="auto"/>
        </w:rPr>
      </w:pPr>
    </w:p>
    <w:p>
      <w:pPr>
        <w:ind w:left="720" w:hanging="256"/>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Joshua Easterly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0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Joshua Easterly</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00"/>
              <w:spacing w:after="0"/>
              <w:rPr>
                <w:sz w:val="20"/>
                <w:szCs w:val="20"/>
                <w:color w:val="auto"/>
              </w:rPr>
            </w:pPr>
            <w:r>
              <w:rPr>
                <w:rFonts w:ascii="Arial" w:cs="Arial" w:eastAsia="Arial" w:hAnsi="Arial"/>
                <w:sz w:val="18"/>
                <w:szCs w:val="18"/>
                <w:color w:val="auto"/>
              </w:rPr>
              <w:t>Co-Chief Executive Officer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100"/>
              <w:spacing w:after="0"/>
              <w:rPr>
                <w:sz w:val="20"/>
                <w:szCs w:val="20"/>
                <w:color w:val="auto"/>
              </w:rPr>
            </w:pPr>
            <w:r>
              <w:rPr>
                <w:rFonts w:ascii="Arial" w:cs="Arial" w:eastAsia="Arial" w:hAnsi="Arial"/>
                <w:sz w:val="18"/>
                <w:szCs w:val="18"/>
                <w:color w:val="auto"/>
              </w:rPr>
              <w:t>August 4, 2014</w:t>
            </w:r>
          </w:p>
        </w:tc>
      </w:tr>
      <w:tr>
        <w:trPr>
          <w:trHeight w:val="433"/>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Fishman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020" w:type="dxa"/>
            <w:vAlign w:val="bottom"/>
          </w:tcPr>
          <w:p>
            <w:pPr>
              <w:ind w:left="100"/>
              <w:spacing w:after="0"/>
              <w:rPr>
                <w:sz w:val="20"/>
                <w:szCs w:val="20"/>
                <w:color w:val="auto"/>
              </w:rPr>
            </w:pPr>
            <w:r>
              <w:rPr>
                <w:rFonts w:ascii="Arial" w:cs="Arial" w:eastAsia="Arial" w:hAnsi="Arial"/>
                <w:sz w:val="18"/>
                <w:szCs w:val="18"/>
                <w:color w:val="auto"/>
              </w:rPr>
              <w:t>Michael Fishman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00"/>
              <w:spacing w:after="0"/>
              <w:rPr>
                <w:sz w:val="20"/>
                <w:szCs w:val="20"/>
                <w:color w:val="auto"/>
              </w:rPr>
            </w:pPr>
            <w:r>
              <w:rPr>
                <w:rFonts w:ascii="Arial" w:cs="Arial" w:eastAsia="Arial" w:hAnsi="Arial"/>
                <w:sz w:val="18"/>
                <w:szCs w:val="18"/>
                <w:color w:val="auto"/>
              </w:rPr>
              <w:t>Co-Chief Executive Officer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100"/>
              <w:spacing w:after="0"/>
              <w:rPr>
                <w:sz w:val="20"/>
                <w:szCs w:val="20"/>
                <w:color w:val="auto"/>
              </w:rPr>
            </w:pPr>
            <w:r>
              <w:rPr>
                <w:rFonts w:ascii="Arial" w:cs="Arial" w:eastAsia="Arial" w:hAnsi="Arial"/>
                <w:sz w:val="18"/>
                <w:szCs w:val="18"/>
                <w:color w:val="auto"/>
              </w:rPr>
              <w:t>August 4, 2014</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Alan Kirshenbaum</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2014</w:t>
      </w:r>
    </w:p>
    <w:p>
      <w:pPr>
        <w:spacing w:after="0" w:line="16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lowerLetter"/>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2"/>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1."/>
      <w:numFmt w:val="decimal"/>
      <w:start w:val="3"/>
    </w:lvl>
  </w:abstractNum>
  <w:abstractNum w:abstractNumId="13">
    <w:nsid w:val="3006C83E"/>
    <w:multiLevelType w:val="hybridMultilevel"/>
    <w:lvl w:ilvl="0">
      <w:lvlJc w:val="left"/>
      <w:lvlText w:val="(%1)"/>
      <w:numFmt w:val="lowerRoman"/>
      <w:start w:val="1"/>
    </w:lvl>
  </w:abstractNum>
  <w:abstractNum w:abstractNumId="14">
    <w:nsid w:val="614FD4A1"/>
    <w:multiLevelType w:val="hybridMultilevel"/>
    <w:lvl w:ilvl="0">
      <w:lvlJc w:val="left"/>
      <w:lvlText w:val="(%1)"/>
      <w:numFmt w:val="lowerRoman"/>
      <w:start w:val="2"/>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decimal"/>
      <w:start w:val="5"/>
    </w:lvl>
  </w:abstractNum>
  <w:abstractNum w:abstractNumId="18">
    <w:nsid w:val="5072367"/>
    <w:multiLevelType w:val="hybridMultilevel"/>
    <w:lvl w:ilvl="0">
      <w:lvlJc w:val="left"/>
      <w:lvlText w:val="%1."/>
      <w:numFmt w:val="decimal"/>
      <w:start w:val="6"/>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
      <w:numFmt w:val="bullet"/>
      <w:start w:val="1"/>
    </w:lvl>
    <w:lvl w:ilvl="1">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decimal"/>
      <w:start w:val="8"/>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
      <w:numFmt w:val="bullet"/>
      <w:start w:val="1"/>
    </w:lvl>
    <w:lvl w:ilvl="1">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1"/>
      <w:numFmt w:val="decimal"/>
      <w:start w:val="32"/>
    </w:lvl>
  </w:abstractNum>
  <w:abstractNum w:abstractNumId="47">
    <w:nsid w:val="3DC240FB"/>
    <w:multiLevelType w:val="hybridMultilevel"/>
    <w:lvl w:ilvl="0">
      <w:lvlJc w:val="left"/>
      <w:lvlText w:val="(%1)"/>
      <w:numFmt w:val="lowerLetter"/>
      <w:start w:val="26"/>
    </w:lvl>
  </w:abstractNum>
  <w:abstractNum w:abstractNumId="48">
    <w:nsid w:val="1BA026FA"/>
    <w:multiLevelType w:val="hybridMultilevel"/>
    <w:lvl w:ilvl="0">
      <w:lvlJc w:val="left"/>
      <w:lvlText w:val="(%1)"/>
      <w:numFmt w:val="lowerLetter"/>
      <w:start w:val="25"/>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2019-12-08T00:15:56Z</dcterms:created>
  <dcterms:modified xsi:type="dcterms:W3CDTF">2019-12-08T00:15:56Z</dcterms:modified>
</cp:coreProperties>
</file>