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2014</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19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41" w:lineRule="exact"/>
        <w:rPr>
          <w:sz w:val="24"/>
          <w:szCs w:val="24"/>
          <w:color w:val="auto"/>
        </w:rPr>
      </w:pPr>
    </w:p>
    <w:p>
      <w:pPr>
        <w:ind w:left="360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001-36364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TPG Specialty Lending,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640" w:type="dxa"/>
        <w:tblCellMar>
          <w:top w:w="0" w:type="dxa"/>
          <w:left w:w="0" w:type="dxa"/>
          <w:bottom w:w="0" w:type="dxa"/>
          <w:right w:w="0" w:type="dxa"/>
        </w:tblCellMar>
      </w:tblPr>
      <w:tr>
        <w:trPr>
          <w:trHeight w:val="218"/>
        </w:trPr>
        <w:tc>
          <w:tcPr>
            <w:tcW w:w="4500" w:type="dxa"/>
            <w:vAlign w:val="bottom"/>
          </w:tcPr>
          <w:p>
            <w:pPr>
              <w:jc w:val="center"/>
              <w:ind w:right="1922"/>
              <w:spacing w:after="0"/>
              <w:rPr>
                <w:sz w:val="20"/>
                <w:szCs w:val="20"/>
                <w:color w:val="auto"/>
              </w:rPr>
            </w:pPr>
            <w:r>
              <w:rPr>
                <w:rFonts w:ascii="Arial" w:cs="Arial" w:eastAsia="Arial" w:hAnsi="Arial"/>
                <w:sz w:val="18"/>
                <w:szCs w:val="18"/>
                <w:b w:val="1"/>
                <w:bCs w:val="1"/>
                <w:color w:val="auto"/>
                <w:w w:val="88"/>
              </w:rPr>
              <w:t>Delaware</w:t>
            </w:r>
          </w:p>
        </w:tc>
        <w:tc>
          <w:tcPr>
            <w:tcW w:w="3040" w:type="dxa"/>
            <w:vAlign w:val="bottom"/>
          </w:tcPr>
          <w:p>
            <w:pPr>
              <w:jc w:val="right"/>
              <w:ind w:right="24"/>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4500" w:type="dxa"/>
            <w:vAlign w:val="bottom"/>
          </w:tcPr>
          <w:p>
            <w:pPr>
              <w:jc w:val="center"/>
              <w:ind w:right="192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040" w:type="dxa"/>
            <w:vAlign w:val="bottom"/>
          </w:tcPr>
          <w:p>
            <w:pPr>
              <w:jc w:val="center"/>
              <w:ind w:left="19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500" w:type="dxa"/>
            <w:vAlign w:val="bottom"/>
          </w:tcPr>
          <w:p>
            <w:pPr>
              <w:jc w:val="center"/>
              <w:ind w:right="1922"/>
              <w:spacing w:after="0"/>
              <w:rPr>
                <w:sz w:val="20"/>
                <w:szCs w:val="20"/>
                <w:color w:val="auto"/>
              </w:rPr>
            </w:pPr>
            <w:r>
              <w:rPr>
                <w:rFonts w:ascii="Arial" w:cs="Arial" w:eastAsia="Arial" w:hAnsi="Arial"/>
                <w:sz w:val="14"/>
                <w:szCs w:val="14"/>
                <w:b w:val="1"/>
                <w:bCs w:val="1"/>
                <w:color w:val="auto"/>
                <w:w w:val="89"/>
              </w:rPr>
              <w:t>Incorporation or Organization)</w:t>
            </w:r>
          </w:p>
        </w:tc>
        <w:tc>
          <w:tcPr>
            <w:tcW w:w="3040" w:type="dxa"/>
            <w:vAlign w:val="bottom"/>
          </w:tcPr>
          <w:p>
            <w:pPr>
              <w:jc w:val="center"/>
              <w:ind w:left="190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500" w:type="dxa"/>
            <w:vAlign w:val="bottom"/>
          </w:tcPr>
          <w:p>
            <w:pPr>
              <w:jc w:val="center"/>
              <w:ind w:right="1902"/>
              <w:spacing w:after="0"/>
              <w:rPr>
                <w:sz w:val="20"/>
                <w:szCs w:val="20"/>
                <w:color w:val="auto"/>
              </w:rPr>
            </w:pPr>
            <w:r>
              <w:rPr>
                <w:rFonts w:ascii="Arial" w:cs="Arial" w:eastAsia="Arial" w:hAnsi="Arial"/>
                <w:sz w:val="18"/>
                <w:szCs w:val="18"/>
                <w:b w:val="1"/>
                <w:bCs w:val="1"/>
                <w:color w:val="auto"/>
                <w:w w:val="87"/>
              </w:rPr>
              <w:t>301 Commerce Street, Suite 3300,</w:t>
            </w:r>
          </w:p>
        </w:tc>
        <w:tc>
          <w:tcPr>
            <w:tcW w:w="3040" w:type="dxa"/>
            <w:vAlign w:val="bottom"/>
          </w:tcPr>
          <w:p>
            <w:pPr>
              <w:spacing w:after="0"/>
              <w:rPr>
                <w:sz w:val="24"/>
                <w:szCs w:val="24"/>
                <w:color w:val="auto"/>
              </w:rPr>
            </w:pPr>
          </w:p>
        </w:tc>
      </w:tr>
      <w:tr>
        <w:trPr>
          <w:trHeight w:val="231"/>
        </w:trPr>
        <w:tc>
          <w:tcPr>
            <w:tcW w:w="4500" w:type="dxa"/>
            <w:vAlign w:val="bottom"/>
          </w:tcPr>
          <w:p>
            <w:pPr>
              <w:jc w:val="center"/>
              <w:ind w:right="1922"/>
              <w:spacing w:after="0"/>
              <w:rPr>
                <w:sz w:val="20"/>
                <w:szCs w:val="20"/>
                <w:color w:val="auto"/>
              </w:rPr>
            </w:pPr>
            <w:r>
              <w:rPr>
                <w:rFonts w:ascii="Arial" w:cs="Arial" w:eastAsia="Arial" w:hAnsi="Arial"/>
                <w:sz w:val="18"/>
                <w:szCs w:val="18"/>
                <w:b w:val="1"/>
                <w:bCs w:val="1"/>
                <w:color w:val="auto"/>
                <w:w w:val="94"/>
              </w:rPr>
              <w:t>Fort Worth, TX</w:t>
            </w:r>
          </w:p>
        </w:tc>
        <w:tc>
          <w:tcPr>
            <w:tcW w:w="3040" w:type="dxa"/>
            <w:vAlign w:val="bottom"/>
          </w:tcPr>
          <w:p>
            <w:pPr>
              <w:jc w:val="right"/>
              <w:ind w:right="224"/>
              <w:spacing w:after="0"/>
              <w:rPr>
                <w:sz w:val="20"/>
                <w:szCs w:val="20"/>
                <w:color w:val="auto"/>
              </w:rPr>
            </w:pPr>
            <w:r>
              <w:rPr>
                <w:rFonts w:ascii="Arial" w:cs="Arial" w:eastAsia="Arial" w:hAnsi="Arial"/>
                <w:sz w:val="18"/>
                <w:szCs w:val="18"/>
                <w:b w:val="1"/>
                <w:bCs w:val="1"/>
                <w:color w:val="auto"/>
              </w:rPr>
              <w:t>76102</w:t>
            </w:r>
          </w:p>
        </w:tc>
      </w:tr>
      <w:tr>
        <w:trPr>
          <w:trHeight w:val="174"/>
        </w:trPr>
        <w:tc>
          <w:tcPr>
            <w:tcW w:w="4500" w:type="dxa"/>
            <w:vAlign w:val="bottom"/>
          </w:tcPr>
          <w:p>
            <w:pPr>
              <w:jc w:val="center"/>
              <w:ind w:right="192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040" w:type="dxa"/>
            <w:vAlign w:val="bottom"/>
          </w:tcPr>
          <w:p>
            <w:pPr>
              <w:jc w:val="center"/>
              <w:ind w:left="190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jc w:val="both"/>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36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40" w:space="380"/>
            <w:col w:w="160" w:space="100"/>
            <w:col w:w="5960" w:space="720"/>
            <w:col w:w="1920" w:space="480"/>
            <w:col w:w="160"/>
          </w:cols>
          <w:pgMar w:left="240" w:top="230" w:right="239" w:bottom="1440" w:gutter="0" w:footer="0" w:header="0"/>
          <w:type w:val="continuous"/>
        </w:sectPr>
      </w:pPr>
    </w:p>
    <w:p>
      <w:pPr>
        <w:spacing w:after="0" w:line="184" w:lineRule="exact"/>
        <w:tabs>
          <w:tab w:leader="none" w:pos="95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Securities Exchange Act of 1934).</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10040" w:space="180"/>
            <w:col w:w="1200"/>
          </w:cols>
          <w:pgMar w:left="240" w:top="230" w:right="239" w:bottom="1440" w:gutter="0" w:footer="0" w:header="0"/>
          <w:type w:val="continuous"/>
        </w:sectPr>
      </w:pPr>
    </w:p>
    <w:p>
      <w:pPr>
        <w:spacing w:after="0" w:line="27" w:lineRule="exact"/>
        <w:rPr>
          <w:sz w:val="24"/>
          <w:szCs w:val="24"/>
          <w:color w:val="auto"/>
        </w:rPr>
      </w:pPr>
    </w:p>
    <w:p>
      <w:pPr>
        <w:spacing w:after="0"/>
        <w:rPr>
          <w:sz w:val="20"/>
          <w:szCs w:val="20"/>
          <w:color w:val="auto"/>
        </w:rPr>
      </w:pPr>
      <w:r>
        <w:rPr>
          <w:rFonts w:ascii="Arial" w:cs="Arial" w:eastAsia="Arial" w:hAnsi="Arial"/>
          <w:sz w:val="15"/>
          <w:szCs w:val="15"/>
          <w:color w:val="auto"/>
        </w:rPr>
        <w:t>The number of shares of the Registrant’s common stock, $.01 par value per share, outstanding at November 3, 2014 was 53,797,358.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TPG SPECIALTY LENDING, INC.</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0" w:type="dxa"/>
            <w:vAlign w:val="bottom"/>
            <w:gridSpan w:val="7"/>
            <w:vMerge w:val="restart"/>
          </w:tcPr>
          <w:p>
            <w:pPr>
              <w:ind w:left="460"/>
              <w:spacing w:after="0"/>
              <w:rPr>
                <w:sz w:val="20"/>
                <w:szCs w:val="20"/>
                <w:color w:val="auto"/>
              </w:rPr>
            </w:pPr>
            <w:r>
              <w:rPr>
                <w:rFonts w:ascii="Arial" w:cs="Arial" w:eastAsia="Arial" w:hAnsi="Arial"/>
                <w:sz w:val="14"/>
                <w:szCs w:val="14"/>
                <w:b w:val="1"/>
                <w:bCs w:val="1"/>
                <w:color w:val="auto"/>
              </w:rPr>
              <w:t>INDEX</w:t>
            </w:r>
          </w:p>
        </w:tc>
        <w:tc>
          <w:tcPr>
            <w:tcW w:w="200" w:type="dxa"/>
            <w:vAlign w:val="bottom"/>
            <w:vMerge w:val="restart"/>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0"/>
              </w:rPr>
              <w:t>PAGE</w:t>
            </w:r>
          </w:p>
        </w:tc>
        <w:tc>
          <w:tcPr>
            <w:tcW w:w="0" w:type="dxa"/>
            <w:vAlign w:val="bottom"/>
          </w:tcPr>
          <w:p>
            <w:pPr>
              <w:spacing w:after="0"/>
              <w:rPr>
                <w:sz w:val="1"/>
                <w:szCs w:val="1"/>
                <w:color w:val="auto"/>
              </w:rPr>
            </w:pPr>
          </w:p>
        </w:tc>
      </w:tr>
      <w:tr>
        <w:trPr>
          <w:trHeight w:val="161"/>
        </w:trPr>
        <w:tc>
          <w:tcPr>
            <w:tcW w:w="8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0" w:type="dxa"/>
            <w:vAlign w:val="bottom"/>
            <w:tcBorders>
              <w:bottom w:val="single" w:sz="8" w:color="auto"/>
            </w:tcBorders>
            <w:gridSpan w:val="7"/>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264"/>
        </w:trPr>
        <w:tc>
          <w:tcPr>
            <w:tcW w:w="880" w:type="dxa"/>
            <w:vAlign w:val="bottom"/>
          </w:tcPr>
          <w:p>
            <w:pPr>
              <w:spacing w:after="0"/>
              <w:rPr>
                <w:sz w:val="20"/>
                <w:szCs w:val="20"/>
                <w:color w:val="auto"/>
              </w:rPr>
            </w:pPr>
            <w:r>
              <w:rPr>
                <w:rFonts w:ascii="Arial" w:cs="Arial" w:eastAsia="Arial" w:hAnsi="Arial"/>
                <w:sz w:val="18"/>
                <w:szCs w:val="18"/>
                <w:color w:val="auto"/>
              </w:rPr>
              <w:t>PART I.</w:t>
            </w:r>
          </w:p>
        </w:tc>
        <w:tc>
          <w:tcPr>
            <w:tcW w:w="10060" w:type="dxa"/>
            <w:vAlign w:val="bottom"/>
            <w:gridSpan w:val="2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14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Financial Statements</w:t>
              </w:r>
            </w:hyperlink>
          </w:p>
        </w:tc>
        <w:tc>
          <w:tcPr>
            <w:tcW w:w="720" w:type="dxa"/>
            <w:vAlign w:val="bottom"/>
            <w:tcBorders>
              <w:top w:val="single" w:sz="8" w:color="0000EE"/>
            </w:tcBorders>
            <w:gridSpan w:val="4"/>
          </w:tcPr>
          <w:p>
            <w:pPr>
              <w:spacing w:after="0"/>
              <w:rPr>
                <w:sz w:val="24"/>
                <w:szCs w:val="24"/>
                <w:color w:val="auto"/>
              </w:rPr>
            </w:pPr>
          </w:p>
        </w:tc>
        <w:tc>
          <w:tcPr>
            <w:tcW w:w="7860" w:type="dxa"/>
            <w:vAlign w:val="bottom"/>
            <w:gridSpan w:val="12"/>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6500" w:type="dxa"/>
            <w:vAlign w:val="bottom"/>
            <w:tcBorders>
              <w:bottom w:val="single" w:sz="8" w:color="0000EE"/>
            </w:tcBorders>
            <w:gridSpan w:val="16"/>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Consolidated Balance Sheets as of September 30, 2014 and December 31, 2013 (Unaudited)</w:t>
              </w:r>
            </w:hyperlink>
          </w:p>
        </w:tc>
        <w:tc>
          <w:tcPr>
            <w:tcW w:w="3560" w:type="dxa"/>
            <w:vAlign w:val="bottom"/>
            <w:gridSpan w:val="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8360" w:type="dxa"/>
            <w:vAlign w:val="bottom"/>
            <w:tcBorders>
              <w:bottom w:val="single" w:sz="8" w:color="0000EE"/>
            </w:tcBorders>
            <w:gridSpan w:val="19"/>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Consolidated Statements of Operations for the three and nine months ended September 30, 2014 and 2013 (Unaudited)</w:t>
              </w:r>
            </w:hyperlink>
          </w:p>
        </w:tc>
        <w:tc>
          <w:tcPr>
            <w:tcW w:w="1700" w:type="dxa"/>
            <w:vAlign w:val="bottom"/>
            <w:gridSpan w:val="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7220" w:type="dxa"/>
            <w:vAlign w:val="bottom"/>
            <w:tcBorders>
              <w:bottom w:val="single" w:sz="8" w:color="0000EE"/>
            </w:tcBorders>
            <w:gridSpan w:val="17"/>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Consolidated Schedules of Investments as of September 30, 2014 and December 31, 2013 (Unaudited)</w:t>
              </w:r>
            </w:hyperlink>
          </w:p>
        </w:tc>
        <w:tc>
          <w:tcPr>
            <w:tcW w:w="2840" w:type="dxa"/>
            <w:vAlign w:val="bottom"/>
            <w:gridSpan w:val="5"/>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10060" w:type="dxa"/>
            <w:vAlign w:val="bottom"/>
            <w:gridSpan w:val="22"/>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Consolidated Statements of Changes in Net Assets for the nine months ended September 30, 2014 and 2013 (Unaudited)</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8480" w:type="dxa"/>
            <w:vAlign w:val="bottom"/>
            <w:tcBorders>
              <w:top w:val="single" w:sz="8" w:color="0000EE"/>
            </w:tcBorders>
            <w:gridSpan w:val="20"/>
          </w:tcPr>
          <w:p>
            <w:pPr>
              <w:spacing w:after="0"/>
              <w:rPr>
                <w:rFonts w:ascii="Arial" w:cs="Arial" w:eastAsia="Arial" w:hAnsi="Arial"/>
                <w:sz w:val="18"/>
                <w:szCs w:val="18"/>
                <w:color w:val="0000EE"/>
                <w:w w:val="95"/>
              </w:rPr>
            </w:pPr>
            <w:hyperlink w:anchor="page15">
              <w:r>
                <w:rPr>
                  <w:rFonts w:ascii="Arial" w:cs="Arial" w:eastAsia="Arial" w:hAnsi="Arial"/>
                  <w:sz w:val="18"/>
                  <w:szCs w:val="18"/>
                  <w:color w:val="0000EE"/>
                  <w:w w:val="95"/>
                </w:rPr>
                <w:t>Consolidated Statements of Cash Flows for the nine months ended September 30, 2014 and 2013 (Unaudited)</w:t>
              </w:r>
            </w:hyperlink>
          </w:p>
        </w:tc>
        <w:tc>
          <w:tcPr>
            <w:tcW w:w="1580" w:type="dxa"/>
            <w:vAlign w:val="bottom"/>
            <w:gridSpan w:val="2"/>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398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8"/>
              </w:rPr>
            </w:pPr>
            <w:hyperlink w:anchor="page16">
              <w:r>
                <w:rPr>
                  <w:rFonts w:ascii="Arial" w:cs="Arial" w:eastAsia="Arial" w:hAnsi="Arial"/>
                  <w:sz w:val="18"/>
                  <w:szCs w:val="18"/>
                  <w:color w:val="0000EE"/>
                  <w:w w:val="88"/>
                </w:rPr>
                <w:t>Notes to Consolidated Financial Statements (Unaudited)</w:t>
              </w:r>
            </w:hyperlink>
          </w:p>
        </w:tc>
        <w:tc>
          <w:tcPr>
            <w:tcW w:w="3740" w:type="dxa"/>
            <w:vAlign w:val="bottom"/>
            <w:tcBorders>
              <w:top w:val="single" w:sz="8" w:color="0000EE"/>
            </w:tcBorders>
            <w:gridSpan w:val="6"/>
          </w:tcPr>
          <w:p>
            <w:pPr>
              <w:spacing w:after="0"/>
              <w:rPr>
                <w:sz w:val="24"/>
                <w:szCs w:val="24"/>
                <w:color w:val="auto"/>
              </w:rPr>
            </w:pPr>
          </w:p>
        </w:tc>
        <w:tc>
          <w:tcPr>
            <w:tcW w:w="2340" w:type="dxa"/>
            <w:vAlign w:val="bottom"/>
            <w:gridSpan w:val="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10060" w:type="dxa"/>
            <w:vAlign w:val="bottom"/>
            <w:gridSpan w:val="22"/>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Management’s Discussion and Analysis of Financial Condition and Results of Operations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tcPr>
          <w:p>
            <w:pPr>
              <w:spacing w:after="0"/>
              <w:rPr>
                <w:sz w:val="24"/>
                <w:szCs w:val="24"/>
                <w:color w:val="auto"/>
              </w:rPr>
            </w:pPr>
          </w:p>
        </w:tc>
        <w:tc>
          <w:tcPr>
            <w:tcW w:w="3760" w:type="dxa"/>
            <w:vAlign w:val="bottom"/>
            <w:gridSpan w:val="7"/>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76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59">
              <w:r>
                <w:rPr>
                  <w:rFonts w:ascii="Arial" w:cs="Arial" w:eastAsia="Arial" w:hAnsi="Arial"/>
                  <w:sz w:val="18"/>
                  <w:szCs w:val="18"/>
                  <w:color w:val="0000EE"/>
                  <w:w w:val="87"/>
                </w:rPr>
                <w:t>Controls and Procedures</w:t>
              </w:r>
            </w:hyperlink>
          </w:p>
        </w:tc>
        <w:tc>
          <w:tcPr>
            <w:tcW w:w="8300" w:type="dxa"/>
            <w:vAlign w:val="bottom"/>
            <w:gridSpan w:val="1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PART II.</w:t>
            </w:r>
          </w:p>
        </w:tc>
        <w:tc>
          <w:tcPr>
            <w:tcW w:w="10060" w:type="dxa"/>
            <w:vAlign w:val="bottom"/>
            <w:gridSpan w:val="22"/>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OTHER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1840" w:type="dxa"/>
            <w:vAlign w:val="bottom"/>
            <w:tcBorders>
              <w:top w:val="single" w:sz="8" w:color="0000EE"/>
            </w:tcBorders>
            <w:gridSpan w:val="9"/>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Legal Proceedings</w:t>
              </w:r>
            </w:hyperlink>
          </w:p>
        </w:tc>
        <w:tc>
          <w:tcPr>
            <w:tcW w:w="8220" w:type="dxa"/>
            <w:vAlign w:val="bottom"/>
            <w:gridSpan w:val="1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5"/>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Risk Factors</w:t>
              </w:r>
            </w:hyperlink>
          </w:p>
        </w:tc>
        <w:tc>
          <w:tcPr>
            <w:tcW w:w="8760" w:type="dxa"/>
            <w:vAlign w:val="bottom"/>
            <w:gridSpan w:val="17"/>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820" w:type="dxa"/>
            <w:vAlign w:val="bottom"/>
            <w:gridSpan w:val="9"/>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10060" w:type="dxa"/>
            <w:vAlign w:val="bottom"/>
            <w:gridSpan w:val="22"/>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Unregistered Sales of Equity Securities and Use of Proceeds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22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8"/>
              </w:rPr>
            </w:pPr>
            <w:hyperlink w:anchor="page60">
              <w:r>
                <w:rPr>
                  <w:rFonts w:ascii="Arial" w:cs="Arial" w:eastAsia="Arial" w:hAnsi="Arial"/>
                  <w:sz w:val="18"/>
                  <w:szCs w:val="18"/>
                  <w:color w:val="0000EE"/>
                  <w:w w:val="88"/>
                </w:rPr>
                <w:t>Defaults Upon Senior Securities</w:t>
              </w:r>
            </w:hyperlink>
          </w:p>
        </w:tc>
        <w:tc>
          <w:tcPr>
            <w:tcW w:w="1960" w:type="dxa"/>
            <w:vAlign w:val="bottom"/>
            <w:tcBorders>
              <w:top w:val="single" w:sz="8" w:color="0000EE"/>
            </w:tcBorders>
            <w:gridSpan w:val="2"/>
          </w:tcPr>
          <w:p>
            <w:pPr>
              <w:spacing w:after="0"/>
              <w:rPr>
                <w:sz w:val="24"/>
                <w:szCs w:val="24"/>
                <w:color w:val="auto"/>
              </w:rPr>
            </w:pPr>
          </w:p>
        </w:tc>
        <w:tc>
          <w:tcPr>
            <w:tcW w:w="5820" w:type="dxa"/>
            <w:vAlign w:val="bottom"/>
            <w:gridSpan w:val="9"/>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Mine Safety Disclosures</w:t>
              </w:r>
            </w:hyperlink>
          </w:p>
        </w:tc>
        <w:tc>
          <w:tcPr>
            <w:tcW w:w="8320" w:type="dxa"/>
            <w:vAlign w:val="bottom"/>
            <w:gridSpan w:val="15"/>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5.</w:t>
            </w:r>
          </w:p>
        </w:tc>
        <w:tc>
          <w:tcPr>
            <w:tcW w:w="10060" w:type="dxa"/>
            <w:vAlign w:val="bottom"/>
            <w:gridSpan w:val="22"/>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Other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60">
              <w:r>
                <w:rPr>
                  <w:rFonts w:ascii="Arial" w:cs="Arial" w:eastAsia="Arial" w:hAnsi="Arial"/>
                  <w:sz w:val="18"/>
                  <w:szCs w:val="18"/>
                  <w:color w:val="0000EE"/>
                  <w:w w:val="91"/>
                </w:rPr>
                <w:t>Exhibits</w:t>
              </w:r>
            </w:hyperlink>
          </w:p>
        </w:tc>
        <w:tc>
          <w:tcPr>
            <w:tcW w:w="680" w:type="dxa"/>
            <w:vAlign w:val="bottom"/>
            <w:tcBorders>
              <w:top w:val="single" w:sz="8" w:color="0000EE"/>
            </w:tcBorders>
            <w:gridSpan w:val="2"/>
          </w:tcPr>
          <w:p>
            <w:pPr>
              <w:spacing w:after="0"/>
              <w:rPr>
                <w:sz w:val="24"/>
                <w:szCs w:val="24"/>
                <w:color w:val="auto"/>
              </w:rPr>
            </w:pPr>
          </w:p>
        </w:tc>
        <w:tc>
          <w:tcPr>
            <w:tcW w:w="8780" w:type="dxa"/>
            <w:vAlign w:val="bottom"/>
            <w:gridSpan w:val="18"/>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304"/>
        </w:trPr>
        <w:tc>
          <w:tcPr>
            <w:tcW w:w="10940" w:type="dxa"/>
            <w:vAlign w:val="bottom"/>
            <w:gridSpan w:val="23"/>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SIGNATURES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7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This report contains forward-looking statements that involve substantial risks and uncertainties. These forward-looking statements are not historical facts, but rather are based on current expectations, estimates and projections about us, our current or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are difficult to predict, that could cause actual results to differ materially from those expressed or forecasted in the forward-looking statements.</w:t>
      </w:r>
    </w:p>
    <w:p>
      <w:pPr>
        <w:spacing w:after="0" w:line="12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addition to factors previously identified elsewhere in the reports and other documents TPG Specialty Lending, Inc. has filed with the Securities and Exchange Commission (the “SEC”), the following factors, among others, could cause actual results to differ materially from forward-looking statements or historical performance:</w:t>
      </w:r>
    </w:p>
    <w:p>
      <w:pPr>
        <w:spacing w:after="0" w:line="59" w:lineRule="exact"/>
        <w:rPr>
          <w:sz w:val="20"/>
          <w:szCs w:val="20"/>
          <w:color w:val="auto"/>
        </w:rPr>
      </w:pPr>
    </w:p>
    <w:p>
      <w:pPr>
        <w:ind w:left="900" w:right="46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abilities to continue to operate, which could lead to the loss of some or all of our investments in such portfolio companies;</w:t>
      </w:r>
    </w:p>
    <w:p>
      <w:pPr>
        <w:spacing w:after="0" w:line="50" w:lineRule="exact"/>
        <w:rPr>
          <w:rFonts w:ascii="Arial" w:cs="Arial" w:eastAsia="Arial" w:hAnsi="Arial"/>
          <w:sz w:val="18"/>
          <w:szCs w:val="18"/>
          <w:color w:val="auto"/>
        </w:rPr>
      </w:pPr>
    </w:p>
    <w:p>
      <w:pPr>
        <w:ind w:left="900" w:right="280" w:hanging="325"/>
        <w:spacing w:after="0" w:line="357" w:lineRule="auto"/>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90"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the sections entitled “Risk Factors” in this report and in our Annual Report on Form 10-K for the year ended December 31, 2013, filed with the SEC on March 4, 2014, and our Form 10-K/A, filed with the SEC on March 14, 2014, as amended, and elsewhere in our filings with the SEC.</w:t>
      </w:r>
    </w:p>
    <w:p>
      <w:pPr>
        <w:spacing w:after="0" w:line="14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 The safe harbor provisions of Section 21E of the Securities Exchange Act of 1934, as amended (the “1934 Act”), which preclude civil liability for certain forward-looking statements, do not apply to the forward-looking statements in this report because we are an investment company.</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60" w:type="dxa"/>
            <w:vAlign w:val="bottom"/>
            <w:gridSpan w:val="3"/>
          </w:tcPr>
          <w:p>
            <w:pPr>
              <w:spacing w:after="0"/>
              <w:rPr>
                <w:sz w:val="20"/>
                <w:szCs w:val="20"/>
                <w:color w:val="auto"/>
              </w:rPr>
            </w:pPr>
            <w:r>
              <w:rPr>
                <w:rFonts w:ascii="Arial" w:cs="Arial" w:eastAsia="Arial" w:hAnsi="Arial"/>
                <w:sz w:val="14"/>
                <w:szCs w:val="14"/>
                <w:b w:val="1"/>
                <w:bCs w:val="1"/>
                <w:color w:val="auto"/>
              </w:rPr>
              <w:t>September 30, 2014</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4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Non-controlled, non-affiliated investments (amortized cost of $1,175,962 and $997,298, respectively)</w:t>
            </w:r>
          </w:p>
        </w:tc>
        <w:tc>
          <w:tcPr>
            <w:tcW w:w="6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1,188,947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20"/>
              <w:spacing w:after="0"/>
              <w:rPr>
                <w:sz w:val="20"/>
                <w:szCs w:val="20"/>
                <w:color w:val="auto"/>
              </w:rPr>
            </w:pPr>
            <w:r>
              <w:rPr>
                <w:rFonts w:ascii="Arial" w:cs="Arial" w:eastAsia="Arial" w:hAnsi="Arial"/>
                <w:sz w:val="18"/>
                <w:szCs w:val="18"/>
                <w:color w:val="auto"/>
              </w:rPr>
              <w:t>Controlled, affiliated investments (amortized cost of $44,481 and $0, respectively)</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jc w:val="right"/>
              <w:ind w:right="740"/>
              <w:spacing w:after="0"/>
              <w:rPr>
                <w:sz w:val="20"/>
                <w:szCs w:val="20"/>
                <w:color w:val="auto"/>
              </w:rPr>
            </w:pPr>
            <w:r>
              <w:rPr>
                <w:rFonts w:ascii="Arial" w:cs="Arial" w:eastAsia="Arial" w:hAnsi="Arial"/>
                <w:sz w:val="18"/>
                <w:szCs w:val="18"/>
                <w:color w:val="auto"/>
              </w:rPr>
              <w:t>44,234</w:t>
            </w:r>
          </w:p>
        </w:tc>
        <w:tc>
          <w:tcPr>
            <w:tcW w:w="2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at fair value (amortized cost of $1,220,443 and $997,298, respectively)</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1,233,181</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jc w:val="right"/>
              <w:ind w:right="740"/>
              <w:spacing w:after="0"/>
              <w:rPr>
                <w:sz w:val="20"/>
                <w:szCs w:val="20"/>
                <w:color w:val="auto"/>
              </w:rPr>
            </w:pPr>
            <w:r>
              <w:rPr>
                <w:rFonts w:ascii="Arial" w:cs="Arial" w:eastAsia="Arial" w:hAnsi="Arial"/>
                <w:sz w:val="18"/>
                <w:szCs w:val="18"/>
                <w:color w:val="auto"/>
              </w:rPr>
              <w:t>9,159</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6,817</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Receivable on foreign currency forward contracts</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jc w:val="right"/>
              <w:ind w:right="740"/>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30,869</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Total Assets</w:t>
            </w: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940" w:type="dxa"/>
            <w:vAlign w:val="bottom"/>
            <w:vMerge w:val="continue"/>
          </w:tcPr>
          <w:p>
            <w:pPr>
              <w:spacing w:after="0"/>
              <w:rPr>
                <w:sz w:val="19"/>
                <w:szCs w:val="19"/>
                <w:color w:val="auto"/>
              </w:rPr>
            </w:pPr>
          </w:p>
        </w:tc>
        <w:tc>
          <w:tcPr>
            <w:tcW w:w="6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740"/>
              <w:spacing w:after="0"/>
              <w:rPr>
                <w:sz w:val="20"/>
                <w:szCs w:val="20"/>
                <w:color w:val="auto"/>
              </w:rPr>
            </w:pPr>
            <w:r>
              <w:rPr>
                <w:rFonts w:ascii="Arial" w:cs="Arial" w:eastAsia="Arial" w:hAnsi="Arial"/>
                <w:sz w:val="18"/>
                <w:szCs w:val="18"/>
                <w:color w:val="auto"/>
              </w:rPr>
              <w:t>1,280,043</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1,039,150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Debt</w:t>
            </w:r>
          </w:p>
        </w:tc>
        <w:tc>
          <w:tcPr>
            <w:tcW w:w="6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740"/>
              <w:spacing w:after="0"/>
              <w:rPr>
                <w:sz w:val="20"/>
                <w:szCs w:val="20"/>
                <w:color w:val="auto"/>
              </w:rPr>
            </w:pPr>
            <w:r>
              <w:rPr>
                <w:rFonts w:ascii="Arial" w:cs="Arial" w:eastAsia="Arial" w:hAnsi="Arial"/>
                <w:sz w:val="18"/>
                <w:szCs w:val="18"/>
                <w:color w:val="auto"/>
              </w:rPr>
              <w:t>382,177</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432,267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payable to affiliate</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4,651</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Incentive fees payable to affiliate</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jc w:val="right"/>
              <w:ind w:right="740"/>
              <w:spacing w:after="0"/>
              <w:rPr>
                <w:sz w:val="20"/>
                <w:szCs w:val="20"/>
                <w:color w:val="auto"/>
              </w:rPr>
            </w:pPr>
            <w:r>
              <w:rPr>
                <w:rFonts w:ascii="Arial" w:cs="Arial" w:eastAsia="Arial" w:hAnsi="Arial"/>
                <w:sz w:val="18"/>
                <w:szCs w:val="18"/>
                <w:color w:val="auto"/>
              </w:rPr>
              <w:t>7,384</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20,355</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jc w:val="right"/>
              <w:ind w:right="740"/>
              <w:spacing w:after="0"/>
              <w:rPr>
                <w:sz w:val="20"/>
                <w:szCs w:val="20"/>
                <w:color w:val="auto"/>
              </w:rPr>
            </w:pPr>
            <w:r>
              <w:rPr>
                <w:rFonts w:ascii="Arial" w:cs="Arial" w:eastAsia="Arial" w:hAnsi="Arial"/>
                <w:sz w:val="18"/>
                <w:szCs w:val="18"/>
                <w:color w:val="auto"/>
              </w:rPr>
              <w:t>12,030</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Payable on foreign currency forward contracts</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Payable on interest rate swaps</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jc w:val="right"/>
              <w:ind w:right="740"/>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Payables to affiliate</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2,611</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Other liabilities</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jc w:val="right"/>
              <w:ind w:right="740"/>
              <w:spacing w:after="0"/>
              <w:rPr>
                <w:sz w:val="20"/>
                <w:szCs w:val="20"/>
                <w:color w:val="auto"/>
              </w:rPr>
            </w:pPr>
            <w:r>
              <w:rPr>
                <w:rFonts w:ascii="Arial" w:cs="Arial" w:eastAsia="Arial" w:hAnsi="Arial"/>
                <w:sz w:val="18"/>
                <w:szCs w:val="18"/>
                <w:color w:val="auto"/>
              </w:rPr>
              <w:t>11,924</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3,775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Liabilities</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441,154</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464,454</w:t>
            </w:r>
          </w:p>
        </w:tc>
        <w:tc>
          <w:tcPr>
            <w:tcW w:w="0" w:type="dxa"/>
            <w:vAlign w:val="bottom"/>
          </w:tcPr>
          <w:p>
            <w:pPr>
              <w:spacing w:after="0"/>
              <w:rPr>
                <w:sz w:val="1"/>
                <w:szCs w:val="1"/>
                <w:color w:val="auto"/>
              </w:rPr>
            </w:pPr>
          </w:p>
        </w:tc>
      </w:tr>
      <w:tr>
        <w:trPr>
          <w:trHeight w:val="221"/>
        </w:trPr>
        <w:tc>
          <w:tcPr>
            <w:tcW w:w="7960" w:type="dxa"/>
            <w:vAlign w:val="bottom"/>
            <w:gridSpan w:val="2"/>
          </w:tcPr>
          <w:p>
            <w:pPr>
              <w:spacing w:after="0"/>
              <w:rPr>
                <w:sz w:val="20"/>
                <w:szCs w:val="20"/>
                <w:color w:val="auto"/>
              </w:rPr>
            </w:pPr>
            <w:r>
              <w:rPr>
                <w:rFonts w:ascii="Arial" w:cs="Arial" w:eastAsia="Arial" w:hAnsi="Arial"/>
                <w:sz w:val="18"/>
                <w:szCs w:val="18"/>
                <w:color w:val="auto"/>
              </w:rPr>
              <w:t>Commitments and contingencies (Note 8)</w:t>
            </w:r>
          </w:p>
        </w:tc>
        <w:tc>
          <w:tcPr>
            <w:tcW w:w="4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9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w w:val="99"/>
              </w:rPr>
              <w:t>Preferred stock, $0.01 par value; 100,000,000 shares authorized; no shares issued and outstanding</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w w:val="91"/>
              </w:rPr>
              <w:t>Common stock, $0.01 par value; 400,000,000 shares authorized, 53,567,782 and 37,027,022 shares issued,</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 and 53,566,783 and 37,026,023 shares outstanding, respectively</w:t>
            </w: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536</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jc w:val="right"/>
              <w:ind w:right="740"/>
              <w:spacing w:after="0"/>
              <w:rPr>
                <w:sz w:val="20"/>
                <w:szCs w:val="20"/>
                <w:color w:val="auto"/>
              </w:rPr>
            </w:pPr>
            <w:r>
              <w:rPr>
                <w:rFonts w:ascii="Arial" w:cs="Arial" w:eastAsia="Arial" w:hAnsi="Arial"/>
                <w:sz w:val="18"/>
                <w:szCs w:val="18"/>
                <w:color w:val="auto"/>
              </w:rPr>
              <w:t>805,555</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552,436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999 shares</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jc w:val="right"/>
              <w:ind w:right="740"/>
              <w:spacing w:after="0"/>
              <w:rPr>
                <w:sz w:val="20"/>
                <w:szCs w:val="20"/>
                <w:color w:val="auto"/>
              </w:rPr>
            </w:pPr>
            <w:r>
              <w:rPr>
                <w:rFonts w:ascii="Arial" w:cs="Arial" w:eastAsia="Arial" w:hAnsi="Arial"/>
                <w:sz w:val="18"/>
                <w:szCs w:val="18"/>
                <w:color w:val="auto"/>
              </w:rPr>
              <w:t>14,540</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gains on investments and foreign currency translation</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17,002</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Undistributed net realized gains on investments, including foreign currency forward contracts</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jc w:val="right"/>
              <w:ind w:right="740"/>
              <w:spacing w:after="0"/>
              <w:rPr>
                <w:sz w:val="20"/>
                <w:szCs w:val="20"/>
                <w:color w:val="auto"/>
              </w:rPr>
            </w:pPr>
            <w:r>
              <w:rPr>
                <w:rFonts w:ascii="Arial" w:cs="Arial" w:eastAsia="Arial" w:hAnsi="Arial"/>
                <w:sz w:val="18"/>
                <w:szCs w:val="18"/>
                <w:color w:val="auto"/>
              </w:rPr>
              <w:t>1,257</w:t>
            </w:r>
          </w:p>
        </w:tc>
        <w:tc>
          <w:tcPr>
            <w:tcW w:w="2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Net Assets</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838,889</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574,696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Total Liabilities and Net Assets</w:t>
            </w: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940" w:type="dxa"/>
            <w:vAlign w:val="bottom"/>
            <w:vMerge w:val="continue"/>
          </w:tcPr>
          <w:p>
            <w:pPr>
              <w:spacing w:after="0"/>
              <w:rPr>
                <w:sz w:val="19"/>
                <w:szCs w:val="19"/>
                <w:color w:val="auto"/>
              </w:rPr>
            </w:pPr>
          </w:p>
        </w:tc>
        <w:tc>
          <w:tcPr>
            <w:tcW w:w="6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740"/>
              <w:spacing w:after="0"/>
              <w:rPr>
                <w:sz w:val="20"/>
                <w:szCs w:val="20"/>
                <w:color w:val="auto"/>
              </w:rPr>
            </w:pPr>
            <w:r>
              <w:rPr>
                <w:rFonts w:ascii="Arial" w:cs="Arial" w:eastAsia="Arial" w:hAnsi="Arial"/>
                <w:sz w:val="18"/>
                <w:szCs w:val="18"/>
                <w:color w:val="auto"/>
              </w:rPr>
              <w:t>1,280,043</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1,039,150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9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Net Asset Value Per Share</w:t>
            </w:r>
          </w:p>
        </w:tc>
        <w:tc>
          <w:tcPr>
            <w:tcW w:w="6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15.66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w w:val="89"/>
              </w:rPr>
              <w:t>Three Months Ended</w:t>
            </w:r>
          </w:p>
        </w:tc>
        <w:tc>
          <w:tcPr>
            <w:tcW w:w="8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w w:val="91"/>
              </w:rPr>
              <w:t>Nine Months Ended</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5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September 30, 2014</w:t>
            </w:r>
          </w:p>
        </w:tc>
        <w:tc>
          <w:tcPr>
            <w:tcW w:w="320" w:type="dxa"/>
            <w:vAlign w:val="bottom"/>
          </w:tcPr>
          <w:p>
            <w:pPr>
              <w:spacing w:after="0"/>
              <w:rPr>
                <w:sz w:val="12"/>
                <w:szCs w:val="12"/>
                <w:color w:val="auto"/>
              </w:rPr>
            </w:pPr>
          </w:p>
        </w:tc>
        <w:tc>
          <w:tcPr>
            <w:tcW w:w="11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September 30, 2013</w:t>
            </w:r>
          </w:p>
        </w:tc>
        <w:tc>
          <w:tcPr>
            <w:tcW w:w="660" w:type="dxa"/>
            <w:vAlign w:val="bottom"/>
          </w:tcPr>
          <w:p>
            <w:pPr>
              <w:spacing w:after="0"/>
              <w:rPr>
                <w:sz w:val="12"/>
                <w:szCs w:val="12"/>
                <w:color w:val="auto"/>
              </w:rPr>
            </w:pPr>
          </w:p>
        </w:tc>
        <w:tc>
          <w:tcPr>
            <w:tcW w:w="15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September 30, 2014</w:t>
            </w:r>
          </w:p>
        </w:tc>
        <w:tc>
          <w:tcPr>
            <w:tcW w:w="320" w:type="dxa"/>
            <w:vAlign w:val="bottom"/>
          </w:tcPr>
          <w:p>
            <w:pPr>
              <w:spacing w:after="0"/>
              <w:rPr>
                <w:sz w:val="12"/>
                <w:szCs w:val="12"/>
                <w:color w:val="auto"/>
              </w:rPr>
            </w:pPr>
          </w:p>
        </w:tc>
        <w:tc>
          <w:tcPr>
            <w:tcW w:w="11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September 30, 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w:t>
            </w: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Investment income from non-controlled, non-affiliated</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from investments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33,728</w:t>
            </w:r>
          </w:p>
        </w:tc>
        <w:tc>
          <w:tcPr>
            <w:tcW w:w="3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22,816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109,270</w:t>
            </w:r>
          </w:p>
        </w:tc>
        <w:tc>
          <w:tcPr>
            <w:tcW w:w="3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3,301</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482</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6,510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from cash and cash equivalents</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20" w:type="dxa"/>
            <w:vAlign w:val="bottom"/>
          </w:tcPr>
          <w:p>
            <w:pPr>
              <w:ind w:left="860"/>
              <w:spacing w:after="0"/>
              <w:rPr>
                <w:sz w:val="20"/>
                <w:szCs w:val="20"/>
                <w:color w:val="auto"/>
              </w:rPr>
            </w:pPr>
            <w:r>
              <w:rPr>
                <w:rFonts w:ascii="Arial" w:cs="Arial" w:eastAsia="Arial" w:hAnsi="Arial"/>
                <w:sz w:val="18"/>
                <w:szCs w:val="18"/>
                <w:color w:val="auto"/>
              </w:rPr>
              <w:t>Total investment income from non-controlled,</w:t>
            </w: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ind w:left="1060"/>
              <w:spacing w:after="0"/>
              <w:rPr>
                <w:sz w:val="20"/>
                <w:szCs w:val="20"/>
                <w:color w:val="auto"/>
              </w:rPr>
            </w:pPr>
            <w:r>
              <w:rPr>
                <w:rFonts w:ascii="Arial" w:cs="Arial" w:eastAsia="Arial" w:hAnsi="Arial"/>
                <w:sz w:val="18"/>
                <w:szCs w:val="18"/>
                <w:color w:val="auto"/>
              </w:rPr>
              <w:t>non-affiliated investments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37,029</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23,298</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115,780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65,040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 from controlled, affiliated investments: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Interest from investments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1,312</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1,681</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20" w:type="dxa"/>
            <w:vAlign w:val="bottom"/>
          </w:tcPr>
          <w:p>
            <w:pPr>
              <w:ind w:left="860"/>
              <w:spacing w:after="0"/>
              <w:rPr>
                <w:sz w:val="20"/>
                <w:szCs w:val="20"/>
                <w:color w:val="auto"/>
              </w:rPr>
            </w:pPr>
            <w:r>
              <w:rPr>
                <w:rFonts w:ascii="Arial" w:cs="Arial" w:eastAsia="Arial" w:hAnsi="Arial"/>
                <w:sz w:val="18"/>
                <w:szCs w:val="18"/>
                <w:color w:val="auto"/>
              </w:rPr>
              <w:t>Total investment income from controlled,</w:t>
            </w: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720" w:type="dxa"/>
            <w:vAlign w:val="bottom"/>
          </w:tcPr>
          <w:p>
            <w:pPr>
              <w:ind w:left="1060"/>
              <w:spacing w:after="0"/>
              <w:rPr>
                <w:sz w:val="20"/>
                <w:szCs w:val="20"/>
                <w:color w:val="auto"/>
              </w:rPr>
            </w:pPr>
            <w:r>
              <w:rPr>
                <w:rFonts w:ascii="Arial" w:cs="Arial" w:eastAsia="Arial" w:hAnsi="Arial"/>
                <w:sz w:val="18"/>
                <w:szCs w:val="18"/>
                <w:color w:val="auto"/>
              </w:rPr>
              <w:t>affiliated investments</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Total Investment Income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38,404</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23,298</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117,542</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65,040</w:t>
            </w:r>
          </w:p>
        </w:tc>
        <w:tc>
          <w:tcPr>
            <w:tcW w:w="0" w:type="dxa"/>
            <w:vAlign w:val="bottom"/>
          </w:tcPr>
          <w:p>
            <w:pPr>
              <w:spacing w:after="0"/>
              <w:rPr>
                <w:sz w:val="1"/>
                <w:szCs w:val="1"/>
                <w:color w:val="auto"/>
              </w:rPr>
            </w:pPr>
          </w:p>
        </w:tc>
      </w:tr>
      <w:tr>
        <w:trPr>
          <w:trHeight w:val="221"/>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3,812</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2,651</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11,096</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Management fees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4,651</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3,433</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13,409</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2,850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14,495</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Professional fees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1,029</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902</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3,376</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Directors’ fees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6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2,982</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10,486</w:t>
            </w:r>
          </w:p>
        </w:tc>
        <w:tc>
          <w:tcPr>
            <w:tcW w:w="6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45,607</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Management fees waived</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(1,853)</w:t>
            </w:r>
          </w:p>
        </w:tc>
        <w:tc>
          <w:tcPr>
            <w:tcW w:w="220" w:type="dxa"/>
            <w:vAlign w:val="bottom"/>
          </w:tcPr>
          <w:p>
            <w:pPr>
              <w:spacing w:after="0"/>
              <w:rPr>
                <w:sz w:val="20"/>
                <w:szCs w:val="20"/>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(2,465)</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Net Expenses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8,633</w:t>
            </w:r>
          </w:p>
        </w:tc>
        <w:tc>
          <w:tcPr>
            <w:tcW w:w="66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43,142</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Net Investment Income Before Income Taxes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23,491</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14,665</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74,400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40,592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Income taxes, including excise taxes</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Net Investment Income</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23,116</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14,585</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73,791</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40,508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Unrealized and Realized Gains (Losses)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Net change in unrealized gains (losses):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(6,251)</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2,804</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(6,168)</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Controlled, affiliated investments</w:t>
            </w:r>
          </w:p>
        </w:tc>
        <w:tc>
          <w:tcPr>
            <w:tcW w:w="22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(247)</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(247)</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Translation of assets and liabilities in foreign</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currencies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w:t>
            </w: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w:t>
            </w: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Interest rate swaps</w:t>
            </w:r>
          </w:p>
        </w:tc>
        <w:tc>
          <w:tcPr>
            <w:tcW w:w="22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(1,038)</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(246)</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forward contracts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(1,942)</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vMerge w:val="restart"/>
          </w:tcPr>
          <w:p>
            <w:pPr>
              <w:ind w:left="860"/>
              <w:spacing w:after="0"/>
              <w:rPr>
                <w:sz w:val="20"/>
                <w:szCs w:val="20"/>
                <w:color w:val="auto"/>
              </w:rPr>
            </w:pPr>
            <w:r>
              <w:rPr>
                <w:rFonts w:ascii="Arial" w:cs="Arial" w:eastAsia="Arial" w:hAnsi="Arial"/>
                <w:sz w:val="18"/>
                <w:szCs w:val="18"/>
                <w:color w:val="auto"/>
              </w:rPr>
              <w:t>Total net change in unrealized gains (losses)</w:t>
            </w: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(4,254)</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862</w:t>
            </w:r>
          </w:p>
        </w:tc>
        <w:tc>
          <w:tcPr>
            <w:tcW w:w="220" w:type="dxa"/>
            <w:vAlign w:val="bottom"/>
          </w:tcPr>
          <w:p>
            <w:pPr>
              <w:spacing w:after="0"/>
              <w:rPr>
                <w:sz w:val="20"/>
                <w:szCs w:val="20"/>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(908)</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Realized gains (losses):</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520</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transactions</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(269)</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292</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(1,765)</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vMerge w:val="restart"/>
          </w:tcPr>
          <w:p>
            <w:pPr>
              <w:ind w:left="860"/>
              <w:spacing w:after="0"/>
              <w:rPr>
                <w:sz w:val="20"/>
                <w:szCs w:val="20"/>
                <w:color w:val="auto"/>
              </w:rPr>
            </w:pPr>
            <w:r>
              <w:rPr>
                <w:rFonts w:ascii="Arial" w:cs="Arial" w:eastAsia="Arial" w:hAnsi="Arial"/>
                <w:sz w:val="18"/>
                <w:szCs w:val="18"/>
                <w:color w:val="auto"/>
              </w:rPr>
              <w:t>Total realized gains (losses)</w:t>
            </w: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(259)</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812</w:t>
            </w:r>
          </w:p>
        </w:tc>
        <w:tc>
          <w:tcPr>
            <w:tcW w:w="220" w:type="dxa"/>
            <w:vAlign w:val="bottom"/>
          </w:tcPr>
          <w:p>
            <w:pPr>
              <w:spacing w:after="0"/>
              <w:rPr>
                <w:sz w:val="20"/>
                <w:szCs w:val="20"/>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(1,638)</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shd w:val="clear" w:color="auto" w:fill="CCEEFF"/>
          </w:tcPr>
          <w:p>
            <w:pPr>
              <w:ind w:left="1280"/>
              <w:spacing w:after="0" w:line="201" w:lineRule="exact"/>
              <w:rPr>
                <w:sz w:val="20"/>
                <w:szCs w:val="20"/>
                <w:color w:val="auto"/>
              </w:rPr>
            </w:pPr>
            <w:r>
              <w:rPr>
                <w:rFonts w:ascii="Arial" w:cs="Arial" w:eastAsia="Arial" w:hAnsi="Arial"/>
                <w:sz w:val="18"/>
                <w:szCs w:val="18"/>
                <w:b w:val="1"/>
                <w:bCs w:val="1"/>
                <w:color w:val="auto"/>
              </w:rPr>
              <w:t>Total Unrealized and Realized Gains</w:t>
            </w: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shd w:val="clear" w:color="auto" w:fill="CCEEFF"/>
          </w:tcPr>
          <w:p>
            <w:pPr>
              <w:ind w:left="1500"/>
              <w:spacing w:after="0"/>
              <w:rPr>
                <w:sz w:val="20"/>
                <w:szCs w:val="20"/>
                <w:color w:val="auto"/>
              </w:rPr>
            </w:pPr>
            <w:r>
              <w:rPr>
                <w:rFonts w:ascii="Arial" w:cs="Arial" w:eastAsia="Arial" w:hAnsi="Arial"/>
                <w:sz w:val="18"/>
                <w:szCs w:val="18"/>
                <w:b w:val="1"/>
                <w:bCs w:val="1"/>
                <w:color w:val="auto"/>
              </w:rPr>
              <w:t>(Losses)</w:t>
            </w:r>
          </w:p>
        </w:tc>
        <w:tc>
          <w:tcPr>
            <w:tcW w:w="2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(4,513)</w:t>
            </w: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1,674</w:t>
            </w:r>
          </w:p>
        </w:tc>
        <w:tc>
          <w:tcPr>
            <w:tcW w:w="2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(2,546)</w:t>
            </w: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20" w:type="dxa"/>
            <w:vAlign w:val="bottom"/>
          </w:tcPr>
          <w:p>
            <w:pPr>
              <w:ind w:left="1280"/>
              <w:spacing w:after="0"/>
              <w:rPr>
                <w:sz w:val="20"/>
                <w:szCs w:val="20"/>
                <w:color w:val="auto"/>
              </w:rPr>
            </w:pPr>
            <w:r>
              <w:rPr>
                <w:rFonts w:ascii="Arial" w:cs="Arial" w:eastAsia="Arial" w:hAnsi="Arial"/>
                <w:sz w:val="18"/>
                <w:szCs w:val="18"/>
                <w:b w:val="1"/>
                <w:bCs w:val="1"/>
                <w:color w:val="auto"/>
              </w:rPr>
              <w:t>Increase in Net Assets Resulting from</w:t>
            </w: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tcPr>
          <w:p>
            <w:pPr>
              <w:ind w:left="1500"/>
              <w:spacing w:after="0"/>
              <w:rPr>
                <w:sz w:val="20"/>
                <w:szCs w:val="20"/>
                <w:color w:val="auto"/>
              </w:rPr>
            </w:pPr>
            <w:r>
              <w:rPr>
                <w:rFonts w:ascii="Arial" w:cs="Arial" w:eastAsia="Arial" w:hAnsi="Arial"/>
                <w:sz w:val="18"/>
                <w:szCs w:val="18"/>
                <w:b w:val="1"/>
                <w:bCs w:val="1"/>
                <w:color w:val="auto"/>
              </w:rPr>
              <w:t>Operations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18,603</w:t>
            </w:r>
          </w:p>
        </w:tc>
        <w:tc>
          <w:tcPr>
            <w:tcW w:w="360" w:type="dxa"/>
            <w:vAlign w:val="bottom"/>
          </w:tcPr>
          <w:p>
            <w:pPr>
              <w:spacing w:after="0"/>
              <w:rPr>
                <w:sz w:val="19"/>
                <w:szCs w:val="19"/>
                <w:color w:val="auto"/>
              </w:rPr>
            </w:pPr>
          </w:p>
        </w:tc>
        <w:tc>
          <w:tcPr>
            <w:tcW w:w="6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16,259</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71,245</w:t>
            </w:r>
          </w:p>
        </w:tc>
        <w:tc>
          <w:tcPr>
            <w:tcW w:w="360" w:type="dxa"/>
            <w:vAlign w:val="bottom"/>
          </w:tcPr>
          <w:p>
            <w:pPr>
              <w:spacing w:after="0"/>
              <w:rPr>
                <w:sz w:val="19"/>
                <w:szCs w:val="19"/>
                <w:color w:val="auto"/>
              </w:rPr>
            </w:pPr>
          </w:p>
        </w:tc>
        <w:tc>
          <w:tcPr>
            <w:tcW w:w="6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45,927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share—basic and diluted (1)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3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0.47</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3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5"/>
        </w:trPr>
        <w:tc>
          <w:tcPr>
            <w:tcW w:w="4740" w:type="dxa"/>
            <w:vAlign w:val="bottom"/>
            <w:gridSpan w:val="2"/>
          </w:tcPr>
          <w:p>
            <w:pPr>
              <w:spacing w:after="0"/>
              <w:rPr>
                <w:sz w:val="20"/>
                <w:szCs w:val="20"/>
                <w:color w:val="auto"/>
              </w:rPr>
            </w:pPr>
            <w:r>
              <w:rPr>
                <w:rFonts w:ascii="Arial" w:cs="Arial" w:eastAsia="Arial" w:hAnsi="Arial"/>
                <w:sz w:val="18"/>
                <w:szCs w:val="18"/>
                <w:color w:val="auto"/>
              </w:rPr>
              <w:t>Weighted average shares of common stock outstanding—</w:t>
            </w: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basic and diluted (1)</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53,493,026</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w w:val="90"/>
              </w:rPr>
              <w:t>34,817,674</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49,427,943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33,891,011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36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the three and nine months ended September 30, 2013 have been retroactively adjusted for the stock split which was effected in the form of a stock dividend.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5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Consolidated Schedule of Investments as of September 30, 2014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 (1)</w:t>
            </w:r>
          </w:p>
        </w:tc>
        <w:tc>
          <w:tcPr>
            <w:tcW w:w="540" w:type="dxa"/>
            <w:vAlign w:val="bottom"/>
          </w:tcPr>
          <w:p>
            <w:pPr>
              <w:spacing w:after="0"/>
              <w:rPr>
                <w:sz w:val="14"/>
                <w:szCs w:val="14"/>
                <w:color w:val="auto"/>
              </w:rPr>
            </w:pPr>
          </w:p>
        </w:tc>
        <w:tc>
          <w:tcPr>
            <w:tcW w:w="152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Investment</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Amortized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8"/>
        </w:trPr>
        <w:tc>
          <w:tcPr>
            <w:tcW w:w="438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840" w:type="dxa"/>
            <w:vAlign w:val="bottom"/>
            <w:gridSpan w:val="2"/>
          </w:tcPr>
          <w:p>
            <w:pPr>
              <w:jc w:val="right"/>
              <w:ind w:right="380"/>
              <w:spacing w:after="0" w:line="148" w:lineRule="exact"/>
              <w:rPr>
                <w:sz w:val="20"/>
                <w:szCs w:val="20"/>
                <w:color w:val="auto"/>
              </w:rPr>
            </w:pPr>
            <w:r>
              <w:rPr>
                <w:rFonts w:ascii="Arial" w:cs="Arial" w:eastAsia="Arial" w:hAnsi="Arial"/>
                <w:sz w:val="14"/>
                <w:szCs w:val="14"/>
                <w:b w:val="1"/>
                <w:bCs w:val="1"/>
                <w:color w:val="auto"/>
                <w:w w:val="86"/>
              </w:rPr>
              <w:t>Interest</w:t>
            </w:r>
          </w:p>
        </w:tc>
        <w:tc>
          <w:tcPr>
            <w:tcW w:w="126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Acquisition Date</w:t>
            </w:r>
          </w:p>
        </w:tc>
        <w:tc>
          <w:tcPr>
            <w:tcW w:w="100" w:type="dxa"/>
            <w:vAlign w:val="bottom"/>
          </w:tcPr>
          <w:p>
            <w:pPr>
              <w:spacing w:after="0"/>
              <w:rPr>
                <w:sz w:val="12"/>
                <w:szCs w:val="12"/>
                <w:color w:val="auto"/>
              </w:rPr>
            </w:pPr>
          </w:p>
        </w:tc>
        <w:tc>
          <w:tcPr>
            <w:tcW w:w="580" w:type="dxa"/>
            <w:vAlign w:val="bottom"/>
          </w:tcPr>
          <w:p>
            <w:pPr>
              <w:jc w:val="right"/>
              <w:ind w:right="33"/>
              <w:spacing w:after="0" w:line="148" w:lineRule="exact"/>
              <w:rPr>
                <w:sz w:val="20"/>
                <w:szCs w:val="20"/>
                <w:color w:val="auto"/>
              </w:rPr>
            </w:pPr>
            <w:r>
              <w:rPr>
                <w:rFonts w:ascii="Arial" w:cs="Arial" w:eastAsia="Arial" w:hAnsi="Arial"/>
                <w:sz w:val="14"/>
                <w:szCs w:val="14"/>
                <w:b w:val="1"/>
                <w:bCs w:val="1"/>
                <w:color w:val="auto"/>
                <w:w w:val="84"/>
              </w:rPr>
              <w:t>Cost (2)</w:t>
            </w:r>
          </w:p>
        </w:tc>
        <w:tc>
          <w:tcPr>
            <w:tcW w:w="280" w:type="dxa"/>
            <w:vAlign w:val="bottom"/>
          </w:tcPr>
          <w:p>
            <w:pPr>
              <w:spacing w:after="0"/>
              <w:rPr>
                <w:sz w:val="12"/>
                <w:szCs w:val="12"/>
                <w:color w:val="auto"/>
              </w:rPr>
            </w:pPr>
          </w:p>
        </w:tc>
        <w:tc>
          <w:tcPr>
            <w:tcW w:w="980" w:type="dxa"/>
            <w:vAlign w:val="bottom"/>
            <w:gridSpan w:val="3"/>
          </w:tcPr>
          <w:p>
            <w:pPr>
              <w:ind w:left="40"/>
              <w:spacing w:after="0" w:line="148" w:lineRule="exact"/>
              <w:rPr>
                <w:sz w:val="20"/>
                <w:szCs w:val="20"/>
                <w:color w:val="auto"/>
              </w:rPr>
            </w:pPr>
            <w:r>
              <w:rPr>
                <w:rFonts w:ascii="Arial" w:cs="Arial" w:eastAsia="Arial" w:hAnsi="Arial"/>
                <w:sz w:val="14"/>
                <w:szCs w:val="14"/>
                <w:b w:val="1"/>
                <w:bCs w:val="1"/>
                <w:color w:val="auto"/>
              </w:rPr>
              <w:t>Fair Value</w:t>
            </w:r>
          </w:p>
        </w:tc>
        <w:tc>
          <w:tcPr>
            <w:tcW w:w="94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Debt Investments</w:t>
            </w:r>
          </w:p>
        </w:tc>
        <w:tc>
          <w:tcPr>
            <w:tcW w:w="5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Automotive</w:t>
            </w:r>
          </w:p>
        </w:tc>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Heartland Automotive Holdings, LLC (3)(4)</w:t>
            </w:r>
          </w:p>
        </w:tc>
        <w:tc>
          <w:tcPr>
            <w:tcW w:w="20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First-lien loan</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20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($33,243 par, due</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6/2017)</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9.75%</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8/28/2012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31,581</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060" w:type="dxa"/>
            <w:vAlign w:val="bottom"/>
            <w:gridSpan w:val="3"/>
          </w:tcPr>
          <w:p>
            <w:pPr>
              <w:ind w:left="540"/>
              <w:spacing w:after="0"/>
              <w:rPr>
                <w:sz w:val="20"/>
                <w:szCs w:val="20"/>
                <w:color w:val="auto"/>
              </w:rPr>
            </w:pPr>
            <w:r>
              <w:rPr>
                <w:rFonts w:ascii="Arial" w:cs="Arial" w:eastAsia="Arial" w:hAnsi="Arial"/>
                <w:sz w:val="18"/>
                <w:szCs w:val="18"/>
                <w:color w:val="auto"/>
              </w:rPr>
              <w:t>First-lien</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060" w:type="dxa"/>
            <w:vAlign w:val="bottom"/>
            <w:gridSpan w:val="3"/>
          </w:tcPr>
          <w:p>
            <w:pPr>
              <w:ind w:left="540"/>
              <w:spacing w:after="0"/>
              <w:rPr>
                <w:sz w:val="20"/>
                <w:szCs w:val="20"/>
                <w:color w:val="auto"/>
              </w:rPr>
            </w:pPr>
            <w:r>
              <w:rPr>
                <w:rFonts w:ascii="Arial" w:cs="Arial" w:eastAsia="Arial" w:hAnsi="Arial"/>
                <w:sz w:val="18"/>
                <w:szCs w:val="18"/>
                <w:color w:val="auto"/>
              </w:rPr>
              <w:t>revolving loan</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060" w:type="dxa"/>
            <w:vAlign w:val="bottom"/>
            <w:gridSpan w:val="3"/>
          </w:tcPr>
          <w:p>
            <w:pPr>
              <w:ind w:left="540"/>
              <w:spacing w:after="0"/>
              <w:rPr>
                <w:sz w:val="20"/>
                <w:szCs w:val="20"/>
                <w:color w:val="auto"/>
              </w:rPr>
            </w:pPr>
            <w:r>
              <w:rPr>
                <w:rFonts w:ascii="Arial" w:cs="Arial" w:eastAsia="Arial" w:hAnsi="Arial"/>
                <w:sz w:val="18"/>
                <w:szCs w:val="18"/>
                <w:color w:val="auto"/>
              </w:rPr>
              <w:t>($2,500 par, due</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860" w:type="dxa"/>
            <w:vAlign w:val="bottom"/>
            <w:gridSpan w:val="2"/>
          </w:tcPr>
          <w:p>
            <w:pPr>
              <w:ind w:left="540"/>
              <w:spacing w:after="0"/>
              <w:rPr>
                <w:sz w:val="20"/>
                <w:szCs w:val="20"/>
                <w:color w:val="auto"/>
              </w:rPr>
            </w:pPr>
            <w:r>
              <w:rPr>
                <w:rFonts w:ascii="Arial" w:cs="Arial" w:eastAsia="Arial" w:hAnsi="Arial"/>
                <w:sz w:val="18"/>
                <w:szCs w:val="18"/>
                <w:color w:val="auto"/>
              </w:rPr>
              <w:t>6/2017)</w:t>
            </w:r>
          </w:p>
        </w:tc>
        <w:tc>
          <w:tcPr>
            <w:tcW w:w="2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10.75%</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8/28/2012</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2,413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2,222</w:t>
            </w:r>
          </w:p>
        </w:tc>
        <w:tc>
          <w:tcPr>
            <w:tcW w:w="3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Sage Automotive Interiors, Inc. (3)(4)(6)</w:t>
            </w:r>
          </w:p>
        </w:tc>
        <w:tc>
          <w:tcPr>
            <w:tcW w:w="20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First-lien loan</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20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($20,885 par, due</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12/2016)</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8.50%</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12/31/2012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20,721</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21,042</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55,843</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54,845</w:t>
            </w:r>
          </w:p>
        </w:tc>
        <w:tc>
          <w:tcPr>
            <w:tcW w:w="3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Beverage, food and tobacco</w:t>
            </w:r>
          </w:p>
        </w:tc>
        <w:tc>
          <w:tcPr>
            <w:tcW w:w="5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AFS Technologies, Inc. (3)(4)(6)</w:t>
            </w:r>
          </w:p>
        </w:tc>
        <w:tc>
          <w:tcPr>
            <w:tcW w:w="2060" w:type="dxa"/>
            <w:vAlign w:val="bottom"/>
            <w:gridSpan w:val="3"/>
          </w:tcPr>
          <w:p>
            <w:pPr>
              <w:ind w:left="540"/>
              <w:spacing w:after="0"/>
              <w:rPr>
                <w:sz w:val="20"/>
                <w:szCs w:val="20"/>
                <w:color w:val="auto"/>
              </w:rPr>
            </w:pPr>
            <w:r>
              <w:rPr>
                <w:rFonts w:ascii="Arial" w:cs="Arial" w:eastAsia="Arial" w:hAnsi="Arial"/>
                <w:sz w:val="18"/>
                <w:szCs w:val="18"/>
                <w:color w:val="auto"/>
              </w:rPr>
              <w:t>First-lien loan</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060" w:type="dxa"/>
            <w:vAlign w:val="bottom"/>
            <w:gridSpan w:val="3"/>
          </w:tcPr>
          <w:p>
            <w:pPr>
              <w:ind w:left="540"/>
              <w:spacing w:after="0"/>
              <w:rPr>
                <w:sz w:val="20"/>
                <w:szCs w:val="20"/>
                <w:color w:val="auto"/>
              </w:rPr>
            </w:pPr>
            <w:r>
              <w:rPr>
                <w:rFonts w:ascii="Arial" w:cs="Arial" w:eastAsia="Arial" w:hAnsi="Arial"/>
                <w:sz w:val="18"/>
                <w:szCs w:val="18"/>
                <w:color w:val="auto"/>
              </w:rPr>
              <w:t>($65,000 par, due</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860" w:type="dxa"/>
            <w:vAlign w:val="bottom"/>
            <w:gridSpan w:val="2"/>
          </w:tcPr>
          <w:p>
            <w:pPr>
              <w:ind w:left="540"/>
              <w:spacing w:after="0"/>
              <w:rPr>
                <w:sz w:val="20"/>
                <w:szCs w:val="20"/>
                <w:color w:val="auto"/>
              </w:rPr>
            </w:pPr>
            <w:r>
              <w:rPr>
                <w:rFonts w:ascii="Arial" w:cs="Arial" w:eastAsia="Arial" w:hAnsi="Arial"/>
                <w:sz w:val="18"/>
                <w:szCs w:val="18"/>
                <w:color w:val="auto"/>
              </w:rPr>
              <w:t>3/2020)</w:t>
            </w:r>
          </w:p>
        </w:tc>
        <w:tc>
          <w:tcPr>
            <w:tcW w:w="2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7.75%</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3/3/2014</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63,643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63,863</w:t>
            </w:r>
          </w:p>
        </w:tc>
        <w:tc>
          <w:tcPr>
            <w:tcW w:w="3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Great Atlantic &amp; Pacific Tea Company, Inc. (3)(4)</w:t>
            </w:r>
          </w:p>
        </w:tc>
        <w:tc>
          <w:tcPr>
            <w:tcW w:w="20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First-lien loan</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20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($35,500 par, due</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9/2019)</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9.85%</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9/17/2014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34,882</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34,790</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98,525</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98,653</w:t>
            </w:r>
          </w:p>
        </w:tc>
        <w:tc>
          <w:tcPr>
            <w:tcW w:w="3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Business services</w:t>
            </w:r>
          </w:p>
        </w:tc>
        <w:tc>
          <w:tcPr>
            <w:tcW w:w="5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Actian Corporation (3)(4)(6)</w:t>
            </w:r>
          </w:p>
        </w:tc>
        <w:tc>
          <w:tcPr>
            <w:tcW w:w="2060" w:type="dxa"/>
            <w:vAlign w:val="bottom"/>
            <w:gridSpan w:val="3"/>
          </w:tcPr>
          <w:p>
            <w:pPr>
              <w:ind w:left="540"/>
              <w:spacing w:after="0"/>
              <w:rPr>
                <w:sz w:val="20"/>
                <w:szCs w:val="20"/>
                <w:color w:val="auto"/>
              </w:rPr>
            </w:pPr>
            <w:r>
              <w:rPr>
                <w:rFonts w:ascii="Arial" w:cs="Arial" w:eastAsia="Arial" w:hAnsi="Arial"/>
                <w:sz w:val="18"/>
                <w:szCs w:val="18"/>
                <w:color w:val="auto"/>
              </w:rPr>
              <w:t>First-lien loan</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060" w:type="dxa"/>
            <w:vAlign w:val="bottom"/>
            <w:gridSpan w:val="3"/>
          </w:tcPr>
          <w:p>
            <w:pPr>
              <w:ind w:left="540"/>
              <w:spacing w:after="0"/>
              <w:rPr>
                <w:sz w:val="20"/>
                <w:szCs w:val="20"/>
                <w:color w:val="auto"/>
              </w:rPr>
            </w:pPr>
            <w:r>
              <w:rPr>
                <w:rFonts w:ascii="Arial" w:cs="Arial" w:eastAsia="Arial" w:hAnsi="Arial"/>
                <w:sz w:val="18"/>
                <w:szCs w:val="18"/>
                <w:color w:val="auto"/>
              </w:rPr>
              <w:t>($64,933 par, due</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860" w:type="dxa"/>
            <w:vAlign w:val="bottom"/>
            <w:gridSpan w:val="2"/>
          </w:tcPr>
          <w:p>
            <w:pPr>
              <w:ind w:left="540"/>
              <w:spacing w:after="0"/>
              <w:rPr>
                <w:sz w:val="20"/>
                <w:szCs w:val="20"/>
                <w:color w:val="auto"/>
              </w:rPr>
            </w:pPr>
            <w:r>
              <w:rPr>
                <w:rFonts w:ascii="Arial" w:cs="Arial" w:eastAsia="Arial" w:hAnsi="Arial"/>
                <w:sz w:val="18"/>
                <w:szCs w:val="18"/>
                <w:color w:val="auto"/>
              </w:rPr>
              <w:t>4/2018)</w:t>
            </w:r>
          </w:p>
        </w:tc>
        <w:tc>
          <w:tcPr>
            <w:tcW w:w="2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7.50%</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4/11/2013</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63,151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65,096</w:t>
            </w:r>
          </w:p>
        </w:tc>
        <w:tc>
          <w:tcPr>
            <w:tcW w:w="3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Leaf US Holdings, Inc. (3)(5)</w:t>
            </w:r>
          </w:p>
        </w:tc>
        <w:tc>
          <w:tcPr>
            <w:tcW w:w="20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First-lien loan</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20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($16,459 par, due</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6/2019)</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7.50%</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6/30/2014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16,101</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16,090</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Network Merchants, Inc. (3)(4)</w:t>
            </w:r>
          </w:p>
        </w:tc>
        <w:tc>
          <w:tcPr>
            <w:tcW w:w="2060" w:type="dxa"/>
            <w:vAlign w:val="bottom"/>
            <w:gridSpan w:val="3"/>
          </w:tcPr>
          <w:p>
            <w:pPr>
              <w:ind w:left="540"/>
              <w:spacing w:after="0"/>
              <w:rPr>
                <w:sz w:val="20"/>
                <w:szCs w:val="20"/>
                <w:color w:val="auto"/>
              </w:rPr>
            </w:pPr>
            <w:r>
              <w:rPr>
                <w:rFonts w:ascii="Arial" w:cs="Arial" w:eastAsia="Arial" w:hAnsi="Arial"/>
                <w:sz w:val="18"/>
                <w:szCs w:val="18"/>
                <w:color w:val="auto"/>
              </w:rPr>
              <w:t>First-lien loan</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060" w:type="dxa"/>
            <w:vAlign w:val="bottom"/>
            <w:gridSpan w:val="3"/>
          </w:tcPr>
          <w:p>
            <w:pPr>
              <w:ind w:left="540"/>
              <w:spacing w:after="0"/>
              <w:rPr>
                <w:sz w:val="20"/>
                <w:szCs w:val="20"/>
                <w:color w:val="auto"/>
              </w:rPr>
            </w:pPr>
            <w:r>
              <w:rPr>
                <w:rFonts w:ascii="Arial" w:cs="Arial" w:eastAsia="Arial" w:hAnsi="Arial"/>
                <w:sz w:val="18"/>
                <w:szCs w:val="18"/>
                <w:color w:val="auto"/>
              </w:rPr>
              <w:t>($29,659 par, due</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860" w:type="dxa"/>
            <w:vAlign w:val="bottom"/>
            <w:gridSpan w:val="2"/>
          </w:tcPr>
          <w:p>
            <w:pPr>
              <w:ind w:left="540"/>
              <w:spacing w:after="0"/>
              <w:rPr>
                <w:sz w:val="20"/>
                <w:szCs w:val="20"/>
                <w:color w:val="auto"/>
              </w:rPr>
            </w:pPr>
            <w:r>
              <w:rPr>
                <w:rFonts w:ascii="Arial" w:cs="Arial" w:eastAsia="Arial" w:hAnsi="Arial"/>
                <w:sz w:val="18"/>
                <w:szCs w:val="18"/>
                <w:color w:val="auto"/>
              </w:rPr>
              <w:t>9/2018)</w:t>
            </w:r>
          </w:p>
        </w:tc>
        <w:tc>
          <w:tcPr>
            <w:tcW w:w="2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8.75%</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9/12/2013</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29,179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29,506</w:t>
            </w:r>
          </w:p>
        </w:tc>
        <w:tc>
          <w:tcPr>
            <w:tcW w:w="3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108,431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110,692</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1"/>
        </w:trPr>
        <w:tc>
          <w:tcPr>
            <w:tcW w:w="4380" w:type="dxa"/>
            <w:vAlign w:val="bottom"/>
            <w:gridSpan w:val="3"/>
          </w:tcPr>
          <w:p>
            <w:pPr>
              <w:spacing w:after="0"/>
              <w:rPr>
                <w:sz w:val="20"/>
                <w:szCs w:val="20"/>
                <w:color w:val="auto"/>
              </w:rPr>
            </w:pPr>
            <w:r>
              <w:rPr>
                <w:rFonts w:ascii="Arial" w:cs="Arial" w:eastAsia="Arial" w:hAnsi="Arial"/>
                <w:sz w:val="18"/>
                <w:szCs w:val="18"/>
                <w:b w:val="1"/>
                <w:bCs w:val="1"/>
                <w:color w:val="auto"/>
              </w:rPr>
              <w:t>Communications</w:t>
            </w:r>
          </w:p>
        </w:tc>
        <w:tc>
          <w:tcPr>
            <w:tcW w:w="5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IPC Systems, Inc. (3)(4)</w:t>
            </w:r>
          </w:p>
        </w:tc>
        <w:tc>
          <w:tcPr>
            <w:tcW w:w="20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Second-lien loan</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20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($17,000 par, due</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5/2021)</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9.50%</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5/2/2014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16,933</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16,915</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Construction and building</w:t>
            </w:r>
          </w:p>
        </w:tc>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Mannington Mills, Inc. (3)(4)</w:t>
            </w:r>
          </w:p>
        </w:tc>
        <w:tc>
          <w:tcPr>
            <w:tcW w:w="5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14.00%</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20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Second-lien loan</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(incl.</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20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($46,640 par, due</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58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3/2017)</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PIK)</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3/2/2012</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45,952</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51,034</w:t>
            </w: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Containers and packaging</w:t>
            </w:r>
          </w:p>
        </w:tc>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Newark Group, Inc. (3)(4)</w:t>
            </w:r>
          </w:p>
        </w:tc>
        <w:tc>
          <w:tcPr>
            <w:tcW w:w="20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First-lien loan</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20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($45,120 par, due</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2/2018)</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8.50%</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2/8/2013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44,797</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45,910</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Education</w:t>
            </w:r>
          </w:p>
        </w:tc>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Campus Management, Inc. (3)(4)(6)</w:t>
            </w:r>
          </w:p>
        </w:tc>
        <w:tc>
          <w:tcPr>
            <w:tcW w:w="20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First-lien loan</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20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($28,500 par, due</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9/2018)</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8.75%</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9/30/2013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27,915</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28,286</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Electronics</w:t>
            </w:r>
          </w:p>
        </w:tc>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My Alarm Center, LLC (3)(4)</w:t>
            </w:r>
          </w:p>
        </w:tc>
        <w:tc>
          <w:tcPr>
            <w:tcW w:w="20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First-lien loan</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20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($56,944 par, due</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1/2018)</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8.50%</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1/9/2014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56,033</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56,299</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060" w:type="dxa"/>
            <w:vAlign w:val="bottom"/>
            <w:gridSpan w:val="3"/>
          </w:tcPr>
          <w:p>
            <w:pPr>
              <w:ind w:left="540"/>
              <w:spacing w:after="0"/>
              <w:rPr>
                <w:sz w:val="20"/>
                <w:szCs w:val="20"/>
                <w:color w:val="auto"/>
              </w:rPr>
            </w:pPr>
            <w:r>
              <w:rPr>
                <w:rFonts w:ascii="Arial" w:cs="Arial" w:eastAsia="Arial" w:hAnsi="Arial"/>
                <w:sz w:val="18"/>
                <w:szCs w:val="18"/>
                <w:color w:val="auto"/>
              </w:rPr>
              <w:t>Mezzanine loan</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16.25%</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060" w:type="dxa"/>
            <w:vAlign w:val="bottom"/>
            <w:gridSpan w:val="3"/>
          </w:tcPr>
          <w:p>
            <w:pPr>
              <w:ind w:left="540"/>
              <w:spacing w:after="0"/>
              <w:rPr>
                <w:sz w:val="20"/>
                <w:szCs w:val="20"/>
                <w:color w:val="auto"/>
              </w:rPr>
            </w:pPr>
            <w:r>
              <w:rPr>
                <w:rFonts w:ascii="Arial" w:cs="Arial" w:eastAsia="Arial" w:hAnsi="Arial"/>
                <w:sz w:val="18"/>
                <w:szCs w:val="18"/>
                <w:color w:val="auto"/>
              </w:rPr>
              <w:t>($4,688 par, due</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(incl.</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860" w:type="dxa"/>
            <w:vAlign w:val="bottom"/>
            <w:gridSpan w:val="2"/>
          </w:tcPr>
          <w:p>
            <w:pPr>
              <w:ind w:left="540"/>
              <w:spacing w:after="0"/>
              <w:rPr>
                <w:sz w:val="20"/>
                <w:szCs w:val="20"/>
                <w:color w:val="auto"/>
              </w:rPr>
            </w:pPr>
            <w:r>
              <w:rPr>
                <w:rFonts w:ascii="Arial" w:cs="Arial" w:eastAsia="Arial" w:hAnsi="Arial"/>
                <w:sz w:val="18"/>
                <w:szCs w:val="18"/>
                <w:color w:val="auto"/>
              </w:rPr>
              <w:t>7/2018)</w:t>
            </w:r>
          </w:p>
        </w:tc>
        <w:tc>
          <w:tcPr>
            <w:tcW w:w="2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4.25%</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PIK)</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1/9/2014</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4,742</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4,687</w:t>
            </w:r>
          </w:p>
        </w:tc>
        <w:tc>
          <w:tcPr>
            <w:tcW w:w="3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60,775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60,986</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1"/>
        </w:trPr>
        <w:tc>
          <w:tcPr>
            <w:tcW w:w="4380" w:type="dxa"/>
            <w:vAlign w:val="bottom"/>
            <w:gridSpan w:val="3"/>
          </w:tcPr>
          <w:p>
            <w:pPr>
              <w:spacing w:after="0"/>
              <w:rPr>
                <w:sz w:val="20"/>
                <w:szCs w:val="20"/>
                <w:color w:val="auto"/>
              </w:rPr>
            </w:pPr>
            <w:r>
              <w:rPr>
                <w:rFonts w:ascii="Arial" w:cs="Arial" w:eastAsia="Arial" w:hAnsi="Arial"/>
                <w:sz w:val="18"/>
                <w:szCs w:val="18"/>
                <w:b w:val="1"/>
                <w:bCs w:val="1"/>
                <w:color w:val="auto"/>
              </w:rPr>
              <w:t>Financial services</w:t>
            </w:r>
          </w:p>
        </w:tc>
        <w:tc>
          <w:tcPr>
            <w:tcW w:w="5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Embarcadero Technologies, Inc. (3)(4)(6)</w:t>
            </w:r>
          </w:p>
        </w:tc>
        <w:tc>
          <w:tcPr>
            <w:tcW w:w="20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First-lien loan</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20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($40,801 par, due</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12/2017)</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8.00%</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12/28/2012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40,088</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41,413</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Rogue Wave Holdings, Inc. (3)(4)(6)</w:t>
            </w:r>
          </w:p>
        </w:tc>
        <w:tc>
          <w:tcPr>
            <w:tcW w:w="2060" w:type="dxa"/>
            <w:vAlign w:val="bottom"/>
            <w:gridSpan w:val="3"/>
          </w:tcPr>
          <w:p>
            <w:pPr>
              <w:ind w:left="540"/>
              <w:spacing w:after="0"/>
              <w:rPr>
                <w:sz w:val="20"/>
                <w:szCs w:val="20"/>
                <w:color w:val="auto"/>
              </w:rPr>
            </w:pPr>
            <w:r>
              <w:rPr>
                <w:rFonts w:ascii="Arial" w:cs="Arial" w:eastAsia="Arial" w:hAnsi="Arial"/>
                <w:sz w:val="18"/>
                <w:szCs w:val="18"/>
                <w:color w:val="auto"/>
              </w:rPr>
              <w:t>First-lien loan</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7.23%</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11/21/2012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66,106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67,311</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060" w:type="dxa"/>
            <w:vAlign w:val="bottom"/>
            <w:gridSpan w:val="3"/>
          </w:tcPr>
          <w:p>
            <w:pPr>
              <w:ind w:left="540"/>
              <w:spacing w:after="0"/>
              <w:rPr>
                <w:sz w:val="20"/>
                <w:szCs w:val="20"/>
                <w:color w:val="auto"/>
              </w:rPr>
            </w:pPr>
            <w:r>
              <w:rPr>
                <w:rFonts w:ascii="Arial" w:cs="Arial" w:eastAsia="Arial" w:hAnsi="Arial"/>
                <w:sz w:val="18"/>
                <w:szCs w:val="18"/>
                <w:color w:val="auto"/>
              </w:rPr>
              <w:t>($67,311 par, due</w:t>
            </w: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0" w:gutter="0" w:footer="0" w:header="0"/>
        </w:sectPr>
      </w:pPr>
    </w:p>
    <w:bookmarkStart w:id="6" w:name="page7"/>
    <w:bookmarkEnd w:id="6"/>
    <w:p>
      <w:pPr>
        <w:ind w:left="3720"/>
        <w:spacing w:after="0"/>
        <w:rPr>
          <w:sz w:val="20"/>
          <w:szCs w:val="20"/>
          <w:color w:val="auto"/>
        </w:rPr>
      </w:pPr>
      <w:r>
        <w:rPr>
          <w:rFonts w:ascii="Arial" w:cs="Arial" w:eastAsia="Arial" w:hAnsi="Arial"/>
          <w:sz w:val="18"/>
          <w:szCs w:val="18"/>
          <w:color w:val="auto"/>
        </w:rPr>
        <w:t>12/2018)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4662805</wp:posOffset>
            </wp:positionH>
            <wp:positionV relativeFrom="paragraph">
              <wp:posOffset>10795</wp:posOffset>
            </wp:positionV>
            <wp:extent cx="16979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16" w:lineRule="exact"/>
        <w:rPr>
          <w:sz w:val="20"/>
          <w:szCs w:val="20"/>
          <w:color w:val="auto"/>
        </w:rPr>
      </w:pPr>
    </w:p>
    <w:p>
      <w:pPr>
        <w:jc w:val="both"/>
        <w:ind w:left="7440"/>
        <w:spacing w:after="0"/>
        <w:tabs>
          <w:tab w:leader="none" w:pos="8380" w:val="left"/>
          <w:tab w:leader="none" w:pos="9700" w:val="left"/>
        </w:tabs>
        <w:rPr>
          <w:sz w:val="20"/>
          <w:szCs w:val="20"/>
          <w:color w:val="auto"/>
        </w:rPr>
      </w:pPr>
      <w:r>
        <w:rPr>
          <w:rFonts w:ascii="Arial" w:cs="Arial" w:eastAsia="Arial" w:hAnsi="Arial"/>
          <w:sz w:val="18"/>
          <w:szCs w:val="18"/>
          <w:color w:val="auto"/>
        </w:rPr>
        <w:t>106,194</w:t>
      </w:r>
      <w:r>
        <w:rPr>
          <w:sz w:val="20"/>
          <w:szCs w:val="20"/>
          <w:color w:val="auto"/>
        </w:rPr>
        <w:tab/>
      </w:r>
      <w:r>
        <w:rPr>
          <w:rFonts w:ascii="Arial" w:cs="Arial" w:eastAsia="Arial" w:hAnsi="Arial"/>
          <w:sz w:val="18"/>
          <w:szCs w:val="18"/>
          <w:color w:val="auto"/>
        </w:rPr>
        <w:t>108,724</w:t>
      </w:r>
      <w:r>
        <w:rPr>
          <w:sz w:val="20"/>
          <w:szCs w:val="20"/>
          <w:color w:val="auto"/>
        </w:rPr>
        <w:tab/>
      </w:r>
      <w:r>
        <w:rPr>
          <w:rFonts w:ascii="Arial" w:cs="Arial" w:eastAsia="Arial" w:hAnsi="Arial"/>
          <w:sz w:val="15"/>
          <w:szCs w:val="15"/>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-125730</wp:posOffset>
            </wp:positionV>
            <wp:extent cx="72466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6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160"/>
          </w:cols>
          <w:pgMar w:left="1440" w:top="131" w:right="299" w:bottom="1440" w:gutter="0" w:footer="0" w:header="0"/>
        </w:sectPr>
      </w:pPr>
    </w:p>
    <w:bookmarkStart w:id="7" w:name="page8"/>
    <w:bookmarkEnd w:id="7"/>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Healthcare and pharmaceuticals</w:t>
            </w:r>
          </w:p>
        </w:tc>
        <w:tc>
          <w:tcPr>
            <w:tcW w:w="2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Aesynt, Inc. (3)(4)(6)</w:t>
            </w:r>
          </w:p>
        </w:tc>
        <w:tc>
          <w:tcPr>
            <w:tcW w:w="2460" w:type="dxa"/>
            <w:vAlign w:val="bottom"/>
          </w:tcPr>
          <w:p>
            <w:pPr>
              <w:ind w:left="1140"/>
              <w:spacing w:after="0"/>
              <w:rPr>
                <w:sz w:val="20"/>
                <w:szCs w:val="20"/>
                <w:color w:val="auto"/>
              </w:rPr>
            </w:pPr>
            <w:r>
              <w:rPr>
                <w:rFonts w:ascii="Arial" w:cs="Arial" w:eastAsia="Arial" w:hAnsi="Arial"/>
                <w:sz w:val="18"/>
                <w:szCs w:val="18"/>
                <w:color w:val="auto"/>
              </w:rPr>
              <w:t>First-lien term</w:t>
            </w: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460" w:type="dxa"/>
            <w:vAlign w:val="bottom"/>
          </w:tcPr>
          <w:p>
            <w:pPr>
              <w:ind w:left="1140"/>
              <w:spacing w:after="0"/>
              <w:rPr>
                <w:sz w:val="20"/>
                <w:szCs w:val="20"/>
                <w:color w:val="auto"/>
              </w:rPr>
            </w:pPr>
            <w:r>
              <w:rPr>
                <w:rFonts w:ascii="Arial" w:cs="Arial" w:eastAsia="Arial" w:hAnsi="Arial"/>
                <w:sz w:val="18"/>
                <w:szCs w:val="18"/>
                <w:color w:val="auto"/>
              </w:rPr>
              <w:t>loan ($34,781</w:t>
            </w: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460" w:type="dxa"/>
            <w:vAlign w:val="bottom"/>
          </w:tcPr>
          <w:p>
            <w:pPr>
              <w:ind w:left="1140"/>
              <w:spacing w:after="0"/>
              <w:rPr>
                <w:sz w:val="20"/>
                <w:szCs w:val="20"/>
                <w:color w:val="auto"/>
              </w:rPr>
            </w:pPr>
            <w:r>
              <w:rPr>
                <w:rFonts w:ascii="Arial" w:cs="Arial" w:eastAsia="Arial" w:hAnsi="Arial"/>
                <w:sz w:val="18"/>
                <w:szCs w:val="18"/>
                <w:color w:val="auto"/>
                <w:w w:val="98"/>
              </w:rPr>
              <w:t>par, due 5/2019)</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7.00%</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5/8/2014</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33,886</w:t>
            </w:r>
          </w:p>
        </w:tc>
        <w:tc>
          <w:tcPr>
            <w:tcW w:w="760" w:type="dxa"/>
            <w:vAlign w:val="bottom"/>
          </w:tcPr>
          <w:p>
            <w:pPr>
              <w:jc w:val="right"/>
              <w:spacing w:after="0"/>
              <w:rPr>
                <w:sz w:val="20"/>
                <w:szCs w:val="20"/>
                <w:color w:val="auto"/>
              </w:rPr>
            </w:pPr>
            <w:r>
              <w:rPr>
                <w:rFonts w:ascii="Arial" w:cs="Arial" w:eastAsia="Arial" w:hAnsi="Arial"/>
                <w:sz w:val="18"/>
                <w:szCs w:val="18"/>
                <w:color w:val="auto"/>
              </w:rPr>
              <w:t>33,825</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4.0%</w:t>
            </w: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Global Healthcare Exchange, LLC (3)(4)</w:t>
            </w:r>
          </w:p>
        </w:tc>
        <w:tc>
          <w:tcPr>
            <w:tcW w:w="24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First-lien term</w:t>
            </w: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24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loan ($25,000</w:t>
            </w: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340" w:type="dxa"/>
            <w:vAlign w:val="bottom"/>
            <w:shd w:val="clear" w:color="auto" w:fill="CCEEFF"/>
          </w:tcPr>
          <w:p>
            <w:pPr>
              <w:spacing w:after="0"/>
              <w:rPr>
                <w:sz w:val="19"/>
                <w:szCs w:val="19"/>
                <w:color w:val="auto"/>
              </w:rPr>
            </w:pPr>
          </w:p>
        </w:tc>
        <w:tc>
          <w:tcPr>
            <w:tcW w:w="2460" w:type="dxa"/>
            <w:vAlign w:val="bottom"/>
            <w:shd w:val="clear" w:color="auto" w:fill="CCEEFF"/>
          </w:tcPr>
          <w:p>
            <w:pPr>
              <w:ind w:left="1140"/>
              <w:spacing w:after="0"/>
              <w:rPr>
                <w:sz w:val="20"/>
                <w:szCs w:val="20"/>
                <w:color w:val="auto"/>
              </w:rPr>
            </w:pPr>
            <w:r>
              <w:rPr>
                <w:rFonts w:ascii="Arial" w:cs="Arial" w:eastAsia="Arial" w:hAnsi="Arial"/>
                <w:sz w:val="18"/>
                <w:szCs w:val="18"/>
                <w:color w:val="auto"/>
                <w:w w:val="98"/>
              </w:rPr>
              <w:t>par, due 3/2020)</w:t>
            </w: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10.00%</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3/11/2014</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24,509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24,578</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r>
      <w:tr>
        <w:trPr>
          <w:trHeight w:val="208"/>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Helix Health, Ltd. (3)(5)</w:t>
            </w:r>
          </w:p>
        </w:tc>
        <w:tc>
          <w:tcPr>
            <w:tcW w:w="2460" w:type="dxa"/>
            <w:vAlign w:val="bottom"/>
          </w:tcPr>
          <w:p>
            <w:pPr>
              <w:ind w:left="1140"/>
              <w:spacing w:after="0"/>
              <w:rPr>
                <w:sz w:val="20"/>
                <w:szCs w:val="20"/>
                <w:color w:val="auto"/>
              </w:rPr>
            </w:pPr>
            <w:r>
              <w:rPr>
                <w:rFonts w:ascii="Arial" w:cs="Arial" w:eastAsia="Arial" w:hAnsi="Arial"/>
                <w:sz w:val="18"/>
                <w:szCs w:val="18"/>
                <w:color w:val="auto"/>
              </w:rPr>
              <w:t>First-lien term</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11.50%</w:t>
            </w: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460" w:type="dxa"/>
            <w:vAlign w:val="bottom"/>
          </w:tcPr>
          <w:p>
            <w:pPr>
              <w:ind w:left="1140"/>
              <w:spacing w:after="0"/>
              <w:rPr>
                <w:sz w:val="20"/>
                <w:szCs w:val="20"/>
                <w:color w:val="auto"/>
              </w:rPr>
            </w:pPr>
            <w:r>
              <w:rPr>
                <w:rFonts w:ascii="Arial" w:cs="Arial" w:eastAsia="Arial" w:hAnsi="Arial"/>
                <w:sz w:val="18"/>
                <w:szCs w:val="18"/>
                <w:color w:val="auto"/>
              </w:rPr>
              <w:t>loan (EUR</w:t>
            </w:r>
          </w:p>
        </w:tc>
        <w:tc>
          <w:tcPr>
            <w:tcW w:w="880" w:type="dxa"/>
            <w:vAlign w:val="bottom"/>
          </w:tcPr>
          <w:p>
            <w:pPr>
              <w:jc w:val="right"/>
              <w:ind w:right="292"/>
              <w:spacing w:after="0"/>
              <w:rPr>
                <w:sz w:val="20"/>
                <w:szCs w:val="20"/>
                <w:color w:val="auto"/>
              </w:rPr>
            </w:pPr>
            <w:r>
              <w:rPr>
                <w:rFonts w:ascii="Arial" w:cs="Arial" w:eastAsia="Arial" w:hAnsi="Arial"/>
                <w:sz w:val="18"/>
                <w:szCs w:val="18"/>
                <w:color w:val="auto"/>
              </w:rPr>
              <w:t>(incl.</w:t>
            </w: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460" w:type="dxa"/>
            <w:vAlign w:val="bottom"/>
          </w:tcPr>
          <w:p>
            <w:pPr>
              <w:ind w:left="1140"/>
              <w:spacing w:after="0"/>
              <w:rPr>
                <w:sz w:val="20"/>
                <w:szCs w:val="20"/>
                <w:color w:val="auto"/>
              </w:rPr>
            </w:pPr>
            <w:r>
              <w:rPr>
                <w:rFonts w:ascii="Arial" w:cs="Arial" w:eastAsia="Arial" w:hAnsi="Arial"/>
                <w:sz w:val="18"/>
                <w:szCs w:val="18"/>
                <w:color w:val="auto"/>
              </w:rPr>
              <w:t>27,800 par, due</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3.00%</w:t>
            </w: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460" w:type="dxa"/>
            <w:vAlign w:val="bottom"/>
          </w:tcPr>
          <w:p>
            <w:pPr>
              <w:ind w:left="1140"/>
              <w:spacing w:after="0"/>
              <w:rPr>
                <w:sz w:val="20"/>
                <w:szCs w:val="20"/>
                <w:color w:val="auto"/>
              </w:rPr>
            </w:pPr>
            <w:r>
              <w:rPr>
                <w:rFonts w:ascii="Arial" w:cs="Arial" w:eastAsia="Arial" w:hAnsi="Arial"/>
                <w:sz w:val="18"/>
                <w:szCs w:val="18"/>
                <w:color w:val="auto"/>
              </w:rPr>
              <w:t>9/2019)</w:t>
            </w:r>
          </w:p>
        </w:tc>
        <w:tc>
          <w:tcPr>
            <w:tcW w:w="880" w:type="dxa"/>
            <w:vAlign w:val="bottom"/>
          </w:tcPr>
          <w:p>
            <w:pPr>
              <w:jc w:val="right"/>
              <w:ind w:right="232"/>
              <w:spacing w:after="0"/>
              <w:rPr>
                <w:sz w:val="20"/>
                <w:szCs w:val="20"/>
                <w:color w:val="auto"/>
              </w:rPr>
            </w:pPr>
            <w:r>
              <w:rPr>
                <w:rFonts w:ascii="Arial" w:cs="Arial" w:eastAsia="Arial" w:hAnsi="Arial"/>
                <w:sz w:val="18"/>
                <w:szCs w:val="18"/>
                <w:color w:val="auto"/>
              </w:rPr>
              <w:t>PIK)</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9/30/2014</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33,285</w:t>
            </w:r>
          </w:p>
        </w:tc>
        <w:tc>
          <w:tcPr>
            <w:tcW w:w="760" w:type="dxa"/>
            <w:vAlign w:val="bottom"/>
          </w:tcPr>
          <w:p>
            <w:pPr>
              <w:jc w:val="right"/>
              <w:spacing w:after="0"/>
              <w:rPr>
                <w:sz w:val="20"/>
                <w:szCs w:val="20"/>
                <w:color w:val="auto"/>
              </w:rPr>
            </w:pPr>
            <w:r>
              <w:rPr>
                <w:rFonts w:ascii="Arial" w:cs="Arial" w:eastAsia="Arial" w:hAnsi="Arial"/>
                <w:sz w:val="18"/>
                <w:szCs w:val="18"/>
                <w:color w:val="auto"/>
              </w:rPr>
              <w:t>33,285</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4.0%</w:t>
            </w: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Mediware Information Systems, Inc. (3)(4)(6)</w:t>
            </w:r>
          </w:p>
        </w:tc>
        <w:tc>
          <w:tcPr>
            <w:tcW w:w="24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First-lien loan</w:t>
            </w: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2460" w:type="dxa"/>
            <w:vAlign w:val="bottom"/>
            <w:shd w:val="clear" w:color="auto" w:fill="CCEEFF"/>
          </w:tcPr>
          <w:p>
            <w:pPr>
              <w:ind w:left="1140"/>
              <w:spacing w:after="0"/>
              <w:rPr>
                <w:sz w:val="20"/>
                <w:szCs w:val="20"/>
                <w:color w:val="auto"/>
              </w:rPr>
            </w:pPr>
            <w:r>
              <w:rPr>
                <w:rFonts w:ascii="Arial" w:cs="Arial" w:eastAsia="Arial" w:hAnsi="Arial"/>
                <w:sz w:val="18"/>
                <w:szCs w:val="18"/>
                <w:color w:val="auto"/>
                <w:w w:val="91"/>
              </w:rPr>
              <w:t>($69,863 par, due</w:t>
            </w: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340" w:type="dxa"/>
            <w:vAlign w:val="bottom"/>
            <w:shd w:val="clear" w:color="auto" w:fill="CCEEFF"/>
          </w:tcPr>
          <w:p>
            <w:pPr>
              <w:spacing w:after="0"/>
              <w:rPr>
                <w:sz w:val="19"/>
                <w:szCs w:val="19"/>
                <w:color w:val="auto"/>
              </w:rPr>
            </w:pPr>
          </w:p>
        </w:tc>
        <w:tc>
          <w:tcPr>
            <w:tcW w:w="24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5/2018)</w:t>
            </w: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8.00%</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11/9/2012</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68,597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69,688</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r>
      <w:tr>
        <w:trPr>
          <w:trHeight w:val="208"/>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SRS Software, LLC (3)(4)</w:t>
            </w:r>
          </w:p>
        </w:tc>
        <w:tc>
          <w:tcPr>
            <w:tcW w:w="2460" w:type="dxa"/>
            <w:vAlign w:val="bottom"/>
          </w:tcPr>
          <w:p>
            <w:pPr>
              <w:ind w:left="1140"/>
              <w:spacing w:after="0"/>
              <w:rPr>
                <w:sz w:val="20"/>
                <w:szCs w:val="20"/>
                <w:color w:val="auto"/>
              </w:rPr>
            </w:pPr>
            <w:r>
              <w:rPr>
                <w:rFonts w:ascii="Arial" w:cs="Arial" w:eastAsia="Arial" w:hAnsi="Arial"/>
                <w:sz w:val="18"/>
                <w:szCs w:val="18"/>
                <w:color w:val="auto"/>
              </w:rPr>
              <w:t>First-lien loan</w:t>
            </w: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460" w:type="dxa"/>
            <w:vAlign w:val="bottom"/>
          </w:tcPr>
          <w:p>
            <w:pPr>
              <w:ind w:left="1140"/>
              <w:spacing w:after="0"/>
              <w:rPr>
                <w:sz w:val="20"/>
                <w:szCs w:val="20"/>
                <w:color w:val="auto"/>
              </w:rPr>
            </w:pPr>
            <w:r>
              <w:rPr>
                <w:rFonts w:ascii="Arial" w:cs="Arial" w:eastAsia="Arial" w:hAnsi="Arial"/>
                <w:sz w:val="18"/>
                <w:szCs w:val="18"/>
                <w:color w:val="auto"/>
                <w:w w:val="91"/>
              </w:rPr>
              <w:t>($34,219 par, due</w:t>
            </w: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460" w:type="dxa"/>
            <w:vAlign w:val="bottom"/>
          </w:tcPr>
          <w:p>
            <w:pPr>
              <w:ind w:left="1140"/>
              <w:spacing w:after="0"/>
              <w:rPr>
                <w:sz w:val="20"/>
                <w:szCs w:val="20"/>
                <w:color w:val="auto"/>
              </w:rPr>
            </w:pPr>
            <w:r>
              <w:rPr>
                <w:rFonts w:ascii="Arial" w:cs="Arial" w:eastAsia="Arial" w:hAnsi="Arial"/>
                <w:sz w:val="18"/>
                <w:szCs w:val="18"/>
                <w:color w:val="auto"/>
              </w:rPr>
              <w:t>12/2017)</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8.75%</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12/28/2012</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33,612</w:t>
            </w:r>
          </w:p>
        </w:tc>
        <w:tc>
          <w:tcPr>
            <w:tcW w:w="760" w:type="dxa"/>
            <w:vAlign w:val="bottom"/>
          </w:tcPr>
          <w:p>
            <w:pPr>
              <w:jc w:val="right"/>
              <w:spacing w:after="0"/>
              <w:rPr>
                <w:sz w:val="20"/>
                <w:szCs w:val="20"/>
                <w:color w:val="auto"/>
              </w:rPr>
            </w:pPr>
            <w:r>
              <w:rPr>
                <w:rFonts w:ascii="Arial" w:cs="Arial" w:eastAsia="Arial" w:hAnsi="Arial"/>
                <w:sz w:val="18"/>
                <w:szCs w:val="18"/>
                <w:color w:val="auto"/>
              </w:rPr>
              <w:t>34,304</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4.1%</w:t>
            </w:r>
          </w:p>
        </w:tc>
      </w:tr>
      <w:tr>
        <w:trPr>
          <w:trHeight w:val="209"/>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24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First-lien</w:t>
            </w: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24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revolving loan</w:t>
            </w: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2460" w:type="dxa"/>
            <w:vAlign w:val="bottom"/>
            <w:shd w:val="clear" w:color="auto" w:fill="CCEEFF"/>
          </w:tcPr>
          <w:p>
            <w:pPr>
              <w:ind w:left="1140"/>
              <w:spacing w:after="0"/>
              <w:rPr>
                <w:sz w:val="20"/>
                <w:szCs w:val="20"/>
                <w:color w:val="auto"/>
              </w:rPr>
            </w:pPr>
            <w:r>
              <w:rPr>
                <w:rFonts w:ascii="Arial" w:cs="Arial" w:eastAsia="Arial" w:hAnsi="Arial"/>
                <w:sz w:val="18"/>
                <w:szCs w:val="18"/>
                <w:color w:val="auto"/>
                <w:w w:val="98"/>
              </w:rPr>
              <w:t>($2,000 par, due</w:t>
            </w: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40" w:type="dxa"/>
            <w:vAlign w:val="bottom"/>
            <w:shd w:val="clear" w:color="auto" w:fill="CCEEFF"/>
          </w:tcPr>
          <w:p>
            <w:pPr>
              <w:spacing w:after="0"/>
              <w:rPr>
                <w:sz w:val="19"/>
                <w:szCs w:val="19"/>
                <w:color w:val="auto"/>
              </w:rPr>
            </w:pPr>
          </w:p>
        </w:tc>
        <w:tc>
          <w:tcPr>
            <w:tcW w:w="24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12/2017)</w:t>
            </w: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8.75%</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12/28/2012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2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195,816</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197,685</w:t>
            </w:r>
          </w:p>
        </w:tc>
        <w:tc>
          <w:tcPr>
            <w:tcW w:w="20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23.5%</w:t>
            </w: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Hotel, gaming, and leisure</w:t>
            </w:r>
          </w:p>
        </w:tc>
        <w:tc>
          <w:tcPr>
            <w:tcW w:w="2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Centaur, LLC (3)(4)</w:t>
            </w:r>
          </w:p>
        </w:tc>
        <w:tc>
          <w:tcPr>
            <w:tcW w:w="2460" w:type="dxa"/>
            <w:vAlign w:val="bottom"/>
          </w:tcPr>
          <w:p>
            <w:pPr>
              <w:ind w:left="1140"/>
              <w:spacing w:after="0"/>
              <w:rPr>
                <w:sz w:val="20"/>
                <w:szCs w:val="20"/>
                <w:color w:val="auto"/>
              </w:rPr>
            </w:pPr>
            <w:r>
              <w:rPr>
                <w:rFonts w:ascii="Arial" w:cs="Arial" w:eastAsia="Arial" w:hAnsi="Arial"/>
                <w:sz w:val="18"/>
                <w:szCs w:val="18"/>
                <w:color w:val="auto"/>
                <w:w w:val="96"/>
              </w:rPr>
              <w:t>Second-lien loan</w:t>
            </w: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460" w:type="dxa"/>
            <w:vAlign w:val="bottom"/>
          </w:tcPr>
          <w:p>
            <w:pPr>
              <w:ind w:left="1140"/>
              <w:spacing w:after="0"/>
              <w:rPr>
                <w:sz w:val="20"/>
                <w:szCs w:val="20"/>
                <w:color w:val="auto"/>
              </w:rPr>
            </w:pPr>
            <w:r>
              <w:rPr>
                <w:rFonts w:ascii="Arial" w:cs="Arial" w:eastAsia="Arial" w:hAnsi="Arial"/>
                <w:sz w:val="18"/>
                <w:szCs w:val="18"/>
                <w:color w:val="auto"/>
                <w:w w:val="91"/>
              </w:rPr>
              <w:t>($10,000 par, due</w:t>
            </w: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460" w:type="dxa"/>
            <w:vAlign w:val="bottom"/>
          </w:tcPr>
          <w:p>
            <w:pPr>
              <w:ind w:left="1140"/>
              <w:spacing w:after="0"/>
              <w:rPr>
                <w:sz w:val="20"/>
                <w:szCs w:val="20"/>
                <w:color w:val="auto"/>
              </w:rPr>
            </w:pPr>
            <w:r>
              <w:rPr>
                <w:rFonts w:ascii="Arial" w:cs="Arial" w:eastAsia="Arial" w:hAnsi="Arial"/>
                <w:sz w:val="18"/>
                <w:szCs w:val="18"/>
                <w:color w:val="auto"/>
              </w:rPr>
              <w:t>2/2020)</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8.75%</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2/15/2013</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9,928</w:t>
            </w:r>
          </w:p>
        </w:tc>
        <w:tc>
          <w:tcPr>
            <w:tcW w:w="760" w:type="dxa"/>
            <w:vAlign w:val="bottom"/>
          </w:tcPr>
          <w:p>
            <w:pPr>
              <w:jc w:val="right"/>
              <w:spacing w:after="0"/>
              <w:rPr>
                <w:sz w:val="20"/>
                <w:szCs w:val="20"/>
                <w:color w:val="auto"/>
              </w:rPr>
            </w:pPr>
            <w:r>
              <w:rPr>
                <w:rFonts w:ascii="Arial" w:cs="Arial" w:eastAsia="Arial" w:hAnsi="Arial"/>
                <w:sz w:val="18"/>
                <w:szCs w:val="18"/>
                <w:color w:val="auto"/>
              </w:rPr>
              <w:t>10,113</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1.2%</w:t>
            </w: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IRG Sports &amp; Entertainment, LLC (3)(4)</w:t>
            </w:r>
          </w:p>
        </w:tc>
        <w:tc>
          <w:tcPr>
            <w:tcW w:w="24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First-lien term</w:t>
            </w: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12.00%</w:t>
            </w: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24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loan ($43,100</w:t>
            </w:r>
          </w:p>
        </w:tc>
        <w:tc>
          <w:tcPr>
            <w:tcW w:w="8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(incl.</w:t>
            </w: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2460" w:type="dxa"/>
            <w:vAlign w:val="bottom"/>
            <w:shd w:val="clear" w:color="auto" w:fill="CCEEFF"/>
          </w:tcPr>
          <w:p>
            <w:pPr>
              <w:ind w:left="1140"/>
              <w:spacing w:after="0"/>
              <w:rPr>
                <w:sz w:val="20"/>
                <w:szCs w:val="20"/>
                <w:color w:val="auto"/>
              </w:rPr>
            </w:pPr>
            <w:r>
              <w:rPr>
                <w:rFonts w:ascii="Arial" w:cs="Arial" w:eastAsia="Arial" w:hAnsi="Arial"/>
                <w:sz w:val="18"/>
                <w:szCs w:val="18"/>
                <w:color w:val="auto"/>
                <w:w w:val="98"/>
              </w:rPr>
              <w:t>par, due 9/2019)</w:t>
            </w: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5.00%</w:t>
            </w: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4340" w:type="dxa"/>
            <w:vAlign w:val="bottom"/>
            <w:shd w:val="clear" w:color="auto" w:fill="CCEEFF"/>
          </w:tcPr>
          <w:p>
            <w:pPr>
              <w:spacing w:after="0"/>
              <w:rPr>
                <w:sz w:val="20"/>
                <w:szCs w:val="20"/>
                <w:color w:val="auto"/>
              </w:rPr>
            </w:pPr>
          </w:p>
        </w:tc>
        <w:tc>
          <w:tcPr>
            <w:tcW w:w="24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PIK)</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9/30/2014</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40,421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40,421</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r>
      <w:tr>
        <w:trPr>
          <w:trHeight w:val="208"/>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Soho House (5)</w:t>
            </w:r>
          </w:p>
        </w:tc>
        <w:tc>
          <w:tcPr>
            <w:tcW w:w="2460" w:type="dxa"/>
            <w:vAlign w:val="bottom"/>
          </w:tcPr>
          <w:p>
            <w:pPr>
              <w:ind w:left="1140"/>
              <w:spacing w:after="0"/>
              <w:rPr>
                <w:sz w:val="20"/>
                <w:szCs w:val="20"/>
                <w:color w:val="auto"/>
              </w:rPr>
            </w:pPr>
            <w:r>
              <w:rPr>
                <w:rFonts w:ascii="Arial" w:cs="Arial" w:eastAsia="Arial" w:hAnsi="Arial"/>
                <w:sz w:val="18"/>
                <w:szCs w:val="18"/>
                <w:color w:val="auto"/>
                <w:w w:val="92"/>
              </w:rPr>
              <w:t>Second-lien bond</w:t>
            </w: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460" w:type="dxa"/>
            <w:vAlign w:val="bottom"/>
          </w:tcPr>
          <w:p>
            <w:pPr>
              <w:ind w:left="1140"/>
              <w:spacing w:after="0"/>
              <w:rPr>
                <w:sz w:val="20"/>
                <w:szCs w:val="20"/>
                <w:color w:val="auto"/>
              </w:rPr>
            </w:pPr>
            <w:r>
              <w:rPr>
                <w:rFonts w:ascii="Arial" w:cs="Arial" w:eastAsia="Arial" w:hAnsi="Arial"/>
                <w:sz w:val="18"/>
                <w:szCs w:val="18"/>
                <w:color w:val="auto"/>
                <w:w w:val="99"/>
              </w:rPr>
              <w:t>(GBP 9,750 par,</w:t>
            </w: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460" w:type="dxa"/>
            <w:vAlign w:val="bottom"/>
          </w:tcPr>
          <w:p>
            <w:pPr>
              <w:ind w:left="1140"/>
              <w:spacing w:after="0"/>
              <w:rPr>
                <w:sz w:val="20"/>
                <w:szCs w:val="20"/>
                <w:color w:val="auto"/>
              </w:rPr>
            </w:pPr>
            <w:r>
              <w:rPr>
                <w:rFonts w:ascii="Arial" w:cs="Arial" w:eastAsia="Arial" w:hAnsi="Arial"/>
                <w:sz w:val="18"/>
                <w:szCs w:val="18"/>
                <w:color w:val="auto"/>
              </w:rPr>
              <w:t>due 10/2018)</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9.13%</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9/20/2013</w:t>
            </w:r>
          </w:p>
        </w:tc>
        <w:tc>
          <w:tcPr>
            <w:tcW w:w="760" w:type="dxa"/>
            <w:vAlign w:val="bottom"/>
          </w:tcPr>
          <w:p>
            <w:pPr>
              <w:jc w:val="right"/>
              <w:spacing w:after="0"/>
              <w:rPr>
                <w:sz w:val="20"/>
                <w:szCs w:val="20"/>
                <w:color w:val="auto"/>
              </w:rPr>
            </w:pPr>
            <w:r>
              <w:rPr>
                <w:rFonts w:ascii="Arial" w:cs="Arial" w:eastAsia="Arial" w:hAnsi="Arial"/>
                <w:sz w:val="18"/>
                <w:szCs w:val="18"/>
                <w:color w:val="auto"/>
              </w:rPr>
              <w:t>16,148</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16,557</w:t>
            </w:r>
          </w:p>
        </w:tc>
        <w:tc>
          <w:tcPr>
            <w:tcW w:w="2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r>
      <w:tr>
        <w:trPr>
          <w:trHeight w:val="28"/>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66,497</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67,091</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r>
      <w:tr>
        <w:trPr>
          <w:trHeight w:val="221"/>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Human resource support services</w:t>
            </w:r>
          </w:p>
        </w:tc>
        <w:tc>
          <w:tcPr>
            <w:tcW w:w="2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Pai Group, Inc. (3)(4)</w:t>
            </w:r>
          </w:p>
        </w:tc>
        <w:tc>
          <w:tcPr>
            <w:tcW w:w="24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First-lien loan</w:t>
            </w: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2460" w:type="dxa"/>
            <w:vAlign w:val="bottom"/>
            <w:shd w:val="clear" w:color="auto" w:fill="CCEEFF"/>
          </w:tcPr>
          <w:p>
            <w:pPr>
              <w:ind w:left="1140"/>
              <w:spacing w:after="0"/>
              <w:rPr>
                <w:sz w:val="20"/>
                <w:szCs w:val="20"/>
                <w:color w:val="auto"/>
              </w:rPr>
            </w:pPr>
            <w:r>
              <w:rPr>
                <w:rFonts w:ascii="Arial" w:cs="Arial" w:eastAsia="Arial" w:hAnsi="Arial"/>
                <w:sz w:val="18"/>
                <w:szCs w:val="18"/>
                <w:color w:val="auto"/>
                <w:w w:val="91"/>
              </w:rPr>
              <w:t>($34,288 par, due</w:t>
            </w: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340" w:type="dxa"/>
            <w:vAlign w:val="bottom"/>
            <w:shd w:val="clear" w:color="auto" w:fill="CCEEFF"/>
          </w:tcPr>
          <w:p>
            <w:pPr>
              <w:spacing w:after="0"/>
              <w:rPr>
                <w:sz w:val="19"/>
                <w:szCs w:val="19"/>
                <w:color w:val="auto"/>
              </w:rPr>
            </w:pPr>
          </w:p>
        </w:tc>
        <w:tc>
          <w:tcPr>
            <w:tcW w:w="24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5/2018)</w:t>
            </w: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10.50%</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5/8/2013</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33,658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35,252</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Internet Services</w:t>
            </w:r>
          </w:p>
        </w:tc>
        <w:tc>
          <w:tcPr>
            <w:tcW w:w="2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Highwinds Capital, Inc. (3)(4)</w:t>
            </w:r>
          </w:p>
        </w:tc>
        <w:tc>
          <w:tcPr>
            <w:tcW w:w="24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First-lien loan</w:t>
            </w: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2460" w:type="dxa"/>
            <w:vAlign w:val="bottom"/>
            <w:shd w:val="clear" w:color="auto" w:fill="CCEEFF"/>
          </w:tcPr>
          <w:p>
            <w:pPr>
              <w:ind w:left="1140"/>
              <w:spacing w:after="0"/>
              <w:rPr>
                <w:sz w:val="20"/>
                <w:szCs w:val="20"/>
                <w:color w:val="auto"/>
              </w:rPr>
            </w:pPr>
            <w:r>
              <w:rPr>
                <w:rFonts w:ascii="Arial" w:cs="Arial" w:eastAsia="Arial" w:hAnsi="Arial"/>
                <w:sz w:val="18"/>
                <w:szCs w:val="18"/>
                <w:color w:val="auto"/>
                <w:w w:val="91"/>
              </w:rPr>
              <w:t>($35,401 par, due</w:t>
            </w: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340" w:type="dxa"/>
            <w:vAlign w:val="bottom"/>
            <w:shd w:val="clear" w:color="auto" w:fill="CCEEFF"/>
          </w:tcPr>
          <w:p>
            <w:pPr>
              <w:spacing w:after="0"/>
              <w:rPr>
                <w:sz w:val="19"/>
                <w:szCs w:val="19"/>
                <w:color w:val="auto"/>
              </w:rPr>
            </w:pPr>
          </w:p>
        </w:tc>
        <w:tc>
          <w:tcPr>
            <w:tcW w:w="24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7/2018)</w:t>
            </w: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9.00%</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3/7/2014</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35,031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35,027</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Insurance</w:t>
            </w:r>
          </w:p>
        </w:tc>
        <w:tc>
          <w:tcPr>
            <w:tcW w:w="2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Infogix, Inc. (3)(4)</w:t>
            </w:r>
          </w:p>
        </w:tc>
        <w:tc>
          <w:tcPr>
            <w:tcW w:w="24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First-lien loan</w:t>
            </w: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2460" w:type="dxa"/>
            <w:vAlign w:val="bottom"/>
            <w:shd w:val="clear" w:color="auto" w:fill="CCEEFF"/>
          </w:tcPr>
          <w:p>
            <w:pPr>
              <w:ind w:left="1140"/>
              <w:spacing w:after="0"/>
              <w:rPr>
                <w:sz w:val="20"/>
                <w:szCs w:val="20"/>
                <w:color w:val="auto"/>
              </w:rPr>
            </w:pPr>
            <w:r>
              <w:rPr>
                <w:rFonts w:ascii="Arial" w:cs="Arial" w:eastAsia="Arial" w:hAnsi="Arial"/>
                <w:sz w:val="18"/>
                <w:szCs w:val="18"/>
                <w:color w:val="auto"/>
                <w:w w:val="91"/>
              </w:rPr>
              <w:t>($35,925 par, due</w:t>
            </w: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340" w:type="dxa"/>
            <w:vAlign w:val="bottom"/>
            <w:shd w:val="clear" w:color="auto" w:fill="CCEEFF"/>
          </w:tcPr>
          <w:p>
            <w:pPr>
              <w:spacing w:after="0"/>
              <w:rPr>
                <w:sz w:val="19"/>
                <w:szCs w:val="19"/>
                <w:color w:val="auto"/>
              </w:rPr>
            </w:pPr>
          </w:p>
        </w:tc>
        <w:tc>
          <w:tcPr>
            <w:tcW w:w="24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6/2017)</w:t>
            </w: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10.00%</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6/1/2012</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35,480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35,835</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r>
      <w:tr>
        <w:trPr>
          <w:trHeight w:val="208"/>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460" w:type="dxa"/>
            <w:vAlign w:val="bottom"/>
          </w:tcPr>
          <w:p>
            <w:pPr>
              <w:ind w:left="1140"/>
              <w:spacing w:after="0"/>
              <w:rPr>
                <w:sz w:val="20"/>
                <w:szCs w:val="20"/>
                <w:color w:val="auto"/>
              </w:rPr>
            </w:pPr>
            <w:r>
              <w:rPr>
                <w:rFonts w:ascii="Arial" w:cs="Arial" w:eastAsia="Arial" w:hAnsi="Arial"/>
                <w:sz w:val="18"/>
                <w:szCs w:val="18"/>
                <w:color w:val="auto"/>
              </w:rPr>
              <w:t>First-lien</w:t>
            </w: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460" w:type="dxa"/>
            <w:vAlign w:val="bottom"/>
          </w:tcPr>
          <w:p>
            <w:pPr>
              <w:ind w:left="1140"/>
              <w:spacing w:after="0"/>
              <w:rPr>
                <w:sz w:val="20"/>
                <w:szCs w:val="20"/>
                <w:color w:val="auto"/>
              </w:rPr>
            </w:pPr>
            <w:r>
              <w:rPr>
                <w:rFonts w:ascii="Arial" w:cs="Arial" w:eastAsia="Arial" w:hAnsi="Arial"/>
                <w:sz w:val="18"/>
                <w:szCs w:val="18"/>
                <w:color w:val="auto"/>
              </w:rPr>
              <w:t>revolving loan</w:t>
            </w: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460" w:type="dxa"/>
            <w:vAlign w:val="bottom"/>
          </w:tcPr>
          <w:p>
            <w:pPr>
              <w:ind w:left="1140"/>
              <w:spacing w:after="0"/>
              <w:rPr>
                <w:sz w:val="20"/>
                <w:szCs w:val="20"/>
                <w:color w:val="auto"/>
              </w:rPr>
            </w:pPr>
            <w:r>
              <w:rPr>
                <w:rFonts w:ascii="Arial" w:cs="Arial" w:eastAsia="Arial" w:hAnsi="Arial"/>
                <w:sz w:val="18"/>
                <w:szCs w:val="18"/>
                <w:color w:val="auto"/>
                <w:w w:val="98"/>
              </w:rPr>
              <w:t>($1,665 par, due</w:t>
            </w: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460" w:type="dxa"/>
            <w:vAlign w:val="bottom"/>
          </w:tcPr>
          <w:p>
            <w:pPr>
              <w:ind w:left="1140"/>
              <w:spacing w:after="0"/>
              <w:rPr>
                <w:sz w:val="20"/>
                <w:szCs w:val="20"/>
                <w:color w:val="auto"/>
              </w:rPr>
            </w:pPr>
            <w:r>
              <w:rPr>
                <w:rFonts w:ascii="Arial" w:cs="Arial" w:eastAsia="Arial" w:hAnsi="Arial"/>
                <w:sz w:val="18"/>
                <w:szCs w:val="18"/>
                <w:color w:val="auto"/>
              </w:rPr>
              <w:t>6/2017)</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10.00%</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6/1/2012</w:t>
            </w:r>
          </w:p>
        </w:tc>
        <w:tc>
          <w:tcPr>
            <w:tcW w:w="760" w:type="dxa"/>
            <w:vAlign w:val="bottom"/>
          </w:tcPr>
          <w:p>
            <w:pPr>
              <w:jc w:val="right"/>
              <w:spacing w:after="0"/>
              <w:rPr>
                <w:sz w:val="20"/>
                <w:szCs w:val="20"/>
                <w:color w:val="auto"/>
              </w:rPr>
            </w:pPr>
            <w:r>
              <w:rPr>
                <w:rFonts w:ascii="Arial" w:cs="Arial" w:eastAsia="Arial" w:hAnsi="Arial"/>
                <w:sz w:val="18"/>
                <w:szCs w:val="18"/>
                <w:color w:val="auto"/>
              </w:rPr>
              <w:t>1,611</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1,652</w:t>
            </w:r>
          </w:p>
        </w:tc>
        <w:tc>
          <w:tcPr>
            <w:tcW w:w="2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r>
      <w:tr>
        <w:trPr>
          <w:trHeight w:val="28"/>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37,091</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37,487</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r>
      <w:tr>
        <w:trPr>
          <w:trHeight w:val="221"/>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Manufacturing</w:t>
            </w:r>
          </w:p>
        </w:tc>
        <w:tc>
          <w:tcPr>
            <w:tcW w:w="2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Jeeves Information Systems AB (3)(5)(6)</w:t>
            </w:r>
          </w:p>
        </w:tc>
        <w:tc>
          <w:tcPr>
            <w:tcW w:w="24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First-lien loan</w:t>
            </w: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24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(SEK 205,782</w:t>
            </w: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340" w:type="dxa"/>
            <w:vAlign w:val="bottom"/>
            <w:shd w:val="clear" w:color="auto" w:fill="CCEEFF"/>
          </w:tcPr>
          <w:p>
            <w:pPr>
              <w:spacing w:after="0"/>
              <w:rPr>
                <w:sz w:val="19"/>
                <w:szCs w:val="19"/>
                <w:color w:val="auto"/>
              </w:rPr>
            </w:pPr>
          </w:p>
        </w:tc>
        <w:tc>
          <w:tcPr>
            <w:tcW w:w="2460" w:type="dxa"/>
            <w:vAlign w:val="bottom"/>
            <w:shd w:val="clear" w:color="auto" w:fill="CCEEFF"/>
          </w:tcPr>
          <w:p>
            <w:pPr>
              <w:ind w:left="1140"/>
              <w:spacing w:after="0"/>
              <w:rPr>
                <w:sz w:val="20"/>
                <w:szCs w:val="20"/>
                <w:color w:val="auto"/>
              </w:rPr>
            </w:pPr>
            <w:r>
              <w:rPr>
                <w:rFonts w:ascii="Arial" w:cs="Arial" w:eastAsia="Arial" w:hAnsi="Arial"/>
                <w:sz w:val="18"/>
                <w:szCs w:val="18"/>
                <w:color w:val="auto"/>
                <w:w w:val="98"/>
              </w:rPr>
              <w:t>par, due 6/2018)</w:t>
            </w: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9.25%</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6/5/2013</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30,664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28,262</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Metals and mining</w:t>
            </w:r>
          </w:p>
        </w:tc>
        <w:tc>
          <w:tcPr>
            <w:tcW w:w="2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Metalico, Inc. (3)(4)(6)</w:t>
            </w:r>
          </w:p>
        </w:tc>
        <w:tc>
          <w:tcPr>
            <w:tcW w:w="24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First-lien loan</w:t>
            </w: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2460" w:type="dxa"/>
            <w:vAlign w:val="bottom"/>
            <w:shd w:val="clear" w:color="auto" w:fill="CCEEFF"/>
          </w:tcPr>
          <w:p>
            <w:pPr>
              <w:ind w:left="1140"/>
              <w:spacing w:after="0"/>
              <w:rPr>
                <w:sz w:val="20"/>
                <w:szCs w:val="20"/>
                <w:color w:val="auto"/>
              </w:rPr>
            </w:pPr>
            <w:r>
              <w:rPr>
                <w:rFonts w:ascii="Arial" w:cs="Arial" w:eastAsia="Arial" w:hAnsi="Arial"/>
                <w:sz w:val="18"/>
                <w:szCs w:val="18"/>
                <w:color w:val="auto"/>
                <w:w w:val="91"/>
              </w:rPr>
              <w:t>($33,191 par, due</w:t>
            </w: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340" w:type="dxa"/>
            <w:vAlign w:val="bottom"/>
            <w:shd w:val="clear" w:color="auto" w:fill="CCEEFF"/>
          </w:tcPr>
          <w:p>
            <w:pPr>
              <w:spacing w:after="0"/>
              <w:rPr>
                <w:sz w:val="19"/>
                <w:szCs w:val="19"/>
                <w:color w:val="auto"/>
              </w:rPr>
            </w:pPr>
          </w:p>
        </w:tc>
        <w:tc>
          <w:tcPr>
            <w:tcW w:w="24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11/2019)</w:t>
            </w: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9.50%</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11/21/2013</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32,044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33,025</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Office products</w:t>
            </w:r>
          </w:p>
        </w:tc>
        <w:tc>
          <w:tcPr>
            <w:tcW w:w="2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Ecommerce Industries, Inc. (3)(4)</w:t>
            </w:r>
          </w:p>
        </w:tc>
        <w:tc>
          <w:tcPr>
            <w:tcW w:w="24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First-lien loan</w:t>
            </w: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2460" w:type="dxa"/>
            <w:vAlign w:val="bottom"/>
            <w:shd w:val="clear" w:color="auto" w:fill="CCEEFF"/>
          </w:tcPr>
          <w:p>
            <w:pPr>
              <w:ind w:left="1140"/>
              <w:spacing w:after="0"/>
              <w:rPr>
                <w:sz w:val="20"/>
                <w:szCs w:val="20"/>
                <w:color w:val="auto"/>
              </w:rPr>
            </w:pPr>
            <w:r>
              <w:rPr>
                <w:rFonts w:ascii="Arial" w:cs="Arial" w:eastAsia="Arial" w:hAnsi="Arial"/>
                <w:sz w:val="18"/>
                <w:szCs w:val="18"/>
                <w:color w:val="auto"/>
                <w:w w:val="91"/>
              </w:rPr>
              <w:t>($35,479 par, due</w:t>
            </w: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340" w:type="dxa"/>
            <w:vAlign w:val="bottom"/>
            <w:shd w:val="clear" w:color="auto" w:fill="CCEEFF"/>
          </w:tcPr>
          <w:p>
            <w:pPr>
              <w:spacing w:after="0"/>
              <w:rPr>
                <w:sz w:val="19"/>
                <w:szCs w:val="19"/>
                <w:color w:val="auto"/>
              </w:rPr>
            </w:pPr>
          </w:p>
        </w:tc>
        <w:tc>
          <w:tcPr>
            <w:tcW w:w="24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3/2019)</w:t>
            </w: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7.25%</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3/11/2014</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35,163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35,006</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Oil, gas and consumable fuels</w:t>
            </w:r>
          </w:p>
        </w:tc>
        <w:tc>
          <w:tcPr>
            <w:tcW w:w="2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Milagro (3)(4)</w:t>
            </w:r>
          </w:p>
        </w:tc>
        <w:tc>
          <w:tcPr>
            <w:tcW w:w="24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First-lien loan</w:t>
            </w: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2460" w:type="dxa"/>
            <w:vAlign w:val="bottom"/>
            <w:shd w:val="clear" w:color="auto" w:fill="CCEEFF"/>
          </w:tcPr>
          <w:p>
            <w:pPr>
              <w:ind w:left="1140"/>
              <w:spacing w:after="0"/>
              <w:rPr>
                <w:sz w:val="20"/>
                <w:szCs w:val="20"/>
                <w:color w:val="auto"/>
              </w:rPr>
            </w:pPr>
            <w:r>
              <w:rPr>
                <w:rFonts w:ascii="Arial" w:cs="Arial" w:eastAsia="Arial" w:hAnsi="Arial"/>
                <w:sz w:val="18"/>
                <w:szCs w:val="18"/>
                <w:color w:val="auto"/>
                <w:w w:val="91"/>
              </w:rPr>
              <w:t>($78,571 par, due</w:t>
            </w: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340" w:type="dxa"/>
            <w:vAlign w:val="bottom"/>
            <w:shd w:val="clear" w:color="auto" w:fill="CCEEFF"/>
          </w:tcPr>
          <w:p>
            <w:pPr>
              <w:spacing w:after="0"/>
              <w:rPr>
                <w:sz w:val="19"/>
                <w:szCs w:val="19"/>
                <w:color w:val="auto"/>
              </w:rPr>
            </w:pPr>
          </w:p>
        </w:tc>
        <w:tc>
          <w:tcPr>
            <w:tcW w:w="24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9/2017)</w:t>
            </w: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9.50%</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9/4/2014</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77,598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77,321</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9.2%</w:t>
            </w:r>
          </w:p>
        </w:tc>
      </w:tr>
      <w:tr>
        <w:trPr>
          <w:trHeight w:val="208"/>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Mississippi Resources, LLC (3)(4)(7)</w:t>
            </w:r>
          </w:p>
        </w:tc>
        <w:tc>
          <w:tcPr>
            <w:tcW w:w="2460" w:type="dxa"/>
            <w:vAlign w:val="bottom"/>
          </w:tcPr>
          <w:p>
            <w:pPr>
              <w:ind w:left="1140"/>
              <w:spacing w:after="0"/>
              <w:rPr>
                <w:sz w:val="20"/>
                <w:szCs w:val="20"/>
                <w:color w:val="auto"/>
              </w:rPr>
            </w:pPr>
            <w:r>
              <w:rPr>
                <w:rFonts w:ascii="Arial" w:cs="Arial" w:eastAsia="Arial" w:hAnsi="Arial"/>
                <w:sz w:val="18"/>
                <w:szCs w:val="18"/>
                <w:color w:val="auto"/>
              </w:rPr>
              <w:t>First-lien loan</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13.00%</w:t>
            </w: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460" w:type="dxa"/>
            <w:vAlign w:val="bottom"/>
          </w:tcPr>
          <w:p>
            <w:pPr>
              <w:ind w:left="1140"/>
              <w:spacing w:after="0"/>
              <w:rPr>
                <w:sz w:val="20"/>
                <w:szCs w:val="20"/>
                <w:color w:val="auto"/>
              </w:rPr>
            </w:pPr>
            <w:r>
              <w:rPr>
                <w:rFonts w:ascii="Arial" w:cs="Arial" w:eastAsia="Arial" w:hAnsi="Arial"/>
                <w:sz w:val="18"/>
                <w:szCs w:val="18"/>
                <w:color w:val="auto"/>
                <w:w w:val="91"/>
              </w:rPr>
              <w:t>($36,455 par, due</w:t>
            </w:r>
          </w:p>
        </w:tc>
        <w:tc>
          <w:tcPr>
            <w:tcW w:w="880" w:type="dxa"/>
            <w:vAlign w:val="bottom"/>
          </w:tcPr>
          <w:p>
            <w:pPr>
              <w:jc w:val="right"/>
              <w:ind w:right="292"/>
              <w:spacing w:after="0"/>
              <w:rPr>
                <w:sz w:val="20"/>
                <w:szCs w:val="20"/>
                <w:color w:val="auto"/>
              </w:rPr>
            </w:pPr>
            <w:r>
              <w:rPr>
                <w:rFonts w:ascii="Arial" w:cs="Arial" w:eastAsia="Arial" w:hAnsi="Arial"/>
                <w:sz w:val="18"/>
                <w:szCs w:val="18"/>
                <w:color w:val="auto"/>
              </w:rPr>
              <w:t>(incl.</w:t>
            </w: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460" w:type="dxa"/>
            <w:vAlign w:val="bottom"/>
          </w:tcPr>
          <w:p>
            <w:pPr>
              <w:ind w:left="1140"/>
              <w:spacing w:after="0"/>
              <w:rPr>
                <w:sz w:val="20"/>
                <w:szCs w:val="20"/>
                <w:color w:val="auto"/>
              </w:rPr>
            </w:pPr>
            <w:r>
              <w:rPr>
                <w:rFonts w:ascii="Arial" w:cs="Arial" w:eastAsia="Arial" w:hAnsi="Arial"/>
                <w:sz w:val="18"/>
                <w:szCs w:val="18"/>
                <w:color w:val="auto"/>
              </w:rPr>
              <w:t>6/2018)</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1.50%</w:t>
            </w: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45"/>
        </w:trPr>
        <w:tc>
          <w:tcPr>
            <w:tcW w:w="2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880" w:type="dxa"/>
            <w:vAlign w:val="bottom"/>
          </w:tcPr>
          <w:p>
            <w:pPr>
              <w:jc w:val="right"/>
              <w:ind w:right="232"/>
              <w:spacing w:after="0"/>
              <w:rPr>
                <w:sz w:val="20"/>
                <w:szCs w:val="20"/>
                <w:color w:val="auto"/>
              </w:rPr>
            </w:pPr>
            <w:r>
              <w:rPr>
                <w:rFonts w:ascii="Arial" w:cs="Arial" w:eastAsia="Arial" w:hAnsi="Arial"/>
                <w:sz w:val="18"/>
                <w:szCs w:val="18"/>
                <w:color w:val="auto"/>
              </w:rPr>
              <w:t>PIK)</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6/4/2014</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35,607</w:t>
            </w:r>
          </w:p>
        </w:tc>
        <w:tc>
          <w:tcPr>
            <w:tcW w:w="760" w:type="dxa"/>
            <w:vAlign w:val="bottom"/>
          </w:tcPr>
          <w:p>
            <w:pPr>
              <w:jc w:val="right"/>
              <w:spacing w:after="0"/>
              <w:rPr>
                <w:sz w:val="20"/>
                <w:szCs w:val="20"/>
                <w:color w:val="auto"/>
              </w:rPr>
            </w:pPr>
            <w:r>
              <w:rPr>
                <w:rFonts w:ascii="Arial" w:cs="Arial" w:eastAsia="Arial" w:hAnsi="Arial"/>
                <w:sz w:val="18"/>
                <w:szCs w:val="18"/>
                <w:color w:val="auto"/>
              </w:rPr>
              <w:t>35,361</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4.2%</w:t>
            </w:r>
          </w:p>
        </w:tc>
      </w:tr>
      <w:tr>
        <w:trPr>
          <w:trHeight w:val="138"/>
        </w:trPr>
        <w:tc>
          <w:tcPr>
            <w:tcW w:w="20" w:type="dxa"/>
            <w:vAlign w:val="bottom"/>
          </w:tcPr>
          <w:p>
            <w:pPr>
              <w:spacing w:after="0"/>
              <w:rPr>
                <w:sz w:val="11"/>
                <w:szCs w:val="11"/>
                <w:color w:val="auto"/>
              </w:rPr>
            </w:pPr>
          </w:p>
        </w:tc>
        <w:tc>
          <w:tcPr>
            <w:tcW w:w="434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bl>
    <w:p>
      <w:pPr>
        <w:sectPr>
          <w:pgSz w:w="11900" w:h="16900" w:orient="portrait"/>
          <w:cols w:equalWidth="0" w:num="1">
            <w:col w:w="11420"/>
          </w:cols>
          <w:pgMar w:left="240" w:top="459" w:right="2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113,205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112,682</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1"/>
        </w:trPr>
        <w:tc>
          <w:tcPr>
            <w:tcW w:w="3840" w:type="dxa"/>
            <w:vAlign w:val="bottom"/>
          </w:tcPr>
          <w:p>
            <w:pPr>
              <w:spacing w:after="0"/>
              <w:rPr>
                <w:sz w:val="20"/>
                <w:szCs w:val="20"/>
                <w:color w:val="auto"/>
              </w:rPr>
            </w:pPr>
            <w:r>
              <w:rPr>
                <w:rFonts w:ascii="Arial" w:cs="Arial" w:eastAsia="Arial" w:hAnsi="Arial"/>
                <w:sz w:val="18"/>
                <w:szCs w:val="18"/>
                <w:b w:val="1"/>
                <w:bCs w:val="1"/>
                <w:color w:val="auto"/>
              </w:rPr>
              <w:t>Transportation</w:t>
            </w:r>
          </w:p>
        </w:tc>
        <w:tc>
          <w:tcPr>
            <w:tcW w:w="30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Kewill, Ltd. (3)(5)</w:t>
            </w:r>
          </w:p>
        </w:tc>
        <w:tc>
          <w:tcPr>
            <w:tcW w:w="304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Second-lien loan</w:t>
            </w:r>
          </w:p>
        </w:tc>
        <w:tc>
          <w:tcPr>
            <w:tcW w:w="8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18"/>
                <w:szCs w:val="18"/>
                <w:color w:val="auto"/>
              </w:rPr>
            </w:pPr>
          </w:p>
        </w:tc>
        <w:tc>
          <w:tcPr>
            <w:tcW w:w="3040" w:type="dxa"/>
            <w:vAlign w:val="bottom"/>
            <w:shd w:val="clear" w:color="auto" w:fill="CCEEFF"/>
          </w:tcPr>
          <w:p>
            <w:pPr>
              <w:ind w:left="1660"/>
              <w:spacing w:after="0"/>
              <w:rPr>
                <w:sz w:val="20"/>
                <w:szCs w:val="20"/>
                <w:color w:val="auto"/>
              </w:rPr>
            </w:pPr>
            <w:r>
              <w:rPr>
                <w:rFonts w:ascii="Arial" w:cs="Arial" w:eastAsia="Arial" w:hAnsi="Arial"/>
                <w:sz w:val="18"/>
                <w:szCs w:val="18"/>
                <w:color w:val="auto"/>
                <w:w w:val="95"/>
              </w:rPr>
              <w:t>($62,500 par, due</w:t>
            </w:r>
          </w:p>
        </w:tc>
        <w:tc>
          <w:tcPr>
            <w:tcW w:w="8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40" w:type="dxa"/>
            <w:vAlign w:val="bottom"/>
            <w:shd w:val="clear" w:color="auto" w:fill="CCEEFF"/>
          </w:tcPr>
          <w:p>
            <w:pPr>
              <w:spacing w:after="0"/>
              <w:rPr>
                <w:sz w:val="19"/>
                <w:szCs w:val="19"/>
                <w:color w:val="auto"/>
              </w:rPr>
            </w:pPr>
          </w:p>
        </w:tc>
        <w:tc>
          <w:tcPr>
            <w:tcW w:w="304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10/2019)</w:t>
            </w:r>
          </w:p>
        </w:tc>
        <w:tc>
          <w:tcPr>
            <w:tcW w:w="8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9.50%</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10/2/2013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61,384</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61,875</w:t>
            </w:r>
          </w:p>
        </w:tc>
        <w:tc>
          <w:tcPr>
            <w:tcW w:w="2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384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 Debt Investments</w:t>
            </w:r>
          </w:p>
        </w:tc>
        <w:tc>
          <w:tcPr>
            <w:tcW w:w="3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840" w:type="dxa"/>
            <w:vAlign w:val="bottom"/>
            <w:vMerge w:val="continue"/>
          </w:tcPr>
          <w:p>
            <w:pPr>
              <w:spacing w:after="0"/>
              <w:rPr>
                <w:sz w:val="19"/>
                <w:szCs w:val="19"/>
                <w:color w:val="auto"/>
              </w:rPr>
            </w:pPr>
          </w:p>
        </w:tc>
        <w:tc>
          <w:tcPr>
            <w:tcW w:w="30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1,205,918</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1,219,437</w:t>
            </w:r>
          </w:p>
        </w:tc>
        <w:tc>
          <w:tcPr>
            <w:tcW w:w="2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145.5%</w:t>
            </w:r>
          </w:p>
        </w:tc>
        <w:tc>
          <w:tcPr>
            <w:tcW w:w="0" w:type="dxa"/>
            <w:vAlign w:val="bottom"/>
          </w:tcPr>
          <w:p>
            <w:pPr>
              <w:spacing w:after="0"/>
              <w:rPr>
                <w:sz w:val="1"/>
                <w:szCs w:val="1"/>
                <w:color w:val="auto"/>
              </w:rPr>
            </w:pPr>
          </w:p>
        </w:tc>
      </w:tr>
      <w:tr>
        <w:trPr>
          <w:trHeight w:val="372"/>
        </w:trPr>
        <w:tc>
          <w:tcPr>
            <w:tcW w:w="3840" w:type="dxa"/>
            <w:vAlign w:val="bottom"/>
          </w:tcPr>
          <w:p>
            <w:pPr>
              <w:spacing w:after="0"/>
              <w:rPr>
                <w:sz w:val="24"/>
                <w:szCs w:val="24"/>
                <w:color w:val="auto"/>
              </w:rPr>
            </w:pPr>
          </w:p>
        </w:tc>
        <w:tc>
          <w:tcPr>
            <w:tcW w:w="3040" w:type="dxa"/>
            <w:vAlign w:val="bottom"/>
          </w:tcPr>
          <w:p>
            <w:pPr>
              <w:jc w:val="right"/>
              <w:ind w:right="1032"/>
              <w:spacing w:after="0"/>
              <w:rPr>
                <w:sz w:val="20"/>
                <w:szCs w:val="20"/>
                <w:color w:val="auto"/>
              </w:rPr>
            </w:pPr>
            <w:r>
              <w:rPr>
                <w:rFonts w:ascii="Arial" w:cs="Arial" w:eastAsia="Arial" w:hAnsi="Arial"/>
                <w:sz w:val="18"/>
                <w:szCs w:val="18"/>
                <w:color w:val="auto"/>
              </w:rPr>
              <w:t>7</w:t>
            </w:r>
          </w:p>
        </w:tc>
        <w:tc>
          <w:tcPr>
            <w:tcW w:w="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and Other Investments</w:t>
            </w:r>
          </w:p>
        </w:tc>
        <w:tc>
          <w:tcPr>
            <w:tcW w:w="2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b w:val="1"/>
                <w:bCs w:val="1"/>
                <w:color w:val="auto"/>
              </w:rPr>
              <w:t>Business services</w:t>
            </w:r>
          </w:p>
        </w:tc>
        <w:tc>
          <w:tcPr>
            <w:tcW w:w="2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Network Merchants, Inc.</w:t>
            </w:r>
          </w:p>
        </w:tc>
        <w:tc>
          <w:tcPr>
            <w:tcW w:w="26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Non-Voting</w:t>
            </w:r>
          </w:p>
        </w:tc>
        <w:tc>
          <w:tcPr>
            <w:tcW w:w="1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26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Preferred Units</w:t>
            </w:r>
          </w:p>
        </w:tc>
        <w:tc>
          <w:tcPr>
            <w:tcW w:w="1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00" w:type="dxa"/>
            <w:vAlign w:val="bottom"/>
            <w:shd w:val="clear" w:color="auto" w:fill="CCEEFF"/>
          </w:tcPr>
          <w:p>
            <w:pPr>
              <w:spacing w:after="0"/>
              <w:rPr>
                <w:sz w:val="20"/>
                <w:szCs w:val="20"/>
                <w:color w:val="auto"/>
              </w:rPr>
            </w:pPr>
          </w:p>
        </w:tc>
        <w:tc>
          <w:tcPr>
            <w:tcW w:w="26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(774,099 units)</w:t>
            </w:r>
          </w:p>
        </w:tc>
        <w:tc>
          <w:tcPr>
            <w:tcW w:w="13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9/12/2013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3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Healthcare and pharmaceuticals</w:t>
            </w:r>
          </w:p>
        </w:tc>
        <w:tc>
          <w:tcPr>
            <w:tcW w:w="2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Global Healthcare Exchange, LLC</w:t>
            </w:r>
          </w:p>
        </w:tc>
        <w:tc>
          <w:tcPr>
            <w:tcW w:w="26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Common Shares</w:t>
            </w:r>
          </w:p>
        </w:tc>
        <w:tc>
          <w:tcPr>
            <w:tcW w:w="1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26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Class A</w:t>
            </w:r>
          </w:p>
        </w:tc>
        <w:tc>
          <w:tcPr>
            <w:tcW w:w="1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00" w:type="dxa"/>
            <w:vAlign w:val="bottom"/>
            <w:shd w:val="clear" w:color="auto" w:fill="CCEEFF"/>
          </w:tcPr>
          <w:p>
            <w:pPr>
              <w:spacing w:after="0"/>
              <w:rPr>
                <w:sz w:val="20"/>
                <w:szCs w:val="20"/>
                <w:color w:val="auto"/>
              </w:rPr>
            </w:pPr>
          </w:p>
        </w:tc>
        <w:tc>
          <w:tcPr>
            <w:tcW w:w="26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(495 shares)</w:t>
            </w:r>
          </w:p>
        </w:tc>
        <w:tc>
          <w:tcPr>
            <w:tcW w:w="13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3/11/2014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3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363</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620" w:type="dxa"/>
            <w:vAlign w:val="bottom"/>
          </w:tcPr>
          <w:p>
            <w:pPr>
              <w:ind w:left="1040"/>
              <w:spacing w:after="0"/>
              <w:rPr>
                <w:sz w:val="20"/>
                <w:szCs w:val="20"/>
                <w:color w:val="auto"/>
              </w:rPr>
            </w:pPr>
            <w:r>
              <w:rPr>
                <w:rFonts w:ascii="Arial" w:cs="Arial" w:eastAsia="Arial" w:hAnsi="Arial"/>
                <w:sz w:val="18"/>
                <w:szCs w:val="18"/>
                <w:color w:val="auto"/>
              </w:rPr>
              <w:t>Common Shares</w:t>
            </w:r>
          </w:p>
        </w:tc>
        <w:tc>
          <w:tcPr>
            <w:tcW w:w="1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620" w:type="dxa"/>
            <w:vAlign w:val="bottom"/>
          </w:tcPr>
          <w:p>
            <w:pPr>
              <w:ind w:left="1040"/>
              <w:spacing w:after="0"/>
              <w:rPr>
                <w:sz w:val="20"/>
                <w:szCs w:val="20"/>
                <w:color w:val="auto"/>
              </w:rPr>
            </w:pPr>
            <w:r>
              <w:rPr>
                <w:rFonts w:ascii="Arial" w:cs="Arial" w:eastAsia="Arial" w:hAnsi="Arial"/>
                <w:sz w:val="18"/>
                <w:szCs w:val="18"/>
                <w:color w:val="auto"/>
              </w:rPr>
              <w:t>Class B</w:t>
            </w:r>
          </w:p>
        </w:tc>
        <w:tc>
          <w:tcPr>
            <w:tcW w:w="1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620" w:type="dxa"/>
            <w:vAlign w:val="bottom"/>
          </w:tcPr>
          <w:p>
            <w:pPr>
              <w:ind w:left="1040"/>
              <w:spacing w:after="0"/>
              <w:rPr>
                <w:sz w:val="20"/>
                <w:szCs w:val="20"/>
                <w:color w:val="auto"/>
              </w:rPr>
            </w:pPr>
            <w:r>
              <w:rPr>
                <w:rFonts w:ascii="Arial" w:cs="Arial" w:eastAsia="Arial" w:hAnsi="Arial"/>
                <w:sz w:val="18"/>
                <w:szCs w:val="18"/>
                <w:color w:val="auto"/>
              </w:rPr>
              <w:t>(187.5 shares)</w:t>
            </w: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3/11/2014</w:t>
            </w:r>
          </w:p>
        </w:tc>
        <w:tc>
          <w:tcPr>
            <w:tcW w:w="800" w:type="dxa"/>
            <w:vAlign w:val="bottom"/>
          </w:tcPr>
          <w:p>
            <w:pPr>
              <w:jc w:val="right"/>
              <w:spacing w:after="0"/>
              <w:rPr>
                <w:sz w:val="20"/>
                <w:szCs w:val="20"/>
                <w:color w:val="auto"/>
              </w:rPr>
            </w:pPr>
            <w:r>
              <w:rPr>
                <w:rFonts w:ascii="Arial" w:cs="Arial" w:eastAsia="Arial" w:hAnsi="Arial"/>
                <w:sz w:val="18"/>
                <w:szCs w:val="18"/>
                <w:color w:val="auto"/>
              </w:rPr>
              <w:t>137</w:t>
            </w:r>
          </w:p>
        </w:tc>
        <w:tc>
          <w:tcPr>
            <w:tcW w:w="32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137</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Helix Health, Ltd. (5)</w:t>
            </w:r>
          </w:p>
        </w:tc>
        <w:tc>
          <w:tcPr>
            <w:tcW w:w="26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Warrants</w:t>
            </w:r>
          </w:p>
        </w:tc>
        <w:tc>
          <w:tcPr>
            <w:tcW w:w="13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9/30/2014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SRS Parent Corp.</w:t>
            </w:r>
          </w:p>
        </w:tc>
        <w:tc>
          <w:tcPr>
            <w:tcW w:w="2620" w:type="dxa"/>
            <w:vAlign w:val="bottom"/>
          </w:tcPr>
          <w:p>
            <w:pPr>
              <w:ind w:left="1040"/>
              <w:spacing w:after="0"/>
              <w:rPr>
                <w:sz w:val="20"/>
                <w:szCs w:val="20"/>
                <w:color w:val="auto"/>
              </w:rPr>
            </w:pPr>
            <w:r>
              <w:rPr>
                <w:rFonts w:ascii="Arial" w:cs="Arial" w:eastAsia="Arial" w:hAnsi="Arial"/>
                <w:sz w:val="18"/>
                <w:szCs w:val="18"/>
                <w:color w:val="auto"/>
              </w:rPr>
              <w:t>Common Shares</w:t>
            </w:r>
          </w:p>
        </w:tc>
        <w:tc>
          <w:tcPr>
            <w:tcW w:w="1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620" w:type="dxa"/>
            <w:vAlign w:val="bottom"/>
          </w:tcPr>
          <w:p>
            <w:pPr>
              <w:ind w:left="1040"/>
              <w:spacing w:after="0"/>
              <w:rPr>
                <w:sz w:val="20"/>
                <w:szCs w:val="20"/>
                <w:color w:val="auto"/>
              </w:rPr>
            </w:pPr>
            <w:r>
              <w:rPr>
                <w:rFonts w:ascii="Arial" w:cs="Arial" w:eastAsia="Arial" w:hAnsi="Arial"/>
                <w:sz w:val="18"/>
                <w:szCs w:val="18"/>
                <w:color w:val="auto"/>
              </w:rPr>
              <w:t>Class A</w:t>
            </w:r>
          </w:p>
        </w:tc>
        <w:tc>
          <w:tcPr>
            <w:tcW w:w="1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620" w:type="dxa"/>
            <w:vAlign w:val="bottom"/>
          </w:tcPr>
          <w:p>
            <w:pPr>
              <w:ind w:left="1040"/>
              <w:spacing w:after="0"/>
              <w:rPr>
                <w:sz w:val="20"/>
                <w:szCs w:val="20"/>
                <w:color w:val="auto"/>
              </w:rPr>
            </w:pPr>
            <w:r>
              <w:rPr>
                <w:rFonts w:ascii="Arial" w:cs="Arial" w:eastAsia="Arial" w:hAnsi="Arial"/>
                <w:sz w:val="18"/>
                <w:szCs w:val="18"/>
                <w:color w:val="auto"/>
              </w:rPr>
              <w:t>(1,980 shares)</w:t>
            </w: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12/28/2012</w:t>
            </w:r>
          </w:p>
        </w:tc>
        <w:tc>
          <w:tcPr>
            <w:tcW w:w="800" w:type="dxa"/>
            <w:vAlign w:val="bottom"/>
          </w:tcPr>
          <w:p>
            <w:pPr>
              <w:jc w:val="right"/>
              <w:spacing w:after="0"/>
              <w:rPr>
                <w:sz w:val="20"/>
                <w:szCs w:val="20"/>
                <w:color w:val="auto"/>
              </w:rPr>
            </w:pPr>
            <w:r>
              <w:rPr>
                <w:rFonts w:ascii="Arial" w:cs="Arial" w:eastAsia="Arial" w:hAnsi="Arial"/>
                <w:sz w:val="18"/>
                <w:szCs w:val="18"/>
                <w:color w:val="auto"/>
              </w:rPr>
              <w:t>1,980</w:t>
            </w:r>
          </w:p>
        </w:tc>
        <w:tc>
          <w:tcPr>
            <w:tcW w:w="32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1,059</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26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Common Shares</w:t>
            </w:r>
          </w:p>
        </w:tc>
        <w:tc>
          <w:tcPr>
            <w:tcW w:w="1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26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Class B</w:t>
            </w:r>
          </w:p>
        </w:tc>
        <w:tc>
          <w:tcPr>
            <w:tcW w:w="1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0" w:type="dxa"/>
            <w:vAlign w:val="bottom"/>
            <w:shd w:val="clear" w:color="auto" w:fill="CCEEFF"/>
          </w:tcPr>
          <w:p>
            <w:pPr>
              <w:spacing w:after="0"/>
              <w:rPr>
                <w:sz w:val="20"/>
                <w:szCs w:val="20"/>
                <w:color w:val="auto"/>
              </w:rPr>
            </w:pPr>
          </w:p>
        </w:tc>
        <w:tc>
          <w:tcPr>
            <w:tcW w:w="26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(2,953,020 shares)</w:t>
            </w:r>
          </w:p>
        </w:tc>
        <w:tc>
          <w:tcPr>
            <w:tcW w:w="13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12/28/2012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3,377</w:t>
            </w:r>
          </w:p>
        </w:tc>
        <w:tc>
          <w:tcPr>
            <w:tcW w:w="32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2,447</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Hotel, gaming, and leisure</w:t>
            </w:r>
          </w:p>
        </w:tc>
        <w:tc>
          <w:tcPr>
            <w:tcW w:w="2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IRG Sports &amp; Entertainment, LLC</w:t>
            </w:r>
          </w:p>
        </w:tc>
        <w:tc>
          <w:tcPr>
            <w:tcW w:w="2620" w:type="dxa"/>
            <w:vAlign w:val="bottom"/>
          </w:tcPr>
          <w:p>
            <w:pPr>
              <w:ind w:left="1040"/>
              <w:spacing w:after="0"/>
              <w:rPr>
                <w:sz w:val="20"/>
                <w:szCs w:val="20"/>
                <w:color w:val="auto"/>
              </w:rPr>
            </w:pPr>
            <w:r>
              <w:rPr>
                <w:rFonts w:ascii="Arial" w:cs="Arial" w:eastAsia="Arial" w:hAnsi="Arial"/>
                <w:sz w:val="18"/>
                <w:szCs w:val="18"/>
                <w:color w:val="auto"/>
              </w:rPr>
              <w:t>Warrants</w:t>
            </w: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9/30/2014</w:t>
            </w:r>
          </w:p>
        </w:tc>
        <w:tc>
          <w:tcPr>
            <w:tcW w:w="800" w:type="dxa"/>
            <w:vAlign w:val="bottom"/>
          </w:tcPr>
          <w:p>
            <w:pPr>
              <w:jc w:val="right"/>
              <w:spacing w:after="0"/>
              <w:rPr>
                <w:sz w:val="20"/>
                <w:szCs w:val="20"/>
                <w:color w:val="auto"/>
              </w:rPr>
            </w:pPr>
            <w:r>
              <w:rPr>
                <w:rFonts w:ascii="Arial" w:cs="Arial" w:eastAsia="Arial" w:hAnsi="Arial"/>
                <w:sz w:val="18"/>
                <w:szCs w:val="18"/>
                <w:color w:val="auto"/>
              </w:rPr>
              <w:t>1,494</w:t>
            </w:r>
          </w:p>
        </w:tc>
        <w:tc>
          <w:tcPr>
            <w:tcW w:w="3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1,494</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Oil, gas and consumable fuels</w:t>
            </w:r>
          </w:p>
        </w:tc>
        <w:tc>
          <w:tcPr>
            <w:tcW w:w="2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Mississippi Resources, LLC (7)</w:t>
            </w:r>
          </w:p>
        </w:tc>
        <w:tc>
          <w:tcPr>
            <w:tcW w:w="2620" w:type="dxa"/>
            <w:vAlign w:val="bottom"/>
          </w:tcPr>
          <w:p>
            <w:pPr>
              <w:spacing w:after="0"/>
              <w:rPr>
                <w:sz w:val="18"/>
                <w:szCs w:val="18"/>
                <w:color w:val="auto"/>
              </w:rPr>
            </w:pP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6/4/2014</w:t>
            </w:r>
          </w:p>
        </w:tc>
        <w:tc>
          <w:tcPr>
            <w:tcW w:w="800" w:type="dxa"/>
            <w:vAlign w:val="bottom"/>
          </w:tcPr>
          <w:p>
            <w:pPr>
              <w:jc w:val="right"/>
              <w:spacing w:after="0"/>
              <w:rPr>
                <w:sz w:val="20"/>
                <w:szCs w:val="20"/>
                <w:color w:val="auto"/>
              </w:rPr>
            </w:pPr>
            <w:r>
              <w:rPr>
                <w:rFonts w:ascii="Arial" w:cs="Arial" w:eastAsia="Arial" w:hAnsi="Arial"/>
                <w:sz w:val="18"/>
                <w:szCs w:val="18"/>
                <w:color w:val="auto"/>
              </w:rPr>
              <w:t>8,874</w:t>
            </w:r>
          </w:p>
        </w:tc>
        <w:tc>
          <w:tcPr>
            <w:tcW w:w="3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8,873</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Equity and Other Investments</w:t>
            </w:r>
          </w:p>
        </w:tc>
        <w:tc>
          <w:tcPr>
            <w:tcW w:w="2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14,525</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13,744</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Investments</w:t>
            </w:r>
          </w:p>
        </w:tc>
        <w:tc>
          <w:tcPr>
            <w:tcW w:w="2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20" w:type="dxa"/>
            <w:vAlign w:val="bottom"/>
            <w:gridSpan w:val="2"/>
            <w:vMerge w:val="continue"/>
          </w:tcPr>
          <w:p>
            <w:pPr>
              <w:spacing w:after="0"/>
              <w:rPr>
                <w:sz w:val="19"/>
                <w:szCs w:val="19"/>
                <w:color w:val="auto"/>
              </w:rPr>
            </w:pPr>
          </w:p>
        </w:tc>
        <w:tc>
          <w:tcPr>
            <w:tcW w:w="26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1,220,443</w:t>
            </w:r>
          </w:p>
        </w:tc>
        <w:tc>
          <w:tcPr>
            <w:tcW w:w="32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1,233,181</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147.1%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580" w:right="120" w:hanging="572"/>
        <w:spacing w:after="0" w:line="254"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Unless otherwise indicated, the Company’s portfolio companies are domiciled in the United States. Certain portfolio company investments are subject to contractual restrictions on sales.</w:t>
      </w:r>
    </w:p>
    <w:p>
      <w:pPr>
        <w:ind w:left="580" w:right="380" w:hanging="572"/>
        <w:spacing w:after="0" w:line="250"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580" w:right="20" w:hanging="572"/>
        <w:spacing w:after="0" w:line="250"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we have provided the interest rate in effect on the date presented.</w:t>
      </w:r>
    </w:p>
    <w:p>
      <w:pPr>
        <w:spacing w:after="0" w:line="1" w:lineRule="exact"/>
        <w:rPr>
          <w:rFonts w:ascii="Arial" w:cs="Arial" w:eastAsia="Arial" w:hAnsi="Arial"/>
          <w:sz w:val="18"/>
          <w:szCs w:val="18"/>
          <w:color w:val="auto"/>
        </w:rPr>
      </w:pPr>
    </w:p>
    <w:p>
      <w:pPr>
        <w:ind w:left="580" w:right="740" w:hanging="572"/>
        <w:spacing w:after="0" w:line="250"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investment, or a portion thereof, is held within TPG SL SPV, LLC, a wholly-owned subsidiary of the Company, and is pledged as collateral supporting the amounts outstanding under the SPV Asset Facility (see Note 7).</w:t>
      </w:r>
    </w:p>
    <w:p>
      <w:pPr>
        <w:jc w:val="both"/>
        <w:ind w:left="580" w:right="200" w:hanging="572"/>
        <w:spacing w:after="0" w:line="300" w:lineRule="auto"/>
        <w:tabs>
          <w:tab w:leader="none" w:pos="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This portfolio company is a non-U.S. corporation and, as a result, is not a qualifying asset under Section 55(a) of the 1940 Act. Under the 1940 Act, the Company may not acquire any non-qualifying asset unless, at the time such acquisition is made, qualifying assets represent at least 70% of total assets.</w:t>
      </w:r>
    </w:p>
    <w:p>
      <w:pPr>
        <w:ind w:left="580" w:right="40" w:hanging="572"/>
        <w:spacing w:after="0" w:line="250"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loan, which is the amount reflected in this schedule, the Company may be entitled to receive additional interest as a result of its arrangement with other lenders in a syndication.</w:t>
      </w:r>
    </w:p>
    <w:p>
      <w:pPr>
        <w:ind w:left="580" w:right="100" w:hanging="572"/>
        <w:spacing w:after="0" w:line="295" w:lineRule="auto"/>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three months ended September 30, 2014 in which the issuer was an Affiliated Person of and was deemed to Control a portfolio company are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Realized</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0" w:type="dxa"/>
            <w:vAlign w:val="bottom"/>
            <w:vMerge w:val="restart"/>
          </w:tcPr>
          <w:p>
            <w:pPr>
              <w:spacing w:after="0"/>
              <w:rPr>
                <w:sz w:val="20"/>
                <w:szCs w:val="20"/>
                <w:color w:val="auto"/>
              </w:rPr>
            </w:pPr>
            <w:r>
              <w:rPr>
                <w:rFonts w:ascii="Arial" w:cs="Arial" w:eastAsia="Arial" w:hAnsi="Arial"/>
                <w:sz w:val="14"/>
                <w:szCs w:val="14"/>
                <w:b w:val="1"/>
                <w:bCs w:val="1"/>
                <w:color w:val="auto"/>
                <w:w w:val="90"/>
              </w:rPr>
              <w:t>Company</w:t>
            </w:r>
          </w:p>
        </w:tc>
        <w:tc>
          <w:tcPr>
            <w:tcW w:w="186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8"/>
              </w:rPr>
              <w:t>Fair Value at</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39"/>
              <w:spacing w:after="0" w:line="149" w:lineRule="exact"/>
              <w:rPr>
                <w:sz w:val="20"/>
                <w:szCs w:val="20"/>
                <w:color w:val="auto"/>
              </w:rPr>
            </w:pPr>
            <w:r>
              <w:rPr>
                <w:rFonts w:ascii="Arial" w:cs="Arial" w:eastAsia="Arial" w:hAnsi="Arial"/>
                <w:sz w:val="14"/>
                <w:szCs w:val="14"/>
                <w:b w:val="1"/>
                <w:bCs w:val="1"/>
                <w:color w:val="auto"/>
                <w:w w:val="93"/>
              </w:rPr>
              <w:t>Gross</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Gross</w:t>
            </w:r>
          </w:p>
        </w:tc>
        <w:tc>
          <w:tcPr>
            <w:tcW w:w="32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Net Unrealized</w:t>
            </w:r>
          </w:p>
        </w:tc>
        <w:tc>
          <w:tcPr>
            <w:tcW w:w="140" w:type="dxa"/>
            <w:vAlign w:val="bottom"/>
          </w:tcPr>
          <w:p>
            <w:pPr>
              <w:spacing w:after="0"/>
              <w:rPr>
                <w:sz w:val="12"/>
                <w:szCs w:val="12"/>
                <w:color w:val="auto"/>
              </w:rPr>
            </w:pPr>
          </w:p>
        </w:tc>
        <w:tc>
          <w:tcPr>
            <w:tcW w:w="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Gains /</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Fair Value at</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600" w:type="dxa"/>
            <w:vAlign w:val="bottom"/>
            <w:tcBorders>
              <w:bottom w:val="single" w:sz="8" w:color="auto"/>
            </w:tcBorders>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1"/>
              </w:rPr>
              <w:t>June 30, 2014</w:t>
            </w:r>
          </w:p>
        </w:tc>
        <w:tc>
          <w:tcPr>
            <w:tcW w:w="320" w:type="dxa"/>
            <w:vAlign w:val="bottom"/>
          </w:tcPr>
          <w:p>
            <w:pPr>
              <w:spacing w:after="0"/>
              <w:rPr>
                <w:sz w:val="14"/>
                <w:szCs w:val="14"/>
                <w:color w:val="auto"/>
              </w:rPr>
            </w:pPr>
          </w:p>
        </w:tc>
        <w:tc>
          <w:tcPr>
            <w:tcW w:w="76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6"/>
              </w:rPr>
              <w:t>Additions (a)</w:t>
            </w:r>
          </w:p>
        </w:tc>
        <w:tc>
          <w:tcPr>
            <w:tcW w:w="320" w:type="dxa"/>
            <w:vAlign w:val="bottom"/>
          </w:tcPr>
          <w:p>
            <w:pPr>
              <w:spacing w:after="0"/>
              <w:rPr>
                <w:sz w:val="14"/>
                <w:szCs w:val="14"/>
                <w:color w:val="auto"/>
              </w:rPr>
            </w:pPr>
          </w:p>
        </w:tc>
        <w:tc>
          <w:tcPr>
            <w:tcW w:w="86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5"/>
              </w:rPr>
              <w:t>Reductions (b)</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Gain/(Loss)</w:t>
            </w:r>
          </w:p>
        </w:tc>
        <w:tc>
          <w:tcPr>
            <w:tcW w:w="140" w:type="dxa"/>
            <w:vAlign w:val="bottom"/>
          </w:tcPr>
          <w:p>
            <w:pPr>
              <w:spacing w:after="0"/>
              <w:rPr>
                <w:sz w:val="14"/>
                <w:szCs w:val="14"/>
                <w:color w:val="auto"/>
              </w:rPr>
            </w:pPr>
          </w:p>
        </w:tc>
        <w:tc>
          <w:tcPr>
            <w:tcW w:w="48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83"/>
              </w:rPr>
              <w:t>(Losses)</w:t>
            </w:r>
          </w:p>
        </w:tc>
        <w:tc>
          <w:tcPr>
            <w:tcW w:w="340" w:type="dxa"/>
            <w:vAlign w:val="bottom"/>
          </w:tcPr>
          <w:p>
            <w:pPr>
              <w:spacing w:after="0"/>
              <w:rPr>
                <w:sz w:val="14"/>
                <w:szCs w:val="14"/>
                <w:color w:val="auto"/>
              </w:rPr>
            </w:pPr>
          </w:p>
        </w:tc>
        <w:tc>
          <w:tcPr>
            <w:tcW w:w="13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97"/>
              </w:rPr>
              <w:t>September 30, 2014</w:t>
            </w:r>
          </w:p>
        </w:tc>
        <w:tc>
          <w:tcPr>
            <w:tcW w:w="160" w:type="dxa"/>
            <w:vAlign w:val="bottom"/>
          </w:tcPr>
          <w:p>
            <w:pPr>
              <w:spacing w:after="0"/>
              <w:rPr>
                <w:sz w:val="14"/>
                <w:szCs w:val="14"/>
                <w:color w:val="auto"/>
              </w:rPr>
            </w:pPr>
          </w:p>
        </w:tc>
        <w:tc>
          <w:tcPr>
            <w:tcW w:w="960" w:type="dxa"/>
            <w:vAlign w:val="bottom"/>
            <w:gridSpan w:val="3"/>
          </w:tcPr>
          <w:p>
            <w:pPr>
              <w:jc w:val="right"/>
              <w:ind w:right="160"/>
              <w:spacing w:after="0" w:line="148" w:lineRule="exact"/>
              <w:rPr>
                <w:sz w:val="20"/>
                <w:szCs w:val="20"/>
                <w:color w:val="auto"/>
              </w:rPr>
            </w:pPr>
            <w:r>
              <w:rPr>
                <w:rFonts w:ascii="Arial" w:cs="Arial" w:eastAsia="Arial" w:hAnsi="Arial"/>
                <w:sz w:val="14"/>
                <w:szCs w:val="14"/>
                <w:b w:val="1"/>
                <w:bCs w:val="1"/>
                <w:color w:val="auto"/>
                <w:w w:val="86"/>
              </w:rPr>
              <w:t>Other Income</w:t>
            </w:r>
          </w:p>
        </w:tc>
        <w:tc>
          <w:tcPr>
            <w:tcW w:w="160" w:type="dxa"/>
            <w:vAlign w:val="bottom"/>
          </w:tcPr>
          <w:p>
            <w:pPr>
              <w:spacing w:after="0"/>
              <w:rPr>
                <w:sz w:val="14"/>
                <w:szCs w:val="14"/>
                <w:color w:val="auto"/>
              </w:rPr>
            </w:pPr>
          </w:p>
        </w:tc>
        <w:tc>
          <w:tcPr>
            <w:tcW w:w="102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w w:val="94"/>
              </w:rPr>
              <w:t>Interest Income</w:t>
            </w:r>
          </w:p>
        </w:tc>
        <w:tc>
          <w:tcPr>
            <w:tcW w:w="0" w:type="dxa"/>
            <w:vAlign w:val="bottom"/>
          </w:tcPr>
          <w:p>
            <w:pPr>
              <w:spacing w:after="0"/>
              <w:rPr>
                <w:sz w:val="1"/>
                <w:szCs w:val="1"/>
                <w:color w:val="auto"/>
              </w:rPr>
            </w:pPr>
          </w:p>
        </w:tc>
      </w:tr>
      <w:tr>
        <w:trPr>
          <w:trHeight w:val="203"/>
        </w:trPr>
        <w:tc>
          <w:tcPr>
            <w:tcW w:w="24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Mississippi Resources, LLC</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44,363</w:t>
            </w: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118</w:t>
            </w: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ind w:left="400"/>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ind w:left="460"/>
              <w:spacing w:after="0" w:line="203" w:lineRule="exact"/>
              <w:rPr>
                <w:sz w:val="20"/>
                <w:szCs w:val="20"/>
                <w:color w:val="auto"/>
              </w:rPr>
            </w:pPr>
            <w:r>
              <w:rPr>
                <w:rFonts w:ascii="Arial" w:cs="Arial" w:eastAsia="Arial" w:hAnsi="Arial"/>
                <w:sz w:val="18"/>
                <w:szCs w:val="18"/>
                <w:color w:val="auto"/>
                <w:w w:val="71"/>
              </w:rPr>
              <w:t>(247)</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ind w:left="500"/>
              <w:spacing w:after="0" w:line="203" w:lineRule="exact"/>
              <w:rPr>
                <w:sz w:val="20"/>
                <w:szCs w:val="20"/>
                <w:color w:val="auto"/>
              </w:rPr>
            </w:pPr>
            <w:r>
              <w:rPr>
                <w:rFonts w:ascii="Arial" w:cs="Arial" w:eastAsia="Arial" w:hAnsi="Arial"/>
                <w:sz w:val="18"/>
                <w:szCs w:val="18"/>
                <w:color w:val="auto"/>
                <w:w w:val="83"/>
              </w:rPr>
              <w:t>44,234</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63</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1,312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4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44,363</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118</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ind w:left="460"/>
              <w:spacing w:after="0"/>
              <w:rPr>
                <w:sz w:val="20"/>
                <w:szCs w:val="20"/>
                <w:color w:val="auto"/>
              </w:rPr>
            </w:pPr>
            <w:r>
              <w:rPr>
                <w:rFonts w:ascii="Arial" w:cs="Arial" w:eastAsia="Arial" w:hAnsi="Arial"/>
                <w:sz w:val="18"/>
                <w:szCs w:val="18"/>
                <w:color w:val="auto"/>
              </w:rPr>
              <w:t>(247)</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500"/>
              <w:spacing w:after="0"/>
              <w:rPr>
                <w:sz w:val="20"/>
                <w:szCs w:val="20"/>
                <w:color w:val="auto"/>
              </w:rPr>
            </w:pPr>
            <w:r>
              <w:rPr>
                <w:rFonts w:ascii="Arial" w:cs="Arial" w:eastAsia="Arial" w:hAnsi="Arial"/>
                <w:sz w:val="18"/>
                <w:szCs w:val="18"/>
                <w:color w:val="auto"/>
              </w:rPr>
              <w:t>44,234</w:t>
            </w:r>
          </w:p>
        </w:tc>
        <w:tc>
          <w:tcPr>
            <w:tcW w:w="52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c>
          <w:tcPr>
            <w:tcW w:w="4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160" w:hanging="452"/>
        <w:spacing w:after="0" w:line="25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ind w:left="460" w:right="200" w:hanging="452"/>
        <w:spacing w:after="0" w:line="261"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discounts on debt investments, as applicable.</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Consolidated Schedule of Investments as of December 31, 2013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Initial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 (1)</w:t>
            </w:r>
          </w:p>
        </w:tc>
        <w:tc>
          <w:tcPr>
            <w:tcW w:w="15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Investment</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Acquisition</w:t>
            </w:r>
          </w:p>
        </w:tc>
        <w:tc>
          <w:tcPr>
            <w:tcW w:w="14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3"/>
              </w:rPr>
              <w:t>Amortized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8"/>
        </w:trPr>
        <w:tc>
          <w:tcPr>
            <w:tcW w:w="4980" w:type="dxa"/>
            <w:vAlign w:val="bottom"/>
            <w:gridSpan w:val="3"/>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840" w:type="dxa"/>
            <w:vAlign w:val="bottom"/>
            <w:gridSpan w:val="2"/>
          </w:tcPr>
          <w:p>
            <w:pPr>
              <w:jc w:val="right"/>
              <w:ind w:right="380"/>
              <w:spacing w:after="0" w:line="148" w:lineRule="exact"/>
              <w:rPr>
                <w:sz w:val="20"/>
                <w:szCs w:val="20"/>
                <w:color w:val="auto"/>
              </w:rPr>
            </w:pPr>
            <w:r>
              <w:rPr>
                <w:rFonts w:ascii="Arial" w:cs="Arial" w:eastAsia="Arial" w:hAnsi="Arial"/>
                <w:sz w:val="14"/>
                <w:szCs w:val="14"/>
                <w:b w:val="1"/>
                <w:bCs w:val="1"/>
                <w:color w:val="auto"/>
                <w:w w:val="86"/>
              </w:rPr>
              <w:t>Interest</w:t>
            </w:r>
          </w:p>
        </w:tc>
        <w:tc>
          <w:tcPr>
            <w:tcW w:w="102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92"/>
              </w:rPr>
              <w:t>Date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3"/>
              <w:spacing w:after="0" w:line="148" w:lineRule="exact"/>
              <w:rPr>
                <w:sz w:val="20"/>
                <w:szCs w:val="20"/>
                <w:color w:val="auto"/>
              </w:rPr>
            </w:pPr>
            <w:r>
              <w:rPr>
                <w:rFonts w:ascii="Arial" w:cs="Arial" w:eastAsia="Arial" w:hAnsi="Arial"/>
                <w:sz w:val="14"/>
                <w:szCs w:val="14"/>
                <w:b w:val="1"/>
                <w:bCs w:val="1"/>
                <w:color w:val="auto"/>
                <w:w w:val="88"/>
              </w:rPr>
              <w:t>Cost (2)</w:t>
            </w:r>
          </w:p>
        </w:tc>
        <w:tc>
          <w:tcPr>
            <w:tcW w:w="300" w:type="dxa"/>
            <w:vAlign w:val="bottom"/>
          </w:tcPr>
          <w:p>
            <w:pPr>
              <w:spacing w:after="0"/>
              <w:rPr>
                <w:sz w:val="12"/>
                <w:szCs w:val="12"/>
                <w:color w:val="auto"/>
              </w:rPr>
            </w:pPr>
          </w:p>
        </w:tc>
        <w:tc>
          <w:tcPr>
            <w:tcW w:w="980" w:type="dxa"/>
            <w:vAlign w:val="bottom"/>
            <w:gridSpan w:val="3"/>
          </w:tcPr>
          <w:p>
            <w:pPr>
              <w:ind w:left="40"/>
              <w:spacing w:after="0" w:line="148" w:lineRule="exact"/>
              <w:rPr>
                <w:sz w:val="20"/>
                <w:szCs w:val="20"/>
                <w:color w:val="auto"/>
              </w:rPr>
            </w:pPr>
            <w:r>
              <w:rPr>
                <w:rFonts w:ascii="Arial" w:cs="Arial" w:eastAsia="Arial" w:hAnsi="Arial"/>
                <w:sz w:val="14"/>
                <w:szCs w:val="14"/>
                <w:b w:val="1"/>
                <w:bCs w:val="1"/>
                <w:color w:val="auto"/>
              </w:rPr>
              <w:t>Fair Value</w:t>
            </w:r>
          </w:p>
        </w:tc>
        <w:tc>
          <w:tcPr>
            <w:tcW w:w="94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9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Debt Investments</w:t>
            </w:r>
          </w:p>
        </w:tc>
        <w:tc>
          <w:tcPr>
            <w:tcW w:w="1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420"/>
              <w:spacing w:after="0"/>
              <w:rPr>
                <w:sz w:val="20"/>
                <w:szCs w:val="20"/>
                <w:color w:val="auto"/>
              </w:rPr>
            </w:pPr>
            <w:r>
              <w:rPr>
                <w:rFonts w:ascii="Arial" w:cs="Arial" w:eastAsia="Arial" w:hAnsi="Arial"/>
                <w:sz w:val="18"/>
                <w:szCs w:val="18"/>
                <w:b w:val="1"/>
                <w:bCs w:val="1"/>
                <w:color w:val="auto"/>
              </w:rPr>
              <w:t>Aerospace and defense</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MSC Software Corporation (3)(4)(6)</w:t>
            </w: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($53,452 par,</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18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11/2017)</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12/23/2011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52,828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53,720</w:t>
            </w: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Automotive</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Heartland Automotive Holdings, LLC (3)(4)</w:t>
            </w: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($36,733 par,</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6/2017)</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8/28/2012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36,002</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36,182</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First-lien</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revolving loan</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($4,611 par,</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due 6/2017)</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10.75%</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8/28/2012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4,500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4,528</w:t>
            </w:r>
          </w:p>
        </w:tc>
        <w:tc>
          <w:tcPr>
            <w:tcW w:w="3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Sage Automotive Interiors, Inc. (3)(4)(6)</w:t>
            </w: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($21,553 par,</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12/2016)</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8.50%</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12/31/2012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21,336</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21,445</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61,838</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62,155</w:t>
            </w:r>
          </w:p>
        </w:tc>
        <w:tc>
          <w:tcPr>
            <w:tcW w:w="3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Beverage, food and tobacco</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AFS Technologies, Inc. (3)(4)(6)</w:t>
            </w:r>
          </w:p>
        </w:tc>
        <w:tc>
          <w:tcPr>
            <w:tcW w:w="154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($44,394 par,</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due 8/2015)</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7.75%</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8/31/2011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43,837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45,837</w:t>
            </w:r>
          </w:p>
        </w:tc>
        <w:tc>
          <w:tcPr>
            <w:tcW w:w="3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Business services</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Actian Corporation (3)(4)(6)</w:t>
            </w:r>
          </w:p>
        </w:tc>
        <w:tc>
          <w:tcPr>
            <w:tcW w:w="154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($67,933 par,</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due 4/2018)</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8.50%</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4/11/2013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65,762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66,405</w:t>
            </w:r>
          </w:p>
        </w:tc>
        <w:tc>
          <w:tcPr>
            <w:tcW w:w="3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Aptean Holdings, Inc. f/k/a Consona Holdings, Inc. (3)(4)</w:t>
            </w: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($29,625 par,</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8/2018)</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8/13/2012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29,279</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29,477</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Beyond Trust Software Holding Group, Inc. (3)(6)</w:t>
            </w:r>
          </w:p>
        </w:tc>
        <w:tc>
          <w:tcPr>
            <w:tcW w:w="154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($42,500 par,</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due 12/2019)</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7.25%</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12/18/2013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41,462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41,437</w:t>
            </w:r>
          </w:p>
        </w:tc>
        <w:tc>
          <w:tcPr>
            <w:tcW w:w="3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Network Merchants, Inc (3)(4)</w:t>
            </w: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($29,659 par,</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9/2018)</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9/12/2013</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29,105</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29,202</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165,608</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166,521</w:t>
            </w:r>
          </w:p>
        </w:tc>
        <w:tc>
          <w:tcPr>
            <w:tcW w:w="3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Construction and building</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Mannington Mills, Inc. (3)(4)</w:t>
            </w:r>
          </w:p>
        </w:tc>
        <w:tc>
          <w:tcPr>
            <w:tcW w:w="1540" w:type="dxa"/>
            <w:vAlign w:val="bottom"/>
            <w:gridSpan w:val="2"/>
          </w:tcPr>
          <w:p>
            <w:pPr>
              <w:spacing w:after="0"/>
              <w:rPr>
                <w:sz w:val="20"/>
                <w:szCs w:val="20"/>
                <w:color w:val="auto"/>
              </w:rPr>
            </w:pPr>
            <w:r>
              <w:rPr>
                <w:rFonts w:ascii="Arial" w:cs="Arial" w:eastAsia="Arial" w:hAnsi="Arial"/>
                <w:sz w:val="18"/>
                <w:szCs w:val="18"/>
                <w:color w:val="auto"/>
              </w:rPr>
              <w:t>Second-lien loan</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14.00%</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($47,430 par,</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(incl.</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due 3/2017)</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2.00%</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PIK)</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3/2/2012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46,545</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51,817</w:t>
            </w:r>
          </w:p>
        </w:tc>
        <w:tc>
          <w:tcPr>
            <w:tcW w:w="3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Containers and packaging</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The Newark Group, Inc. (3)(4)</w:t>
            </w:r>
          </w:p>
        </w:tc>
        <w:tc>
          <w:tcPr>
            <w:tcW w:w="154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($46,560 par,</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due 2/2018)</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8.50%</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2/8/2013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46,164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47,142</w:t>
            </w:r>
          </w:p>
        </w:tc>
        <w:tc>
          <w:tcPr>
            <w:tcW w:w="3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Education</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Campus Management, Inc. (3)(4)(6)</w:t>
            </w:r>
          </w:p>
        </w:tc>
        <w:tc>
          <w:tcPr>
            <w:tcW w:w="154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($29,625 par,</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due 9/2018)</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8.75%</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9/30/2013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28,931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29,032</w:t>
            </w:r>
          </w:p>
        </w:tc>
        <w:tc>
          <w:tcPr>
            <w:tcW w:w="3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Financial services</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Embarcadero Technologies, Inc. (3)(4)(6)</w:t>
            </w:r>
          </w:p>
        </w:tc>
        <w:tc>
          <w:tcPr>
            <w:tcW w:w="1540" w:type="dxa"/>
            <w:vAlign w:val="bottom"/>
            <w:gridSpan w:val="2"/>
          </w:tcPr>
          <w:p>
            <w:pPr>
              <w:spacing w:after="0"/>
              <w:rPr>
                <w:sz w:val="20"/>
                <w:szCs w:val="20"/>
                <w:color w:val="auto"/>
              </w:rPr>
            </w:pPr>
            <w:r>
              <w:rPr>
                <w:rFonts w:ascii="Arial" w:cs="Arial" w:eastAsia="Arial" w:hAnsi="Arial"/>
                <w:sz w:val="18"/>
                <w:szCs w:val="18"/>
                <w:color w:val="auto"/>
              </w:rPr>
              <w:t>First-lien loan</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($42,479 par,</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due 12/2017)</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8.00%</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12/28/2012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41,597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42,372</w:t>
            </w:r>
          </w:p>
        </w:tc>
        <w:tc>
          <w:tcPr>
            <w:tcW w:w="3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Rogue Wave Holdings, Inc. (3)(4)(6)</w:t>
            </w: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($76,337 par,</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12/2018)</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11/21/2012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74,752</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75,764</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116,349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118,136</w:t>
            </w:r>
          </w:p>
        </w:tc>
        <w:tc>
          <w:tcPr>
            <w:tcW w:w="3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20"/>
          </w:cols>
          <w:pgMar w:left="240" w:top="459" w:right="239" w:bottom="1099" w:gutter="0" w:footer="0" w:header="0"/>
        </w:sect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459" w:right="239" w:bottom="1099" w:gutter="0" w:footer="0" w:header="0"/>
          <w:type w:val="continuous"/>
        </w:sectPr>
      </w:pPr>
    </w:p>
    <w:bookmarkStart w:id="11" w:name="page12"/>
    <w:bookmarkEnd w:id="1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9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180" w:type="dxa"/>
            <w:vAlign w:val="bottom"/>
            <w:gridSpan w:val="2"/>
          </w:tcPr>
          <w:p>
            <w:pPr>
              <w:spacing w:after="0"/>
              <w:rPr>
                <w:sz w:val="20"/>
                <w:szCs w:val="20"/>
                <w:color w:val="auto"/>
              </w:rPr>
            </w:pPr>
            <w:r>
              <w:rPr>
                <w:rFonts w:ascii="Arial" w:cs="Arial" w:eastAsia="Arial" w:hAnsi="Arial"/>
                <w:sz w:val="14"/>
                <w:szCs w:val="14"/>
                <w:b w:val="1"/>
                <w:bCs w:val="1"/>
                <w:color w:val="auto"/>
              </w:rPr>
              <w:t>Company (1)</w:t>
            </w:r>
          </w:p>
        </w:tc>
        <w:tc>
          <w:tcPr>
            <w:tcW w:w="940" w:type="dxa"/>
            <w:vAlign w:val="bottom"/>
          </w:tcPr>
          <w:p>
            <w:pPr>
              <w:spacing w:after="0"/>
              <w:rPr>
                <w:sz w:val="15"/>
                <w:szCs w:val="15"/>
                <w:color w:val="auto"/>
              </w:rPr>
            </w:pPr>
          </w:p>
        </w:tc>
        <w:tc>
          <w:tcPr>
            <w:tcW w:w="1340" w:type="dxa"/>
            <w:vAlign w:val="bottom"/>
          </w:tcPr>
          <w:p>
            <w:pPr>
              <w:ind w:left="340"/>
              <w:spacing w:after="0"/>
              <w:rPr>
                <w:sz w:val="20"/>
                <w:szCs w:val="20"/>
                <w:color w:val="auto"/>
              </w:rPr>
            </w:pPr>
            <w:r>
              <w:rPr>
                <w:rFonts w:ascii="Arial" w:cs="Arial" w:eastAsia="Arial" w:hAnsi="Arial"/>
                <w:sz w:val="14"/>
                <w:szCs w:val="14"/>
                <w:b w:val="1"/>
                <w:bCs w:val="1"/>
                <w:color w:val="auto"/>
              </w:rPr>
              <w:t>Investment</w:t>
            </w:r>
          </w:p>
        </w:tc>
      </w:tr>
      <w:tr>
        <w:trPr>
          <w:trHeight w:val="181"/>
        </w:trPr>
        <w:tc>
          <w:tcPr>
            <w:tcW w:w="80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b w:val="1"/>
                <w:bCs w:val="1"/>
                <w:color w:val="auto"/>
                <w:w w:val="84"/>
              </w:rPr>
              <w:t>Healthcare</w:t>
            </w:r>
          </w:p>
        </w:tc>
        <w:tc>
          <w:tcPr>
            <w:tcW w:w="3380" w:type="dxa"/>
            <w:vAlign w:val="bottom"/>
          </w:tcPr>
          <w:p>
            <w:pPr>
              <w:ind w:left="80"/>
              <w:spacing w:after="0" w:line="182" w:lineRule="exact"/>
              <w:rPr>
                <w:sz w:val="20"/>
                <w:szCs w:val="20"/>
                <w:color w:val="auto"/>
              </w:rPr>
            </w:pPr>
            <w:r>
              <w:rPr>
                <w:rFonts w:ascii="Arial" w:cs="Arial" w:eastAsia="Arial" w:hAnsi="Arial"/>
                <w:sz w:val="18"/>
                <w:szCs w:val="18"/>
                <w:b w:val="1"/>
                <w:bCs w:val="1"/>
                <w:color w:val="auto"/>
              </w:rPr>
              <w:t>and pharmaceuticals</w:t>
            </w:r>
          </w:p>
        </w:tc>
        <w:tc>
          <w:tcPr>
            <w:tcW w:w="94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Mediware Information Systems, Inc. (3)(4)(6)</w:t>
            </w:r>
          </w:p>
        </w:tc>
        <w:tc>
          <w:tcPr>
            <w:tcW w:w="2280" w:type="dxa"/>
            <w:vAlign w:val="bottom"/>
            <w:gridSpan w:val="2"/>
          </w:tcPr>
          <w:p>
            <w:pPr>
              <w:ind w:left="940"/>
              <w:spacing w:after="0"/>
              <w:rPr>
                <w:sz w:val="20"/>
                <w:szCs w:val="20"/>
                <w:color w:val="auto"/>
              </w:rPr>
            </w:pPr>
            <w:r>
              <w:rPr>
                <w:rFonts w:ascii="Arial" w:cs="Arial" w:eastAsia="Arial" w:hAnsi="Arial"/>
                <w:sz w:val="18"/>
                <w:szCs w:val="18"/>
                <w:color w:val="auto"/>
              </w:rPr>
              <w:t>First-lien loan</w:t>
            </w:r>
          </w:p>
        </w:tc>
      </w:tr>
      <w:tr>
        <w:trPr>
          <w:trHeight w:val="216"/>
        </w:trPr>
        <w:tc>
          <w:tcPr>
            <w:tcW w:w="8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280" w:type="dxa"/>
            <w:vAlign w:val="bottom"/>
            <w:gridSpan w:val="2"/>
          </w:tcPr>
          <w:p>
            <w:pPr>
              <w:ind w:left="940"/>
              <w:spacing w:after="0"/>
              <w:rPr>
                <w:sz w:val="20"/>
                <w:szCs w:val="20"/>
                <w:color w:val="auto"/>
              </w:rPr>
            </w:pPr>
            <w:r>
              <w:rPr>
                <w:rFonts w:ascii="Arial" w:cs="Arial" w:eastAsia="Arial" w:hAnsi="Arial"/>
                <w:sz w:val="18"/>
                <w:szCs w:val="18"/>
                <w:color w:val="auto"/>
              </w:rPr>
              <w:t>($71,634 par,</w:t>
            </w:r>
          </w:p>
        </w:tc>
      </w:tr>
      <w:tr>
        <w:trPr>
          <w:trHeight w:val="222"/>
        </w:trPr>
        <w:tc>
          <w:tcPr>
            <w:tcW w:w="8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280" w:type="dxa"/>
            <w:vAlign w:val="bottom"/>
            <w:gridSpan w:val="2"/>
          </w:tcPr>
          <w:p>
            <w:pPr>
              <w:ind w:left="940"/>
              <w:spacing w:after="0"/>
              <w:rPr>
                <w:sz w:val="20"/>
                <w:szCs w:val="20"/>
                <w:color w:val="auto"/>
              </w:rPr>
            </w:pPr>
            <w:r>
              <w:rPr>
                <w:rFonts w:ascii="Arial" w:cs="Arial" w:eastAsia="Arial" w:hAnsi="Arial"/>
                <w:sz w:val="18"/>
                <w:szCs w:val="18"/>
                <w:color w:val="auto"/>
              </w:rPr>
              <w:t>due 5/2018)</w:t>
            </w:r>
          </w:p>
        </w:tc>
      </w:tr>
      <w:tr>
        <w:trPr>
          <w:trHeight w:val="223"/>
        </w:trPr>
        <w:tc>
          <w:tcPr>
            <w:tcW w:w="4180" w:type="dxa"/>
            <w:vAlign w:val="bottom"/>
            <w:gridSpan w:val="2"/>
          </w:tcPr>
          <w:p>
            <w:pPr>
              <w:spacing w:after="0"/>
              <w:rPr>
                <w:sz w:val="20"/>
                <w:szCs w:val="20"/>
                <w:color w:val="auto"/>
              </w:rPr>
            </w:pPr>
            <w:r>
              <w:rPr>
                <w:rFonts w:ascii="Arial" w:cs="Arial" w:eastAsia="Arial" w:hAnsi="Arial"/>
                <w:sz w:val="18"/>
                <w:szCs w:val="18"/>
                <w:color w:val="auto"/>
              </w:rPr>
              <w:t>SRS Software, LLC (3)(4)</w:t>
            </w:r>
          </w:p>
        </w:tc>
        <w:tc>
          <w:tcPr>
            <w:tcW w:w="2280" w:type="dxa"/>
            <w:vAlign w:val="bottom"/>
            <w:gridSpan w:val="2"/>
          </w:tcPr>
          <w:p>
            <w:pPr>
              <w:ind w:left="940"/>
              <w:spacing w:after="0"/>
              <w:rPr>
                <w:sz w:val="20"/>
                <w:szCs w:val="20"/>
                <w:color w:val="auto"/>
              </w:rPr>
            </w:pPr>
            <w:r>
              <w:rPr>
                <w:rFonts w:ascii="Arial" w:cs="Arial" w:eastAsia="Arial" w:hAnsi="Arial"/>
                <w:sz w:val="18"/>
                <w:szCs w:val="18"/>
                <w:color w:val="auto"/>
              </w:rPr>
              <w:t>First-lien loan</w:t>
            </w:r>
          </w:p>
        </w:tc>
      </w:tr>
      <w:tr>
        <w:trPr>
          <w:trHeight w:val="216"/>
        </w:trPr>
        <w:tc>
          <w:tcPr>
            <w:tcW w:w="8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280" w:type="dxa"/>
            <w:vAlign w:val="bottom"/>
            <w:gridSpan w:val="2"/>
          </w:tcPr>
          <w:p>
            <w:pPr>
              <w:ind w:left="940"/>
              <w:spacing w:after="0"/>
              <w:rPr>
                <w:sz w:val="20"/>
                <w:szCs w:val="20"/>
                <w:color w:val="auto"/>
              </w:rPr>
            </w:pPr>
            <w:r>
              <w:rPr>
                <w:rFonts w:ascii="Arial" w:cs="Arial" w:eastAsia="Arial" w:hAnsi="Arial"/>
                <w:sz w:val="18"/>
                <w:szCs w:val="18"/>
                <w:color w:val="auto"/>
              </w:rPr>
              <w:t>($35,625 par,</w:t>
            </w:r>
          </w:p>
        </w:tc>
      </w:tr>
      <w:tr>
        <w:trPr>
          <w:trHeight w:val="222"/>
        </w:trPr>
        <w:tc>
          <w:tcPr>
            <w:tcW w:w="8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280" w:type="dxa"/>
            <w:vAlign w:val="bottom"/>
            <w:gridSpan w:val="2"/>
          </w:tcPr>
          <w:p>
            <w:pPr>
              <w:ind w:left="940"/>
              <w:spacing w:after="0"/>
              <w:rPr>
                <w:sz w:val="20"/>
                <w:szCs w:val="20"/>
                <w:color w:val="auto"/>
              </w:rPr>
            </w:pPr>
            <w:r>
              <w:rPr>
                <w:rFonts w:ascii="Arial" w:cs="Arial" w:eastAsia="Arial" w:hAnsi="Arial"/>
                <w:sz w:val="18"/>
                <w:szCs w:val="18"/>
                <w:color w:val="auto"/>
              </w:rPr>
              <w:t>due 12/2017)</w:t>
            </w:r>
          </w:p>
        </w:tc>
      </w:tr>
      <w:tr>
        <w:trPr>
          <w:trHeight w:val="223"/>
        </w:trPr>
        <w:tc>
          <w:tcPr>
            <w:tcW w:w="8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280" w:type="dxa"/>
            <w:vAlign w:val="bottom"/>
            <w:gridSpan w:val="2"/>
          </w:tcPr>
          <w:p>
            <w:pPr>
              <w:ind w:left="940"/>
              <w:spacing w:after="0"/>
              <w:rPr>
                <w:sz w:val="20"/>
                <w:szCs w:val="20"/>
                <w:color w:val="auto"/>
              </w:rPr>
            </w:pPr>
            <w:r>
              <w:rPr>
                <w:rFonts w:ascii="Arial" w:cs="Arial" w:eastAsia="Arial" w:hAnsi="Arial"/>
                <w:sz w:val="18"/>
                <w:szCs w:val="18"/>
                <w:color w:val="auto"/>
              </w:rPr>
              <w:t>First-lien</w:t>
            </w:r>
          </w:p>
        </w:tc>
      </w:tr>
      <w:tr>
        <w:trPr>
          <w:trHeight w:val="216"/>
        </w:trPr>
        <w:tc>
          <w:tcPr>
            <w:tcW w:w="8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280" w:type="dxa"/>
            <w:vAlign w:val="bottom"/>
            <w:gridSpan w:val="2"/>
          </w:tcPr>
          <w:p>
            <w:pPr>
              <w:ind w:left="940"/>
              <w:spacing w:after="0"/>
              <w:rPr>
                <w:sz w:val="20"/>
                <w:szCs w:val="20"/>
                <w:color w:val="auto"/>
              </w:rPr>
            </w:pPr>
            <w:r>
              <w:rPr>
                <w:rFonts w:ascii="Arial" w:cs="Arial" w:eastAsia="Arial" w:hAnsi="Arial"/>
                <w:sz w:val="18"/>
                <w:szCs w:val="18"/>
                <w:color w:val="auto"/>
              </w:rPr>
              <w:t>revolving loan</w:t>
            </w:r>
          </w:p>
        </w:tc>
      </w:tr>
      <w:tr>
        <w:trPr>
          <w:trHeight w:val="216"/>
        </w:trPr>
        <w:tc>
          <w:tcPr>
            <w:tcW w:w="8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280" w:type="dxa"/>
            <w:vAlign w:val="bottom"/>
            <w:gridSpan w:val="2"/>
          </w:tcPr>
          <w:p>
            <w:pPr>
              <w:ind w:left="940"/>
              <w:spacing w:after="0"/>
              <w:rPr>
                <w:sz w:val="20"/>
                <w:szCs w:val="20"/>
                <w:color w:val="auto"/>
              </w:rPr>
            </w:pPr>
            <w:r>
              <w:rPr>
                <w:rFonts w:ascii="Arial" w:cs="Arial" w:eastAsia="Arial" w:hAnsi="Arial"/>
                <w:sz w:val="18"/>
                <w:szCs w:val="18"/>
                <w:color w:val="auto"/>
              </w:rPr>
              <w:t>($2,000 par,</w:t>
            </w:r>
          </w:p>
        </w:tc>
      </w:tr>
      <w:tr>
        <w:trPr>
          <w:trHeight w:val="222"/>
        </w:trPr>
        <w:tc>
          <w:tcPr>
            <w:tcW w:w="8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280" w:type="dxa"/>
            <w:vAlign w:val="bottom"/>
            <w:gridSpan w:val="2"/>
          </w:tcPr>
          <w:p>
            <w:pPr>
              <w:ind w:left="940"/>
              <w:spacing w:after="0"/>
              <w:rPr>
                <w:sz w:val="20"/>
                <w:szCs w:val="20"/>
                <w:color w:val="auto"/>
              </w:rPr>
            </w:pPr>
            <w:r>
              <w:rPr>
                <w:rFonts w:ascii="Arial" w:cs="Arial" w:eastAsia="Arial" w:hAnsi="Arial"/>
                <w:sz w:val="18"/>
                <w:szCs w:val="18"/>
                <w:color w:val="auto"/>
              </w:rPr>
              <w:t>due 12/2017)</w:t>
            </w:r>
          </w:p>
        </w:tc>
      </w:tr>
      <w:tr>
        <w:trPr>
          <w:trHeight w:val="493"/>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Hotel, gaming, and leisure</w:t>
            </w: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AMF Bowling Worldwide, Inc. (3)(4)</w:t>
            </w:r>
          </w:p>
        </w:tc>
        <w:tc>
          <w:tcPr>
            <w:tcW w:w="2280" w:type="dxa"/>
            <w:vAlign w:val="bottom"/>
            <w:gridSpan w:val="2"/>
          </w:tcPr>
          <w:p>
            <w:pPr>
              <w:ind w:left="940"/>
              <w:spacing w:after="0"/>
              <w:rPr>
                <w:sz w:val="20"/>
                <w:szCs w:val="20"/>
                <w:color w:val="auto"/>
              </w:rPr>
            </w:pPr>
            <w:r>
              <w:rPr>
                <w:rFonts w:ascii="Arial" w:cs="Arial" w:eastAsia="Arial" w:hAnsi="Arial"/>
                <w:sz w:val="18"/>
                <w:szCs w:val="18"/>
                <w:color w:val="auto"/>
              </w:rPr>
              <w:t>First-lien loan</w:t>
            </w:r>
          </w:p>
        </w:tc>
      </w:tr>
      <w:tr>
        <w:trPr>
          <w:trHeight w:val="216"/>
        </w:trPr>
        <w:tc>
          <w:tcPr>
            <w:tcW w:w="8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280" w:type="dxa"/>
            <w:vAlign w:val="bottom"/>
            <w:gridSpan w:val="2"/>
          </w:tcPr>
          <w:p>
            <w:pPr>
              <w:ind w:left="940"/>
              <w:spacing w:after="0"/>
              <w:rPr>
                <w:sz w:val="20"/>
                <w:szCs w:val="20"/>
                <w:color w:val="auto"/>
              </w:rPr>
            </w:pPr>
            <w:r>
              <w:rPr>
                <w:rFonts w:ascii="Arial" w:cs="Arial" w:eastAsia="Arial" w:hAnsi="Arial"/>
                <w:sz w:val="18"/>
                <w:szCs w:val="18"/>
                <w:color w:val="auto"/>
              </w:rPr>
              <w:t>($14,813 par,</w:t>
            </w:r>
          </w:p>
        </w:tc>
      </w:tr>
      <w:tr>
        <w:trPr>
          <w:trHeight w:val="222"/>
        </w:trPr>
        <w:tc>
          <w:tcPr>
            <w:tcW w:w="8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280" w:type="dxa"/>
            <w:vAlign w:val="bottom"/>
            <w:gridSpan w:val="2"/>
          </w:tcPr>
          <w:p>
            <w:pPr>
              <w:ind w:left="940"/>
              <w:spacing w:after="0"/>
              <w:rPr>
                <w:sz w:val="20"/>
                <w:szCs w:val="20"/>
                <w:color w:val="auto"/>
              </w:rPr>
            </w:pPr>
            <w:r>
              <w:rPr>
                <w:rFonts w:ascii="Arial" w:cs="Arial" w:eastAsia="Arial" w:hAnsi="Arial"/>
                <w:sz w:val="18"/>
                <w:szCs w:val="18"/>
                <w:color w:val="auto"/>
              </w:rPr>
              <w:t>due 6/2018)</w:t>
            </w:r>
          </w:p>
        </w:tc>
      </w:tr>
      <w:tr>
        <w:trPr>
          <w:trHeight w:val="223"/>
        </w:trPr>
        <w:tc>
          <w:tcPr>
            <w:tcW w:w="4180" w:type="dxa"/>
            <w:vAlign w:val="bottom"/>
            <w:gridSpan w:val="2"/>
          </w:tcPr>
          <w:p>
            <w:pPr>
              <w:spacing w:after="0"/>
              <w:rPr>
                <w:sz w:val="20"/>
                <w:szCs w:val="20"/>
                <w:color w:val="auto"/>
              </w:rPr>
            </w:pPr>
            <w:r>
              <w:rPr>
                <w:rFonts w:ascii="Arial" w:cs="Arial" w:eastAsia="Arial" w:hAnsi="Arial"/>
                <w:sz w:val="18"/>
                <w:szCs w:val="18"/>
                <w:color w:val="auto"/>
              </w:rPr>
              <w:t>Centaur, LLC (3)</w:t>
            </w:r>
          </w:p>
        </w:tc>
        <w:tc>
          <w:tcPr>
            <w:tcW w:w="2280" w:type="dxa"/>
            <w:vAlign w:val="bottom"/>
            <w:gridSpan w:val="2"/>
          </w:tcPr>
          <w:p>
            <w:pPr>
              <w:ind w:left="940"/>
              <w:spacing w:after="0"/>
              <w:rPr>
                <w:sz w:val="20"/>
                <w:szCs w:val="20"/>
                <w:color w:val="auto"/>
              </w:rPr>
            </w:pPr>
            <w:r>
              <w:rPr>
                <w:rFonts w:ascii="Arial" w:cs="Arial" w:eastAsia="Arial" w:hAnsi="Arial"/>
                <w:sz w:val="18"/>
                <w:szCs w:val="18"/>
                <w:color w:val="auto"/>
                <w:w w:val="98"/>
              </w:rPr>
              <w:t>Second-lien loan</w:t>
            </w:r>
          </w:p>
        </w:tc>
      </w:tr>
      <w:tr>
        <w:trPr>
          <w:trHeight w:val="216"/>
        </w:trPr>
        <w:tc>
          <w:tcPr>
            <w:tcW w:w="8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280" w:type="dxa"/>
            <w:vAlign w:val="bottom"/>
            <w:gridSpan w:val="2"/>
          </w:tcPr>
          <w:p>
            <w:pPr>
              <w:ind w:left="940"/>
              <w:spacing w:after="0"/>
              <w:rPr>
                <w:sz w:val="20"/>
                <w:szCs w:val="20"/>
                <w:color w:val="auto"/>
              </w:rPr>
            </w:pPr>
            <w:r>
              <w:rPr>
                <w:rFonts w:ascii="Arial" w:cs="Arial" w:eastAsia="Arial" w:hAnsi="Arial"/>
                <w:sz w:val="18"/>
                <w:szCs w:val="18"/>
                <w:color w:val="auto"/>
              </w:rPr>
              <w:t>($10,000 par,</w:t>
            </w:r>
          </w:p>
        </w:tc>
      </w:tr>
      <w:tr>
        <w:trPr>
          <w:trHeight w:val="222"/>
        </w:trPr>
        <w:tc>
          <w:tcPr>
            <w:tcW w:w="8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280" w:type="dxa"/>
            <w:vAlign w:val="bottom"/>
            <w:gridSpan w:val="2"/>
          </w:tcPr>
          <w:p>
            <w:pPr>
              <w:ind w:left="940"/>
              <w:spacing w:after="0"/>
              <w:rPr>
                <w:sz w:val="20"/>
                <w:szCs w:val="20"/>
                <w:color w:val="auto"/>
              </w:rPr>
            </w:pPr>
            <w:r>
              <w:rPr>
                <w:rFonts w:ascii="Arial" w:cs="Arial" w:eastAsia="Arial" w:hAnsi="Arial"/>
                <w:sz w:val="18"/>
                <w:szCs w:val="18"/>
                <w:color w:val="auto"/>
              </w:rPr>
              <w:t>due 2/2020)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-2673985</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-2116455</wp:posOffset>
            </wp:positionV>
            <wp:extent cx="7246620" cy="420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4203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-1121410</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-829945</wp:posOffset>
            </wp:positionV>
            <wp:extent cx="7246620" cy="420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Initial</w:t>
            </w: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49"/>
        </w:trPr>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Acquisition</w:t>
            </w: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Amortized</w:t>
            </w: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r>
      <w:tr>
        <w:trPr>
          <w:trHeight w:val="161"/>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Interest</w:t>
            </w:r>
          </w:p>
        </w:tc>
        <w:tc>
          <w:tcPr>
            <w:tcW w:w="38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28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Cost (2)</w:t>
            </w:r>
          </w:p>
        </w:tc>
        <w:tc>
          <w:tcPr>
            <w:tcW w:w="280" w:type="dxa"/>
            <w:vAlign w:val="bottom"/>
          </w:tcPr>
          <w:p>
            <w:pPr>
              <w:spacing w:after="0"/>
              <w:rPr>
                <w:sz w:val="14"/>
                <w:szCs w:val="14"/>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Fair Value</w:t>
            </w:r>
          </w:p>
        </w:tc>
        <w:tc>
          <w:tcPr>
            <w:tcW w:w="2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of Net Assets</w:t>
            </w: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160" w:type="dxa"/>
        <w:tblCellMar>
          <w:top w:w="0" w:type="dxa"/>
          <w:left w:w="0" w:type="dxa"/>
          <w:bottom w:w="0" w:type="dxa"/>
          <w:right w:w="0" w:type="dxa"/>
        </w:tblCellMar>
      </w:tblPr>
      <w:tr>
        <w:trPr>
          <w:trHeight w:val="222"/>
        </w:trPr>
        <w:tc>
          <w:tcPr>
            <w:tcW w:w="600" w:type="dxa"/>
            <w:vAlign w:val="bottom"/>
          </w:tcPr>
          <w:p>
            <w:pPr>
              <w:jc w:val="right"/>
              <w:ind w:right="72"/>
              <w:spacing w:after="0"/>
              <w:rPr>
                <w:sz w:val="20"/>
                <w:szCs w:val="20"/>
                <w:color w:val="auto"/>
              </w:rPr>
            </w:pPr>
            <w:r>
              <w:rPr>
                <w:rFonts w:ascii="Arial" w:cs="Arial" w:eastAsia="Arial" w:hAnsi="Arial"/>
                <w:sz w:val="18"/>
                <w:szCs w:val="18"/>
                <w:color w:val="auto"/>
                <w:w w:val="82"/>
              </w:rPr>
              <w:t>8.00%</w:t>
            </w:r>
          </w:p>
        </w:tc>
        <w:tc>
          <w:tcPr>
            <w:tcW w:w="1240" w:type="dxa"/>
            <w:vAlign w:val="bottom"/>
          </w:tcPr>
          <w:p>
            <w:pPr>
              <w:jc w:val="right"/>
              <w:ind w:right="192"/>
              <w:spacing w:after="0"/>
              <w:rPr>
                <w:sz w:val="20"/>
                <w:szCs w:val="20"/>
                <w:color w:val="auto"/>
              </w:rPr>
            </w:pPr>
            <w:r>
              <w:rPr>
                <w:rFonts w:ascii="Arial" w:cs="Arial" w:eastAsia="Arial" w:hAnsi="Arial"/>
                <w:sz w:val="18"/>
                <w:szCs w:val="18"/>
                <w:color w:val="auto"/>
              </w:rPr>
              <w:t>11/9/2012</w:t>
            </w:r>
          </w:p>
        </w:tc>
        <w:tc>
          <w:tcPr>
            <w:tcW w:w="640" w:type="dxa"/>
            <w:vAlign w:val="bottom"/>
          </w:tcPr>
          <w:p>
            <w:pPr>
              <w:jc w:val="right"/>
              <w:spacing w:after="0"/>
              <w:rPr>
                <w:sz w:val="20"/>
                <w:szCs w:val="20"/>
                <w:color w:val="auto"/>
              </w:rPr>
            </w:pPr>
            <w:r>
              <w:rPr>
                <w:rFonts w:ascii="Arial" w:cs="Arial" w:eastAsia="Arial" w:hAnsi="Arial"/>
                <w:sz w:val="18"/>
                <w:szCs w:val="18"/>
                <w:color w:val="auto"/>
              </w:rPr>
              <w:t>70,120</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71,097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12.4%</w:t>
            </w:r>
          </w:p>
        </w:tc>
      </w:tr>
      <w:tr>
        <w:trPr>
          <w:trHeight w:val="662"/>
        </w:trPr>
        <w:tc>
          <w:tcPr>
            <w:tcW w:w="600" w:type="dxa"/>
            <w:vAlign w:val="bottom"/>
          </w:tcPr>
          <w:p>
            <w:pPr>
              <w:jc w:val="right"/>
              <w:ind w:right="72"/>
              <w:spacing w:after="0"/>
              <w:rPr>
                <w:sz w:val="20"/>
                <w:szCs w:val="20"/>
                <w:color w:val="auto"/>
              </w:rPr>
            </w:pPr>
            <w:r>
              <w:rPr>
                <w:rFonts w:ascii="Arial" w:cs="Arial" w:eastAsia="Arial" w:hAnsi="Arial"/>
                <w:sz w:val="18"/>
                <w:szCs w:val="18"/>
                <w:color w:val="auto"/>
                <w:w w:val="82"/>
              </w:rPr>
              <w:t>8.75%</w:t>
            </w:r>
          </w:p>
        </w:tc>
        <w:tc>
          <w:tcPr>
            <w:tcW w:w="1240" w:type="dxa"/>
            <w:vAlign w:val="bottom"/>
          </w:tcPr>
          <w:p>
            <w:pPr>
              <w:jc w:val="right"/>
              <w:ind w:right="192"/>
              <w:spacing w:after="0"/>
              <w:rPr>
                <w:sz w:val="20"/>
                <w:szCs w:val="20"/>
                <w:color w:val="auto"/>
              </w:rPr>
            </w:pPr>
            <w:r>
              <w:rPr>
                <w:rFonts w:ascii="Arial" w:cs="Arial" w:eastAsia="Arial" w:hAnsi="Arial"/>
                <w:sz w:val="18"/>
                <w:szCs w:val="18"/>
                <w:color w:val="auto"/>
              </w:rPr>
              <w:t>12/28/2012</w:t>
            </w:r>
          </w:p>
        </w:tc>
        <w:tc>
          <w:tcPr>
            <w:tcW w:w="640" w:type="dxa"/>
            <w:vAlign w:val="bottom"/>
          </w:tcPr>
          <w:p>
            <w:pPr>
              <w:jc w:val="right"/>
              <w:spacing w:after="0"/>
              <w:rPr>
                <w:sz w:val="20"/>
                <w:szCs w:val="20"/>
                <w:color w:val="auto"/>
              </w:rPr>
            </w:pPr>
            <w:r>
              <w:rPr>
                <w:rFonts w:ascii="Arial" w:cs="Arial" w:eastAsia="Arial" w:hAnsi="Arial"/>
                <w:sz w:val="18"/>
                <w:szCs w:val="18"/>
                <w:color w:val="auto"/>
              </w:rPr>
              <w:t>34,782</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35,625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6.2%</w:t>
            </w:r>
          </w:p>
        </w:tc>
      </w:tr>
      <w:tr>
        <w:trPr>
          <w:trHeight w:val="879"/>
        </w:trPr>
        <w:tc>
          <w:tcPr>
            <w:tcW w:w="600" w:type="dxa"/>
            <w:vAlign w:val="bottom"/>
          </w:tcPr>
          <w:p>
            <w:pPr>
              <w:jc w:val="right"/>
              <w:ind w:right="72"/>
              <w:spacing w:after="0"/>
              <w:rPr>
                <w:sz w:val="20"/>
                <w:szCs w:val="20"/>
                <w:color w:val="auto"/>
              </w:rPr>
            </w:pPr>
            <w:r>
              <w:rPr>
                <w:rFonts w:ascii="Arial" w:cs="Arial" w:eastAsia="Arial" w:hAnsi="Arial"/>
                <w:sz w:val="18"/>
                <w:szCs w:val="18"/>
                <w:color w:val="auto"/>
                <w:w w:val="82"/>
              </w:rPr>
              <w:t>8.75%</w:t>
            </w:r>
          </w:p>
        </w:tc>
        <w:tc>
          <w:tcPr>
            <w:tcW w:w="1240" w:type="dxa"/>
            <w:vAlign w:val="bottom"/>
          </w:tcPr>
          <w:p>
            <w:pPr>
              <w:jc w:val="right"/>
              <w:ind w:right="192"/>
              <w:spacing w:after="0"/>
              <w:rPr>
                <w:sz w:val="20"/>
                <w:szCs w:val="20"/>
                <w:color w:val="auto"/>
              </w:rPr>
            </w:pPr>
            <w:r>
              <w:rPr>
                <w:rFonts w:ascii="Arial" w:cs="Arial" w:eastAsia="Arial" w:hAnsi="Arial"/>
                <w:sz w:val="18"/>
                <w:szCs w:val="18"/>
                <w:color w:val="auto"/>
              </w:rPr>
              <w:t>12/28/2012</w:t>
            </w:r>
          </w:p>
        </w:tc>
        <w:tc>
          <w:tcPr>
            <w:tcW w:w="640" w:type="dxa"/>
            <w:vAlign w:val="bottom"/>
          </w:tcPr>
          <w:p>
            <w:pPr>
              <w:jc w:val="right"/>
              <w:spacing w:after="0"/>
              <w:rPr>
                <w:sz w:val="20"/>
                <w:szCs w:val="20"/>
                <w:color w:val="auto"/>
              </w:rPr>
            </w:pPr>
            <w:r>
              <w:rPr>
                <w:rFonts w:ascii="Arial" w:cs="Arial" w:eastAsia="Arial" w:hAnsi="Arial"/>
                <w:sz w:val="18"/>
                <w:szCs w:val="18"/>
                <w:color w:val="auto"/>
              </w:rPr>
              <w:t>2,000</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2,000</w:t>
            </w:r>
          </w:p>
        </w:tc>
        <w:tc>
          <w:tcPr>
            <w:tcW w:w="28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0.3%</w:t>
            </w:r>
          </w:p>
        </w:tc>
      </w:tr>
      <w:tr>
        <w:trPr>
          <w:trHeight w:val="20"/>
        </w:trPr>
        <w:tc>
          <w:tcPr>
            <w:tcW w:w="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6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106,902</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108,722</w:t>
            </w:r>
          </w:p>
        </w:tc>
        <w:tc>
          <w:tcPr>
            <w:tcW w:w="2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18.9%</w:t>
            </w:r>
          </w:p>
        </w:tc>
      </w:tr>
      <w:tr>
        <w:trPr>
          <w:trHeight w:val="20"/>
        </w:trPr>
        <w:tc>
          <w:tcPr>
            <w:tcW w:w="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884"/>
        </w:trPr>
        <w:tc>
          <w:tcPr>
            <w:tcW w:w="600" w:type="dxa"/>
            <w:vAlign w:val="bottom"/>
          </w:tcPr>
          <w:p>
            <w:pPr>
              <w:jc w:val="right"/>
              <w:ind w:right="72"/>
              <w:spacing w:after="0"/>
              <w:rPr>
                <w:sz w:val="20"/>
                <w:szCs w:val="20"/>
                <w:color w:val="auto"/>
              </w:rPr>
            </w:pPr>
            <w:r>
              <w:rPr>
                <w:rFonts w:ascii="Arial" w:cs="Arial" w:eastAsia="Arial" w:hAnsi="Arial"/>
                <w:sz w:val="18"/>
                <w:szCs w:val="18"/>
                <w:color w:val="auto"/>
                <w:w w:val="82"/>
              </w:rPr>
              <w:t>8.75%</w:t>
            </w:r>
          </w:p>
        </w:tc>
        <w:tc>
          <w:tcPr>
            <w:tcW w:w="1240" w:type="dxa"/>
            <w:vAlign w:val="bottom"/>
          </w:tcPr>
          <w:p>
            <w:pPr>
              <w:jc w:val="right"/>
              <w:ind w:right="192"/>
              <w:spacing w:after="0"/>
              <w:rPr>
                <w:sz w:val="20"/>
                <w:szCs w:val="20"/>
                <w:color w:val="auto"/>
              </w:rPr>
            </w:pPr>
            <w:r>
              <w:rPr>
                <w:rFonts w:ascii="Arial" w:cs="Arial" w:eastAsia="Arial" w:hAnsi="Arial"/>
                <w:sz w:val="18"/>
                <w:szCs w:val="18"/>
                <w:color w:val="auto"/>
              </w:rPr>
              <w:t>7/2/2013</w:t>
            </w:r>
          </w:p>
        </w:tc>
        <w:tc>
          <w:tcPr>
            <w:tcW w:w="640" w:type="dxa"/>
            <w:vAlign w:val="bottom"/>
          </w:tcPr>
          <w:p>
            <w:pPr>
              <w:jc w:val="right"/>
              <w:spacing w:after="0"/>
              <w:rPr>
                <w:sz w:val="20"/>
                <w:szCs w:val="20"/>
                <w:color w:val="auto"/>
              </w:rPr>
            </w:pPr>
            <w:r>
              <w:rPr>
                <w:rFonts w:ascii="Arial" w:cs="Arial" w:eastAsia="Arial" w:hAnsi="Arial"/>
                <w:sz w:val="18"/>
                <w:szCs w:val="18"/>
                <w:color w:val="auto"/>
              </w:rPr>
              <w:t>13,687</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14,821</w:t>
            </w:r>
          </w:p>
        </w:tc>
        <w:tc>
          <w:tcPr>
            <w:tcW w:w="28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662"/>
        </w:trPr>
        <w:tc>
          <w:tcPr>
            <w:tcW w:w="600" w:type="dxa"/>
            <w:vAlign w:val="bottom"/>
          </w:tcPr>
          <w:p>
            <w:pPr>
              <w:jc w:val="right"/>
              <w:ind w:right="72"/>
              <w:spacing w:after="0"/>
              <w:rPr>
                <w:sz w:val="20"/>
                <w:szCs w:val="20"/>
                <w:color w:val="auto"/>
              </w:rPr>
            </w:pPr>
            <w:r>
              <w:rPr>
                <w:rFonts w:ascii="Arial" w:cs="Arial" w:eastAsia="Arial" w:hAnsi="Arial"/>
                <w:sz w:val="18"/>
                <w:szCs w:val="18"/>
                <w:color w:val="auto"/>
                <w:w w:val="82"/>
              </w:rPr>
              <w:t>8.75%</w:t>
            </w:r>
          </w:p>
        </w:tc>
        <w:tc>
          <w:tcPr>
            <w:tcW w:w="1240" w:type="dxa"/>
            <w:vAlign w:val="bottom"/>
          </w:tcPr>
          <w:p>
            <w:pPr>
              <w:jc w:val="right"/>
              <w:ind w:right="192"/>
              <w:spacing w:after="0"/>
              <w:rPr>
                <w:sz w:val="20"/>
                <w:szCs w:val="20"/>
                <w:color w:val="auto"/>
              </w:rPr>
            </w:pPr>
            <w:r>
              <w:rPr>
                <w:rFonts w:ascii="Arial" w:cs="Arial" w:eastAsia="Arial" w:hAnsi="Arial"/>
                <w:sz w:val="18"/>
                <w:szCs w:val="18"/>
                <w:color w:val="auto"/>
              </w:rPr>
              <w:t>2/15/2013</w:t>
            </w:r>
          </w:p>
        </w:tc>
        <w:tc>
          <w:tcPr>
            <w:tcW w:w="640" w:type="dxa"/>
            <w:vAlign w:val="bottom"/>
          </w:tcPr>
          <w:p>
            <w:pPr>
              <w:jc w:val="right"/>
              <w:spacing w:after="0"/>
              <w:rPr>
                <w:sz w:val="20"/>
                <w:szCs w:val="20"/>
                <w:color w:val="auto"/>
              </w:rPr>
            </w:pPr>
            <w:r>
              <w:rPr>
                <w:rFonts w:ascii="Arial" w:cs="Arial" w:eastAsia="Arial" w:hAnsi="Arial"/>
                <w:sz w:val="18"/>
                <w:szCs w:val="18"/>
                <w:color w:val="auto"/>
              </w:rPr>
              <w:t>9,923</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10,250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w:t>
            </w:r>
          </w:p>
        </w:tc>
      </w:tr>
    </w:tbl>
    <w:p>
      <w:pPr>
        <w:spacing w:after="0" w:line="3" w:lineRule="exact"/>
        <w:rPr>
          <w:sz w:val="20"/>
          <w:szCs w:val="20"/>
          <w:color w:val="auto"/>
        </w:rPr>
      </w:pPr>
    </w:p>
    <w:p>
      <w:pPr>
        <w:sectPr>
          <w:pgSz w:w="11900" w:h="16838" w:orient="portrait"/>
          <w:cols w:equalWidth="0" w:num="2">
            <w:col w:w="6460" w:space="180"/>
            <w:col w:w="4780"/>
          </w:cols>
          <w:pgMar w:left="240" w:top="459" w:right="239" w:bottom="927"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Mandalay Baseball Properties, LLC (3)(4)</w:t>
            </w:r>
          </w:p>
        </w:tc>
        <w:tc>
          <w:tcPr>
            <w:tcW w:w="24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First-lien loan</w:t>
            </w: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12.00%</w:t>
            </w:r>
          </w:p>
        </w:tc>
        <w:tc>
          <w:tcPr>
            <w:tcW w:w="1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24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($34,886 par,</w:t>
            </w:r>
          </w:p>
        </w:tc>
        <w:tc>
          <w:tcPr>
            <w:tcW w:w="8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(incl.</w:t>
            </w:r>
          </w:p>
        </w:tc>
        <w:tc>
          <w:tcPr>
            <w:tcW w:w="1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24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due 3/2017)</w:t>
            </w: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4.50%</w:t>
            </w:r>
          </w:p>
        </w:tc>
        <w:tc>
          <w:tcPr>
            <w:tcW w:w="1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4040" w:type="dxa"/>
            <w:vAlign w:val="bottom"/>
            <w:shd w:val="clear" w:color="auto" w:fill="CCEEFF"/>
          </w:tcPr>
          <w:p>
            <w:pPr>
              <w:spacing w:after="0"/>
              <w:rPr>
                <w:sz w:val="20"/>
                <w:szCs w:val="20"/>
                <w:color w:val="auto"/>
              </w:rPr>
            </w:pPr>
          </w:p>
        </w:tc>
        <w:tc>
          <w:tcPr>
            <w:tcW w:w="24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PIK)</w:t>
            </w:r>
          </w:p>
        </w:tc>
        <w:tc>
          <w:tcPr>
            <w:tcW w:w="12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4/12/2012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34,303</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35,758</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r>
      <w:tr>
        <w:trPr>
          <w:trHeight w:val="208"/>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Soho House (5)</w:t>
            </w:r>
          </w:p>
        </w:tc>
        <w:tc>
          <w:tcPr>
            <w:tcW w:w="2460" w:type="dxa"/>
            <w:vAlign w:val="bottom"/>
          </w:tcPr>
          <w:p>
            <w:pPr>
              <w:ind w:left="1060"/>
              <w:spacing w:after="0"/>
              <w:rPr>
                <w:sz w:val="20"/>
                <w:szCs w:val="20"/>
                <w:color w:val="auto"/>
              </w:rPr>
            </w:pPr>
            <w:r>
              <w:rPr>
                <w:rFonts w:ascii="Arial" w:cs="Arial" w:eastAsia="Arial" w:hAnsi="Arial"/>
                <w:sz w:val="18"/>
                <w:szCs w:val="18"/>
                <w:color w:val="auto"/>
              </w:rPr>
              <w:t>Second-lien</w:t>
            </w: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460" w:type="dxa"/>
            <w:vAlign w:val="bottom"/>
          </w:tcPr>
          <w:p>
            <w:pPr>
              <w:ind w:left="1060"/>
              <w:spacing w:after="0"/>
              <w:rPr>
                <w:sz w:val="20"/>
                <w:szCs w:val="20"/>
                <w:color w:val="auto"/>
              </w:rPr>
            </w:pPr>
            <w:r>
              <w:rPr>
                <w:rFonts w:ascii="Arial" w:cs="Arial" w:eastAsia="Arial" w:hAnsi="Arial"/>
                <w:sz w:val="18"/>
                <w:szCs w:val="18"/>
                <w:color w:val="auto"/>
                <w:w w:val="99"/>
              </w:rPr>
              <w:t>bond (GBP 7,000</w:t>
            </w: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2460" w:type="dxa"/>
            <w:vAlign w:val="bottom"/>
          </w:tcPr>
          <w:p>
            <w:pPr>
              <w:ind w:left="1060"/>
              <w:spacing w:after="0"/>
              <w:rPr>
                <w:sz w:val="20"/>
                <w:szCs w:val="20"/>
                <w:color w:val="auto"/>
              </w:rPr>
            </w:pPr>
            <w:r>
              <w:rPr>
                <w:rFonts w:ascii="Arial" w:cs="Arial" w:eastAsia="Arial" w:hAnsi="Arial"/>
                <w:sz w:val="18"/>
                <w:szCs w:val="18"/>
                <w:color w:val="auto"/>
                <w:w w:val="97"/>
              </w:rPr>
              <w:t>par, due 10/2018)</w:t>
            </w: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9.13%</w:t>
            </w:r>
          </w:p>
        </w:tc>
        <w:tc>
          <w:tcPr>
            <w:tcW w:w="1240" w:type="dxa"/>
            <w:vAlign w:val="bottom"/>
          </w:tcPr>
          <w:p>
            <w:pPr>
              <w:jc w:val="right"/>
              <w:ind w:right="192"/>
              <w:spacing w:after="0"/>
              <w:rPr>
                <w:sz w:val="20"/>
                <w:szCs w:val="20"/>
                <w:color w:val="auto"/>
              </w:rPr>
            </w:pPr>
            <w:r>
              <w:rPr>
                <w:rFonts w:ascii="Arial" w:cs="Arial" w:eastAsia="Arial" w:hAnsi="Arial"/>
                <w:sz w:val="18"/>
                <w:szCs w:val="18"/>
                <w:color w:val="auto"/>
              </w:rPr>
              <w:t>9/20/2013</w:t>
            </w:r>
          </w:p>
        </w:tc>
        <w:tc>
          <w:tcPr>
            <w:tcW w:w="640" w:type="dxa"/>
            <w:vAlign w:val="bottom"/>
          </w:tcPr>
          <w:p>
            <w:pPr>
              <w:jc w:val="right"/>
              <w:spacing w:after="0"/>
              <w:rPr>
                <w:sz w:val="20"/>
                <w:szCs w:val="20"/>
                <w:color w:val="auto"/>
              </w:rPr>
            </w:pPr>
            <w:r>
              <w:rPr>
                <w:rFonts w:ascii="Arial" w:cs="Arial" w:eastAsia="Arial" w:hAnsi="Arial"/>
                <w:sz w:val="18"/>
                <w:szCs w:val="18"/>
                <w:color w:val="auto"/>
              </w:rPr>
              <w:t>11,200</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11,913</w:t>
            </w:r>
          </w:p>
        </w:tc>
        <w:tc>
          <w:tcPr>
            <w:tcW w:w="2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r>
      <w:tr>
        <w:trPr>
          <w:trHeight w:val="28"/>
        </w:trPr>
        <w:tc>
          <w:tcPr>
            <w:tcW w:w="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69,113</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72,742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w:t>
            </w:r>
          </w:p>
        </w:tc>
      </w:tr>
      <w:tr>
        <w:trPr>
          <w:trHeight w:val="221"/>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Human resource support services</w:t>
            </w:r>
          </w:p>
        </w:tc>
        <w:tc>
          <w:tcPr>
            <w:tcW w:w="2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Pai Group, Inc. (3)(4)</w:t>
            </w:r>
          </w:p>
        </w:tc>
        <w:tc>
          <w:tcPr>
            <w:tcW w:w="24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First-lien loan</w:t>
            </w:r>
          </w:p>
        </w:tc>
        <w:tc>
          <w:tcPr>
            <w:tcW w:w="8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24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($34,737 par,</w:t>
            </w:r>
          </w:p>
        </w:tc>
        <w:tc>
          <w:tcPr>
            <w:tcW w:w="8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4040" w:type="dxa"/>
            <w:vAlign w:val="bottom"/>
            <w:shd w:val="clear" w:color="auto" w:fill="CCEEFF"/>
          </w:tcPr>
          <w:p>
            <w:pPr>
              <w:spacing w:after="0"/>
              <w:rPr>
                <w:sz w:val="20"/>
                <w:szCs w:val="20"/>
                <w:color w:val="auto"/>
              </w:rPr>
            </w:pPr>
          </w:p>
        </w:tc>
        <w:tc>
          <w:tcPr>
            <w:tcW w:w="24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due 5/2018)</w:t>
            </w: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10.50%</w:t>
            </w:r>
          </w:p>
        </w:tc>
        <w:tc>
          <w:tcPr>
            <w:tcW w:w="12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5/8/2013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33,979</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34,141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r>
      <w:tr>
        <w:trPr>
          <w:trHeight w:val="208"/>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SumTotal Systems, LLC (3)(4)</w:t>
            </w:r>
          </w:p>
        </w:tc>
        <w:tc>
          <w:tcPr>
            <w:tcW w:w="2460" w:type="dxa"/>
            <w:vAlign w:val="bottom"/>
          </w:tcPr>
          <w:p>
            <w:pPr>
              <w:ind w:left="1060"/>
              <w:spacing w:after="0"/>
              <w:rPr>
                <w:sz w:val="20"/>
                <w:szCs w:val="20"/>
                <w:color w:val="auto"/>
              </w:rPr>
            </w:pPr>
            <w:r>
              <w:rPr>
                <w:rFonts w:ascii="Arial" w:cs="Arial" w:eastAsia="Arial" w:hAnsi="Arial"/>
                <w:sz w:val="18"/>
                <w:szCs w:val="18"/>
                <w:color w:val="auto"/>
              </w:rPr>
              <w:t>First-lien loan</w:t>
            </w: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460" w:type="dxa"/>
            <w:vAlign w:val="bottom"/>
          </w:tcPr>
          <w:p>
            <w:pPr>
              <w:ind w:left="1060"/>
              <w:spacing w:after="0"/>
              <w:rPr>
                <w:sz w:val="20"/>
                <w:szCs w:val="20"/>
                <w:color w:val="auto"/>
              </w:rPr>
            </w:pPr>
            <w:r>
              <w:rPr>
                <w:rFonts w:ascii="Arial" w:cs="Arial" w:eastAsia="Arial" w:hAnsi="Arial"/>
                <w:sz w:val="18"/>
                <w:szCs w:val="18"/>
                <w:color w:val="auto"/>
              </w:rPr>
              <w:t>($7,483 par,</w:t>
            </w: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2460" w:type="dxa"/>
            <w:vAlign w:val="bottom"/>
          </w:tcPr>
          <w:p>
            <w:pPr>
              <w:ind w:left="1060"/>
              <w:spacing w:after="0"/>
              <w:rPr>
                <w:sz w:val="20"/>
                <w:szCs w:val="20"/>
                <w:color w:val="auto"/>
              </w:rPr>
            </w:pPr>
            <w:r>
              <w:rPr>
                <w:rFonts w:ascii="Arial" w:cs="Arial" w:eastAsia="Arial" w:hAnsi="Arial"/>
                <w:sz w:val="18"/>
                <w:szCs w:val="18"/>
                <w:color w:val="auto"/>
              </w:rPr>
              <w:t>due 11/2018)</w:t>
            </w: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6.25%</w:t>
            </w:r>
          </w:p>
        </w:tc>
        <w:tc>
          <w:tcPr>
            <w:tcW w:w="1240" w:type="dxa"/>
            <w:vAlign w:val="bottom"/>
          </w:tcPr>
          <w:p>
            <w:pPr>
              <w:jc w:val="right"/>
              <w:ind w:right="192"/>
              <w:spacing w:after="0"/>
              <w:rPr>
                <w:sz w:val="20"/>
                <w:szCs w:val="20"/>
                <w:color w:val="auto"/>
              </w:rPr>
            </w:pPr>
            <w:r>
              <w:rPr>
                <w:rFonts w:ascii="Arial" w:cs="Arial" w:eastAsia="Arial" w:hAnsi="Arial"/>
                <w:sz w:val="18"/>
                <w:szCs w:val="18"/>
                <w:color w:val="auto"/>
              </w:rPr>
              <w:t>11/16/2012</w:t>
            </w:r>
          </w:p>
        </w:tc>
        <w:tc>
          <w:tcPr>
            <w:tcW w:w="640" w:type="dxa"/>
            <w:vAlign w:val="bottom"/>
          </w:tcPr>
          <w:p>
            <w:pPr>
              <w:jc w:val="right"/>
              <w:spacing w:after="0"/>
              <w:rPr>
                <w:sz w:val="20"/>
                <w:szCs w:val="20"/>
                <w:color w:val="auto"/>
              </w:rPr>
            </w:pPr>
            <w:r>
              <w:rPr>
                <w:rFonts w:ascii="Arial" w:cs="Arial" w:eastAsia="Arial" w:hAnsi="Arial"/>
                <w:sz w:val="18"/>
                <w:szCs w:val="18"/>
                <w:color w:val="auto"/>
              </w:rPr>
              <w:t>7,405</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7,371</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r>
      <w:tr>
        <w:trPr>
          <w:trHeight w:val="209"/>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24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Second-lien loan</w:t>
            </w:r>
          </w:p>
        </w:tc>
        <w:tc>
          <w:tcPr>
            <w:tcW w:w="8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24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($12,000 par,</w:t>
            </w:r>
          </w:p>
        </w:tc>
        <w:tc>
          <w:tcPr>
            <w:tcW w:w="8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40" w:type="dxa"/>
            <w:vAlign w:val="bottom"/>
            <w:shd w:val="clear" w:color="auto" w:fill="CCEEFF"/>
          </w:tcPr>
          <w:p>
            <w:pPr>
              <w:spacing w:after="0"/>
              <w:rPr>
                <w:sz w:val="19"/>
                <w:szCs w:val="19"/>
                <w:color w:val="auto"/>
              </w:rPr>
            </w:pPr>
          </w:p>
        </w:tc>
        <w:tc>
          <w:tcPr>
            <w:tcW w:w="24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due 5/2019)</w:t>
            </w: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10.25%</w:t>
            </w:r>
          </w:p>
        </w:tc>
        <w:tc>
          <w:tcPr>
            <w:tcW w:w="12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11/16/2012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11,932</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11,790</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53,316</w:t>
            </w: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53,302</w:t>
            </w:r>
          </w:p>
        </w:tc>
        <w:tc>
          <w:tcPr>
            <w:tcW w:w="28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Insurance</w:t>
            </w:r>
          </w:p>
        </w:tc>
        <w:tc>
          <w:tcPr>
            <w:tcW w:w="2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420"/>
          </w:cols>
          <w:pgMar w:left="240" w:top="459" w:right="239" w:bottom="927" w:gutter="0" w:footer="0" w:header="0"/>
          <w:type w:val="continuous"/>
        </w:sectPr>
      </w:pPr>
    </w:p>
    <w:p>
      <w:pPr>
        <w:spacing w:after="0"/>
        <w:tabs>
          <w:tab w:leader="none" w:pos="5100" w:val="left"/>
        </w:tabs>
        <w:rPr>
          <w:sz w:val="20"/>
          <w:szCs w:val="20"/>
          <w:color w:val="auto"/>
        </w:rPr>
      </w:pPr>
      <w:r>
        <w:rPr>
          <w:rFonts w:ascii="Arial" w:cs="Arial" w:eastAsia="Arial" w:hAnsi="Arial"/>
          <w:sz w:val="18"/>
          <w:szCs w:val="18"/>
          <w:color w:val="auto"/>
        </w:rPr>
        <w:t>Infogix, Inc. (3)(4)</w:t>
      </w:r>
      <w:r>
        <w:rPr>
          <w:sz w:val="20"/>
          <w:szCs w:val="20"/>
          <w:color w:val="auto"/>
        </w:rPr>
        <w:tab/>
      </w:r>
      <w:r>
        <w:rPr>
          <w:rFonts w:ascii="Arial" w:cs="Arial" w:eastAsia="Arial" w:hAnsi="Arial"/>
          <w:sz w:val="16"/>
          <w:szCs w:val="16"/>
          <w:color w:val="auto"/>
        </w:rPr>
        <w:t>First-lien loan</w:t>
      </w:r>
    </w:p>
    <w:p>
      <w:pPr>
        <w:spacing w:after="0" w:line="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($31,888 par,</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due 6/2017)</w:t>
      </w:r>
    </w:p>
    <w:p>
      <w:pPr>
        <w:spacing w:after="0" w:line="16"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First-lien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5575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557530"/>
                    </a:xfrm>
                    <a:prstGeom prst="rect">
                      <a:avLst/>
                    </a:prstGeom>
                    <a:noFill/>
                  </pic:spPr>
                </pic:pic>
              </a:graphicData>
            </a:graphic>
          </wp:anchor>
        </w:drawing>
      </w:r>
    </w:p>
    <w:p>
      <w:pPr>
        <w:ind w:left="5120"/>
        <w:spacing w:after="0"/>
        <w:rPr>
          <w:sz w:val="20"/>
          <w:szCs w:val="20"/>
          <w:color w:val="auto"/>
        </w:rPr>
      </w:pPr>
      <w:r>
        <w:rPr>
          <w:rFonts w:ascii="Arial" w:cs="Arial" w:eastAsia="Arial" w:hAnsi="Arial"/>
          <w:sz w:val="18"/>
          <w:szCs w:val="18"/>
          <w:color w:val="auto"/>
        </w:rPr>
        <w:t>revolving loan</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($850 par,</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due 6/2017)</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tabs>
          <w:tab w:leader="none" w:pos="5100" w:val="left"/>
        </w:tabs>
        <w:rPr>
          <w:sz w:val="20"/>
          <w:szCs w:val="20"/>
          <w:color w:val="auto"/>
        </w:rPr>
      </w:pPr>
      <w:r>
        <w:rPr>
          <w:rFonts w:ascii="Arial" w:cs="Arial" w:eastAsia="Arial" w:hAnsi="Arial"/>
          <w:sz w:val="18"/>
          <w:szCs w:val="18"/>
          <w:color w:val="auto"/>
        </w:rPr>
        <w:t>Jeeves Information Systems AB (3)(5)</w:t>
      </w:r>
      <w:r>
        <w:rPr>
          <w:sz w:val="20"/>
          <w:szCs w:val="20"/>
          <w:color w:val="auto"/>
        </w:rPr>
        <w:tab/>
      </w:r>
      <w:r>
        <w:rPr>
          <w:rFonts w:ascii="Arial" w:cs="Arial" w:eastAsia="Arial" w:hAnsi="Arial"/>
          <w:sz w:val="16"/>
          <w:szCs w:val="16"/>
          <w:color w:val="auto"/>
        </w:rPr>
        <w:t>First-lien loan</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5"/>
          <w:szCs w:val="15"/>
          <w:color w:val="auto"/>
        </w:rPr>
        <w:t>(SEK 177,161 par,</w:t>
      </w:r>
    </w:p>
    <w:p>
      <w:pPr>
        <w:spacing w:after="0" w:line="44"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due 6/2018)</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Metals and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tabs>
          <w:tab w:leader="none" w:pos="5100" w:val="left"/>
        </w:tabs>
        <w:rPr>
          <w:sz w:val="20"/>
          <w:szCs w:val="20"/>
          <w:color w:val="auto"/>
        </w:rPr>
      </w:pPr>
      <w:r>
        <w:rPr>
          <w:rFonts w:ascii="Arial" w:cs="Arial" w:eastAsia="Arial" w:hAnsi="Arial"/>
          <w:sz w:val="18"/>
          <w:szCs w:val="18"/>
          <w:color w:val="auto"/>
        </w:rPr>
        <w:t>Metalico, Inc. (3)(6)</w:t>
      </w:r>
      <w:r>
        <w:rPr>
          <w:sz w:val="20"/>
          <w:szCs w:val="20"/>
          <w:color w:val="auto"/>
        </w:rPr>
        <w:tab/>
      </w:r>
      <w:r>
        <w:rPr>
          <w:rFonts w:ascii="Arial" w:cs="Arial" w:eastAsia="Arial" w:hAnsi="Arial"/>
          <w:sz w:val="16"/>
          <w:szCs w:val="16"/>
          <w:color w:val="auto"/>
        </w:rPr>
        <w:t>First-lien loan</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($35,650 par,</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due 11/2019)</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tabs>
          <w:tab w:leader="none" w:pos="5100" w:val="left"/>
        </w:tabs>
        <w:rPr>
          <w:sz w:val="20"/>
          <w:szCs w:val="20"/>
          <w:color w:val="auto"/>
        </w:rPr>
      </w:pPr>
      <w:r>
        <w:rPr>
          <w:rFonts w:ascii="Arial" w:cs="Arial" w:eastAsia="Arial" w:hAnsi="Arial"/>
          <w:sz w:val="18"/>
          <w:szCs w:val="18"/>
          <w:color w:val="auto"/>
        </w:rPr>
        <w:t>Ecommerce Industries, Inc. (3)(4)(6)</w:t>
      </w:r>
      <w:r>
        <w:rPr>
          <w:sz w:val="20"/>
          <w:szCs w:val="20"/>
          <w:color w:val="auto"/>
        </w:rPr>
        <w:tab/>
      </w:r>
      <w:r>
        <w:rPr>
          <w:rFonts w:ascii="Arial" w:cs="Arial" w:eastAsia="Arial" w:hAnsi="Arial"/>
          <w:sz w:val="16"/>
          <w:szCs w:val="16"/>
          <w:color w:val="auto"/>
        </w:rPr>
        <w:t>First-lien loan</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($19,936 par,</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due 10/2016)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700" w:type="dxa"/>
            <w:vAlign w:val="bottom"/>
          </w:tcPr>
          <w:p>
            <w:pPr>
              <w:jc w:val="right"/>
              <w:ind w:right="72"/>
              <w:spacing w:after="0"/>
              <w:rPr>
                <w:sz w:val="20"/>
                <w:szCs w:val="20"/>
                <w:color w:val="auto"/>
              </w:rPr>
            </w:pPr>
            <w:r>
              <w:rPr>
                <w:rFonts w:ascii="Arial" w:cs="Arial" w:eastAsia="Arial" w:hAnsi="Arial"/>
                <w:sz w:val="18"/>
                <w:szCs w:val="18"/>
                <w:color w:val="auto"/>
                <w:w w:val="85"/>
              </w:rPr>
              <w:t>10.00%</w:t>
            </w:r>
          </w:p>
        </w:tc>
        <w:tc>
          <w:tcPr>
            <w:tcW w:w="1240" w:type="dxa"/>
            <w:vAlign w:val="bottom"/>
          </w:tcPr>
          <w:p>
            <w:pPr>
              <w:jc w:val="right"/>
              <w:ind w:right="192"/>
              <w:spacing w:after="0"/>
              <w:rPr>
                <w:sz w:val="20"/>
                <w:szCs w:val="20"/>
                <w:color w:val="auto"/>
              </w:rPr>
            </w:pPr>
            <w:r>
              <w:rPr>
                <w:rFonts w:ascii="Arial" w:cs="Arial" w:eastAsia="Arial" w:hAnsi="Arial"/>
                <w:sz w:val="18"/>
                <w:szCs w:val="18"/>
                <w:color w:val="auto"/>
              </w:rPr>
              <w:t>6/1/2012</w:t>
            </w:r>
          </w:p>
        </w:tc>
        <w:tc>
          <w:tcPr>
            <w:tcW w:w="640" w:type="dxa"/>
            <w:vAlign w:val="bottom"/>
          </w:tcPr>
          <w:p>
            <w:pPr>
              <w:jc w:val="right"/>
              <w:spacing w:after="0"/>
              <w:rPr>
                <w:sz w:val="20"/>
                <w:szCs w:val="20"/>
                <w:color w:val="auto"/>
              </w:rPr>
            </w:pPr>
            <w:r>
              <w:rPr>
                <w:rFonts w:ascii="Arial" w:cs="Arial" w:eastAsia="Arial" w:hAnsi="Arial"/>
                <w:sz w:val="18"/>
                <w:szCs w:val="18"/>
                <w:color w:val="auto"/>
              </w:rPr>
              <w:t>31,433</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31,808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5.5%</w:t>
            </w:r>
          </w:p>
        </w:tc>
      </w:tr>
      <w:tr>
        <w:trPr>
          <w:trHeight w:val="879"/>
        </w:trPr>
        <w:tc>
          <w:tcPr>
            <w:tcW w:w="700" w:type="dxa"/>
            <w:vAlign w:val="bottom"/>
          </w:tcPr>
          <w:p>
            <w:pPr>
              <w:jc w:val="right"/>
              <w:ind w:right="72"/>
              <w:spacing w:after="0"/>
              <w:rPr>
                <w:sz w:val="20"/>
                <w:szCs w:val="20"/>
                <w:color w:val="auto"/>
              </w:rPr>
            </w:pPr>
            <w:r>
              <w:rPr>
                <w:rFonts w:ascii="Arial" w:cs="Arial" w:eastAsia="Arial" w:hAnsi="Arial"/>
                <w:sz w:val="18"/>
                <w:szCs w:val="18"/>
                <w:color w:val="auto"/>
                <w:w w:val="85"/>
              </w:rPr>
              <w:t>10.00%</w:t>
            </w:r>
          </w:p>
        </w:tc>
        <w:tc>
          <w:tcPr>
            <w:tcW w:w="1240" w:type="dxa"/>
            <w:vAlign w:val="bottom"/>
          </w:tcPr>
          <w:p>
            <w:pPr>
              <w:jc w:val="right"/>
              <w:ind w:right="192"/>
              <w:spacing w:after="0"/>
              <w:rPr>
                <w:sz w:val="20"/>
                <w:szCs w:val="20"/>
                <w:color w:val="auto"/>
              </w:rPr>
            </w:pPr>
            <w:r>
              <w:rPr>
                <w:rFonts w:ascii="Arial" w:cs="Arial" w:eastAsia="Arial" w:hAnsi="Arial"/>
                <w:sz w:val="18"/>
                <w:szCs w:val="18"/>
                <w:color w:val="auto"/>
              </w:rPr>
              <w:t>6/1/2012</w:t>
            </w:r>
          </w:p>
        </w:tc>
        <w:tc>
          <w:tcPr>
            <w:tcW w:w="640" w:type="dxa"/>
            <w:vAlign w:val="bottom"/>
          </w:tcPr>
          <w:p>
            <w:pPr>
              <w:jc w:val="right"/>
              <w:spacing w:after="0"/>
              <w:rPr>
                <w:sz w:val="20"/>
                <w:szCs w:val="20"/>
                <w:color w:val="auto"/>
              </w:rPr>
            </w:pPr>
            <w:r>
              <w:rPr>
                <w:rFonts w:ascii="Arial" w:cs="Arial" w:eastAsia="Arial" w:hAnsi="Arial"/>
                <w:sz w:val="18"/>
                <w:szCs w:val="18"/>
                <w:color w:val="auto"/>
              </w:rPr>
              <w:t>782</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838</w:t>
            </w:r>
          </w:p>
        </w:tc>
        <w:tc>
          <w:tcPr>
            <w:tcW w:w="28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0.1%</w:t>
            </w:r>
          </w:p>
        </w:tc>
      </w:tr>
      <w:tr>
        <w:trPr>
          <w:trHeight w:val="20"/>
        </w:trPr>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7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32,215</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32,646</w:t>
            </w:r>
          </w:p>
        </w:tc>
        <w:tc>
          <w:tcPr>
            <w:tcW w:w="2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884"/>
        </w:trPr>
        <w:tc>
          <w:tcPr>
            <w:tcW w:w="700" w:type="dxa"/>
            <w:vAlign w:val="bottom"/>
          </w:tcPr>
          <w:p>
            <w:pPr>
              <w:jc w:val="right"/>
              <w:ind w:right="72"/>
              <w:spacing w:after="0"/>
              <w:rPr>
                <w:sz w:val="20"/>
                <w:szCs w:val="20"/>
                <w:color w:val="auto"/>
              </w:rPr>
            </w:pPr>
            <w:r>
              <w:rPr>
                <w:rFonts w:ascii="Arial" w:cs="Arial" w:eastAsia="Arial" w:hAnsi="Arial"/>
                <w:sz w:val="18"/>
                <w:szCs w:val="18"/>
                <w:color w:val="auto"/>
              </w:rPr>
              <w:t>9.25%</w:t>
            </w:r>
          </w:p>
        </w:tc>
        <w:tc>
          <w:tcPr>
            <w:tcW w:w="1240" w:type="dxa"/>
            <w:vAlign w:val="bottom"/>
          </w:tcPr>
          <w:p>
            <w:pPr>
              <w:jc w:val="right"/>
              <w:ind w:right="192"/>
              <w:spacing w:after="0"/>
              <w:rPr>
                <w:sz w:val="20"/>
                <w:szCs w:val="20"/>
                <w:color w:val="auto"/>
              </w:rPr>
            </w:pPr>
            <w:r>
              <w:rPr>
                <w:rFonts w:ascii="Arial" w:cs="Arial" w:eastAsia="Arial" w:hAnsi="Arial"/>
                <w:sz w:val="18"/>
                <w:szCs w:val="18"/>
                <w:color w:val="auto"/>
              </w:rPr>
              <w:t>6/5/2013</w:t>
            </w:r>
          </w:p>
        </w:tc>
        <w:tc>
          <w:tcPr>
            <w:tcW w:w="640" w:type="dxa"/>
            <w:vAlign w:val="bottom"/>
          </w:tcPr>
          <w:p>
            <w:pPr>
              <w:jc w:val="right"/>
              <w:spacing w:after="0"/>
              <w:rPr>
                <w:sz w:val="20"/>
                <w:szCs w:val="20"/>
                <w:color w:val="auto"/>
              </w:rPr>
            </w:pPr>
            <w:r>
              <w:rPr>
                <w:rFonts w:ascii="Arial" w:cs="Arial" w:eastAsia="Arial" w:hAnsi="Arial"/>
                <w:sz w:val="18"/>
                <w:szCs w:val="18"/>
                <w:color w:val="auto"/>
              </w:rPr>
              <w:t>26,486</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27,170</w:t>
            </w:r>
          </w:p>
        </w:tc>
        <w:tc>
          <w:tcPr>
            <w:tcW w:w="28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4.7%</w:t>
            </w:r>
          </w:p>
        </w:tc>
      </w:tr>
      <w:tr>
        <w:trPr>
          <w:trHeight w:val="878"/>
        </w:trPr>
        <w:tc>
          <w:tcPr>
            <w:tcW w:w="700" w:type="dxa"/>
            <w:vAlign w:val="bottom"/>
          </w:tcPr>
          <w:p>
            <w:pPr>
              <w:jc w:val="right"/>
              <w:ind w:right="72"/>
              <w:spacing w:after="0"/>
              <w:rPr>
                <w:sz w:val="20"/>
                <w:szCs w:val="20"/>
                <w:color w:val="auto"/>
              </w:rPr>
            </w:pPr>
            <w:r>
              <w:rPr>
                <w:rFonts w:ascii="Arial" w:cs="Arial" w:eastAsia="Arial" w:hAnsi="Arial"/>
                <w:sz w:val="18"/>
                <w:szCs w:val="18"/>
                <w:color w:val="auto"/>
              </w:rPr>
              <w:t>9.50%</w:t>
            </w:r>
          </w:p>
        </w:tc>
        <w:tc>
          <w:tcPr>
            <w:tcW w:w="1240" w:type="dxa"/>
            <w:vAlign w:val="bottom"/>
          </w:tcPr>
          <w:p>
            <w:pPr>
              <w:jc w:val="right"/>
              <w:ind w:right="192"/>
              <w:spacing w:after="0"/>
              <w:rPr>
                <w:sz w:val="20"/>
                <w:szCs w:val="20"/>
                <w:color w:val="auto"/>
              </w:rPr>
            </w:pPr>
            <w:r>
              <w:rPr>
                <w:rFonts w:ascii="Arial" w:cs="Arial" w:eastAsia="Arial" w:hAnsi="Arial"/>
                <w:sz w:val="18"/>
                <w:szCs w:val="18"/>
                <w:color w:val="auto"/>
              </w:rPr>
              <w:t>11/21/2013</w:t>
            </w:r>
          </w:p>
        </w:tc>
        <w:tc>
          <w:tcPr>
            <w:tcW w:w="640" w:type="dxa"/>
            <w:vAlign w:val="bottom"/>
          </w:tcPr>
          <w:p>
            <w:pPr>
              <w:jc w:val="right"/>
              <w:spacing w:after="0"/>
              <w:rPr>
                <w:sz w:val="20"/>
                <w:szCs w:val="20"/>
                <w:color w:val="auto"/>
              </w:rPr>
            </w:pPr>
            <w:r>
              <w:rPr>
                <w:rFonts w:ascii="Arial" w:cs="Arial" w:eastAsia="Arial" w:hAnsi="Arial"/>
                <w:sz w:val="18"/>
                <w:szCs w:val="18"/>
                <w:color w:val="auto"/>
              </w:rPr>
              <w:t>33,523</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33,841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5.9%</w:t>
            </w:r>
          </w:p>
        </w:tc>
      </w:tr>
      <w:tr>
        <w:trPr>
          <w:trHeight w:val="878"/>
        </w:trPr>
        <w:tc>
          <w:tcPr>
            <w:tcW w:w="700" w:type="dxa"/>
            <w:vAlign w:val="bottom"/>
          </w:tcPr>
          <w:p>
            <w:pPr>
              <w:jc w:val="right"/>
              <w:ind w:right="72"/>
              <w:spacing w:after="0"/>
              <w:rPr>
                <w:sz w:val="20"/>
                <w:szCs w:val="20"/>
                <w:color w:val="auto"/>
              </w:rPr>
            </w:pPr>
            <w:r>
              <w:rPr>
                <w:rFonts w:ascii="Arial" w:cs="Arial" w:eastAsia="Arial" w:hAnsi="Arial"/>
                <w:sz w:val="18"/>
                <w:szCs w:val="18"/>
                <w:color w:val="auto"/>
              </w:rPr>
              <w:t>8.00%</w:t>
            </w:r>
          </w:p>
        </w:tc>
        <w:tc>
          <w:tcPr>
            <w:tcW w:w="1240" w:type="dxa"/>
            <w:vAlign w:val="bottom"/>
          </w:tcPr>
          <w:p>
            <w:pPr>
              <w:jc w:val="right"/>
              <w:ind w:right="192"/>
              <w:spacing w:after="0"/>
              <w:rPr>
                <w:sz w:val="20"/>
                <w:szCs w:val="20"/>
                <w:color w:val="auto"/>
              </w:rPr>
            </w:pPr>
            <w:r>
              <w:rPr>
                <w:rFonts w:ascii="Arial" w:cs="Arial" w:eastAsia="Arial" w:hAnsi="Arial"/>
                <w:sz w:val="18"/>
                <w:szCs w:val="18"/>
                <w:color w:val="auto"/>
              </w:rPr>
              <w:t>10/17/2011</w:t>
            </w:r>
          </w:p>
        </w:tc>
        <w:tc>
          <w:tcPr>
            <w:tcW w:w="640" w:type="dxa"/>
            <w:vAlign w:val="bottom"/>
          </w:tcPr>
          <w:p>
            <w:pPr>
              <w:jc w:val="right"/>
              <w:spacing w:after="0"/>
              <w:rPr>
                <w:sz w:val="20"/>
                <w:szCs w:val="20"/>
                <w:color w:val="auto"/>
              </w:rPr>
            </w:pPr>
            <w:r>
              <w:rPr>
                <w:rFonts w:ascii="Arial" w:cs="Arial" w:eastAsia="Arial" w:hAnsi="Arial"/>
                <w:sz w:val="18"/>
                <w:szCs w:val="18"/>
                <w:color w:val="auto"/>
              </w:rPr>
              <w:t>19,764</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20,086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3.5%</w:t>
            </w:r>
          </w:p>
        </w:tc>
      </w:tr>
    </w:tbl>
    <w:p>
      <w:pPr>
        <w:spacing w:after="0" w:line="142" w:lineRule="exact"/>
        <w:rPr>
          <w:sz w:val="20"/>
          <w:szCs w:val="20"/>
          <w:color w:val="auto"/>
        </w:rPr>
      </w:pPr>
    </w:p>
    <w:p>
      <w:pPr>
        <w:sectPr>
          <w:pgSz w:w="11900" w:h="16838" w:orient="portrait"/>
          <w:cols w:equalWidth="0" w:num="2">
            <w:col w:w="6420" w:space="280"/>
            <w:col w:w="4720"/>
          </w:cols>
          <w:pgMar w:left="240" w:top="459" w:right="239" w:bottom="927" w:gutter="0" w:footer="0" w:header="0"/>
          <w:type w:val="continuous"/>
        </w:sect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459" w:right="239" w:bottom="927"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Initial</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w w:val="91"/>
              </w:rPr>
              <w:t>Company (1)</w:t>
            </w:r>
          </w:p>
        </w:tc>
        <w:tc>
          <w:tcPr>
            <w:tcW w:w="3700" w:type="dxa"/>
            <w:vAlign w:val="bottom"/>
            <w:vMerge w:val="restart"/>
          </w:tcPr>
          <w:p>
            <w:pPr>
              <w:spacing w:after="0"/>
              <w:rPr>
                <w:sz w:val="12"/>
                <w:szCs w:val="12"/>
                <w:color w:val="auto"/>
              </w:rPr>
            </w:pPr>
          </w:p>
        </w:tc>
        <w:tc>
          <w:tcPr>
            <w:tcW w:w="196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Investment</w:t>
            </w: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Acquisition</w:t>
            </w: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Amortized</w:t>
            </w: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68"/>
        </w:trPr>
        <w:tc>
          <w:tcPr>
            <w:tcW w:w="800" w:type="dxa"/>
            <w:vAlign w:val="bottom"/>
            <w:tcBorders>
              <w:bottom w:val="single" w:sz="8" w:color="auto"/>
            </w:tcBorders>
            <w:vMerge w:val="continue"/>
          </w:tcPr>
          <w:p>
            <w:pPr>
              <w:spacing w:after="0"/>
              <w:rPr>
                <w:sz w:val="14"/>
                <w:szCs w:val="14"/>
                <w:color w:val="auto"/>
              </w:rPr>
            </w:pPr>
          </w:p>
        </w:tc>
        <w:tc>
          <w:tcPr>
            <w:tcW w:w="3700" w:type="dxa"/>
            <w:vAlign w:val="bottom"/>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820" w:type="dxa"/>
            <w:vAlign w:val="bottom"/>
            <w:gridSpan w:val="2"/>
          </w:tcPr>
          <w:p>
            <w:pPr>
              <w:jc w:val="right"/>
              <w:ind w:right="380"/>
              <w:spacing w:after="0" w:line="148" w:lineRule="exact"/>
              <w:rPr>
                <w:sz w:val="20"/>
                <w:szCs w:val="20"/>
                <w:color w:val="auto"/>
              </w:rPr>
            </w:pPr>
            <w:r>
              <w:rPr>
                <w:rFonts w:ascii="Arial" w:cs="Arial" w:eastAsia="Arial" w:hAnsi="Arial"/>
                <w:sz w:val="14"/>
                <w:szCs w:val="14"/>
                <w:b w:val="1"/>
                <w:bCs w:val="1"/>
                <w:color w:val="auto"/>
                <w:w w:val="82"/>
              </w:rPr>
              <w:t>Interest</w:t>
            </w:r>
          </w:p>
        </w:tc>
        <w:tc>
          <w:tcPr>
            <w:tcW w:w="116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92"/>
              </w:rPr>
              <w:t>Date</w:t>
            </w:r>
          </w:p>
        </w:tc>
        <w:tc>
          <w:tcPr>
            <w:tcW w:w="96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8"/>
              </w:rPr>
              <w:t>Cost (2)</w:t>
            </w:r>
          </w:p>
        </w:tc>
        <w:tc>
          <w:tcPr>
            <w:tcW w:w="108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Fair Value</w:t>
            </w:r>
          </w:p>
        </w:tc>
        <w:tc>
          <w:tcPr>
            <w:tcW w:w="94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190"/>
        </w:trPr>
        <w:tc>
          <w:tcPr>
            <w:tcW w:w="45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Oil, gas and consumable fuels</w:t>
            </w:r>
          </w:p>
        </w:tc>
        <w:tc>
          <w:tcPr>
            <w:tcW w:w="17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500" w:type="dxa"/>
            <w:vAlign w:val="bottom"/>
            <w:gridSpan w:val="2"/>
          </w:tcPr>
          <w:p>
            <w:pPr>
              <w:spacing w:after="0"/>
              <w:rPr>
                <w:sz w:val="20"/>
                <w:szCs w:val="20"/>
                <w:color w:val="auto"/>
              </w:rPr>
            </w:pPr>
            <w:r>
              <w:rPr>
                <w:rFonts w:ascii="Arial" w:cs="Arial" w:eastAsia="Arial" w:hAnsi="Arial"/>
                <w:sz w:val="18"/>
                <w:szCs w:val="18"/>
                <w:color w:val="auto"/>
              </w:rPr>
              <w:t>Global Geophysical (3)(4)</w:t>
            </w:r>
          </w:p>
        </w:tc>
        <w:tc>
          <w:tcPr>
            <w:tcW w:w="1960" w:type="dxa"/>
            <w:vAlign w:val="bottom"/>
            <w:gridSpan w:val="2"/>
          </w:tcPr>
          <w:p>
            <w:pPr>
              <w:spacing w:after="0"/>
              <w:rPr>
                <w:sz w:val="20"/>
                <w:szCs w:val="20"/>
                <w:color w:val="auto"/>
              </w:rPr>
            </w:pPr>
            <w:r>
              <w:rPr>
                <w:rFonts w:ascii="Arial" w:cs="Arial" w:eastAsia="Arial" w:hAnsi="Arial"/>
                <w:sz w:val="18"/>
                <w:szCs w:val="18"/>
                <w:color w:val="auto"/>
              </w:rPr>
              <w:t>First-lien loan ($40,883</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par, due 9/2016)</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10.75%</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9/30/2013</w:t>
            </w:r>
          </w:p>
        </w:tc>
        <w:tc>
          <w:tcPr>
            <w:tcW w:w="680" w:type="dxa"/>
            <w:vAlign w:val="bottom"/>
          </w:tcPr>
          <w:p>
            <w:pPr>
              <w:jc w:val="right"/>
              <w:spacing w:after="0"/>
              <w:rPr>
                <w:sz w:val="20"/>
                <w:szCs w:val="20"/>
                <w:color w:val="auto"/>
              </w:rPr>
            </w:pPr>
            <w:r>
              <w:rPr>
                <w:rFonts w:ascii="Arial" w:cs="Arial" w:eastAsia="Arial" w:hAnsi="Arial"/>
                <w:sz w:val="18"/>
                <w:szCs w:val="18"/>
                <w:color w:val="auto"/>
              </w:rPr>
              <w:t>39,617</w:t>
            </w:r>
          </w:p>
        </w:tc>
        <w:tc>
          <w:tcPr>
            <w:tcW w:w="28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40,065</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8"/>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Transportation</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500" w:type="dxa"/>
            <w:vAlign w:val="bottom"/>
            <w:gridSpan w:val="2"/>
          </w:tcPr>
          <w:p>
            <w:pPr>
              <w:spacing w:after="0"/>
              <w:rPr>
                <w:sz w:val="20"/>
                <w:szCs w:val="20"/>
                <w:color w:val="auto"/>
              </w:rPr>
            </w:pPr>
            <w:r>
              <w:rPr>
                <w:rFonts w:ascii="Arial" w:cs="Arial" w:eastAsia="Arial" w:hAnsi="Arial"/>
                <w:sz w:val="18"/>
                <w:szCs w:val="18"/>
                <w:color w:val="auto"/>
              </w:rPr>
              <w:t>Kewill, Ltd. (3)(5)</w:t>
            </w:r>
          </w:p>
        </w:tc>
        <w:tc>
          <w:tcPr>
            <w:tcW w:w="1960" w:type="dxa"/>
            <w:vAlign w:val="bottom"/>
            <w:gridSpan w:val="2"/>
          </w:tcPr>
          <w:p>
            <w:pPr>
              <w:spacing w:after="0"/>
              <w:rPr>
                <w:sz w:val="20"/>
                <w:szCs w:val="20"/>
                <w:color w:val="auto"/>
              </w:rPr>
            </w:pPr>
            <w:r>
              <w:rPr>
                <w:rFonts w:ascii="Arial" w:cs="Arial" w:eastAsia="Arial" w:hAnsi="Arial"/>
                <w:sz w:val="18"/>
                <w:szCs w:val="18"/>
                <w:color w:val="auto"/>
              </w:rPr>
              <w:t>Second-lien loan</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($52,500 par,</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due 10/2019)</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9.50%</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10/2/2013</w:t>
            </w:r>
          </w:p>
        </w:tc>
        <w:tc>
          <w:tcPr>
            <w:tcW w:w="680" w:type="dxa"/>
            <w:vAlign w:val="bottom"/>
          </w:tcPr>
          <w:p>
            <w:pPr>
              <w:jc w:val="right"/>
              <w:spacing w:after="0"/>
              <w:rPr>
                <w:sz w:val="20"/>
                <w:szCs w:val="20"/>
                <w:color w:val="auto"/>
              </w:rPr>
            </w:pPr>
            <w:r>
              <w:rPr>
                <w:rFonts w:ascii="Arial" w:cs="Arial" w:eastAsia="Arial" w:hAnsi="Arial"/>
                <w:sz w:val="18"/>
                <w:szCs w:val="18"/>
                <w:color w:val="auto"/>
              </w:rPr>
              <w:t>51,482</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51,713</w:t>
            </w:r>
          </w:p>
        </w:tc>
        <w:tc>
          <w:tcPr>
            <w:tcW w:w="2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8"/>
        </w:trPr>
        <w:tc>
          <w:tcPr>
            <w:tcW w:w="8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370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Total Debt Investments</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994,518</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1,014,647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r>
        <w:trPr>
          <w:trHeight w:val="222"/>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Equity Investments</w:t>
            </w: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500" w:type="dxa"/>
            <w:vAlign w:val="bottom"/>
            <w:gridSpan w:val="2"/>
            <w:shd w:val="clear" w:color="auto" w:fill="CCEEFF"/>
          </w:tcPr>
          <w:p>
            <w:pPr>
              <w:ind w:left="660"/>
              <w:spacing w:after="0"/>
              <w:rPr>
                <w:sz w:val="20"/>
                <w:szCs w:val="20"/>
                <w:color w:val="auto"/>
              </w:rPr>
            </w:pPr>
            <w:r>
              <w:rPr>
                <w:rFonts w:ascii="Arial" w:cs="Arial" w:eastAsia="Arial" w:hAnsi="Arial"/>
                <w:sz w:val="18"/>
                <w:szCs w:val="18"/>
                <w:b w:val="1"/>
                <w:bCs w:val="1"/>
                <w:color w:val="auto"/>
              </w:rPr>
              <w:t>Business services</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500" w:type="dxa"/>
            <w:vAlign w:val="bottom"/>
            <w:gridSpan w:val="2"/>
          </w:tcPr>
          <w:p>
            <w:pPr>
              <w:spacing w:after="0"/>
              <w:rPr>
                <w:sz w:val="20"/>
                <w:szCs w:val="20"/>
                <w:color w:val="auto"/>
              </w:rPr>
            </w:pPr>
            <w:r>
              <w:rPr>
                <w:rFonts w:ascii="Arial" w:cs="Arial" w:eastAsia="Arial" w:hAnsi="Arial"/>
                <w:sz w:val="18"/>
                <w:szCs w:val="18"/>
                <w:color w:val="auto"/>
              </w:rPr>
              <w:t>Network Merchants, Inc</w:t>
            </w:r>
          </w:p>
        </w:tc>
        <w:tc>
          <w:tcPr>
            <w:tcW w:w="1960" w:type="dxa"/>
            <w:vAlign w:val="bottom"/>
            <w:gridSpan w:val="2"/>
          </w:tcPr>
          <w:p>
            <w:pPr>
              <w:spacing w:after="0"/>
              <w:rPr>
                <w:sz w:val="20"/>
                <w:szCs w:val="20"/>
                <w:color w:val="auto"/>
              </w:rPr>
            </w:pPr>
            <w:r>
              <w:rPr>
                <w:rFonts w:ascii="Arial" w:cs="Arial" w:eastAsia="Arial" w:hAnsi="Arial"/>
                <w:sz w:val="18"/>
                <w:szCs w:val="18"/>
                <w:color w:val="auto"/>
              </w:rPr>
              <w:t>Non-Voting Preferred</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Units (774,099 units)</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9/12/2013</w:t>
            </w:r>
          </w:p>
        </w:tc>
        <w:tc>
          <w:tcPr>
            <w:tcW w:w="680" w:type="dxa"/>
            <w:vAlign w:val="bottom"/>
          </w:tcPr>
          <w:p>
            <w:pPr>
              <w:jc w:val="right"/>
              <w:spacing w:after="0"/>
              <w:rPr>
                <w:sz w:val="20"/>
                <w:szCs w:val="20"/>
                <w:color w:val="auto"/>
              </w:rPr>
            </w:pPr>
            <w:r>
              <w:rPr>
                <w:rFonts w:ascii="Arial" w:cs="Arial" w:eastAsia="Arial" w:hAnsi="Arial"/>
                <w:sz w:val="18"/>
                <w:szCs w:val="18"/>
                <w:color w:val="auto"/>
              </w:rPr>
              <w:t>780</w:t>
            </w:r>
          </w:p>
        </w:tc>
        <w:tc>
          <w:tcPr>
            <w:tcW w:w="28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780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8"/>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Healthcare and pharmaceuticals</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500" w:type="dxa"/>
            <w:vAlign w:val="bottom"/>
            <w:gridSpan w:val="2"/>
          </w:tcPr>
          <w:p>
            <w:pPr>
              <w:spacing w:after="0"/>
              <w:rPr>
                <w:sz w:val="20"/>
                <w:szCs w:val="20"/>
                <w:color w:val="auto"/>
              </w:rPr>
            </w:pPr>
            <w:r>
              <w:rPr>
                <w:rFonts w:ascii="Arial" w:cs="Arial" w:eastAsia="Arial" w:hAnsi="Arial"/>
                <w:sz w:val="18"/>
                <w:szCs w:val="18"/>
                <w:color w:val="auto"/>
              </w:rPr>
              <w:t>SRS Parent Corp.</w:t>
            </w:r>
          </w:p>
        </w:tc>
        <w:tc>
          <w:tcPr>
            <w:tcW w:w="1960" w:type="dxa"/>
            <w:vAlign w:val="bottom"/>
            <w:gridSpan w:val="2"/>
          </w:tcPr>
          <w:p>
            <w:pPr>
              <w:spacing w:after="0"/>
              <w:rPr>
                <w:sz w:val="20"/>
                <w:szCs w:val="20"/>
                <w:color w:val="auto"/>
              </w:rPr>
            </w:pPr>
            <w:r>
              <w:rPr>
                <w:rFonts w:ascii="Arial" w:cs="Arial" w:eastAsia="Arial" w:hAnsi="Arial"/>
                <w:sz w:val="18"/>
                <w:szCs w:val="18"/>
                <w:color w:val="auto"/>
              </w:rPr>
              <w:t>Common Shares</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Class A (1,980 shares)</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12/28/2012</w:t>
            </w:r>
          </w:p>
        </w:tc>
        <w:tc>
          <w:tcPr>
            <w:tcW w:w="680" w:type="dxa"/>
            <w:vAlign w:val="bottom"/>
          </w:tcPr>
          <w:p>
            <w:pPr>
              <w:jc w:val="right"/>
              <w:spacing w:after="0"/>
              <w:rPr>
                <w:sz w:val="20"/>
                <w:szCs w:val="20"/>
                <w:color w:val="auto"/>
              </w:rPr>
            </w:pPr>
            <w:r>
              <w:rPr>
                <w:rFonts w:ascii="Arial" w:cs="Arial" w:eastAsia="Arial" w:hAnsi="Arial"/>
                <w:sz w:val="18"/>
                <w:szCs w:val="18"/>
                <w:color w:val="auto"/>
              </w:rPr>
              <w:t>1,980</w:t>
            </w:r>
          </w:p>
        </w:tc>
        <w:tc>
          <w:tcPr>
            <w:tcW w:w="28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1,024</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9"/>
        </w:trPr>
        <w:tc>
          <w:tcPr>
            <w:tcW w:w="8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Common Shares Class B</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shd w:val="clear" w:color="auto" w:fill="CCEEFF"/>
          </w:tcPr>
          <w:p>
            <w:pPr>
              <w:spacing w:after="0"/>
              <w:rPr>
                <w:sz w:val="19"/>
                <w:szCs w:val="19"/>
                <w:color w:val="auto"/>
              </w:rPr>
            </w:pPr>
          </w:p>
        </w:tc>
        <w:tc>
          <w:tcPr>
            <w:tcW w:w="370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(2,953,020 shares)</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12/28/2012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2,000</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1,024</w:t>
            </w:r>
          </w:p>
        </w:tc>
        <w:tc>
          <w:tcPr>
            <w:tcW w:w="2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8"/>
        </w:trPr>
        <w:tc>
          <w:tcPr>
            <w:tcW w:w="8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370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Total Equity Investments</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Investments</w:t>
            </w:r>
          </w:p>
        </w:tc>
        <w:tc>
          <w:tcPr>
            <w:tcW w:w="1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00" w:type="dxa"/>
            <w:vAlign w:val="bottom"/>
            <w:gridSpan w:val="2"/>
            <w:vMerge w:val="continue"/>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997,298</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1,016,451</w:t>
            </w:r>
          </w:p>
        </w:tc>
        <w:tc>
          <w:tcPr>
            <w:tcW w:w="2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176.9%</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480" w:hanging="452"/>
        <w:spacing w:after="0" w:line="253"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Unless otherwise indicated, the Company’s portfolio companies are domiciled in the United States. As of December 31, 2013, the Company does not “control” any of the portfolio companies nor are any of its portfolio companies considered to be “affiliates” (see Note 4). Certain portfolio company investments are subject to contractual restrictions on sales.</w:t>
      </w:r>
    </w:p>
    <w:p>
      <w:pPr>
        <w:ind w:left="460" w:right="50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460" w:right="14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we have provided the interest rate in effect on the date presented.</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investment, or a portion thereof, is held within TPG SL SPV, LLC, a wholly-owned subsidiary of the Company, and is pledged as collateral supporting the amounts outstanding under the SPV Asset Facility (see Note 7).</w:t>
      </w:r>
    </w:p>
    <w:p>
      <w:pPr>
        <w:jc w:val="both"/>
        <w:ind w:left="460" w:right="320" w:hanging="452"/>
        <w:spacing w:after="0" w:line="300"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This portfolio company is a non-U.S. corporation and, as a result, is not a qualifying asset under Section 55(a) of the 1940 Act. Under the 1940 Act, the Company may not acquire any non-qualifying asset unless, at the time such acquisition is made, qualifying assets represent at least 70% of total assets.</w:t>
      </w:r>
    </w:p>
    <w:p>
      <w:pPr>
        <w:ind w:left="460" w:right="160" w:hanging="452"/>
        <w:spacing w:after="0" w:line="261"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loan, which is the amount reflected in this schedule, the Company may be entitled to receive additional interest as a result of an arrangement with other lenders in the syndication.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2"/>
              </w:rPr>
              <w:t>Nine Months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2"/>
              </w:rPr>
              <w:t>Nine Months</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Ended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61"/>
        </w:trPr>
        <w:tc>
          <w:tcPr>
            <w:tcW w:w="5360" w:type="dxa"/>
            <w:vAlign w:val="bottom"/>
          </w:tcPr>
          <w:p>
            <w:pPr>
              <w:spacing w:after="0"/>
              <w:rPr>
                <w:sz w:val="14"/>
                <w:szCs w:val="14"/>
                <w:color w:val="auto"/>
              </w:rPr>
            </w:pPr>
          </w:p>
        </w:tc>
        <w:tc>
          <w:tcPr>
            <w:tcW w:w="1800" w:type="dxa"/>
            <w:vAlign w:val="bottom"/>
            <w:gridSpan w:val="4"/>
          </w:tcPr>
          <w:p>
            <w:pPr>
              <w:ind w:left="320"/>
              <w:spacing w:after="0"/>
              <w:rPr>
                <w:sz w:val="20"/>
                <w:szCs w:val="20"/>
                <w:color w:val="auto"/>
              </w:rPr>
            </w:pPr>
            <w:r>
              <w:rPr>
                <w:rFonts w:ascii="Arial" w:cs="Arial" w:eastAsia="Arial" w:hAnsi="Arial"/>
                <w:sz w:val="14"/>
                <w:szCs w:val="14"/>
                <w:b w:val="1"/>
                <w:bCs w:val="1"/>
                <w:color w:val="auto"/>
              </w:rPr>
              <w:t>September 30, 2014</w:t>
            </w:r>
          </w:p>
        </w:tc>
        <w:tc>
          <w:tcPr>
            <w:tcW w:w="1520" w:type="dxa"/>
            <w:vAlign w:val="bottom"/>
            <w:gridSpan w:val="4"/>
          </w:tcPr>
          <w:p>
            <w:pPr>
              <w:ind w:left="280"/>
              <w:spacing w:after="0"/>
              <w:rPr>
                <w:sz w:val="20"/>
                <w:szCs w:val="20"/>
                <w:color w:val="auto"/>
              </w:rPr>
            </w:pPr>
            <w:r>
              <w:rPr>
                <w:rFonts w:ascii="Arial" w:cs="Arial" w:eastAsia="Arial" w:hAnsi="Arial"/>
                <w:sz w:val="14"/>
                <w:szCs w:val="14"/>
                <w:b w:val="1"/>
                <w:bCs w:val="1"/>
                <w:color w:val="auto"/>
                <w:w w:val="93"/>
              </w:rPr>
              <w:t>September 30, 2013</w:t>
            </w:r>
          </w:p>
        </w:tc>
        <w:tc>
          <w:tcPr>
            <w:tcW w:w="0" w:type="dxa"/>
            <w:vAlign w:val="bottom"/>
          </w:tcPr>
          <w:p>
            <w:pPr>
              <w:spacing w:after="0"/>
              <w:rPr>
                <w:sz w:val="1"/>
                <w:szCs w:val="1"/>
                <w:color w:val="auto"/>
              </w:rPr>
            </w:pPr>
          </w:p>
        </w:tc>
      </w:tr>
      <w:tr>
        <w:trPr>
          <w:trHeight w:val="196"/>
        </w:trPr>
        <w:tc>
          <w:tcPr>
            <w:tcW w:w="5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Increase in Net Assets Resulting from Operations</w:t>
            </w: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Net investment income</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73,791</w:t>
            </w:r>
          </w:p>
        </w:tc>
        <w:tc>
          <w:tcPr>
            <w:tcW w:w="340" w:type="dxa"/>
            <w:vAlign w:val="bottom"/>
          </w:tcPr>
          <w:p>
            <w:pPr>
              <w:spacing w:after="0"/>
              <w:rPr>
                <w:sz w:val="18"/>
                <w:szCs w:val="18"/>
                <w:color w:val="auto"/>
              </w:rPr>
            </w:pP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40,508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Total net change in unrealized gains (losses)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Total realized gains (losses)</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(1,638)</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71,245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360" w:type="dxa"/>
            <w:vAlign w:val="bottom"/>
          </w:tcPr>
          <w:p>
            <w:pPr>
              <w:spacing w:after="0"/>
              <w:rPr>
                <w:sz w:val="20"/>
                <w:szCs w:val="20"/>
                <w:color w:val="auto"/>
              </w:rPr>
            </w:pPr>
            <w:r>
              <w:rPr>
                <w:rFonts w:ascii="Arial" w:cs="Arial" w:eastAsia="Arial" w:hAnsi="Arial"/>
                <w:sz w:val="18"/>
                <w:szCs w:val="18"/>
                <w:b w:val="1"/>
                <w:bCs w:val="1"/>
                <w:color w:val="auto"/>
                <w:w w:val="95"/>
              </w:rPr>
              <w:t>Increase in Net Assets Resulting from Capital Share Transactions</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shares, net of offering and underwriting costs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234,400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Reinvestment of dividends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18,893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from net investment income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(60,345)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(40,575)</w:t>
            </w:r>
          </w:p>
        </w:tc>
        <w:tc>
          <w:tcPr>
            <w:tcW w:w="0" w:type="dxa"/>
            <w:vAlign w:val="bottom"/>
          </w:tcPr>
          <w:p>
            <w:pPr>
              <w:spacing w:after="0"/>
              <w:rPr>
                <w:sz w:val="1"/>
                <w:szCs w:val="1"/>
                <w:color w:val="auto"/>
              </w:rPr>
            </w:pPr>
          </w:p>
        </w:tc>
      </w:tr>
      <w:tr>
        <w:trPr>
          <w:trHeight w:val="209"/>
        </w:trPr>
        <w:tc>
          <w:tcPr>
            <w:tcW w:w="5360" w:type="dxa"/>
            <w:vAlign w:val="bottom"/>
          </w:tcPr>
          <w:p>
            <w:pPr>
              <w:ind w:left="440"/>
              <w:spacing w:after="0"/>
              <w:rPr>
                <w:sz w:val="20"/>
                <w:szCs w:val="20"/>
                <w:color w:val="auto"/>
              </w:rPr>
            </w:pPr>
            <w:r>
              <w:rPr>
                <w:rFonts w:ascii="Arial" w:cs="Arial" w:eastAsia="Arial" w:hAnsi="Arial"/>
                <w:sz w:val="18"/>
                <w:szCs w:val="18"/>
                <w:b w:val="1"/>
                <w:bCs w:val="1"/>
                <w:color w:val="auto"/>
              </w:rPr>
              <w:t>Increase in Net Assets Resulting from Capital Share</w:t>
            </w: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360" w:type="dxa"/>
            <w:vAlign w:val="bottom"/>
          </w:tcPr>
          <w:p>
            <w:pPr>
              <w:ind w:left="640"/>
              <w:spacing w:after="0"/>
              <w:rPr>
                <w:sz w:val="20"/>
                <w:szCs w:val="20"/>
                <w:color w:val="auto"/>
              </w:rPr>
            </w:pPr>
            <w:r>
              <w:rPr>
                <w:rFonts w:ascii="Arial" w:cs="Arial" w:eastAsia="Arial" w:hAnsi="Arial"/>
                <w:sz w:val="18"/>
                <w:szCs w:val="18"/>
                <w:b w:val="1"/>
                <w:bCs w:val="1"/>
                <w:color w:val="auto"/>
              </w:rPr>
              <w:t>Transactions</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192,948</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Increase in Net Assets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264,193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Net assets, beginning of period</w:t>
            </w: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574,696</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479,803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Assets, End of Period</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838,889</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561,089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b w:val="1"/>
                <w:bCs w:val="1"/>
                <w:color w:val="auto"/>
                <w:w w:val="93"/>
              </w:rPr>
              <w:t>Undistributed Net Investment Income Included in Net Assets at the</w:t>
            </w: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360" w:type="dxa"/>
            <w:vAlign w:val="bottom"/>
          </w:tcPr>
          <w:p>
            <w:pPr>
              <w:ind w:left="220"/>
              <w:spacing w:after="0"/>
              <w:rPr>
                <w:sz w:val="20"/>
                <w:szCs w:val="20"/>
                <w:color w:val="auto"/>
              </w:rPr>
            </w:pPr>
            <w:r>
              <w:rPr>
                <w:rFonts w:ascii="Arial" w:cs="Arial" w:eastAsia="Arial" w:hAnsi="Arial"/>
                <w:sz w:val="18"/>
                <w:szCs w:val="18"/>
                <w:b w:val="1"/>
                <w:bCs w:val="1"/>
                <w:color w:val="auto"/>
              </w:rPr>
              <w:t>End of the Period</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14,540</w:t>
            </w:r>
          </w:p>
        </w:tc>
        <w:tc>
          <w:tcPr>
            <w:tcW w:w="340" w:type="dxa"/>
            <w:vAlign w:val="bottom"/>
          </w:tcPr>
          <w:p>
            <w:pPr>
              <w:spacing w:after="0"/>
              <w:rPr>
                <w:sz w:val="19"/>
                <w:szCs w:val="19"/>
                <w:color w:val="auto"/>
              </w:rPr>
            </w:pP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219"/>
          </w:cols>
          <w:pgMar w:left="240" w:top="459"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2"/>
              </w:rPr>
              <w:t>Nine Months</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Nine Months</w:t>
            </w:r>
          </w:p>
        </w:tc>
        <w:tc>
          <w:tcPr>
            <w:tcW w:w="0" w:type="dxa"/>
            <w:vAlign w:val="bottom"/>
          </w:tcPr>
          <w:p>
            <w:pPr>
              <w:spacing w:after="0"/>
              <w:rPr>
                <w:sz w:val="1"/>
                <w:szCs w:val="1"/>
                <w:color w:val="auto"/>
              </w:rPr>
            </w:pPr>
          </w:p>
        </w:tc>
      </w:tr>
      <w:tr>
        <w:trPr>
          <w:trHeight w:val="149"/>
        </w:trPr>
        <w:tc>
          <w:tcPr>
            <w:tcW w:w="8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rPr>
              <w:t>Ended</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61"/>
        </w:trPr>
        <w:tc>
          <w:tcPr>
            <w:tcW w:w="816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September 30, 2014</w:t>
            </w:r>
          </w:p>
        </w:tc>
        <w:tc>
          <w:tcPr>
            <w:tcW w:w="4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3"/>
              </w:rPr>
              <w:t>September 30, 2013</w:t>
            </w:r>
          </w:p>
        </w:tc>
        <w:tc>
          <w:tcPr>
            <w:tcW w:w="0" w:type="dxa"/>
            <w:vAlign w:val="bottom"/>
          </w:tcPr>
          <w:p>
            <w:pPr>
              <w:spacing w:after="0"/>
              <w:rPr>
                <w:sz w:val="1"/>
                <w:szCs w:val="1"/>
                <w:color w:val="auto"/>
              </w:rPr>
            </w:pPr>
          </w:p>
        </w:tc>
      </w:tr>
      <w:tr>
        <w:trPr>
          <w:trHeight w:val="196"/>
        </w:trPr>
        <w:tc>
          <w:tcPr>
            <w:tcW w:w="8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Increase in net assets resulting from operations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71,245</w:t>
            </w:r>
          </w:p>
        </w:tc>
        <w:tc>
          <w:tcPr>
            <w:tcW w:w="460" w:type="dxa"/>
            <w:vAlign w:val="bottom"/>
          </w:tcPr>
          <w:p>
            <w:pPr>
              <w:spacing w:after="0"/>
              <w:rPr>
                <w:sz w:val="18"/>
                <w:szCs w:val="18"/>
                <w:color w:val="auto"/>
              </w:rPr>
            </w:pP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45,927</w:t>
            </w:r>
          </w:p>
        </w:tc>
        <w:tc>
          <w:tcPr>
            <w:tcW w:w="0" w:type="dxa"/>
            <w:vAlign w:val="bottom"/>
          </w:tcPr>
          <w:p>
            <w:pPr>
              <w:spacing w:after="0"/>
              <w:rPr>
                <w:sz w:val="1"/>
                <w:szCs w:val="1"/>
                <w:color w:val="auto"/>
              </w:rPr>
            </w:pPr>
          </w:p>
        </w:tc>
      </w:tr>
      <w:tr>
        <w:trPr>
          <w:trHeight w:val="208"/>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w w:val="99"/>
              </w:rPr>
              <w:t>Adjustments to reconcile increase in net assets resulting from operations to net cash used in operating</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activities: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60" w:type="dxa"/>
            <w:vAlign w:val="bottom"/>
          </w:tcPr>
          <w:p>
            <w:pPr>
              <w:ind w:left="880"/>
              <w:spacing w:after="0"/>
              <w:rPr>
                <w:sz w:val="20"/>
                <w:szCs w:val="20"/>
                <w:color w:val="auto"/>
              </w:rPr>
            </w:pPr>
            <w:r>
              <w:rPr>
                <w:rFonts w:ascii="Arial" w:cs="Arial" w:eastAsia="Arial" w:hAnsi="Arial"/>
                <w:sz w:val="18"/>
                <w:szCs w:val="18"/>
                <w:color w:val="auto"/>
              </w:rPr>
              <w:t>Net change in unrealized gains on investments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6,415</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(4,004)</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change in unrealized gains on foreign currency transactions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(5,507)</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60" w:type="dxa"/>
            <w:vAlign w:val="bottom"/>
          </w:tcPr>
          <w:p>
            <w:pPr>
              <w:ind w:left="880"/>
              <w:spacing w:after="0"/>
              <w:rPr>
                <w:sz w:val="20"/>
                <w:szCs w:val="20"/>
                <w:color w:val="auto"/>
              </w:rPr>
            </w:pPr>
            <w:r>
              <w:rPr>
                <w:rFonts w:ascii="Arial" w:cs="Arial" w:eastAsia="Arial" w:hAnsi="Arial"/>
                <w:sz w:val="18"/>
                <w:szCs w:val="18"/>
                <w:color w:val="auto"/>
              </w:rPr>
              <w:t>Net realized gains on investments</w:t>
            </w:r>
          </w:p>
        </w:tc>
        <w:tc>
          <w:tcPr>
            <w:tcW w:w="140" w:type="dxa"/>
            <w:vAlign w:val="bottom"/>
          </w:tcPr>
          <w:p>
            <w:pPr>
              <w:spacing w:after="0"/>
              <w:rPr>
                <w:sz w:val="18"/>
                <w:szCs w:val="18"/>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rPr>
              <w:t>(127)</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realized losses on foreign currency transactions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8160" w:type="dxa"/>
            <w:vAlign w:val="bottom"/>
          </w:tcPr>
          <w:p>
            <w:pPr>
              <w:ind w:left="880"/>
              <w:spacing w:after="0"/>
              <w:rPr>
                <w:sz w:val="20"/>
                <w:szCs w:val="20"/>
                <w:color w:val="auto"/>
              </w:rPr>
            </w:pPr>
            <w:r>
              <w:rPr>
                <w:rFonts w:ascii="Arial" w:cs="Arial" w:eastAsia="Arial" w:hAnsi="Arial"/>
                <w:sz w:val="18"/>
                <w:szCs w:val="18"/>
                <w:color w:val="auto"/>
              </w:rPr>
              <w:t>Net amortization of discount on securities</w:t>
            </w:r>
          </w:p>
        </w:tc>
        <w:tc>
          <w:tcPr>
            <w:tcW w:w="140" w:type="dxa"/>
            <w:vAlign w:val="bottom"/>
          </w:tcPr>
          <w:p>
            <w:pPr>
              <w:spacing w:after="0"/>
              <w:rPr>
                <w:sz w:val="18"/>
                <w:szCs w:val="18"/>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rPr>
              <w:t>(13,537)</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(5,216)</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Amortization of debt issuance costs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1,514</w:t>
            </w:r>
          </w:p>
        </w:tc>
        <w:tc>
          <w:tcPr>
            <w:tcW w:w="0" w:type="dxa"/>
            <w:vAlign w:val="bottom"/>
          </w:tcPr>
          <w:p>
            <w:pPr>
              <w:spacing w:after="0"/>
              <w:rPr>
                <w:sz w:val="1"/>
                <w:szCs w:val="1"/>
                <w:color w:val="auto"/>
              </w:rPr>
            </w:pPr>
          </w:p>
        </w:tc>
      </w:tr>
      <w:tr>
        <w:trPr>
          <w:trHeight w:val="216"/>
        </w:trPr>
        <w:tc>
          <w:tcPr>
            <w:tcW w:w="8160" w:type="dxa"/>
            <w:vAlign w:val="bottom"/>
          </w:tcPr>
          <w:p>
            <w:pPr>
              <w:ind w:left="880"/>
              <w:spacing w:after="0"/>
              <w:rPr>
                <w:sz w:val="20"/>
                <w:szCs w:val="20"/>
                <w:color w:val="auto"/>
              </w:rPr>
            </w:pPr>
            <w:r>
              <w:rPr>
                <w:rFonts w:ascii="Arial" w:cs="Arial" w:eastAsia="Arial" w:hAnsi="Arial"/>
                <w:sz w:val="18"/>
                <w:szCs w:val="18"/>
                <w:color w:val="auto"/>
              </w:rPr>
              <w:t>Purchases of investments, net</w:t>
            </w:r>
          </w:p>
        </w:tc>
        <w:tc>
          <w:tcPr>
            <w:tcW w:w="140" w:type="dxa"/>
            <w:vAlign w:val="bottom"/>
          </w:tcPr>
          <w:p>
            <w:pPr>
              <w:spacing w:after="0"/>
              <w:rPr>
                <w:sz w:val="18"/>
                <w:szCs w:val="18"/>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rPr>
              <w:t>(701,521)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(432,428)</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Proceeds from investments, net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86,813</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46,357</w:t>
            </w:r>
          </w:p>
        </w:tc>
        <w:tc>
          <w:tcPr>
            <w:tcW w:w="0" w:type="dxa"/>
            <w:vAlign w:val="bottom"/>
          </w:tcPr>
          <w:p>
            <w:pPr>
              <w:spacing w:after="0"/>
              <w:rPr>
                <w:sz w:val="1"/>
                <w:szCs w:val="1"/>
                <w:color w:val="auto"/>
              </w:rPr>
            </w:pPr>
          </w:p>
        </w:tc>
      </w:tr>
      <w:tr>
        <w:trPr>
          <w:trHeight w:val="216"/>
        </w:trPr>
        <w:tc>
          <w:tcPr>
            <w:tcW w:w="8160" w:type="dxa"/>
            <w:vAlign w:val="bottom"/>
          </w:tcPr>
          <w:p>
            <w:pPr>
              <w:ind w:left="880"/>
              <w:spacing w:after="0"/>
              <w:rPr>
                <w:sz w:val="20"/>
                <w:szCs w:val="20"/>
                <w:color w:val="auto"/>
              </w:rPr>
            </w:pPr>
            <w:r>
              <w:rPr>
                <w:rFonts w:ascii="Arial" w:cs="Arial" w:eastAsia="Arial" w:hAnsi="Arial"/>
                <w:sz w:val="18"/>
                <w:szCs w:val="18"/>
                <w:color w:val="auto"/>
              </w:rPr>
              <w:t>Repayments on investments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405,367</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164,250</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Paid-in-kind interest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(1,686)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16"/>
        </w:trPr>
        <w:tc>
          <w:tcPr>
            <w:tcW w:w="8160" w:type="dxa"/>
            <w:vAlign w:val="bottom"/>
          </w:tcPr>
          <w:p>
            <w:pPr>
              <w:ind w:left="44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receivable</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(1,884)</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16"/>
        </w:trPr>
        <w:tc>
          <w:tcPr>
            <w:tcW w:w="8160" w:type="dxa"/>
            <w:vAlign w:val="bottom"/>
          </w:tcPr>
          <w:p>
            <w:pPr>
              <w:ind w:left="88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Pr>
          <w:p>
            <w:pPr>
              <w:spacing w:after="0"/>
              <w:rPr>
                <w:sz w:val="18"/>
                <w:szCs w:val="18"/>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rPr>
              <w:t>(7,823)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Management fees payable to affiliate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8160" w:type="dxa"/>
            <w:vAlign w:val="bottom"/>
          </w:tcPr>
          <w:p>
            <w:pPr>
              <w:ind w:left="880"/>
              <w:spacing w:after="0"/>
              <w:rPr>
                <w:sz w:val="20"/>
                <w:szCs w:val="20"/>
                <w:color w:val="auto"/>
              </w:rPr>
            </w:pPr>
            <w:r>
              <w:rPr>
                <w:rFonts w:ascii="Arial" w:cs="Arial" w:eastAsia="Arial" w:hAnsi="Arial"/>
                <w:sz w:val="18"/>
                <w:szCs w:val="18"/>
                <w:color w:val="auto"/>
              </w:rPr>
              <w:t>Incentive fees payable to affiliate</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1,248</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Payables to affiliate</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16"/>
        </w:trPr>
        <w:tc>
          <w:tcPr>
            <w:tcW w:w="8160" w:type="dxa"/>
            <w:vAlign w:val="bottom"/>
          </w:tcPr>
          <w:p>
            <w:pPr>
              <w:ind w:left="880"/>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18,206</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6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Net Cash Used in Operating Activities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(136,318)</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(186,185)</w:t>
            </w:r>
          </w:p>
        </w:tc>
        <w:tc>
          <w:tcPr>
            <w:tcW w:w="0" w:type="dxa"/>
            <w:vAlign w:val="bottom"/>
          </w:tcPr>
          <w:p>
            <w:pPr>
              <w:spacing w:after="0"/>
              <w:rPr>
                <w:sz w:val="1"/>
                <w:szCs w:val="1"/>
                <w:color w:val="auto"/>
              </w:rPr>
            </w:pPr>
          </w:p>
        </w:tc>
      </w:tr>
      <w:tr>
        <w:trPr>
          <w:trHeight w:val="221"/>
        </w:trPr>
        <w:tc>
          <w:tcPr>
            <w:tcW w:w="81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Borrowings on debt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909,176</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717,000</w:t>
            </w:r>
          </w:p>
        </w:tc>
        <w:tc>
          <w:tcPr>
            <w:tcW w:w="0" w:type="dxa"/>
            <w:vAlign w:val="bottom"/>
          </w:tcPr>
          <w:p>
            <w:pPr>
              <w:spacing w:after="0"/>
              <w:rPr>
                <w:sz w:val="1"/>
                <w:szCs w:val="1"/>
                <w:color w:val="auto"/>
              </w:rPr>
            </w:pP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Payments on debt</w:t>
            </w:r>
          </w:p>
        </w:tc>
        <w:tc>
          <w:tcPr>
            <w:tcW w:w="140" w:type="dxa"/>
            <w:vAlign w:val="bottom"/>
          </w:tcPr>
          <w:p>
            <w:pPr>
              <w:spacing w:after="0"/>
              <w:rPr>
                <w:sz w:val="18"/>
                <w:szCs w:val="18"/>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rPr>
              <w:t>(954,860)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(710,569)</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(9,726)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Proceeds from issuance of common stock, net of offering and underwriting costs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233,323</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56,857</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to stockholders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(35,907)</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(17,858)</w:t>
            </w:r>
          </w:p>
        </w:tc>
        <w:tc>
          <w:tcPr>
            <w:tcW w:w="0" w:type="dxa"/>
            <w:vAlign w:val="bottom"/>
          </w:tcPr>
          <w:p>
            <w:pPr>
              <w:spacing w:after="0"/>
              <w:rPr>
                <w:sz w:val="1"/>
                <w:szCs w:val="1"/>
                <w:color w:val="auto"/>
              </w:rPr>
            </w:pPr>
          </w:p>
        </w:tc>
      </w:tr>
      <w:tr>
        <w:trPr>
          <w:trHeight w:val="230"/>
        </w:trPr>
        <w:tc>
          <w:tcPr>
            <w:tcW w:w="8160" w:type="dxa"/>
            <w:vAlign w:val="bottom"/>
          </w:tcPr>
          <w:p>
            <w:pPr>
              <w:ind w:left="880"/>
              <w:spacing w:after="0"/>
              <w:rPr>
                <w:sz w:val="20"/>
                <w:szCs w:val="20"/>
                <w:color w:val="auto"/>
              </w:rPr>
            </w:pPr>
            <w:r>
              <w:rPr>
                <w:rFonts w:ascii="Arial" w:cs="Arial" w:eastAsia="Arial" w:hAnsi="Arial"/>
                <w:sz w:val="18"/>
                <w:szCs w:val="18"/>
                <w:b w:val="1"/>
                <w:bCs w:val="1"/>
                <w:color w:val="auto"/>
              </w:rPr>
              <w:t>Net Cash Provided by Financing Activities</w:t>
            </w: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142,006</w:t>
            </w: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5,688</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(142,182)</w:t>
            </w:r>
          </w:p>
        </w:tc>
        <w:tc>
          <w:tcPr>
            <w:tcW w:w="0" w:type="dxa"/>
            <w:vAlign w:val="bottom"/>
          </w:tcPr>
          <w:p>
            <w:pPr>
              <w:spacing w:after="0"/>
              <w:rPr>
                <w:sz w:val="1"/>
                <w:szCs w:val="1"/>
                <w:color w:val="auto"/>
              </w:rPr>
            </w:pPr>
          </w:p>
        </w:tc>
      </w:tr>
      <w:tr>
        <w:trPr>
          <w:trHeight w:val="223"/>
        </w:trPr>
        <w:tc>
          <w:tcPr>
            <w:tcW w:w="81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3,471</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161,825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Cash and Cash Equivalents, End of Period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9,159</w:t>
            </w:r>
          </w:p>
        </w:tc>
        <w:tc>
          <w:tcPr>
            <w:tcW w:w="4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19,643</w:t>
            </w:r>
          </w:p>
        </w:tc>
        <w:tc>
          <w:tcPr>
            <w:tcW w:w="0" w:type="dxa"/>
            <w:vAlign w:val="bottom"/>
          </w:tcPr>
          <w:p>
            <w:pPr>
              <w:spacing w:after="0"/>
              <w:rPr>
                <w:sz w:val="1"/>
                <w:szCs w:val="1"/>
                <w:color w:val="auto"/>
              </w:rPr>
            </w:pPr>
          </w:p>
        </w:tc>
      </w:tr>
      <w:tr>
        <w:trPr>
          <w:trHeight w:val="20"/>
        </w:trPr>
        <w:tc>
          <w:tcPr>
            <w:tcW w:w="8160" w:type="dxa"/>
            <w:vAlign w:val="bottom"/>
            <w:vMerge w:val="restart"/>
          </w:tcPr>
          <w:p>
            <w:pPr>
              <w:spacing w:after="0"/>
              <w:rPr>
                <w:sz w:val="20"/>
                <w:szCs w:val="20"/>
                <w:color w:val="auto"/>
              </w:rPr>
            </w:pPr>
            <w:r>
              <w:rPr>
                <w:rFonts w:ascii="Arial" w:cs="Arial" w:eastAsia="Arial" w:hAnsi="Arial"/>
                <w:sz w:val="18"/>
                <w:szCs w:val="18"/>
                <w:color w:val="auto"/>
              </w:rPr>
              <w:t>Supplemental Information: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1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Interest paid during the period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7,107</w:t>
            </w:r>
          </w:p>
        </w:tc>
        <w:tc>
          <w:tcPr>
            <w:tcW w:w="4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6,263</w:t>
            </w:r>
          </w:p>
        </w:tc>
        <w:tc>
          <w:tcPr>
            <w:tcW w:w="0" w:type="dxa"/>
            <w:vAlign w:val="bottom"/>
          </w:tcPr>
          <w:p>
            <w:pPr>
              <w:spacing w:after="0"/>
              <w:rPr>
                <w:sz w:val="1"/>
                <w:szCs w:val="1"/>
                <w:color w:val="auto"/>
              </w:rPr>
            </w:pP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Excise taxes paid during the period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199</w:t>
            </w:r>
          </w:p>
        </w:tc>
        <w:tc>
          <w:tcPr>
            <w:tcW w:w="460" w:type="dxa"/>
            <w:vAlign w:val="bottom"/>
          </w:tcPr>
          <w:p>
            <w:pPr>
              <w:spacing w:after="0"/>
              <w:rPr>
                <w:sz w:val="18"/>
                <w:szCs w:val="18"/>
                <w:color w:val="auto"/>
              </w:rPr>
            </w:pP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during the period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60,345</w:t>
            </w:r>
          </w:p>
        </w:tc>
        <w:tc>
          <w:tcPr>
            <w:tcW w:w="4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40,575</w:t>
            </w:r>
          </w:p>
        </w:tc>
        <w:tc>
          <w:tcPr>
            <w:tcW w:w="0" w:type="dxa"/>
            <w:vAlign w:val="bottom"/>
          </w:tcPr>
          <w:p>
            <w:pPr>
              <w:spacing w:after="0"/>
              <w:rPr>
                <w:sz w:val="1"/>
                <w:szCs w:val="1"/>
                <w:color w:val="auto"/>
              </w:rPr>
            </w:pPr>
          </w:p>
        </w:tc>
      </w:tr>
      <w:tr>
        <w:trPr>
          <w:trHeight w:val="222"/>
        </w:trPr>
        <w:tc>
          <w:tcPr>
            <w:tcW w:w="8160" w:type="dxa"/>
            <w:vAlign w:val="bottom"/>
          </w:tcPr>
          <w:p>
            <w:pPr>
              <w:spacing w:after="0"/>
              <w:rPr>
                <w:sz w:val="20"/>
                <w:szCs w:val="20"/>
                <w:color w:val="auto"/>
              </w:rPr>
            </w:pPr>
            <w:r>
              <w:rPr>
                <w:rFonts w:ascii="Arial" w:cs="Arial" w:eastAsia="Arial" w:hAnsi="Arial"/>
                <w:sz w:val="18"/>
                <w:szCs w:val="18"/>
                <w:color w:val="auto"/>
              </w:rPr>
              <w:t>Reinvestment of dividends during the period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18,893</w:t>
            </w:r>
          </w:p>
        </w:tc>
        <w:tc>
          <w:tcPr>
            <w:tcW w:w="460" w:type="dxa"/>
            <w:vAlign w:val="bottom"/>
          </w:tcPr>
          <w:p>
            <w:pPr>
              <w:spacing w:after="0"/>
              <w:rPr>
                <w:sz w:val="19"/>
                <w:szCs w:val="19"/>
                <w:color w:val="auto"/>
              </w:rPr>
            </w:pP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19,077</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unless otherwise indicated)</w:t>
      </w:r>
    </w:p>
    <w:p>
      <w:pPr>
        <w:spacing w:after="0" w:line="252" w:lineRule="exact"/>
        <w:rPr>
          <w:sz w:val="20"/>
          <w:szCs w:val="20"/>
          <w:color w:val="auto"/>
        </w:rPr>
      </w:pPr>
    </w:p>
    <w:p>
      <w:pPr>
        <w:ind w:right="8280" w:firstLine="8"/>
        <w:spacing w:after="0" w:line="347" w:lineRule="auto"/>
        <w:tabs>
          <w:tab w:leader="none" w:pos="176"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spacing w:after="0" w:line="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TPG Specialty Lending, Inc. (“TSL” or the “Company”) is a Delaware corporation formed on July 21, 2010. The Company was formed primarily to lend to, and selectively invest in, middle-market companies in the United States. The Company has elected to be regulated as a business development company (“BDC”) under the Investment Company Act of 1940, as amended (the “1940 Act”). In addition, for tax purposes, the Company has elected to be treated as a regulated investment company (“RIC”) under Subchapter M of the Internal Revenue Code of 1986, as amended (the “Code”). TSL is managed by TSL Advisers, LLC (the “Adviser”). On June 1, 2011, the Company formed a wholly-owned subsidiary, TC Lending, LLC, a Delaware limited liability company. On March 22, 2012, the Company formed a wholly-owned subsidiary, TPG SL SPV, LLC, a Delaware limited liability company (“TPG SL SPV”). On May 19, 2014, the Company formed a wholly-owned subsidiary, TSL MR, LLC, a Delaware limited liability company.</w:t>
      </w:r>
    </w:p>
    <w:p>
      <w:pPr>
        <w:spacing w:after="0" w:line="118"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On March 21, 2014, the Company completed its initial public offering (“IPO”), issuing 7,000,000 shares at $16.00 per share, and its concurrent private placement, issuing 3,124,984 shares at $16.00 per share. Net of underwriting fees and offering costs, the Company received total cash proceeds of $151.6 million.</w:t>
      </w:r>
    </w:p>
    <w:p>
      <w:pPr>
        <w:spacing w:after="0" w:line="6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April 2014, a total of 1,050,000 shares of stock were issued pursuant to the exercise of the underwriters’ over-allotment option. Net of underwriting fees and offering costs, the Company received additional total cash proceeds of $15.4 million.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March 21, 2014, the Company’s shares began trading on the New York Stock Exchange (“NYSE”) under the symbol “TSLX”.</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consisting solely of accruals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Certain financial information that is normally included in annual financial statements, including certain financial statement footnotes, prepared in accordance with U.S. GAAP, is not required for interim reporting purposes and has been condensed or omitted herein. These financial statements should be read in conjunction with the Company’s consolidated financial statements and notes related thereto included in the Company’s Annual Report on Form 10-K for the year ended December 31, 2013, which was filed with the Securities and Exchange Commission (“SEC”), on March 4, 2014, and Form 10-K/A for the year ended December 31, 2013, which was filed with the SEC, on March 14, 2014.</w:t>
      </w:r>
    </w:p>
    <w:p>
      <w:pPr>
        <w:spacing w:after="0" w:line="116"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Certain prior period information has been reclassified to conform to the current period presentation. These reclassifications have no effect on the Company’s financial position or its results of operations as previously reported.</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The Company is an investment company and, therefore, applying the specialized accounting and reporting guidance in Accounting Standards Codification (“ASC”) Topic 946, </w:t>
      </w:r>
      <w:r>
        <w:rPr>
          <w:rFonts w:ascii="Arial" w:cs="Arial" w:eastAsia="Arial" w:hAnsi="Arial"/>
          <w:sz w:val="18"/>
          <w:szCs w:val="18"/>
          <w:i w:val="1"/>
          <w:iCs w:val="1"/>
          <w:color w:val="auto"/>
        </w:rPr>
        <w:t>Financial Services – Investment Companies.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fiscal year ends on December 31.</w:t>
      </w:r>
    </w:p>
    <w:p>
      <w:pPr>
        <w:spacing w:after="0" w:line="246" w:lineRule="exact"/>
        <w:rPr>
          <w:sz w:val="20"/>
          <w:szCs w:val="20"/>
          <w:color w:val="auto"/>
        </w:rPr>
      </w:pPr>
    </w:p>
    <w:p>
      <w:pPr>
        <w:ind w:right="8900" w:firstLine="8"/>
        <w:spacing w:after="0" w:line="347" w:lineRule="auto"/>
        <w:tabs>
          <w:tab w:leader="none" w:pos="176"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Use of Estimates</w:t>
      </w:r>
    </w:p>
    <w:p>
      <w:pPr>
        <w:spacing w:after="0" w:line="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Such amounts could differ from those estimates and such differences could be material.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Cash and cash equivalents may consist of demand deposits and highly liquid investments (e.g., money market funds, U.S. Treasury notes, and similar type instruments) with original maturities of three months or less. Cash and cash equivalents are carried at cost, which approximates fair value. The Company deposits its cash and cash equivalents with highly-rated banking corporations and, at times, cash deposits may exceed the insured limits under applicable law.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at Fair Value</w:t>
      </w:r>
    </w:p>
    <w:p>
      <w:pPr>
        <w:spacing w:after="0" w:line="9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Investment transactions purchased on a secondary basis are recorded on the trade date. Loan originations are recorded on the date of the binding commitment, which is generally the funding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part of the valuation process, the Board takes into account relevant factors in determining the fair value of its investments, including: the estimated enterprise value of a portfolio company (that is,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90" w:lineRule="exact"/>
        <w:rPr>
          <w:sz w:val="20"/>
          <w:szCs w:val="20"/>
          <w:color w:val="auto"/>
        </w:rPr>
      </w:pPr>
    </w:p>
    <w:p>
      <w:pPr>
        <w:ind w:left="900" w:right="12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5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90"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currently conducts this valuation process on a quarterly basis.</w:t>
      </w:r>
    </w:p>
    <w:p>
      <w:pPr>
        <w:spacing w:after="0" w:line="17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connection with debt and equity securities that are valued at fair value in good faith by the Board, the Board has engaged independent third-party valuation firms to perform certain limited procedures that the Board has identified and requested them to perform. At September 30, 2014, the independent third-party valuation firms performed their procedures over substantially all of the Company’s investments. Upon completion of such limited procedures, the third-party valuation firms determined that the fair value, as determined by the Board, of those investments subjected to their limited procedures, was reasonable.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The Company applies Financial Accounting Standards Board Accounting Standards Codification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37"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Level 1—Valuations based on quoted prices in active markets for identical assets or liabilities that the Company has the ability to access.</w:t>
      </w:r>
    </w:p>
    <w:p>
      <w:pPr>
        <w:spacing w:after="0" w:line="113" w:lineRule="exact"/>
        <w:rPr>
          <w:rFonts w:ascii="Arial" w:cs="Arial" w:eastAsia="Arial" w:hAnsi="Arial"/>
          <w:sz w:val="16"/>
          <w:szCs w:val="16"/>
          <w:color w:val="auto"/>
        </w:rPr>
      </w:pPr>
    </w:p>
    <w:p>
      <w:pPr>
        <w:ind w:left="900" w:right="64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17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criteria in making the determination as to whether a particular investment would qualify for treatment as a Level 2 or Level 3 investment. For example, the Company reviews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18"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4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and Derivative Instruments</w:t>
      </w:r>
    </w:p>
    <w:p>
      <w:pPr>
        <w:spacing w:after="0" w:line="90"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The Company recognizes all derivative instruments as assets or liabilities at fair value in its consolidated financial statements. Derivative contracts entered into by the Company are not designated as hedging instruments, and as a result the Company presents changes in fair value through current period earnings.</w:t>
      </w:r>
    </w:p>
    <w:p>
      <w:pPr>
        <w:spacing w:after="0" w:line="62" w:lineRule="exact"/>
        <w:rPr>
          <w:sz w:val="20"/>
          <w:szCs w:val="20"/>
          <w:color w:val="auto"/>
        </w:rPr>
      </w:pPr>
    </w:p>
    <w:p>
      <w:pPr>
        <w:jc w:val="both"/>
        <w:ind w:right="200" w:firstLine="456"/>
        <w:spacing w:after="0" w:line="318" w:lineRule="auto"/>
        <w:rPr>
          <w:sz w:val="20"/>
          <w:szCs w:val="20"/>
          <w:color w:val="auto"/>
        </w:rPr>
      </w:pPr>
      <w:r>
        <w:rPr>
          <w:rFonts w:ascii="Arial" w:cs="Arial" w:eastAsia="Arial" w:hAnsi="Arial"/>
          <w:sz w:val="15"/>
          <w:szCs w:val="15"/>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volume of derivative trading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policies.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Derivatives, including the Company’s interest rate swaps, for which broker quotes are available are typically valued at those broker quotes.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Assets and Liabilities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presents the fair value of foreign currency forward contracts and interest rate swaps executed with the same counterparty on a net basis given the Company has the legal right to offset the recognized amounts, and it intends to settle on a net basis.</w:t>
      </w:r>
    </w:p>
    <w:p>
      <w:pPr>
        <w:spacing w:after="0" w:line="13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 Company has the legal right to offset the recognized amounts, and it intends to either settle on a net basis or realize the asset and settle the liability simultaneously.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currency amounts are translated into U.S. dollars on the following basis:</w:t>
      </w:r>
    </w:p>
    <w:p>
      <w:pPr>
        <w:spacing w:after="0" w:line="90" w:lineRule="exact"/>
        <w:rPr>
          <w:sz w:val="20"/>
          <w:szCs w:val="20"/>
          <w:color w:val="auto"/>
        </w:rPr>
      </w:pPr>
    </w:p>
    <w:p>
      <w:pPr>
        <w:ind w:left="900" w:right="56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cash and cash equivalents, market value of investments, outstanding debt on revolving credit facilities, other assets and liabilities: at the spot exchange rate on the last business day of the period; and</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purchases and sales of investments, borrowings and repayments of such borrowings, income and expenses: at the rates of exchange prevailing on the respective dates of such transactions.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459" w:right="3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4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 Expenses</w:t>
      </w:r>
    </w:p>
    <w:p>
      <w:pPr>
        <w:spacing w:after="0" w:line="90" w:lineRule="exact"/>
        <w:rPr>
          <w:sz w:val="20"/>
          <w:szCs w:val="20"/>
          <w:color w:val="auto"/>
        </w:rPr>
      </w:pPr>
    </w:p>
    <w:p>
      <w:pPr>
        <w:ind w:right="620" w:firstLine="456"/>
        <w:spacing w:after="0" w:line="370" w:lineRule="auto"/>
        <w:rPr>
          <w:sz w:val="20"/>
          <w:szCs w:val="20"/>
          <w:color w:val="auto"/>
        </w:rPr>
      </w:pPr>
      <w:r>
        <w:rPr>
          <w:rFonts w:ascii="Arial" w:cs="Arial" w:eastAsia="Arial" w:hAnsi="Arial"/>
          <w:sz w:val="15"/>
          <w:szCs w:val="15"/>
          <w:color w:val="auto"/>
        </w:rPr>
        <w:t>The Company records expenses related to registration statement filings and applicable offering costs as deferred financing costs. To the extent such expenses relate to equity offerings, these expenses are charged as a reduction of capital upon each such offering, in accordance with ASC 946-20-25.</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9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Company records origination and other expenses related to its debt obligations as deferred financing costs. These expenses are deferred and amortized using the effective yield method, or straight-line method for revolving credit facilities, over the stated maturity life of the obligation.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From time to time, the Company may receive fees for services provided to portfolio companies by the Adviser. These fees are generally only available to the Company as a result of closing investments, are normally paid at the closing of the investments, are generally non-recurring and are recognized as revenue when earned upon closing of the investment. The services that the Adviser provides vary by investment, but generally include syndication, structuring or diligence fees, and fees for providing managerial assistance to our portfolio companies.</w:t>
      </w:r>
    </w:p>
    <w:p>
      <w:pPr>
        <w:spacing w:after="0" w:line="11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certain instances where the Company is invited to participate as a co-lender in a transaction and does not provide significant services in connection with the investment, all or a portion of any loan fees received by the Company in such situations will be deferred and amortized over the investment’s life using the effective yield method.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of Transaction-Related Expenses</w:t>
      </w:r>
    </w:p>
    <w:p>
      <w:pPr>
        <w:spacing w:after="0" w:line="9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costs of successfully completed investments not otherwise reimbursed are borne by the Company and included as a component of the investment’s cost basis. Subsequent to closing, investments are recorded at fair value at each reporting period.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Cash advances received in respect of transaction-related expenses are recorded as cash and cash equivalents with an offset to Other liabilities or Payables to affiliates. Other liabilities or Payables to affiliates are relieved as reimbursable expenses are incurred.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Company has elected to be treated as a BDC under the 1940 Act. The Company also has elected to be treated as a RIC under the Internal Revenue Code. So long as the Company maintains its status as a RIC, it will generally not pay corporate-level U.S. federal income or excise taxes on any ordinary income or capital gains that it distributes at least annually to its stockholders as dividends. As a result, any tax liability related to income earned and distributed by the Company represents obligations of the Company’s stockholders and will not be reflected in the consolidated financial statements of the Company.</w:t>
      </w:r>
    </w:p>
    <w:p>
      <w:pPr>
        <w:spacing w:after="0" w:line="11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to Common Stockholders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Dividends to common stockholders are recorded on the record date. The amount to be paid out as a dividend is determined by the Board and is generally based upon earnings estimated by the Adviser. Net realized long-term capital gains, if any, would be generally distributed at least annually, although the Company may decide to retain such capital gains for investment.</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implement the dividend reinvestment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In June 2013, the Financial Accounting Standards Board issued Accounting Standards Update (“ASU”) 2013-08, </w:t>
      </w:r>
      <w:r>
        <w:rPr>
          <w:rFonts w:ascii="Arial" w:cs="Arial" w:eastAsia="Arial" w:hAnsi="Arial"/>
          <w:sz w:val="18"/>
          <w:szCs w:val="18"/>
          <w:i w:val="1"/>
          <w:iCs w:val="1"/>
          <w:color w:val="auto"/>
        </w:rPr>
        <w:t>Financial Services—Investment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Companies (Topic 946): Amendments to the Scope, Measurement, and Disclosure Requirements </w:t>
      </w:r>
      <w:r>
        <w:rPr>
          <w:rFonts w:ascii="Arial" w:cs="Arial" w:eastAsia="Arial" w:hAnsi="Arial"/>
          <w:sz w:val="18"/>
          <w:szCs w:val="18"/>
          <w:color w:val="auto"/>
        </w:rPr>
        <w:t>(“ASU 2013- 08”). ASU 2013-08 amends the criteria that define</w:t>
      </w:r>
      <w:r>
        <w:rPr>
          <w:rFonts w:ascii="Arial" w:cs="Arial" w:eastAsia="Arial" w:hAnsi="Arial"/>
          <w:sz w:val="18"/>
          <w:szCs w:val="18"/>
          <w:i w:val="1"/>
          <w:iCs w:val="1"/>
          <w:color w:val="auto"/>
        </w:rPr>
        <w:t xml:space="preserve"> </w:t>
      </w:r>
      <w:r>
        <w:rPr>
          <w:rFonts w:ascii="Arial" w:cs="Arial" w:eastAsia="Arial" w:hAnsi="Arial"/>
          <w:sz w:val="18"/>
          <w:szCs w:val="18"/>
          <w:color w:val="auto"/>
        </w:rPr>
        <w:t>an investment company, clarifies the measurement guidance and requires certain additional disclosures. Public companies are required to apply ASU 2013-08 prospectively for interim and annual reporting periods beginning after December 15, 2013. The Company has evaluated the impact of the adoption of ASU 2013-08 on its financial statements and disclosures and determined the adoption of ASU 2013-08 did not have a material effect on the Company’s financial condition and results of operations.</w:t>
      </w:r>
    </w:p>
    <w:p>
      <w:pPr>
        <w:spacing w:after="0" w:line="219" w:lineRule="exact"/>
        <w:rPr>
          <w:sz w:val="20"/>
          <w:szCs w:val="20"/>
          <w:color w:val="auto"/>
        </w:rPr>
      </w:pPr>
    </w:p>
    <w:p>
      <w:pPr>
        <w:ind w:right="7900" w:firstLine="8"/>
        <w:spacing w:after="0" w:line="347" w:lineRule="auto"/>
        <w:tabs>
          <w:tab w:leader="none" w:pos="176"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Agreements and Related Party Transactions </w:t>
      </w:r>
      <w:r>
        <w:rPr>
          <w:rFonts w:ascii="Arial" w:cs="Arial" w:eastAsia="Arial" w:hAnsi="Arial"/>
          <w:sz w:val="18"/>
          <w:szCs w:val="18"/>
          <w:i w:val="1"/>
          <w:iCs w:val="1"/>
          <w:color w:val="auto"/>
        </w:rPr>
        <w:t>Administration Agreement</w:t>
      </w:r>
    </w:p>
    <w:p>
      <w:pPr>
        <w:spacing w:after="0" w:line="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expenses incurred by any such affiliates or third parties for work done on its behalf.</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For the three and nine months ended September 30, 2014, the Company incurred expenses of $0.8 million and $2.1 million, respectively, for administrative services payable to the Adviser under the terms of the Administration Agreement. For the three and nine months ended September 30, 2013, the Company incurred expenses of $0.3 million and $0.9 million, respectively, for administrative services payable to the Adviser under the terms of the Administration Agreement.</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November 3, 2014, the Board renewed the Administration Agreement. Unless earlier terminated as described below, the Administration Agreement will remain in effect until November 3, 2015, and may be extended subject to required approvals. The Administration Agreement may be terminated by either party without penalty upon 60 days’ written notice to the other party.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an allocable portion of the compensation paid by the Adviser or its affiliates to the Company’s Chief Compliance Officer, Chief Financial Officer, and other professionals who spend time on such related activities (based on the percentage of time those individuals devote, on an estimated basis, to the business and affairs of the Company). Directors who are not affiliated with the Adviser receive compensation for their services and reimbursement of expenses incurred to attend meetings.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Agreement</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will provide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4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 and is prorated for any partial month or quarter.</w:t>
      </w:r>
    </w:p>
    <w:p>
      <w:pPr>
        <w:spacing w:after="0" w:line="14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For the three and nine months ended September 30, 2014, Management Fees were $4.7 million and $13.4 million, respectively. For the three and nine months ended September 30, 2013, Management Fees were $3.4 million and $9.7 million, respectively.</w:t>
      </w:r>
    </w:p>
    <w:p>
      <w:pPr>
        <w:spacing w:after="0" w:line="132"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Until the IPO, the Adviser had waived its right to receive the Management Fee in excess of the sum of (i) 0.25% of aggregate committed but undrawn capital; and, (ii) 0.75% of aggregate drawn capital (including capital drawn to pay Company expenses) as determined as of the end of any calendar quarter.</w:t>
      </w:r>
    </w:p>
    <w:p>
      <w:pPr>
        <w:spacing w:after="0" w:line="8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For the three months ended September 30, 2014, no Management Fees were waived. For the nine months ended September 30, 2014, Management Fees of $2.5 million were waived. For the three and nine months ended September 30, 2013, Management Fees of $1.9 million and $5.0 million, respectively, were waived.</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Any waived Management Fees are not subject to recoupment by the Adviser. Following the IPO, the Adviser does not intend to waive its right to receive the full Management Fee and accordingly, the Company will be required to pay the full amount of the Management Fee.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90" w:lineRule="exact"/>
        <w:rPr>
          <w:sz w:val="20"/>
          <w:szCs w:val="20"/>
          <w:color w:val="auto"/>
        </w:rPr>
      </w:pPr>
    </w:p>
    <w:p>
      <w:pPr>
        <w:ind w:left="900" w:right="60" w:hanging="446"/>
        <w:spacing w:after="0" w:line="290"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through March 31, 2014, equals 100% of the pre-Incentive Fee net investment income in excess of a 1.5% quarterly “hurdle rate,” the calculation of which is further explained below, until the Adviser has received 15% of the total pre-Incentive Fee net investment income for that quarter and, for pre-Incentive Fee net investment income in excess of 1.76% quarterly, 15% of all remaining pre-Incentive Fee net investment income for that quarter. The 100% “catch-up” provision for pre-Incentive Fee net investment income in excess of the 1.5% “hurdle rate” is intended to provide the Adviser with an incentive fee of 15% on all pre-Incentive Fee net investment income when that amount equals 1.76% in a quarter (7.06% annualized), which is the rate at which catch-up is achieved. Once the “hurdle rate” is reached and catch-up is achieved, 15% of any pre-Incentive Fee net investment income in excess of 1.76% in any quarter is payable to the Adviser.</w:t>
      </w:r>
    </w:p>
    <w:p>
      <w:pPr>
        <w:spacing w:after="0" w:line="37" w:lineRule="exact"/>
        <w:rPr>
          <w:sz w:val="20"/>
          <w:szCs w:val="20"/>
          <w:color w:val="auto"/>
        </w:rPr>
      </w:pPr>
    </w:p>
    <w:p>
      <w:pPr>
        <w:ind w:left="920" w:right="20"/>
        <w:spacing w:after="0" w:line="312" w:lineRule="auto"/>
        <w:rPr>
          <w:sz w:val="20"/>
          <w:szCs w:val="20"/>
          <w:color w:val="auto"/>
        </w:rPr>
      </w:pPr>
      <w:r>
        <w:rPr>
          <w:rFonts w:ascii="Arial" w:cs="Arial" w:eastAsia="Arial" w:hAnsi="Arial"/>
          <w:sz w:val="15"/>
          <w:szCs w:val="15"/>
          <w:color w:val="auto"/>
        </w:rPr>
        <w:t>The first component, payable at the end of each quarter in arrears beginning April 1, 2014,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24" w:lineRule="exact"/>
        <w:rPr>
          <w:sz w:val="20"/>
          <w:szCs w:val="20"/>
          <w:color w:val="auto"/>
        </w:rPr>
      </w:pPr>
    </w:p>
    <w:p>
      <w:pPr>
        <w:ind w:left="920" w:right="180"/>
        <w:spacing w:after="0" w:line="255" w:lineRule="auto"/>
        <w:rPr>
          <w:sz w:val="20"/>
          <w:szCs w:val="20"/>
          <w:color w:val="auto"/>
        </w:rPr>
      </w:pPr>
      <w:r>
        <w:rPr>
          <w:rFonts w:ascii="Arial" w:cs="Arial" w:eastAsia="Arial" w:hAnsi="Arial"/>
          <w:sz w:val="18"/>
          <w:szCs w:val="18"/>
          <w:color w:val="auto"/>
        </w:rPr>
        <w:t>Pre-Incentive Fee net investment income means dividends (including reinvested dividends), interest and fee income accrued by us during the calendar quarter, minus the Company’s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560"/>
        <w:spacing w:after="0" w:line="259" w:lineRule="auto"/>
        <w:rPr>
          <w:sz w:val="20"/>
          <w:szCs w:val="20"/>
          <w:color w:val="auto"/>
        </w:rPr>
      </w:pPr>
      <w:r>
        <w:rPr>
          <w:rFonts w:ascii="Arial" w:cs="Arial" w:eastAsia="Arial" w:hAnsi="Arial"/>
          <w:sz w:val="18"/>
          <w:szCs w:val="18"/>
          <w:color w:val="auto"/>
        </w:rPr>
        <w:t>debt instruments with pay-in-kind interest and zero coupon securities), accrued income that the Company may not have received in cash. Pre-Incentive Fee net investment income does not include any realized capital gains, realized capital losses or unrealized capital appreciation or depreciation.</w:t>
      </w:r>
    </w:p>
    <w:p>
      <w:pPr>
        <w:spacing w:after="0" w:line="59" w:lineRule="exact"/>
        <w:rPr>
          <w:sz w:val="20"/>
          <w:szCs w:val="20"/>
          <w:color w:val="auto"/>
        </w:rPr>
      </w:pPr>
    </w:p>
    <w:p>
      <w:pPr>
        <w:ind w:left="900" w:hanging="446"/>
        <w:spacing w:after="0" w:line="309" w:lineRule="auto"/>
        <w:tabs>
          <w:tab w:leader="none" w:pos="9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second component, payable at the end of each fiscal year in arrears, through March 31, 2014, equals 15%, and beginning April 1, 2014, will equal a weighted percentage of cumulative realized capital gains from the Company’s inception to the end of that fiscal year, less cumulative realized capital losses and unrealized capital depreciation.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will be 17.5%. The Company accrues, but does not pay, a capital gains Incentive Fee with respect to unrealized appreciation because a capital 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will be subject to an incentive fee rate of 15% and the portion of the Company’s realized capital gains that accrued beginning April 1, 2014 will be subject to an incentive fee rate of 17.5%.</w:t>
      </w:r>
    </w:p>
    <w:p>
      <w:pPr>
        <w:spacing w:after="0" w:line="108"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To determine whether pre-Incentive Fee net investment income exceeds the hurdle rate, prior to the IPO, the pre-Incentive Fee net investment income was expressed as a rate of return on an average daily hurdle calculation value. The average daily hurdle calculation value, on any given day, equaled</w:t>
      </w:r>
    </w:p>
    <w:p>
      <w:pPr>
        <w:spacing w:after="0" w:line="4"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assets as of the end of the calendar quarter immediately preceding the day; plus</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aggregate amount of capital drawn from investors (or reinvested pursuant to the dividend reinvestment plan) from the beginning of the current quarter to the day; minus</w:t>
      </w:r>
    </w:p>
    <w:p>
      <w:pPr>
        <w:spacing w:after="0" w:line="50" w:lineRule="exact"/>
        <w:rPr>
          <w:rFonts w:ascii="Arial" w:cs="Arial" w:eastAsia="Arial" w:hAnsi="Arial"/>
          <w:sz w:val="18"/>
          <w:szCs w:val="18"/>
          <w:color w:val="auto"/>
        </w:rPr>
      </w:pPr>
    </w:p>
    <w:p>
      <w:pPr>
        <w:ind w:left="900" w:right="180" w:hanging="325"/>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aggregate amount of distributions (including share repurchases) made by the Company from the beginning of the current quarter to the day (but only to the extent the distributions were not declared and accounted for on our books and records in a previous quarter).</w:t>
      </w:r>
    </w:p>
    <w:p>
      <w:pPr>
        <w:spacing w:after="0" w:line="85"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Following the IPO, 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spacing w:after="0" w:line="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Company accrues the Incentive Fee taking into account unrealized gains and losses; however, Section 205(b)(3) of the Investment Advisers Act of 1940, as amended, prohibits the Adviser from receiving the payment of fees until those gains are realized, if ever. There can be no assurance that such unrealized gains will be realized in the future.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three and nine months ended September 30, 2014, Incentive Fees were $4.2 million and $14.5 million, respectively, of which $4.8 million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$14.8 million, respectively, were realized and payable to the Adviser. For the three and nine months ended September 30, 2013, Incentive Fees were $2.9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$8.1 million, respectively, of which $2.6 million and $7.3 million, respectively, were realized and payable to the Adviser.</w:t>
      </w:r>
    </w:p>
    <w:p>
      <w:pPr>
        <w:spacing w:after="0" w:line="165" w:lineRule="exact"/>
        <w:rPr>
          <w:sz w:val="20"/>
          <w:szCs w:val="20"/>
          <w:color w:val="auto"/>
        </w:rPr>
      </w:pPr>
    </w:p>
    <w:p>
      <w:pPr>
        <w:ind w:right="320" w:firstLine="456"/>
        <w:spacing w:after="0" w:line="335" w:lineRule="auto"/>
        <w:rPr>
          <w:sz w:val="20"/>
          <w:szCs w:val="20"/>
          <w:color w:val="auto"/>
        </w:rPr>
      </w:pPr>
      <w:r>
        <w:rPr>
          <w:rFonts w:ascii="Arial" w:cs="Arial" w:eastAsia="Arial" w:hAnsi="Arial"/>
          <w:sz w:val="15"/>
          <w:szCs w:val="15"/>
          <w:color w:val="auto"/>
        </w:rPr>
        <w:t>On November 3, 2014, the Board renewed the Investment Advisory Agreement. Unless earlier terminated as described above, the Investment Advisory Agreement will remain in effect until November 3, 2015, and may be extended subject to required approvals. The Investment Advisory Agreement will automatically terminate in the event of an assignment and may be terminated by either party without penalty upon 60 days’ written notice to the other party.</w:t>
      </w:r>
    </w:p>
    <w:p>
      <w:pPr>
        <w:spacing w:after="0" w:line="8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 Expenses incurred by the Adviser on behalf of the Company for the three and nine months ended September 30, 2014, were $1.5 million and $4.5 million, respectively. Expenses incurred by the Adviser on behalf of the Company for the three and nine months ended September 30, 2013, were $1.2 million and $3.4 million, respectively.</w:t>
      </w:r>
    </w:p>
    <w:p>
      <w:pPr>
        <w:spacing w:after="0" w:line="14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Adviser has entered into an agreement (the “Adviser 10b5-1 Plan”) with Goldman, Sachs &amp; Co., in accordance with Rules 10b5-1 and 10b-18 under the Securities Exchange Act of 1934, as amended, (the “1934 Act”), under which Goldman, Sachs &amp; Co., as agent for the Adviser, will buy up to $25 million in the aggregate of the Company’s common stock, subject to certain conditions, during the period beginning April 24, 2014 and ending on the earlier of the date on which all the capital committed to the Adviser 10b5-1 Plan has been exhausted or December 31, 2014. During the nine months ended September 30, 2014, no shares were purchased under the Adviser 10b5-1 Plan; however, subsequent to September 30, 2014, 300 shares have been purchased under the Adviser 10b5-1 Plan as of November 3, 2014. Purchases under the Company 10b5-1 Plan and the Advisers 10b5-1 plan will be allocated between the two plans pro rata based on the amount available for purchases under each plan.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Under the 1940 Act, the Company is required to separately identify non-controlled investments where it owns 5% or more of a portfolio company’s outstanding voting securities as investments in “affiliated” companies and/or had the power to exercise control over the management or policies of such portfolio company.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 of investments. The information in the tables below is presented on an aggregate portfolio basis, without regard to whether they are non-controlled non-affiliated, non-controlled affiliated or controlled affiliated investments.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at fair value consisted of the following at September 30, 2014 and December 31, 2013:</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September 30, 2014</w:t>
            </w: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7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8"/>
              </w:rPr>
              <w:t>Net Unrealized</w:t>
            </w:r>
          </w:p>
        </w:tc>
        <w:tc>
          <w:tcPr>
            <w:tcW w:w="100" w:type="dxa"/>
            <w:vAlign w:val="bottom"/>
          </w:tcPr>
          <w:p>
            <w:pPr>
              <w:spacing w:after="0"/>
              <w:rPr>
                <w:sz w:val="11"/>
                <w:szCs w:val="11"/>
                <w:color w:val="auto"/>
              </w:rPr>
            </w:pPr>
          </w:p>
        </w:tc>
      </w:tr>
      <w:tr>
        <w:trPr>
          <w:trHeight w:val="161"/>
        </w:trPr>
        <w:tc>
          <w:tcPr>
            <w:tcW w:w="37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w w:val="81"/>
              </w:rPr>
              <w:t>Amortized Cost (1)</w:t>
            </w:r>
          </w:p>
        </w:tc>
        <w:tc>
          <w:tcPr>
            <w:tcW w:w="70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Fair Value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Gain (Loss)</w:t>
            </w:r>
          </w:p>
        </w:tc>
      </w:tr>
      <w:tr>
        <w:trPr>
          <w:trHeight w:val="210"/>
        </w:trPr>
        <w:tc>
          <w:tcPr>
            <w:tcW w:w="37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170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1,050,831</w:t>
            </w:r>
          </w:p>
        </w:tc>
        <w:tc>
          <w:tcPr>
            <w:tcW w:w="70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$1,058,256</w:t>
            </w:r>
          </w:p>
        </w:tc>
        <w:tc>
          <w:tcPr>
            <w:tcW w:w="360" w:type="dxa"/>
            <w:vAlign w:val="bottom"/>
            <w:tcBorders>
              <w:top w:val="single" w:sz="8" w:color="CCEEFF"/>
              <w:left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150,345</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156,494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6,149</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7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4,742</w:t>
            </w:r>
          </w:p>
        </w:tc>
        <w:tc>
          <w:tcPr>
            <w:tcW w:w="14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4,687</w:t>
            </w:r>
          </w:p>
        </w:tc>
        <w:tc>
          <w:tcPr>
            <w:tcW w:w="36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14,525</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13,744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(781)</w:t>
            </w:r>
          </w:p>
        </w:tc>
      </w:tr>
      <w:tr>
        <w:trPr>
          <w:trHeight w:val="27"/>
        </w:trPr>
        <w:tc>
          <w:tcPr>
            <w:tcW w:w="3720" w:type="dxa"/>
            <w:vAlign w:val="bottom"/>
          </w:tcPr>
          <w:p>
            <w:pPr>
              <w:spacing w:after="0"/>
              <w:rPr>
                <w:sz w:val="2"/>
                <w:szCs w:val="2"/>
                <w:color w:val="auto"/>
              </w:rPr>
            </w:pPr>
          </w:p>
        </w:tc>
        <w:tc>
          <w:tcPr>
            <w:tcW w:w="170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7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w:t>
            </w:r>
          </w:p>
        </w:tc>
        <w:tc>
          <w:tcPr>
            <w:tcW w:w="17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1,220,443</w:t>
            </w:r>
          </w:p>
        </w:tc>
        <w:tc>
          <w:tcPr>
            <w:tcW w:w="14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1,233,181</w:t>
            </w:r>
          </w:p>
        </w:tc>
        <w:tc>
          <w:tcPr>
            <w:tcW w:w="360" w:type="dxa"/>
            <w:vAlign w:val="bottom"/>
            <w:tcBorders>
              <w:left w:val="single" w:sz="8" w:color="CCEEFF"/>
            </w:tcBorders>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12,738</w:t>
            </w:r>
          </w:p>
        </w:tc>
      </w:tr>
      <w:tr>
        <w:trPr>
          <w:trHeight w:val="20"/>
        </w:trPr>
        <w:tc>
          <w:tcPr>
            <w:tcW w:w="37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3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December 31, 2013</w:t>
            </w: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37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8"/>
              </w:rPr>
              <w:t>Net Unrealized</w:t>
            </w:r>
          </w:p>
        </w:tc>
        <w:tc>
          <w:tcPr>
            <w:tcW w:w="100" w:type="dxa"/>
            <w:vAlign w:val="bottom"/>
          </w:tcPr>
          <w:p>
            <w:pPr>
              <w:spacing w:after="0"/>
              <w:rPr>
                <w:sz w:val="11"/>
                <w:szCs w:val="11"/>
                <w:color w:val="auto"/>
              </w:rPr>
            </w:pPr>
          </w:p>
        </w:tc>
      </w:tr>
      <w:tr>
        <w:trPr>
          <w:trHeight w:val="161"/>
        </w:trPr>
        <w:tc>
          <w:tcPr>
            <w:tcW w:w="37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w w:val="81"/>
              </w:rPr>
              <w:t>Amortized Cost (1)</w:t>
            </w:r>
          </w:p>
        </w:tc>
        <w:tc>
          <w:tcPr>
            <w:tcW w:w="70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Fair Value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Gain (Loss)</w:t>
            </w:r>
          </w:p>
        </w:tc>
      </w:tr>
      <w:tr>
        <w:trPr>
          <w:trHeight w:val="210"/>
        </w:trPr>
        <w:tc>
          <w:tcPr>
            <w:tcW w:w="37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170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863,436</w:t>
            </w:r>
          </w:p>
        </w:tc>
        <w:tc>
          <w:tcPr>
            <w:tcW w:w="70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877,164</w:t>
            </w:r>
          </w:p>
        </w:tc>
        <w:tc>
          <w:tcPr>
            <w:tcW w:w="360" w:type="dxa"/>
            <w:vAlign w:val="bottom"/>
            <w:tcBorders>
              <w:top w:val="single" w:sz="8" w:color="CCEEFF"/>
              <w:left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131,082</w:t>
            </w:r>
          </w:p>
        </w:tc>
        <w:tc>
          <w:tcPr>
            <w:tcW w:w="1820" w:type="dxa"/>
            <w:vAlign w:val="bottom"/>
            <w:gridSpan w:val="3"/>
          </w:tcPr>
          <w:p>
            <w:pPr>
              <w:jc w:val="right"/>
              <w:ind w:right="340"/>
              <w:spacing w:after="0"/>
              <w:rPr>
                <w:sz w:val="20"/>
                <w:szCs w:val="20"/>
                <w:color w:val="auto"/>
              </w:rPr>
            </w:pPr>
            <w:r>
              <w:rPr>
                <w:rFonts w:ascii="Arial" w:cs="Arial" w:eastAsia="Arial" w:hAnsi="Arial"/>
                <w:sz w:val="18"/>
                <w:szCs w:val="18"/>
                <w:color w:val="auto"/>
              </w:rPr>
              <w:t>137,483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6,401</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7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left w:val="single" w:sz="8" w:color="CCEEFF"/>
              <w:right w:val="single" w:sz="8" w:color="CCEEFF"/>
            </w:tcBorders>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Equity investments</w:t>
            </w: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2,780</w:t>
            </w:r>
          </w:p>
        </w:tc>
        <w:tc>
          <w:tcPr>
            <w:tcW w:w="7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1,804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(976)</w:t>
            </w:r>
          </w:p>
        </w:tc>
      </w:tr>
      <w:tr>
        <w:trPr>
          <w:trHeight w:val="27"/>
        </w:trPr>
        <w:tc>
          <w:tcPr>
            <w:tcW w:w="37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00" w:type="dxa"/>
            <w:vAlign w:val="bottom"/>
            <w:tcBorders>
              <w:lef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Borders>
              <w:lef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7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w:t>
            </w:r>
          </w:p>
        </w:tc>
        <w:tc>
          <w:tcPr>
            <w:tcW w:w="17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997,298</w:t>
            </w:r>
          </w:p>
        </w:tc>
        <w:tc>
          <w:tcPr>
            <w:tcW w:w="1820" w:type="dxa"/>
            <w:vAlign w:val="bottom"/>
            <w:tcBorders>
              <w:lef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1,016,451</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19,153</w:t>
            </w:r>
          </w:p>
        </w:tc>
      </w:tr>
      <w:tr>
        <w:trPr>
          <w:trHeight w:val="20"/>
        </w:trPr>
        <w:tc>
          <w:tcPr>
            <w:tcW w:w="37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or premiums as applicable on debt investments using the effective interest method.</w:t>
      </w:r>
    </w:p>
    <w:p>
      <w:pPr>
        <w:spacing w:after="0" w:line="13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industry composition of Investments at fair value as of September 30, 2014 and December 31, 2013 is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36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September 30, 2014</w:t>
            </w:r>
          </w:p>
        </w:tc>
        <w:tc>
          <w:tcPr>
            <w:tcW w:w="17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20"/>
        </w:trPr>
        <w:tc>
          <w:tcPr>
            <w:tcW w:w="33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18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vMerge w:val="continue"/>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Automotive</w:t>
            </w:r>
          </w:p>
        </w:tc>
        <w:tc>
          <w:tcPr>
            <w:tcW w:w="3600" w:type="dxa"/>
            <w:vAlign w:val="bottom"/>
            <w:gridSpan w:val="3"/>
          </w:tcPr>
          <w:p>
            <w:pPr>
              <w:jc w:val="right"/>
              <w:ind w:right="480"/>
              <w:spacing w:after="0"/>
              <w:rPr>
                <w:sz w:val="20"/>
                <w:szCs w:val="20"/>
                <w:color w:val="auto"/>
              </w:rPr>
            </w:pPr>
            <w:r>
              <w:rPr>
                <w:rFonts w:ascii="Arial" w:cs="Arial" w:eastAsia="Arial" w:hAnsi="Arial"/>
                <w:sz w:val="18"/>
                <w:szCs w:val="18"/>
                <w:color w:val="auto"/>
              </w:rPr>
              <w:t>4.4%</w:t>
            </w:r>
          </w:p>
        </w:tc>
        <w:tc>
          <w:tcPr>
            <w:tcW w:w="1780" w:type="dxa"/>
            <w:vAlign w:val="bottom"/>
            <w:gridSpan w:val="3"/>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36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8.0%</w:t>
            </w:r>
          </w:p>
        </w:tc>
        <w:tc>
          <w:tcPr>
            <w:tcW w:w="1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Business services</w:t>
            </w:r>
          </w:p>
        </w:tc>
        <w:tc>
          <w:tcPr>
            <w:tcW w:w="3600" w:type="dxa"/>
            <w:vAlign w:val="bottom"/>
            <w:gridSpan w:val="3"/>
          </w:tcPr>
          <w:p>
            <w:pPr>
              <w:jc w:val="right"/>
              <w:ind w:right="480"/>
              <w:spacing w:after="0"/>
              <w:rPr>
                <w:sz w:val="20"/>
                <w:szCs w:val="20"/>
                <w:color w:val="auto"/>
              </w:rPr>
            </w:pPr>
            <w:r>
              <w:rPr>
                <w:rFonts w:ascii="Arial" w:cs="Arial" w:eastAsia="Arial" w:hAnsi="Arial"/>
                <w:sz w:val="18"/>
                <w:szCs w:val="18"/>
                <w:color w:val="auto"/>
              </w:rPr>
              <w:t>9.1%</w:t>
            </w:r>
          </w:p>
        </w:tc>
        <w:tc>
          <w:tcPr>
            <w:tcW w:w="1780" w:type="dxa"/>
            <w:vAlign w:val="bottom"/>
            <w:gridSpan w:val="3"/>
          </w:tcPr>
          <w:p>
            <w:pPr>
              <w:jc w:val="right"/>
              <w:ind w:right="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Communications</w:t>
            </w:r>
          </w:p>
        </w:tc>
        <w:tc>
          <w:tcPr>
            <w:tcW w:w="36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1.4%</w:t>
            </w: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Construction and building</w:t>
            </w:r>
          </w:p>
        </w:tc>
        <w:tc>
          <w:tcPr>
            <w:tcW w:w="3600" w:type="dxa"/>
            <w:vAlign w:val="bottom"/>
            <w:gridSpan w:val="3"/>
          </w:tcPr>
          <w:p>
            <w:pPr>
              <w:jc w:val="right"/>
              <w:ind w:right="480"/>
              <w:spacing w:after="0"/>
              <w:rPr>
                <w:sz w:val="20"/>
                <w:szCs w:val="20"/>
                <w:color w:val="auto"/>
              </w:rPr>
            </w:pPr>
            <w:r>
              <w:rPr>
                <w:rFonts w:ascii="Arial" w:cs="Arial" w:eastAsia="Arial" w:hAnsi="Arial"/>
                <w:sz w:val="18"/>
                <w:szCs w:val="18"/>
                <w:color w:val="auto"/>
              </w:rPr>
              <w:t>4.1%</w:t>
            </w:r>
          </w:p>
        </w:tc>
        <w:tc>
          <w:tcPr>
            <w:tcW w:w="1780" w:type="dxa"/>
            <w:vAlign w:val="bottom"/>
            <w:gridSpan w:val="3"/>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Containers and packaging</w:t>
            </w:r>
          </w:p>
        </w:tc>
        <w:tc>
          <w:tcPr>
            <w:tcW w:w="36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3.7%</w:t>
            </w:r>
          </w:p>
        </w:tc>
        <w:tc>
          <w:tcPr>
            <w:tcW w:w="1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Education</w:t>
            </w:r>
          </w:p>
        </w:tc>
        <w:tc>
          <w:tcPr>
            <w:tcW w:w="3600" w:type="dxa"/>
            <w:vAlign w:val="bottom"/>
            <w:gridSpan w:val="3"/>
          </w:tcPr>
          <w:p>
            <w:pPr>
              <w:jc w:val="right"/>
              <w:ind w:right="480"/>
              <w:spacing w:after="0"/>
              <w:rPr>
                <w:sz w:val="20"/>
                <w:szCs w:val="20"/>
                <w:color w:val="auto"/>
              </w:rPr>
            </w:pPr>
            <w:r>
              <w:rPr>
                <w:rFonts w:ascii="Arial" w:cs="Arial" w:eastAsia="Arial" w:hAnsi="Arial"/>
                <w:sz w:val="18"/>
                <w:szCs w:val="18"/>
                <w:color w:val="auto"/>
              </w:rPr>
              <w:t>2.3%</w:t>
            </w:r>
          </w:p>
        </w:tc>
        <w:tc>
          <w:tcPr>
            <w:tcW w:w="1780" w:type="dxa"/>
            <w:vAlign w:val="bottom"/>
            <w:gridSpan w:val="3"/>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Electronics</w:t>
            </w:r>
          </w:p>
        </w:tc>
        <w:tc>
          <w:tcPr>
            <w:tcW w:w="36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4.9%</w:t>
            </w: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Financial services</w:t>
            </w:r>
          </w:p>
        </w:tc>
        <w:tc>
          <w:tcPr>
            <w:tcW w:w="3600" w:type="dxa"/>
            <w:vAlign w:val="bottom"/>
            <w:gridSpan w:val="3"/>
          </w:tcPr>
          <w:p>
            <w:pPr>
              <w:jc w:val="right"/>
              <w:ind w:right="480"/>
              <w:spacing w:after="0"/>
              <w:rPr>
                <w:sz w:val="20"/>
                <w:szCs w:val="20"/>
                <w:color w:val="auto"/>
              </w:rPr>
            </w:pPr>
            <w:r>
              <w:rPr>
                <w:rFonts w:ascii="Arial" w:cs="Arial" w:eastAsia="Arial" w:hAnsi="Arial"/>
                <w:sz w:val="18"/>
                <w:szCs w:val="18"/>
                <w:color w:val="auto"/>
              </w:rPr>
              <w:t>8.8%</w:t>
            </w:r>
          </w:p>
        </w:tc>
        <w:tc>
          <w:tcPr>
            <w:tcW w:w="1780" w:type="dxa"/>
            <w:vAlign w:val="bottom"/>
            <w:gridSpan w:val="3"/>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Healthcare and pharmaceuticals</w:t>
            </w:r>
          </w:p>
        </w:tc>
        <w:tc>
          <w:tcPr>
            <w:tcW w:w="36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16.2%</w:t>
            </w:r>
          </w:p>
        </w:tc>
        <w:tc>
          <w:tcPr>
            <w:tcW w:w="1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Hotel, gaming, and leisure</w:t>
            </w:r>
          </w:p>
        </w:tc>
        <w:tc>
          <w:tcPr>
            <w:tcW w:w="3600" w:type="dxa"/>
            <w:vAlign w:val="bottom"/>
            <w:gridSpan w:val="3"/>
          </w:tcPr>
          <w:p>
            <w:pPr>
              <w:jc w:val="right"/>
              <w:ind w:right="480"/>
              <w:spacing w:after="0"/>
              <w:rPr>
                <w:sz w:val="20"/>
                <w:szCs w:val="20"/>
                <w:color w:val="auto"/>
              </w:rPr>
            </w:pPr>
            <w:r>
              <w:rPr>
                <w:rFonts w:ascii="Arial" w:cs="Arial" w:eastAsia="Arial" w:hAnsi="Arial"/>
                <w:sz w:val="18"/>
                <w:szCs w:val="18"/>
                <w:color w:val="auto"/>
              </w:rPr>
              <w:t>5.6%</w:t>
            </w:r>
          </w:p>
        </w:tc>
        <w:tc>
          <w:tcPr>
            <w:tcW w:w="1780" w:type="dxa"/>
            <w:vAlign w:val="bottom"/>
            <w:gridSpan w:val="3"/>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Human resource support services</w:t>
            </w:r>
          </w:p>
        </w:tc>
        <w:tc>
          <w:tcPr>
            <w:tcW w:w="36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2.9%</w:t>
            </w:r>
          </w:p>
        </w:tc>
        <w:tc>
          <w:tcPr>
            <w:tcW w:w="1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Insurance</w:t>
            </w:r>
          </w:p>
        </w:tc>
        <w:tc>
          <w:tcPr>
            <w:tcW w:w="3600" w:type="dxa"/>
            <w:vAlign w:val="bottom"/>
            <w:gridSpan w:val="3"/>
          </w:tcPr>
          <w:p>
            <w:pPr>
              <w:jc w:val="right"/>
              <w:ind w:right="480"/>
              <w:spacing w:after="0"/>
              <w:rPr>
                <w:sz w:val="20"/>
                <w:szCs w:val="20"/>
                <w:color w:val="auto"/>
              </w:rPr>
            </w:pPr>
            <w:r>
              <w:rPr>
                <w:rFonts w:ascii="Arial" w:cs="Arial" w:eastAsia="Arial" w:hAnsi="Arial"/>
                <w:sz w:val="18"/>
                <w:szCs w:val="18"/>
                <w:color w:val="auto"/>
              </w:rPr>
              <w:t>3.0%</w:t>
            </w:r>
          </w:p>
        </w:tc>
        <w:tc>
          <w:tcPr>
            <w:tcW w:w="1780" w:type="dxa"/>
            <w:vAlign w:val="bottom"/>
            <w:gridSpan w:val="3"/>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Internet services</w:t>
            </w:r>
          </w:p>
        </w:tc>
        <w:tc>
          <w:tcPr>
            <w:tcW w:w="36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2.8%</w:t>
            </w: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Manufacturing</w:t>
            </w:r>
          </w:p>
        </w:tc>
        <w:tc>
          <w:tcPr>
            <w:tcW w:w="3600" w:type="dxa"/>
            <w:vAlign w:val="bottom"/>
            <w:gridSpan w:val="3"/>
          </w:tcPr>
          <w:p>
            <w:pPr>
              <w:jc w:val="right"/>
              <w:ind w:right="480"/>
              <w:spacing w:after="0"/>
              <w:rPr>
                <w:sz w:val="20"/>
                <w:szCs w:val="20"/>
                <w:color w:val="auto"/>
              </w:rPr>
            </w:pPr>
            <w:r>
              <w:rPr>
                <w:rFonts w:ascii="Arial" w:cs="Arial" w:eastAsia="Arial" w:hAnsi="Arial"/>
                <w:sz w:val="18"/>
                <w:szCs w:val="18"/>
                <w:color w:val="auto"/>
              </w:rPr>
              <w:t>2.3%</w:t>
            </w:r>
          </w:p>
        </w:tc>
        <w:tc>
          <w:tcPr>
            <w:tcW w:w="1780" w:type="dxa"/>
            <w:vAlign w:val="bottom"/>
            <w:gridSpan w:val="3"/>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Metals and mining</w:t>
            </w:r>
          </w:p>
        </w:tc>
        <w:tc>
          <w:tcPr>
            <w:tcW w:w="36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2.7%</w:t>
            </w:r>
          </w:p>
        </w:tc>
        <w:tc>
          <w:tcPr>
            <w:tcW w:w="1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Office products</w:t>
            </w:r>
          </w:p>
        </w:tc>
        <w:tc>
          <w:tcPr>
            <w:tcW w:w="3600" w:type="dxa"/>
            <w:vAlign w:val="bottom"/>
            <w:gridSpan w:val="3"/>
          </w:tcPr>
          <w:p>
            <w:pPr>
              <w:jc w:val="right"/>
              <w:ind w:right="480"/>
              <w:spacing w:after="0"/>
              <w:rPr>
                <w:sz w:val="20"/>
                <w:szCs w:val="20"/>
                <w:color w:val="auto"/>
              </w:rPr>
            </w:pPr>
            <w:r>
              <w:rPr>
                <w:rFonts w:ascii="Arial" w:cs="Arial" w:eastAsia="Arial" w:hAnsi="Arial"/>
                <w:sz w:val="18"/>
                <w:szCs w:val="18"/>
                <w:color w:val="auto"/>
              </w:rPr>
              <w:t>2.9%</w:t>
            </w:r>
          </w:p>
        </w:tc>
        <w:tc>
          <w:tcPr>
            <w:tcW w:w="1780" w:type="dxa"/>
            <w:vAlign w:val="bottom"/>
            <w:gridSpan w:val="3"/>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Oil, gas and consumable fuels</w:t>
            </w:r>
          </w:p>
        </w:tc>
        <w:tc>
          <w:tcPr>
            <w:tcW w:w="36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9.9%</w:t>
            </w:r>
          </w:p>
        </w:tc>
        <w:tc>
          <w:tcPr>
            <w:tcW w:w="1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Transportation</w:t>
            </w:r>
          </w:p>
        </w:tc>
        <w:tc>
          <w:tcPr>
            <w:tcW w:w="1840" w:type="dxa"/>
            <w:vAlign w:val="bottom"/>
          </w:tcPr>
          <w:p>
            <w:pPr>
              <w:spacing w:after="0"/>
              <w:rPr>
                <w:sz w:val="18"/>
                <w:szCs w:val="18"/>
                <w:color w:val="auto"/>
              </w:rPr>
            </w:pPr>
          </w:p>
        </w:tc>
        <w:tc>
          <w:tcPr>
            <w:tcW w:w="1760" w:type="dxa"/>
            <w:vAlign w:val="bottom"/>
            <w:gridSpan w:val="2"/>
          </w:tcPr>
          <w:p>
            <w:pPr>
              <w:jc w:val="right"/>
              <w:ind w:right="480"/>
              <w:spacing w:after="0"/>
              <w:rPr>
                <w:sz w:val="20"/>
                <w:szCs w:val="20"/>
                <w:color w:val="auto"/>
              </w:rPr>
            </w:pPr>
            <w:r>
              <w:rPr>
                <w:rFonts w:ascii="Arial" w:cs="Arial" w:eastAsia="Arial" w:hAnsi="Arial"/>
                <w:sz w:val="18"/>
                <w:szCs w:val="18"/>
                <w:color w:val="auto"/>
              </w:rPr>
              <w:t>5.0%</w:t>
            </w:r>
          </w:p>
        </w:tc>
        <w:tc>
          <w:tcPr>
            <w:tcW w:w="1780" w:type="dxa"/>
            <w:vAlign w:val="bottom"/>
            <w:gridSpan w:val="3"/>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8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100.0%</w:t>
            </w:r>
          </w:p>
        </w:tc>
        <w:tc>
          <w:tcPr>
            <w:tcW w:w="1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840" w:type="dxa"/>
            <w:vAlign w:val="bottom"/>
            <w:vMerge w:val="restart"/>
          </w:tcPr>
          <w:p>
            <w:pPr>
              <w:jc w:val="right"/>
              <w:ind w:right="633"/>
              <w:spacing w:after="0"/>
              <w:rPr>
                <w:sz w:val="20"/>
                <w:szCs w:val="20"/>
                <w:color w:val="auto"/>
              </w:rPr>
            </w:pPr>
            <w:r>
              <w:rPr>
                <w:rFonts w:ascii="Arial" w:cs="Arial" w:eastAsia="Arial" w:hAnsi="Arial"/>
                <w:sz w:val="18"/>
                <w:szCs w:val="18"/>
                <w:color w:val="auto"/>
              </w:rPr>
              <w:t>22</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30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geographic composition of Investments at fair value as of September 30, 2014 and December 31, 2013 is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37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September 30, 2014</w:t>
            </w:r>
          </w:p>
        </w:tc>
        <w:tc>
          <w:tcPr>
            <w:tcW w:w="18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96"/>
        </w:trPr>
        <w:tc>
          <w:tcPr>
            <w:tcW w:w="3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19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440"/>
              <w:spacing w:after="0"/>
              <w:rPr>
                <w:sz w:val="20"/>
                <w:szCs w:val="20"/>
                <w:color w:val="auto"/>
              </w:rPr>
            </w:pPr>
            <w:r>
              <w:rPr>
                <w:rFonts w:ascii="Arial" w:cs="Arial" w:eastAsia="Arial" w:hAnsi="Arial"/>
                <w:sz w:val="18"/>
                <w:szCs w:val="18"/>
                <w:color w:val="auto"/>
              </w:rPr>
              <w:t>Midwest</w:t>
            </w:r>
          </w:p>
        </w:tc>
        <w:tc>
          <w:tcPr>
            <w:tcW w:w="3700" w:type="dxa"/>
            <w:vAlign w:val="bottom"/>
            <w:gridSpan w:val="3"/>
          </w:tcPr>
          <w:p>
            <w:pPr>
              <w:jc w:val="right"/>
              <w:ind w:right="480"/>
              <w:spacing w:after="0"/>
              <w:rPr>
                <w:sz w:val="20"/>
                <w:szCs w:val="20"/>
                <w:color w:val="auto"/>
              </w:rPr>
            </w:pPr>
            <w:r>
              <w:rPr>
                <w:rFonts w:ascii="Arial" w:cs="Arial" w:eastAsia="Arial" w:hAnsi="Arial"/>
                <w:sz w:val="18"/>
                <w:szCs w:val="18"/>
                <w:color w:val="auto"/>
              </w:rPr>
              <w:t>12.0%</w:t>
            </w:r>
          </w:p>
        </w:tc>
        <w:tc>
          <w:tcPr>
            <w:tcW w:w="1800" w:type="dxa"/>
            <w:vAlign w:val="bottom"/>
            <w:gridSpan w:val="3"/>
          </w:tcPr>
          <w:p>
            <w:pPr>
              <w:jc w:val="right"/>
              <w:ind w:right="6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Northeast</w:t>
            </w:r>
          </w:p>
        </w:tc>
        <w:tc>
          <w:tcPr>
            <w:tcW w:w="37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28.3%</w:t>
            </w:r>
          </w:p>
        </w:tc>
        <w:tc>
          <w:tcPr>
            <w:tcW w:w="1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3180" w:type="dxa"/>
            <w:vAlign w:val="bottom"/>
          </w:tcPr>
          <w:p>
            <w:pPr>
              <w:ind w:left="440"/>
              <w:spacing w:after="0"/>
              <w:rPr>
                <w:sz w:val="20"/>
                <w:szCs w:val="20"/>
                <w:color w:val="auto"/>
              </w:rPr>
            </w:pPr>
            <w:r>
              <w:rPr>
                <w:rFonts w:ascii="Arial" w:cs="Arial" w:eastAsia="Arial" w:hAnsi="Arial"/>
                <w:sz w:val="18"/>
                <w:szCs w:val="18"/>
                <w:color w:val="auto"/>
              </w:rPr>
              <w:t>South</w:t>
            </w:r>
          </w:p>
        </w:tc>
        <w:tc>
          <w:tcPr>
            <w:tcW w:w="3700" w:type="dxa"/>
            <w:vAlign w:val="bottom"/>
            <w:gridSpan w:val="3"/>
          </w:tcPr>
          <w:p>
            <w:pPr>
              <w:jc w:val="right"/>
              <w:ind w:right="480"/>
              <w:spacing w:after="0"/>
              <w:rPr>
                <w:sz w:val="20"/>
                <w:szCs w:val="20"/>
                <w:color w:val="auto"/>
              </w:rPr>
            </w:pPr>
            <w:r>
              <w:rPr>
                <w:rFonts w:ascii="Arial" w:cs="Arial" w:eastAsia="Arial" w:hAnsi="Arial"/>
                <w:sz w:val="18"/>
                <w:szCs w:val="18"/>
                <w:color w:val="auto"/>
              </w:rPr>
              <w:t>25.7%</w:t>
            </w:r>
          </w:p>
        </w:tc>
        <w:tc>
          <w:tcPr>
            <w:tcW w:w="1800" w:type="dxa"/>
            <w:vAlign w:val="bottom"/>
            <w:gridSpan w:val="3"/>
          </w:tcPr>
          <w:p>
            <w:pPr>
              <w:jc w:val="right"/>
              <w:ind w:right="6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West</w:t>
            </w:r>
          </w:p>
        </w:tc>
        <w:tc>
          <w:tcPr>
            <w:tcW w:w="37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21.3%</w:t>
            </w:r>
          </w:p>
        </w:tc>
        <w:tc>
          <w:tcPr>
            <w:tcW w:w="1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Europe</w:t>
            </w:r>
          </w:p>
        </w:tc>
        <w:tc>
          <w:tcPr>
            <w:tcW w:w="3700" w:type="dxa"/>
            <w:vAlign w:val="bottom"/>
            <w:gridSpan w:val="3"/>
          </w:tcPr>
          <w:p>
            <w:pPr>
              <w:jc w:val="right"/>
              <w:ind w:right="480"/>
              <w:spacing w:after="0"/>
              <w:rPr>
                <w:sz w:val="20"/>
                <w:szCs w:val="20"/>
                <w:color w:val="auto"/>
              </w:rPr>
            </w:pPr>
            <w:r>
              <w:rPr>
                <w:rFonts w:ascii="Arial" w:cs="Arial" w:eastAsia="Arial" w:hAnsi="Arial"/>
                <w:sz w:val="18"/>
                <w:szCs w:val="18"/>
                <w:color w:val="auto"/>
              </w:rPr>
              <w:t>11.4%</w:t>
            </w:r>
          </w:p>
        </w:tc>
        <w:tc>
          <w:tcPr>
            <w:tcW w:w="1800" w:type="dxa"/>
            <w:vAlign w:val="bottom"/>
            <w:gridSpan w:val="3"/>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19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w:t>
            </w:r>
          </w:p>
        </w:tc>
        <w:tc>
          <w:tcPr>
            <w:tcW w:w="5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18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Total</w:t>
            </w:r>
          </w:p>
        </w:tc>
        <w:tc>
          <w:tcPr>
            <w:tcW w:w="19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180" w:type="dxa"/>
            <w:vAlign w:val="bottom"/>
            <w:vMerge w:val="continue"/>
          </w:tcPr>
          <w:p>
            <w:pPr>
              <w:spacing w:after="0"/>
              <w:rPr>
                <w:sz w:val="19"/>
                <w:szCs w:val="19"/>
                <w:color w:val="auto"/>
              </w:rPr>
            </w:pPr>
          </w:p>
        </w:tc>
        <w:tc>
          <w:tcPr>
            <w:tcW w:w="1940" w:type="dxa"/>
            <w:vAlign w:val="bottom"/>
          </w:tcPr>
          <w:p>
            <w:pPr>
              <w:spacing w:after="0"/>
              <w:rPr>
                <w:sz w:val="19"/>
                <w:szCs w:val="19"/>
                <w:color w:val="auto"/>
              </w:rPr>
            </w:pPr>
          </w:p>
        </w:tc>
        <w:tc>
          <w:tcPr>
            <w:tcW w:w="1760" w:type="dxa"/>
            <w:vAlign w:val="bottom"/>
            <w:gridSpan w:val="2"/>
          </w:tcPr>
          <w:p>
            <w:pPr>
              <w:jc w:val="right"/>
              <w:ind w:right="480"/>
              <w:spacing w:after="0"/>
              <w:rPr>
                <w:sz w:val="20"/>
                <w:szCs w:val="20"/>
                <w:color w:val="auto"/>
              </w:rPr>
            </w:pPr>
            <w:r>
              <w:rPr>
                <w:rFonts w:ascii="Arial" w:cs="Arial" w:eastAsia="Arial" w:hAnsi="Arial"/>
                <w:sz w:val="18"/>
                <w:szCs w:val="18"/>
                <w:color w:val="auto"/>
              </w:rPr>
              <w:t>100.0%</w:t>
            </w:r>
          </w:p>
        </w:tc>
        <w:tc>
          <w:tcPr>
            <w:tcW w:w="180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0160" w:firstLine="8"/>
        <w:spacing w:after="0" w:line="391" w:lineRule="auto"/>
        <w:tabs>
          <w:tab w:leader="none" w:pos="176"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Derivatives </w:t>
      </w:r>
      <w:r>
        <w:rPr>
          <w:rFonts w:ascii="Arial" w:cs="Arial" w:eastAsia="Arial" w:hAnsi="Arial"/>
          <w:sz w:val="16"/>
          <w:szCs w:val="16"/>
          <w:i w:val="1"/>
          <w:iCs w:val="1"/>
          <w:color w:val="auto"/>
        </w:rPr>
        <w:t>Foreign Currency</w:t>
      </w:r>
    </w:p>
    <w:p>
      <w:pPr>
        <w:spacing w:after="0" w:line="1"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The Company enters into foreign currency forward contracts from time to time to facilitate settlement of purchases and sales of investments denominated in foreign currencies or to help mitigate the impact that an adverse change in foreign exchange rates would have on the value of the Company’s investments denominated in foreign currencies. A foreign currency forward contract is a commitment to purchase or sell a foreign currency at a future date at a negotiated forward rate. These contracts are marked-to-market by recognizing the difference between the contract exchange rate and the current market rate as unrealized appreciation or depreciation. Realized gains or losses are recognized when contracts are settled. The Company’s foreign currency forward contracts during the nine months ended September 30, 2014 and year ended December 31, 2013 generally had terms of two months or less. Risks may arise as a result of the potential inability of the counterparties to meet the terms of their contracts. The Company attempts to limit this risk by dealing with only creditworthy counterparties.</w:t>
      </w:r>
    </w:p>
    <w:p>
      <w:pPr>
        <w:spacing w:after="0" w:line="105"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During the nine months ended September 30, 2014, the Company settled its foreign currency forward contracts related to its investments in Jeeves Information Systems AB and Soho House Bond Ltd., which in total generated a realized loss of $1.6 million.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2014, details of open foreign currency forward contracts were as follows:</w:t>
      </w:r>
    </w:p>
    <w:p>
      <w:pPr>
        <w:spacing w:after="0" w:line="207"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September 30, 2014</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34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108"/>
              <w:spacing w:after="0" w:line="130" w:lineRule="exact"/>
              <w:rPr>
                <w:sz w:val="20"/>
                <w:szCs w:val="20"/>
                <w:color w:val="auto"/>
              </w:rPr>
            </w:pPr>
            <w:r>
              <w:rPr>
                <w:rFonts w:ascii="Arial" w:cs="Arial" w:eastAsia="Arial" w:hAnsi="Arial"/>
                <w:sz w:val="14"/>
                <w:szCs w:val="14"/>
                <w:b w:val="1"/>
                <w:bCs w:val="1"/>
                <w:color w:val="auto"/>
                <w:w w:val="90"/>
              </w:rPr>
              <w:t>Unrealized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Appreciation</w:t>
            </w: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presented in</w:t>
            </w:r>
          </w:p>
        </w:tc>
        <w:tc>
          <w:tcPr>
            <w:tcW w:w="0" w:type="dxa"/>
            <w:vAlign w:val="bottom"/>
          </w:tcPr>
          <w:p>
            <w:pPr>
              <w:spacing w:after="0"/>
              <w:rPr>
                <w:sz w:val="1"/>
                <w:szCs w:val="1"/>
                <w:color w:val="auto"/>
              </w:rPr>
            </w:pPr>
          </w:p>
        </w:tc>
      </w:tr>
      <w:tr>
        <w:trPr>
          <w:trHeight w:val="149"/>
        </w:trPr>
        <w:tc>
          <w:tcPr>
            <w:tcW w:w="2340" w:type="dxa"/>
            <w:vAlign w:val="bottom"/>
            <w:vMerge w:val="restart"/>
          </w:tcPr>
          <w:p>
            <w:pPr>
              <w:spacing w:after="0"/>
              <w:rPr>
                <w:sz w:val="20"/>
                <w:szCs w:val="20"/>
                <w:color w:val="auto"/>
              </w:rPr>
            </w:pPr>
            <w:r>
              <w:rPr>
                <w:rFonts w:ascii="Arial" w:cs="Arial" w:eastAsia="Arial" w:hAnsi="Arial"/>
                <w:sz w:val="14"/>
                <w:szCs w:val="14"/>
                <w:b w:val="1"/>
                <w:bCs w:val="1"/>
                <w:color w:val="auto"/>
                <w:w w:val="94"/>
              </w:rPr>
              <w:t>Foreign Currency Forward Contracts</w:t>
            </w:r>
          </w:p>
        </w:tc>
        <w:tc>
          <w:tcPr>
            <w:tcW w:w="1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6"/>
              </w:rPr>
              <w:t>Amount (in 000’s)</w:t>
            </w:r>
          </w:p>
        </w:tc>
        <w:tc>
          <w:tcPr>
            <w:tcW w:w="14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USD Value at</w:t>
            </w:r>
          </w:p>
        </w:tc>
        <w:tc>
          <w:tcPr>
            <w:tcW w:w="120" w:type="dxa"/>
            <w:vAlign w:val="bottom"/>
          </w:tcPr>
          <w:p>
            <w:pPr>
              <w:spacing w:after="0"/>
              <w:rPr>
                <w:sz w:val="12"/>
                <w:szCs w:val="12"/>
                <w:color w:val="auto"/>
              </w:rPr>
            </w:pPr>
          </w:p>
        </w:tc>
        <w:tc>
          <w:tcPr>
            <w:tcW w:w="15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USD Value at</w:t>
            </w:r>
          </w:p>
        </w:tc>
        <w:tc>
          <w:tcPr>
            <w:tcW w:w="14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Consolidated Financial</w:t>
            </w:r>
          </w:p>
        </w:tc>
        <w:tc>
          <w:tcPr>
            <w:tcW w:w="0" w:type="dxa"/>
            <w:vAlign w:val="bottom"/>
          </w:tcPr>
          <w:p>
            <w:pPr>
              <w:spacing w:after="0"/>
              <w:rPr>
                <w:sz w:val="1"/>
                <w:szCs w:val="1"/>
                <w:color w:val="auto"/>
              </w:rPr>
            </w:pPr>
          </w:p>
        </w:tc>
      </w:tr>
      <w:tr>
        <w:trPr>
          <w:trHeight w:val="168"/>
        </w:trPr>
        <w:tc>
          <w:tcPr>
            <w:tcW w:w="2340" w:type="dxa"/>
            <w:vAlign w:val="bottom"/>
            <w:tcBorders>
              <w:bottom w:val="single" w:sz="8" w:color="auto"/>
            </w:tcBorders>
            <w:vMerge w:val="continue"/>
          </w:tcPr>
          <w:p>
            <w:pPr>
              <w:spacing w:after="0"/>
              <w:rPr>
                <w:sz w:val="14"/>
                <w:szCs w:val="14"/>
                <w:color w:val="auto"/>
              </w:rPr>
            </w:pPr>
          </w:p>
        </w:tc>
        <w:tc>
          <w:tcPr>
            <w:tcW w:w="1260" w:type="dxa"/>
            <w:vAlign w:val="bottom"/>
          </w:tcPr>
          <w:p>
            <w:pPr>
              <w:spacing w:after="0"/>
              <w:rPr>
                <w:sz w:val="14"/>
                <w:szCs w:val="14"/>
                <w:color w:val="auto"/>
              </w:rPr>
            </w:pPr>
          </w:p>
        </w:tc>
        <w:tc>
          <w:tcPr>
            <w:tcW w:w="1780" w:type="dxa"/>
            <w:vAlign w:val="bottom"/>
            <w:gridSpan w:val="2"/>
          </w:tcPr>
          <w:p>
            <w:pPr>
              <w:ind w:left="180"/>
              <w:spacing w:after="0" w:line="148" w:lineRule="exact"/>
              <w:rPr>
                <w:sz w:val="20"/>
                <w:szCs w:val="20"/>
                <w:color w:val="auto"/>
              </w:rPr>
            </w:pPr>
            <w:r>
              <w:rPr>
                <w:rFonts w:ascii="Arial" w:cs="Arial" w:eastAsia="Arial" w:hAnsi="Arial"/>
                <w:sz w:val="14"/>
                <w:szCs w:val="14"/>
                <w:b w:val="1"/>
                <w:bCs w:val="1"/>
                <w:color w:val="auto"/>
              </w:rPr>
              <w:t>Settlement Date</w:t>
            </w:r>
          </w:p>
        </w:tc>
        <w:tc>
          <w:tcPr>
            <w:tcW w:w="1540" w:type="dxa"/>
            <w:vAlign w:val="bottom"/>
            <w:gridSpan w:val="2"/>
          </w:tcPr>
          <w:p>
            <w:pPr>
              <w:jc w:val="right"/>
              <w:ind w:right="540"/>
              <w:spacing w:after="0" w:line="148" w:lineRule="exact"/>
              <w:rPr>
                <w:sz w:val="20"/>
                <w:szCs w:val="20"/>
                <w:color w:val="auto"/>
              </w:rPr>
            </w:pPr>
            <w:r>
              <w:rPr>
                <w:rFonts w:ascii="Arial" w:cs="Arial" w:eastAsia="Arial" w:hAnsi="Arial"/>
                <w:sz w:val="14"/>
                <w:szCs w:val="14"/>
                <w:b w:val="1"/>
                <w:bCs w:val="1"/>
                <w:color w:val="auto"/>
                <w:w w:val="90"/>
              </w:rPr>
              <w:t>and Transaction</w:t>
            </w:r>
          </w:p>
        </w:tc>
        <w:tc>
          <w:tcPr>
            <w:tcW w:w="14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Settlement Date</w:t>
            </w:r>
          </w:p>
        </w:tc>
        <w:tc>
          <w:tcPr>
            <w:tcW w:w="16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September 30, 2014</w:t>
            </w:r>
          </w:p>
        </w:tc>
        <w:tc>
          <w:tcPr>
            <w:tcW w:w="200" w:type="dxa"/>
            <w:vAlign w:val="bottom"/>
          </w:tcPr>
          <w:p>
            <w:pPr>
              <w:spacing w:after="0"/>
              <w:rPr>
                <w:sz w:val="14"/>
                <w:szCs w:val="14"/>
                <w:color w:val="auto"/>
              </w:rPr>
            </w:pPr>
          </w:p>
        </w:tc>
        <w:tc>
          <w:tcPr>
            <w:tcW w:w="124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84"/>
              </w:rPr>
              <w:t>Statements</w:t>
            </w:r>
          </w:p>
        </w:tc>
        <w:tc>
          <w:tcPr>
            <w:tcW w:w="0" w:type="dxa"/>
            <w:vAlign w:val="bottom"/>
          </w:tcPr>
          <w:p>
            <w:pPr>
              <w:spacing w:after="0"/>
              <w:rPr>
                <w:sz w:val="1"/>
                <w:szCs w:val="1"/>
                <w:color w:val="auto"/>
              </w:rPr>
            </w:pPr>
          </w:p>
        </w:tc>
      </w:tr>
      <w:tr>
        <w:trPr>
          <w:trHeight w:val="203"/>
        </w:trPr>
        <w:tc>
          <w:tcPr>
            <w:tcW w:w="2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Euro (EUR)</w:t>
            </w:r>
          </w:p>
        </w:tc>
        <w:tc>
          <w:tcPr>
            <w:tcW w:w="12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6"/>
              </w:rPr>
              <w:t>October 10, 2014</w:t>
            </w:r>
          </w:p>
        </w:tc>
        <w:tc>
          <w:tcPr>
            <w:tcW w:w="5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2,800 sold</w:t>
            </w:r>
          </w:p>
        </w:tc>
        <w:tc>
          <w:tcPr>
            <w:tcW w:w="5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(3,554)</w:t>
            </w: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(3,537)</w:t>
            </w:r>
          </w:p>
        </w:tc>
        <w:tc>
          <w:tcPr>
            <w:tcW w:w="5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2"/>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details of open foreign currency forward contracts were as follows:</w:t>
      </w:r>
    </w:p>
    <w:p>
      <w:pPr>
        <w:spacing w:after="0" w:line="207"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December 31, 2013</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3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124"/>
              <w:spacing w:after="0" w:line="130" w:lineRule="exact"/>
              <w:rPr>
                <w:sz w:val="20"/>
                <w:szCs w:val="20"/>
                <w:color w:val="auto"/>
              </w:rPr>
            </w:pPr>
            <w:r>
              <w:rPr>
                <w:rFonts w:ascii="Arial" w:cs="Arial" w:eastAsia="Arial" w:hAnsi="Arial"/>
                <w:sz w:val="14"/>
                <w:szCs w:val="14"/>
                <w:b w:val="1"/>
                <w:bCs w:val="1"/>
                <w:color w:val="auto"/>
                <w:w w:val="90"/>
              </w:rPr>
              <w:t>Unrealized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Depreciation</w:t>
            </w: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presented in</w:t>
            </w:r>
          </w:p>
        </w:tc>
        <w:tc>
          <w:tcPr>
            <w:tcW w:w="0" w:type="dxa"/>
            <w:vAlign w:val="bottom"/>
          </w:tcPr>
          <w:p>
            <w:pPr>
              <w:spacing w:after="0"/>
              <w:rPr>
                <w:sz w:val="1"/>
                <w:szCs w:val="1"/>
                <w:color w:val="auto"/>
              </w:rPr>
            </w:pPr>
          </w:p>
        </w:tc>
      </w:tr>
      <w:tr>
        <w:trPr>
          <w:trHeight w:val="149"/>
        </w:trPr>
        <w:tc>
          <w:tcPr>
            <w:tcW w:w="2340" w:type="dxa"/>
            <w:vAlign w:val="bottom"/>
            <w:vMerge w:val="restart"/>
          </w:tcPr>
          <w:p>
            <w:pPr>
              <w:spacing w:after="0"/>
              <w:rPr>
                <w:sz w:val="20"/>
                <w:szCs w:val="20"/>
                <w:color w:val="auto"/>
              </w:rPr>
            </w:pPr>
            <w:r>
              <w:rPr>
                <w:rFonts w:ascii="Arial" w:cs="Arial" w:eastAsia="Arial" w:hAnsi="Arial"/>
                <w:sz w:val="14"/>
                <w:szCs w:val="14"/>
                <w:b w:val="1"/>
                <w:bCs w:val="1"/>
                <w:color w:val="auto"/>
                <w:w w:val="94"/>
              </w:rPr>
              <w:t>Foreign Currency Forward Contracts</w:t>
            </w:r>
          </w:p>
        </w:tc>
        <w:tc>
          <w:tcPr>
            <w:tcW w:w="1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2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5"/>
              </w:rPr>
              <w:t>Amount (in 000’s)</w:t>
            </w:r>
          </w:p>
        </w:tc>
        <w:tc>
          <w:tcPr>
            <w:tcW w:w="12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USD Value at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USD Value at</w:t>
            </w:r>
          </w:p>
        </w:tc>
        <w:tc>
          <w:tcPr>
            <w:tcW w:w="220" w:type="dxa"/>
            <w:vAlign w:val="bottom"/>
          </w:tcPr>
          <w:p>
            <w:pPr>
              <w:spacing w:after="0"/>
              <w:rPr>
                <w:sz w:val="12"/>
                <w:szCs w:val="12"/>
                <w:color w:val="auto"/>
              </w:rPr>
            </w:pPr>
          </w:p>
        </w:tc>
        <w:tc>
          <w:tcPr>
            <w:tcW w:w="14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Consolidated Financial</w:t>
            </w:r>
          </w:p>
        </w:tc>
        <w:tc>
          <w:tcPr>
            <w:tcW w:w="0" w:type="dxa"/>
            <w:vAlign w:val="bottom"/>
          </w:tcPr>
          <w:p>
            <w:pPr>
              <w:spacing w:after="0"/>
              <w:rPr>
                <w:sz w:val="1"/>
                <w:szCs w:val="1"/>
                <w:color w:val="auto"/>
              </w:rPr>
            </w:pPr>
          </w:p>
        </w:tc>
      </w:tr>
      <w:tr>
        <w:trPr>
          <w:trHeight w:val="168"/>
        </w:trPr>
        <w:tc>
          <w:tcPr>
            <w:tcW w:w="2340" w:type="dxa"/>
            <w:vAlign w:val="bottom"/>
            <w:tcBorders>
              <w:bottom w:val="single" w:sz="8" w:color="auto"/>
            </w:tcBorders>
            <w:vMerge w:val="continue"/>
          </w:tcPr>
          <w:p>
            <w:pPr>
              <w:spacing w:after="0"/>
              <w:rPr>
                <w:sz w:val="14"/>
                <w:szCs w:val="14"/>
                <w:color w:val="auto"/>
              </w:rPr>
            </w:pPr>
          </w:p>
        </w:tc>
        <w:tc>
          <w:tcPr>
            <w:tcW w:w="1300" w:type="dxa"/>
            <w:vAlign w:val="bottom"/>
          </w:tcPr>
          <w:p>
            <w:pPr>
              <w:spacing w:after="0"/>
              <w:rPr>
                <w:sz w:val="14"/>
                <w:szCs w:val="14"/>
                <w:color w:val="auto"/>
              </w:rPr>
            </w:pPr>
          </w:p>
        </w:tc>
        <w:tc>
          <w:tcPr>
            <w:tcW w:w="1780" w:type="dxa"/>
            <w:vAlign w:val="bottom"/>
            <w:gridSpan w:val="2"/>
          </w:tcPr>
          <w:p>
            <w:pPr>
              <w:ind w:left="180"/>
              <w:spacing w:after="0" w:line="148" w:lineRule="exact"/>
              <w:rPr>
                <w:sz w:val="20"/>
                <w:szCs w:val="20"/>
                <w:color w:val="auto"/>
              </w:rPr>
            </w:pPr>
            <w:r>
              <w:rPr>
                <w:rFonts w:ascii="Arial" w:cs="Arial" w:eastAsia="Arial" w:hAnsi="Arial"/>
                <w:sz w:val="14"/>
                <w:szCs w:val="14"/>
                <w:b w:val="1"/>
                <w:bCs w:val="1"/>
                <w:color w:val="auto"/>
              </w:rPr>
              <w:t>Settlement Date</w:t>
            </w:r>
          </w:p>
        </w:tc>
        <w:tc>
          <w:tcPr>
            <w:tcW w:w="152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and Transaction</w:t>
            </w:r>
          </w:p>
        </w:tc>
        <w:tc>
          <w:tcPr>
            <w:tcW w:w="122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Settlement Date</w:t>
            </w:r>
          </w:p>
        </w:tc>
        <w:tc>
          <w:tcPr>
            <w:tcW w:w="220" w:type="dxa"/>
            <w:vAlign w:val="bottom"/>
          </w:tcPr>
          <w:p>
            <w:pPr>
              <w:spacing w:after="0"/>
              <w:rPr>
                <w:sz w:val="14"/>
                <w:szCs w:val="14"/>
                <w:color w:val="auto"/>
              </w:rPr>
            </w:pPr>
          </w:p>
        </w:tc>
        <w:tc>
          <w:tcPr>
            <w:tcW w:w="13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December 31, 2013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4"/>
              </w:rPr>
              <w:t>Statements</w:t>
            </w:r>
          </w:p>
        </w:tc>
        <w:tc>
          <w:tcPr>
            <w:tcW w:w="0" w:type="dxa"/>
            <w:vAlign w:val="bottom"/>
          </w:tcPr>
          <w:p>
            <w:pPr>
              <w:spacing w:after="0"/>
              <w:rPr>
                <w:sz w:val="1"/>
                <w:szCs w:val="1"/>
                <w:color w:val="auto"/>
              </w:rPr>
            </w:pPr>
          </w:p>
        </w:tc>
      </w:tr>
      <w:tr>
        <w:trPr>
          <w:trHeight w:val="203"/>
        </w:trPr>
        <w:tc>
          <w:tcPr>
            <w:tcW w:w="2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Swedish Krona (SEK)</w:t>
            </w:r>
          </w:p>
        </w:tc>
        <w:tc>
          <w:tcPr>
            <w:tcW w:w="13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6"/>
              </w:rPr>
              <w:t>January 24, 2014</w:t>
            </w:r>
          </w:p>
        </w:tc>
        <w:tc>
          <w:tcPr>
            <w:tcW w:w="5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188,672 sold</w:t>
            </w:r>
          </w:p>
        </w:tc>
        <w:tc>
          <w:tcPr>
            <w:tcW w:w="4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ind w:left="160"/>
              <w:spacing w:after="0" w:line="203" w:lineRule="exact"/>
              <w:rPr>
                <w:sz w:val="20"/>
                <w:szCs w:val="20"/>
                <w:color w:val="auto"/>
              </w:rPr>
            </w:pPr>
            <w:r>
              <w:rPr>
                <w:rFonts w:ascii="Arial" w:cs="Arial" w:eastAsia="Arial" w:hAnsi="Arial"/>
                <w:sz w:val="18"/>
                <w:szCs w:val="18"/>
                <w:color w:val="auto"/>
                <w:w w:val="77"/>
              </w:rPr>
              <w:t>(28,440)</w:t>
            </w: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w w:val="77"/>
              </w:rPr>
              <w:t>(29,366)</w:t>
            </w: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(926)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Pound Sterling (GBP)</w:t>
            </w:r>
          </w:p>
        </w:tc>
        <w:tc>
          <w:tcPr>
            <w:tcW w:w="1300" w:type="dxa"/>
            <w:vAlign w:val="bottom"/>
          </w:tcPr>
          <w:p>
            <w:pPr>
              <w:spacing w:after="0"/>
              <w:rPr>
                <w:sz w:val="18"/>
                <w:szCs w:val="18"/>
                <w:color w:val="auto"/>
              </w:rPr>
            </w:pPr>
          </w:p>
        </w:tc>
        <w:tc>
          <w:tcPr>
            <w:tcW w:w="1780" w:type="dxa"/>
            <w:vAlign w:val="bottom"/>
            <w:gridSpan w:val="2"/>
          </w:tcPr>
          <w:p>
            <w:pPr>
              <w:ind w:left="60"/>
              <w:spacing w:after="0"/>
              <w:rPr>
                <w:sz w:val="20"/>
                <w:szCs w:val="20"/>
                <w:color w:val="auto"/>
              </w:rPr>
            </w:pPr>
            <w:r>
              <w:rPr>
                <w:rFonts w:ascii="Arial" w:cs="Arial" w:eastAsia="Arial" w:hAnsi="Arial"/>
                <w:sz w:val="18"/>
                <w:szCs w:val="18"/>
                <w:color w:val="auto"/>
              </w:rPr>
              <w:t>January 24, 2014</w:t>
            </w: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7,000 sold</w:t>
            </w:r>
          </w:p>
        </w:tc>
        <w:tc>
          <w:tcPr>
            <w:tcW w:w="240" w:type="dxa"/>
            <w:vAlign w:val="bottom"/>
          </w:tcPr>
          <w:p>
            <w:pPr>
              <w:spacing w:after="0"/>
              <w:rPr>
                <w:sz w:val="18"/>
                <w:szCs w:val="18"/>
                <w:color w:val="auto"/>
              </w:rPr>
            </w:pPr>
          </w:p>
        </w:tc>
        <w:tc>
          <w:tcPr>
            <w:tcW w:w="980" w:type="dxa"/>
            <w:vAlign w:val="bottom"/>
            <w:gridSpan w:val="2"/>
          </w:tcPr>
          <w:p>
            <w:pPr>
              <w:ind w:left="160"/>
              <w:spacing w:after="0"/>
              <w:rPr>
                <w:sz w:val="20"/>
                <w:szCs w:val="20"/>
                <w:color w:val="auto"/>
              </w:rPr>
            </w:pPr>
            <w:r>
              <w:rPr>
                <w:rFonts w:ascii="Arial" w:cs="Arial" w:eastAsia="Arial" w:hAnsi="Arial"/>
                <w:sz w:val="18"/>
                <w:szCs w:val="18"/>
                <w:color w:val="auto"/>
              </w:rPr>
              <w:t>(11,274)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440"/>
              <w:spacing w:after="0"/>
              <w:rPr>
                <w:sz w:val="20"/>
                <w:szCs w:val="20"/>
                <w:color w:val="auto"/>
              </w:rPr>
            </w:pPr>
            <w:r>
              <w:rPr>
                <w:rFonts w:ascii="Arial" w:cs="Arial" w:eastAsia="Arial" w:hAnsi="Arial"/>
                <w:sz w:val="18"/>
                <w:szCs w:val="18"/>
                <w:color w:val="auto"/>
              </w:rPr>
              <w:t>(11,592)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(39,714)</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(40,958)</w:t>
            </w:r>
          </w:p>
        </w:tc>
        <w:tc>
          <w:tcPr>
            <w:tcW w:w="4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All realized and unrealized gains and losses on foreign currency forward contracts are included in earnings (changes in net assets) and are reported as separate line items within the Company’s consolidated statements of operations. Unrealized gains and losses on foreign currency forward contracts are also reported as a separate line item within the Company’s consolidated balance sheet.</w:t>
      </w:r>
    </w:p>
    <w:p>
      <w:pPr>
        <w:spacing w:after="0" w:line="140" w:lineRule="exact"/>
        <w:rPr>
          <w:sz w:val="20"/>
          <w:szCs w:val="20"/>
          <w:color w:val="auto"/>
        </w:rPr>
      </w:pPr>
    </w:p>
    <w:p>
      <w:pPr>
        <w:jc w:val="center"/>
        <w:ind w:left="300" w:right="400"/>
        <w:spacing w:after="0" w:line="440" w:lineRule="auto"/>
        <w:rPr>
          <w:sz w:val="20"/>
          <w:szCs w:val="20"/>
          <w:color w:val="auto"/>
        </w:rPr>
      </w:pPr>
      <w:r>
        <w:rPr>
          <w:rFonts w:ascii="Arial" w:cs="Arial" w:eastAsia="Arial" w:hAnsi="Arial"/>
          <w:sz w:val="18"/>
          <w:szCs w:val="18"/>
          <w:color w:val="auto"/>
        </w:rPr>
        <w:t>The Company has not been required to post cash collateral related to its foreign currency forward contracts, but may be required to do so in the future. 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June 2014, the Company entered into two interest rate swap transactions, each with a $57.5 million notional amount. The Company receives fixed rate interest at 4.50% and pays variable rate interest based on the 3-month London Interbank Offered Rate (“LIBOR”) plus 2.529%. The swap transactions mature on December 15, 2019. For the three and nine months ended September 30, 2014, the Company recognized $1.0 million, and $0.2 million, respectively, in unrealized depreciation on derivatives in the consolidated statement of operations related to the swap transactions. As of September 30, 2014, the swap transactions had a fair value of ($0.2) million, which is netted with $0.2 million of cash collateral posted, and included in payable on interest rate swaps on the Company’s consolidated balance sheet.</w:t>
      </w:r>
    </w:p>
    <w:p>
      <w:pPr>
        <w:spacing w:after="0" w:line="144"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During the three months ended September 30, 2014, the Company received $1.3 million and paid $0.8 million related to the quarterly settlement of its interest rate swaps. This net amount is a reduction to interest expense in the Company’s consolidated statements of operations.</w:t>
      </w:r>
    </w:p>
    <w:p>
      <w:pPr>
        <w:spacing w:after="0" w:line="8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Company is required under the terms of its derivatives agreements to pledge assets as collateral to secure its obligations under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 As of September 30, 2014, $2.4 million of cash is pledged as collateral under the Company’s derivative instruments and is included in restricted cash as a component of other assets on the Company’s consolidated balance sheet. The Company also had an additional $0.2 million of cash collateral posted as of September 30, 2014, which is netted against the fair value of the interest rate swaps and reflected as a payable on the Company’s consolidated balance sheet.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may enter into other derivative instruments and incur other exposures with other counterparties in the future.</w:t>
      </w:r>
    </w:p>
    <w:p>
      <w:pPr>
        <w:spacing w:after="0" w:line="246" w:lineRule="exact"/>
        <w:rPr>
          <w:sz w:val="20"/>
          <w:szCs w:val="20"/>
          <w:color w:val="auto"/>
        </w:rPr>
      </w:pPr>
    </w:p>
    <w:p>
      <w:pPr>
        <w:ind w:right="8540" w:firstLine="8"/>
        <w:spacing w:after="0" w:line="369" w:lineRule="auto"/>
        <w:tabs>
          <w:tab w:leader="none" w:pos="176"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i w:val="1"/>
          <w:iCs w:val="1"/>
          <w:color w:val="auto"/>
        </w:rPr>
        <w:t>Investments</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present fair value measurements of investments as of September 30, 2014 and December 31, 2013.</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20" w:type="dxa"/>
            <w:vAlign w:val="bottom"/>
            <w:gridSpan w:val="11"/>
          </w:tcPr>
          <w:p>
            <w:pPr>
              <w:jc w:val="right"/>
              <w:ind w:right="800"/>
              <w:spacing w:after="0"/>
              <w:rPr>
                <w:sz w:val="20"/>
                <w:szCs w:val="20"/>
                <w:color w:val="auto"/>
              </w:rPr>
            </w:pPr>
            <w:r>
              <w:rPr>
                <w:rFonts w:ascii="Arial" w:cs="Arial" w:eastAsia="Arial" w:hAnsi="Arial"/>
                <w:sz w:val="14"/>
                <w:szCs w:val="14"/>
                <w:b w:val="1"/>
                <w:bCs w:val="1"/>
                <w:color w:val="auto"/>
                <w:w w:val="90"/>
              </w:rPr>
              <w:t>Fair Value Hierarchy at September 30, 2014</w:t>
            </w: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540" w:type="dxa"/>
            <w:vAlign w:val="bottom"/>
            <w:tcBorders>
              <w:top w:val="single" w:sz="8" w:color="auto"/>
            </w:tcBorders>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w w:val="79"/>
              </w:rPr>
              <w:t>Level 1</w:t>
            </w: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4"/>
          </w:tcPr>
          <w:p>
            <w:pPr>
              <w:jc w:val="right"/>
              <w:ind w:right="540"/>
              <w:spacing w:after="0" w:line="142" w:lineRule="exact"/>
              <w:rPr>
                <w:sz w:val="20"/>
                <w:szCs w:val="20"/>
                <w:color w:val="auto"/>
              </w:rPr>
            </w:pPr>
            <w:r>
              <w:rPr>
                <w:rFonts w:ascii="Arial" w:cs="Arial" w:eastAsia="Arial" w:hAnsi="Arial"/>
                <w:sz w:val="14"/>
                <w:szCs w:val="14"/>
                <w:b w:val="1"/>
                <w:bCs w:val="1"/>
                <w:color w:val="auto"/>
              </w:rPr>
              <w:t>Level 2</w:t>
            </w: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15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 —</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   —</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$1,058,256</w:t>
            </w:r>
          </w:p>
        </w:tc>
        <w:tc>
          <w:tcPr>
            <w:tcW w:w="280" w:type="dxa"/>
            <w:vAlign w:val="bottom"/>
            <w:tcBorders>
              <w:top w:val="single" w:sz="8" w:color="CCEEFF"/>
              <w:lef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1,058,256</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040" w:type="dxa"/>
            <w:vAlign w:val="bottom"/>
            <w:gridSpan w:val="4"/>
          </w:tcPr>
          <w:p>
            <w:pPr>
              <w:jc w:val="right"/>
              <w:ind w:right="140"/>
              <w:spacing w:after="0"/>
              <w:rPr>
                <w:sz w:val="20"/>
                <w:szCs w:val="20"/>
                <w:color w:val="auto"/>
              </w:rPr>
            </w:pPr>
            <w:r>
              <w:rPr>
                <w:rFonts w:ascii="Arial" w:cs="Arial" w:eastAsia="Arial" w:hAnsi="Arial"/>
                <w:sz w:val="18"/>
                <w:szCs w:val="18"/>
                <w:color w:val="auto"/>
              </w:rPr>
              <w:t>43,585</w:t>
            </w:r>
          </w:p>
        </w:tc>
        <w:tc>
          <w:tcPr>
            <w:tcW w:w="3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112,909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156,494</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4,687</w:t>
            </w:r>
          </w:p>
        </w:tc>
        <w:tc>
          <w:tcPr>
            <w:tcW w:w="2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4,687</w:t>
            </w:r>
          </w:p>
        </w:tc>
        <w:tc>
          <w:tcPr>
            <w:tcW w:w="0" w:type="dxa"/>
            <w:vAlign w:val="bottom"/>
          </w:tcPr>
          <w:p>
            <w:pPr>
              <w:spacing w:after="0"/>
              <w:rPr>
                <w:sz w:val="1"/>
                <w:szCs w:val="1"/>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gridSpan w:val="2"/>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13,744</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Investments at Fair Value</w:t>
            </w:r>
          </w:p>
        </w:tc>
        <w:tc>
          <w:tcPr>
            <w:tcW w:w="20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 —</w:t>
            </w:r>
          </w:p>
        </w:tc>
        <w:tc>
          <w:tcPr>
            <w:tcW w:w="10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$43,585</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$1,189,596</w:t>
            </w:r>
          </w:p>
        </w:tc>
        <w:tc>
          <w:tcPr>
            <w:tcW w:w="2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1,233,181</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Receivable on foreign currency forward contracts</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040" w:type="dxa"/>
            <w:vAlign w:val="bottom"/>
            <w:gridSpan w:val="4"/>
          </w:tcPr>
          <w:p>
            <w:pPr>
              <w:jc w:val="right"/>
              <w:ind w:right="140"/>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Payable on interest rate swaps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410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1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00" w:type="dxa"/>
            <w:vAlign w:val="bottom"/>
            <w:vMerge w:val="continue"/>
          </w:tcPr>
          <w:p>
            <w:pPr>
              <w:spacing w:after="0"/>
              <w:rPr>
                <w:sz w:val="19"/>
                <w:szCs w:val="19"/>
                <w:color w:val="auto"/>
              </w:rPr>
            </w:pPr>
          </w:p>
        </w:tc>
        <w:tc>
          <w:tcPr>
            <w:tcW w:w="2060" w:type="dxa"/>
            <w:vAlign w:val="bottom"/>
            <w:gridSpan w:val="4"/>
          </w:tcPr>
          <w:p>
            <w:pPr>
              <w:jc w:val="right"/>
              <w:ind w:right="220"/>
              <w:spacing w:after="0"/>
              <w:rPr>
                <w:sz w:val="20"/>
                <w:szCs w:val="20"/>
                <w:color w:val="auto"/>
              </w:rPr>
            </w:pPr>
            <w:r>
              <w:rPr>
                <w:rFonts w:ascii="Arial" w:cs="Arial" w:eastAsia="Arial" w:hAnsi="Arial"/>
                <w:sz w:val="18"/>
                <w:szCs w:val="18"/>
                <w:color w:val="auto"/>
              </w:rPr>
              <w:t>$ —</w:t>
            </w:r>
          </w:p>
        </w:tc>
        <w:tc>
          <w:tcPr>
            <w:tcW w:w="1040" w:type="dxa"/>
            <w:vAlign w:val="bottom"/>
            <w:gridSpan w:val="4"/>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43,580</w:t>
            </w:r>
          </w:p>
        </w:tc>
        <w:tc>
          <w:tcPr>
            <w:tcW w:w="3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1,189,596</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1,233,176</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20" w:type="dxa"/>
            <w:vAlign w:val="bottom"/>
            <w:gridSpan w:val="11"/>
          </w:tcPr>
          <w:p>
            <w:pPr>
              <w:jc w:val="right"/>
              <w:ind w:right="760"/>
              <w:spacing w:after="0"/>
              <w:rPr>
                <w:sz w:val="20"/>
                <w:szCs w:val="20"/>
                <w:color w:val="auto"/>
              </w:rPr>
            </w:pPr>
            <w:r>
              <w:rPr>
                <w:rFonts w:ascii="Arial" w:cs="Arial" w:eastAsia="Arial" w:hAnsi="Arial"/>
                <w:sz w:val="14"/>
                <w:szCs w:val="14"/>
                <w:b w:val="1"/>
                <w:bCs w:val="1"/>
                <w:color w:val="auto"/>
                <w:w w:val="93"/>
              </w:rPr>
              <w:t>Fair Value Hierarchy at December 31, 2013</w:t>
            </w: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Level 1</w:t>
            </w: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3"/>
          </w:tcPr>
          <w:p>
            <w:pPr>
              <w:jc w:val="right"/>
              <w:ind w:right="420"/>
              <w:spacing w:after="0" w:line="142" w:lineRule="exact"/>
              <w:rPr>
                <w:sz w:val="20"/>
                <w:szCs w:val="20"/>
                <w:color w:val="auto"/>
              </w:rPr>
            </w:pPr>
            <w:r>
              <w:rPr>
                <w:rFonts w:ascii="Arial" w:cs="Arial" w:eastAsia="Arial" w:hAnsi="Arial"/>
                <w:sz w:val="14"/>
                <w:szCs w:val="14"/>
                <w:b w:val="1"/>
                <w:bCs w:val="1"/>
                <w:color w:val="auto"/>
                <w:w w:val="96"/>
              </w:rPr>
              <w:t>Level 2</w:t>
            </w: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1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6"/>
              </w:rPr>
              <w:t>$ —</w:t>
            </w:r>
          </w:p>
        </w:tc>
        <w:tc>
          <w:tcPr>
            <w:tcW w:w="46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$22,192</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$854,972</w:t>
            </w:r>
          </w:p>
        </w:tc>
        <w:tc>
          <w:tcPr>
            <w:tcW w:w="280" w:type="dxa"/>
            <w:vAlign w:val="bottom"/>
            <w:tcBorders>
              <w:top w:val="single" w:sz="8" w:color="CCEEFF"/>
              <w:lef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877,164</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gridSpan w:val="5"/>
          </w:tcPr>
          <w:p>
            <w:pPr>
              <w:jc w:val="right"/>
              <w:ind w:right="320"/>
              <w:spacing w:after="0"/>
              <w:rPr>
                <w:sz w:val="20"/>
                <w:szCs w:val="20"/>
                <w:color w:val="auto"/>
              </w:rPr>
            </w:pPr>
            <w:r>
              <w:rPr>
                <w:rFonts w:ascii="Arial" w:cs="Arial" w:eastAsia="Arial" w:hAnsi="Arial"/>
                <w:sz w:val="18"/>
                <w:szCs w:val="18"/>
                <w:color w:val="auto"/>
              </w:rPr>
              <w:t>33,952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103,531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137,483</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Equity investments</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1,804</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Investments at Fair Value</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6"/>
              </w:rPr>
              <w:t>$ —</w:t>
            </w:r>
          </w:p>
        </w:tc>
        <w:tc>
          <w:tcPr>
            <w:tcW w:w="136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$56,144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$960,307</w:t>
            </w:r>
          </w:p>
        </w:tc>
        <w:tc>
          <w:tcPr>
            <w:tcW w:w="2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1,016,451</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Payable on foreign currency forward contracts</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gridSpan w:val="2"/>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rPr>
              <w:t>(1,244)</w:t>
            </w:r>
          </w:p>
        </w:tc>
        <w:tc>
          <w:tcPr>
            <w:tcW w:w="140" w:type="dxa"/>
            <w:vAlign w:val="bottom"/>
          </w:tcPr>
          <w:p>
            <w:pPr>
              <w:spacing w:after="0"/>
              <w:rPr>
                <w:sz w:val="18"/>
                <w:szCs w:val="18"/>
                <w:color w:val="auto"/>
              </w:rPr>
            </w:pPr>
          </w:p>
        </w:tc>
        <w:tc>
          <w:tcPr>
            <w:tcW w:w="9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6"/>
              </w:rPr>
              <w:t>$ —</w:t>
            </w:r>
          </w:p>
        </w:tc>
        <w:tc>
          <w:tcPr>
            <w:tcW w:w="136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54,900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960,307</w:t>
            </w:r>
          </w:p>
        </w:tc>
        <w:tc>
          <w:tcPr>
            <w:tcW w:w="2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1,015,207</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520" w:type="dxa"/>
            <w:vAlign w:val="bottom"/>
            <w:vMerge w:val="restart"/>
          </w:tcPr>
          <w:p>
            <w:pPr>
              <w:jc w:val="right"/>
              <w:ind w:right="652"/>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10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tables present changes in the fair value of investments for which Level 3 inputs were used to determine the fair value as of and for the three and nine months ended September 30, 2014.</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rPr>
              <w:t>As of and for the Three</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0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9"/>
          </w:tcPr>
          <w:p>
            <w:pPr>
              <w:jc w:val="right"/>
              <w:ind w:right="780"/>
              <w:spacing w:after="0"/>
              <w:rPr>
                <w:sz w:val="20"/>
                <w:szCs w:val="20"/>
                <w:color w:val="auto"/>
              </w:rPr>
            </w:pPr>
            <w:r>
              <w:rPr>
                <w:rFonts w:ascii="Arial" w:cs="Arial" w:eastAsia="Arial" w:hAnsi="Arial"/>
                <w:sz w:val="14"/>
                <w:szCs w:val="14"/>
                <w:b w:val="1"/>
                <w:bCs w:val="1"/>
                <w:color w:val="auto"/>
              </w:rPr>
              <w:t>Months Ended September 30, 2014</w:t>
            </w:r>
          </w:p>
        </w:tc>
        <w:tc>
          <w:tcPr>
            <w:tcW w:w="8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91"/>
              </w:rPr>
              <w:t>First-lien</w:t>
            </w:r>
          </w:p>
        </w:tc>
        <w:tc>
          <w:tcPr>
            <w:tcW w:w="200" w:type="dxa"/>
            <w:vAlign w:val="bottom"/>
          </w:tcPr>
          <w:p>
            <w:pPr>
              <w:spacing w:after="0"/>
              <w:rPr>
                <w:sz w:val="11"/>
                <w:szCs w:val="11"/>
                <w:color w:val="auto"/>
              </w:rPr>
            </w:pPr>
          </w:p>
        </w:tc>
        <w:tc>
          <w:tcPr>
            <w:tcW w:w="116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83"/>
              </w:rPr>
              <w:t>Second-lien</w:t>
            </w:r>
          </w:p>
        </w:tc>
        <w:tc>
          <w:tcPr>
            <w:tcW w:w="86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Mezzanine</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520"/>
              <w:spacing w:after="0" w:line="129" w:lineRule="exact"/>
              <w:rPr>
                <w:sz w:val="20"/>
                <w:szCs w:val="20"/>
                <w:color w:val="auto"/>
              </w:rPr>
            </w:pPr>
            <w:r>
              <w:rPr>
                <w:rFonts w:ascii="Arial" w:cs="Arial" w:eastAsia="Arial" w:hAnsi="Arial"/>
                <w:sz w:val="14"/>
                <w:szCs w:val="14"/>
                <w:b w:val="1"/>
                <w:bCs w:val="1"/>
                <w:color w:val="auto"/>
                <w:w w:val="93"/>
              </w:rPr>
              <w:t>Equity</w:t>
            </w: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debt</w:t>
            </w:r>
          </w:p>
        </w:tc>
        <w:tc>
          <w:tcPr>
            <w:tcW w:w="20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debt</w:t>
            </w:r>
          </w:p>
        </w:tc>
        <w:tc>
          <w:tcPr>
            <w:tcW w:w="160" w:type="dxa"/>
            <w:vAlign w:val="bottom"/>
          </w:tcPr>
          <w:p>
            <w:pPr>
              <w:spacing w:after="0"/>
              <w:rPr>
                <w:sz w:val="12"/>
                <w:szCs w:val="12"/>
                <w:color w:val="auto"/>
              </w:rPr>
            </w:pPr>
          </w:p>
        </w:tc>
        <w:tc>
          <w:tcPr>
            <w:tcW w:w="70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debt</w:t>
            </w:r>
          </w:p>
        </w:tc>
        <w:tc>
          <w:tcPr>
            <w:tcW w:w="40" w:type="dxa"/>
            <w:vAlign w:val="bottom"/>
          </w:tcPr>
          <w:p>
            <w:pPr>
              <w:spacing w:after="0"/>
              <w:rPr>
                <w:sz w:val="12"/>
                <w:szCs w:val="12"/>
                <w:color w:val="auto"/>
              </w:rPr>
            </w:pPr>
          </w:p>
        </w:tc>
        <w:tc>
          <w:tcPr>
            <w:tcW w:w="10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and other</w:t>
            </w: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040" w:type="dxa"/>
            <w:vAlign w:val="bottom"/>
          </w:tcPr>
          <w:p>
            <w:pPr>
              <w:spacing w:after="0"/>
              <w:rPr>
                <w:sz w:val="14"/>
                <w:szCs w:val="14"/>
                <w:color w:val="auto"/>
              </w:rPr>
            </w:pPr>
          </w:p>
        </w:tc>
        <w:tc>
          <w:tcPr>
            <w:tcW w:w="10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5"/>
              </w:rPr>
              <w:t>investments</w:t>
            </w:r>
          </w:p>
        </w:tc>
        <w:tc>
          <w:tcPr>
            <w:tcW w:w="200" w:type="dxa"/>
            <w:vAlign w:val="bottom"/>
          </w:tcPr>
          <w:p>
            <w:pPr>
              <w:spacing w:after="0"/>
              <w:rPr>
                <w:sz w:val="14"/>
                <w:szCs w:val="14"/>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3"/>
              </w:rPr>
              <w:t>investments</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4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10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947,985</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$ 102,413</w:t>
            </w: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4,653</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11,377</w:t>
            </w:r>
          </w:p>
        </w:tc>
        <w:tc>
          <w:tcPr>
            <w:tcW w:w="3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$1,066,428</w:t>
            </w: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Purchases</w:t>
            </w:r>
          </w:p>
        </w:tc>
        <w:tc>
          <w:tcPr>
            <w:tcW w:w="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232,741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9,800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2,372</w:t>
            </w:r>
          </w:p>
        </w:tc>
        <w:tc>
          <w:tcPr>
            <w:tcW w:w="3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244,913</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(31,029)</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(31,029)</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(89,082)</w:t>
            </w:r>
          </w:p>
        </w:tc>
        <w:tc>
          <w:tcPr>
            <w:tcW w:w="1360" w:type="dxa"/>
            <w:vAlign w:val="bottom"/>
            <w:gridSpan w:val="3"/>
          </w:tcPr>
          <w:p>
            <w:pPr>
              <w:jc w:val="right"/>
              <w:ind w:right="420"/>
              <w:spacing w:after="0"/>
              <w:rPr>
                <w:sz w:val="20"/>
                <w:szCs w:val="20"/>
                <w:color w:val="auto"/>
              </w:rPr>
            </w:pPr>
            <w:r>
              <w:rPr>
                <w:rFonts w:ascii="Arial" w:cs="Arial" w:eastAsia="Arial" w:hAnsi="Arial"/>
                <w:sz w:val="18"/>
                <w:szCs w:val="18"/>
                <w:color w:val="auto"/>
              </w:rPr>
              <w:t>(603)</w:t>
            </w:r>
          </w:p>
        </w:tc>
        <w:tc>
          <w:tcPr>
            <w:tcW w:w="16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(89,685)</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Net change in unrealized gains (losses)</w:t>
            </w:r>
          </w:p>
        </w:tc>
        <w:tc>
          <w:tcPr>
            <w:tcW w:w="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(5,627)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955</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(5)</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(4,740)</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amortization of discount on securities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3,122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3,227</w:t>
            </w:r>
          </w:p>
        </w:tc>
        <w:tc>
          <w:tcPr>
            <w:tcW w:w="0" w:type="dxa"/>
            <w:vAlign w:val="bottom"/>
          </w:tcPr>
          <w:p>
            <w:pPr>
              <w:spacing w:after="0"/>
              <w:rPr>
                <w:sz w:val="1"/>
                <w:szCs w:val="1"/>
                <w:color w:val="auto"/>
              </w:rPr>
            </w:pPr>
          </w:p>
        </w:tc>
      </w:tr>
      <w:tr>
        <w:trPr>
          <w:trHeight w:val="20"/>
        </w:trPr>
        <w:tc>
          <w:tcPr>
            <w:tcW w:w="504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Balance, End of Period</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1,058,256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$ 112,909</w:t>
            </w:r>
          </w:p>
        </w:tc>
        <w:tc>
          <w:tcPr>
            <w:tcW w:w="4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4,687</w:t>
            </w:r>
          </w:p>
        </w:tc>
        <w:tc>
          <w:tcPr>
            <w:tcW w:w="160" w:type="dxa"/>
            <w:vAlign w:val="bottom"/>
          </w:tcPr>
          <w:p>
            <w:pPr>
              <w:spacing w:after="0"/>
              <w:rPr>
                <w:sz w:val="19"/>
                <w:szCs w:val="19"/>
                <w:color w:val="auto"/>
              </w:rPr>
            </w:pP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13,744</w:t>
            </w:r>
          </w:p>
        </w:tc>
        <w:tc>
          <w:tcPr>
            <w:tcW w:w="38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1,189,596</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ind w:right="396"/>
              <w:spacing w:after="0"/>
              <w:rPr>
                <w:sz w:val="20"/>
                <w:szCs w:val="20"/>
                <w:color w:val="auto"/>
              </w:rPr>
            </w:pPr>
            <w:r>
              <w:rPr>
                <w:rFonts w:ascii="Arial" w:cs="Arial" w:eastAsia="Arial" w:hAnsi="Arial"/>
                <w:sz w:val="18"/>
                <w:szCs w:val="18"/>
                <w:color w:val="auto"/>
                <w:w w:val="99"/>
              </w:rPr>
              <w:t>25</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7"/>
              </w:rPr>
              <w:t>As of and for the Nine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61"/>
        </w:trPr>
        <w:tc>
          <w:tcPr>
            <w:tcW w:w="3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gridSpan w:val="9"/>
          </w:tcPr>
          <w:p>
            <w:pPr>
              <w:jc w:val="center"/>
              <w:ind w:right="560"/>
              <w:spacing w:after="0"/>
              <w:rPr>
                <w:sz w:val="20"/>
                <w:szCs w:val="20"/>
                <w:color w:val="auto"/>
              </w:rPr>
            </w:pPr>
            <w:r>
              <w:rPr>
                <w:rFonts w:ascii="Arial" w:cs="Arial" w:eastAsia="Arial" w:hAnsi="Arial"/>
                <w:sz w:val="14"/>
                <w:szCs w:val="14"/>
                <w:b w:val="1"/>
                <w:bCs w:val="1"/>
                <w:color w:val="auto"/>
                <w:w w:val="86"/>
              </w:rPr>
              <w:t>Months Ended September 30, 2014</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29"/>
        </w:trPr>
        <w:tc>
          <w:tcPr>
            <w:tcW w:w="3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91"/>
              </w:rPr>
              <w:t>First-lien</w:t>
            </w:r>
          </w:p>
        </w:tc>
        <w:tc>
          <w:tcPr>
            <w:tcW w:w="260" w:type="dxa"/>
            <w:vAlign w:val="bottom"/>
          </w:tcPr>
          <w:p>
            <w:pPr>
              <w:spacing w:after="0"/>
              <w:rPr>
                <w:sz w:val="11"/>
                <w:szCs w:val="11"/>
                <w:color w:val="auto"/>
              </w:rPr>
            </w:pPr>
          </w:p>
        </w:tc>
        <w:tc>
          <w:tcPr>
            <w:tcW w:w="78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5"/>
              </w:rPr>
              <w:t>Second-lien</w:t>
            </w:r>
          </w:p>
        </w:tc>
        <w:tc>
          <w:tcPr>
            <w:tcW w:w="460" w:type="dxa"/>
            <w:vAlign w:val="bottom"/>
          </w:tcPr>
          <w:p>
            <w:pPr>
              <w:spacing w:after="0"/>
              <w:rPr>
                <w:sz w:val="11"/>
                <w:szCs w:val="11"/>
                <w:color w:val="auto"/>
              </w:rPr>
            </w:pPr>
          </w:p>
        </w:tc>
        <w:tc>
          <w:tcPr>
            <w:tcW w:w="980" w:type="dxa"/>
            <w:vAlign w:val="bottom"/>
            <w:gridSpan w:val="3"/>
          </w:tcPr>
          <w:p>
            <w:pPr>
              <w:jc w:val="center"/>
              <w:ind w:right="280"/>
              <w:spacing w:after="0" w:line="129" w:lineRule="exact"/>
              <w:rPr>
                <w:sz w:val="20"/>
                <w:szCs w:val="20"/>
                <w:color w:val="auto"/>
              </w:rPr>
            </w:pPr>
            <w:r>
              <w:rPr>
                <w:rFonts w:ascii="Arial" w:cs="Arial" w:eastAsia="Arial" w:hAnsi="Arial"/>
                <w:sz w:val="14"/>
                <w:szCs w:val="14"/>
                <w:b w:val="1"/>
                <w:bCs w:val="1"/>
                <w:color w:val="auto"/>
                <w:w w:val="88"/>
              </w:rPr>
              <w:t>Mezzanine</w:t>
            </w:r>
          </w:p>
        </w:tc>
        <w:tc>
          <w:tcPr>
            <w:tcW w:w="120" w:type="dxa"/>
            <w:vAlign w:val="bottom"/>
          </w:tcPr>
          <w:p>
            <w:pPr>
              <w:spacing w:after="0"/>
              <w:rPr>
                <w:sz w:val="11"/>
                <w:szCs w:val="11"/>
                <w:color w:val="auto"/>
              </w:rPr>
            </w:pPr>
          </w:p>
        </w:tc>
        <w:tc>
          <w:tcPr>
            <w:tcW w:w="114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49"/>
        </w:trPr>
        <w:tc>
          <w:tcPr>
            <w:tcW w:w="3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debt</w:t>
            </w:r>
          </w:p>
        </w:tc>
        <w:tc>
          <w:tcPr>
            <w:tcW w:w="26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1"/>
              </w:rPr>
              <w:t>debt</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debt</w:t>
            </w:r>
          </w:p>
        </w:tc>
        <w:tc>
          <w:tcPr>
            <w:tcW w:w="12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and other</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61"/>
        </w:trPr>
        <w:tc>
          <w:tcPr>
            <w:tcW w:w="3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3"/>
              </w:rPr>
              <w:t>investments</w:t>
            </w:r>
          </w:p>
        </w:tc>
        <w:tc>
          <w:tcPr>
            <w:tcW w:w="26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investments</w:t>
            </w:r>
          </w:p>
        </w:tc>
        <w:tc>
          <w:tcPr>
            <w:tcW w:w="46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100" w:type="dxa"/>
            <w:vAlign w:val="bottom"/>
          </w:tcPr>
          <w:p>
            <w:pPr>
              <w:spacing w:after="0"/>
              <w:rPr>
                <w:sz w:val="14"/>
                <w:szCs w:val="14"/>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Total</w:t>
            </w:r>
          </w:p>
        </w:tc>
      </w:tr>
      <w:tr>
        <w:trPr>
          <w:trHeight w:val="210"/>
        </w:trPr>
        <w:tc>
          <w:tcPr>
            <w:tcW w:w="3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854,972</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$ 103,530</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960,307</w:t>
            </w:r>
          </w:p>
        </w:tc>
        <w:tc>
          <w:tcPr>
            <w:tcW w:w="280" w:type="dxa"/>
            <w:vAlign w:val="bottom"/>
            <w:tcBorders>
              <w:top w:val="single" w:sz="8" w:color="CCEEFF"/>
            </w:tcBorders>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Purchases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584,849</w:t>
            </w:r>
          </w:p>
        </w:tc>
        <w:tc>
          <w:tcPr>
            <w:tcW w:w="3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72,850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4,641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11,745</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674,085</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(82,672)</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(82,672)</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(304,564)</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(66,508)</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(371,072)</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3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718</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1,685</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Net change in unrealized gains (losses)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(5,203)</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70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(4,994)</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2,249</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12,257</w:t>
            </w:r>
          </w:p>
        </w:tc>
      </w:tr>
      <w:tr>
        <w:trPr>
          <w:trHeight w:val="27"/>
        </w:trPr>
        <w:tc>
          <w:tcPr>
            <w:tcW w:w="3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r>
      <w:tr>
        <w:trPr>
          <w:trHeight w:val="216"/>
        </w:trPr>
        <w:tc>
          <w:tcPr>
            <w:tcW w:w="37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Balance, End of Period</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1,058,256</w:t>
            </w:r>
          </w:p>
        </w:tc>
        <w:tc>
          <w:tcPr>
            <w:tcW w:w="3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$ 112,909</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13,744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1,189,596</w:t>
            </w:r>
          </w:p>
        </w:tc>
      </w:tr>
      <w:tr>
        <w:trPr>
          <w:trHeight w:val="20"/>
        </w:trPr>
        <w:tc>
          <w:tcPr>
            <w:tcW w:w="3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tables present changes in the fair value of investments for which Level 3 inputs were used to determine the fair value as of and for the three and nine months ended September 30, 2013.</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88"/>
              </w:rPr>
              <w:t>As of and for the Three</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3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14"/>
          </w:tcPr>
          <w:p>
            <w:pPr>
              <w:jc w:val="center"/>
              <w:ind w:right="740"/>
              <w:spacing w:after="0"/>
              <w:rPr>
                <w:sz w:val="20"/>
                <w:szCs w:val="20"/>
                <w:color w:val="auto"/>
              </w:rPr>
            </w:pPr>
            <w:r>
              <w:rPr>
                <w:rFonts w:ascii="Arial" w:cs="Arial" w:eastAsia="Arial" w:hAnsi="Arial"/>
                <w:sz w:val="14"/>
                <w:szCs w:val="14"/>
                <w:b w:val="1"/>
                <w:bCs w:val="1"/>
                <w:color w:val="auto"/>
                <w:w w:val="86"/>
              </w:rPr>
              <w:t>Months Ended September 30, 2013</w:t>
            </w: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3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00" w:type="dxa"/>
            <w:vAlign w:val="bottom"/>
            <w:gridSpan w:val="3"/>
          </w:tcPr>
          <w:p>
            <w:pPr>
              <w:jc w:val="center"/>
              <w:ind w:right="600"/>
              <w:spacing w:after="0" w:line="129" w:lineRule="exact"/>
              <w:rPr>
                <w:sz w:val="20"/>
                <w:szCs w:val="20"/>
                <w:color w:val="auto"/>
              </w:rPr>
            </w:pPr>
            <w:r>
              <w:rPr>
                <w:rFonts w:ascii="Arial" w:cs="Arial" w:eastAsia="Arial" w:hAnsi="Arial"/>
                <w:sz w:val="14"/>
                <w:szCs w:val="14"/>
                <w:b w:val="1"/>
                <w:bCs w:val="1"/>
                <w:color w:val="auto"/>
                <w:w w:val="91"/>
              </w:rPr>
              <w:t>First-lien</w:t>
            </w:r>
          </w:p>
        </w:tc>
        <w:tc>
          <w:tcPr>
            <w:tcW w:w="20" w:type="dxa"/>
            <w:vAlign w:val="bottom"/>
          </w:tcPr>
          <w:p>
            <w:pPr>
              <w:spacing w:after="0"/>
              <w:rPr>
                <w:sz w:val="11"/>
                <w:szCs w:val="11"/>
                <w:color w:val="auto"/>
              </w:rPr>
            </w:pPr>
          </w:p>
        </w:tc>
        <w:tc>
          <w:tcPr>
            <w:tcW w:w="7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5"/>
              </w:rPr>
              <w:t>Second-lien</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4"/>
          </w:tcPr>
          <w:p>
            <w:pPr>
              <w:ind w:left="40"/>
              <w:spacing w:after="0" w:line="129" w:lineRule="exact"/>
              <w:rPr>
                <w:sz w:val="20"/>
                <w:szCs w:val="20"/>
                <w:color w:val="auto"/>
              </w:rPr>
            </w:pPr>
            <w:r>
              <w:rPr>
                <w:rFonts w:ascii="Arial" w:cs="Arial" w:eastAsia="Arial" w:hAnsi="Arial"/>
                <w:sz w:val="14"/>
                <w:szCs w:val="14"/>
                <w:b w:val="1"/>
                <w:bCs w:val="1"/>
                <w:color w:val="auto"/>
              </w:rPr>
              <w:t>Mezzanine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149"/>
        </w:trPr>
        <w:tc>
          <w:tcPr>
            <w:tcW w:w="3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debt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debt</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debt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Equity</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61"/>
        </w:trPr>
        <w:tc>
          <w:tcPr>
            <w:tcW w:w="3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5"/>
              </w:rPr>
              <w:t>investments</w:t>
            </w:r>
          </w:p>
        </w:tc>
        <w:tc>
          <w:tcPr>
            <w:tcW w:w="2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2"/>
              </w:rPr>
              <w:t>investments</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rPr>
              <w:t>investments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80"/>
              </w:rPr>
              <w:t>investments</w:t>
            </w:r>
          </w:p>
        </w:tc>
        <w:tc>
          <w:tcPr>
            <w:tcW w:w="40" w:type="dxa"/>
            <w:vAlign w:val="bottom"/>
          </w:tcPr>
          <w:p>
            <w:pPr>
              <w:spacing w:after="0"/>
              <w:rPr>
                <w:sz w:val="14"/>
                <w:szCs w:val="14"/>
                <w:color w:val="auto"/>
              </w:rPr>
            </w:pPr>
          </w:p>
        </w:tc>
        <w:tc>
          <w:tcPr>
            <w:tcW w:w="96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Total</w:t>
            </w:r>
          </w:p>
        </w:tc>
      </w:tr>
      <w:tr>
        <w:trPr>
          <w:trHeight w:val="210"/>
        </w:trPr>
        <w:tc>
          <w:tcPr>
            <w:tcW w:w="3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8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$ 692,148</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52,058</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w w:val="79"/>
              </w:rPr>
              <w:t>1,244</w:t>
            </w:r>
          </w:p>
        </w:tc>
        <w:tc>
          <w:tcPr>
            <w:tcW w:w="5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$745,450</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Purchases</w:t>
            </w:r>
          </w:p>
        </w:tc>
        <w:tc>
          <w:tcPr>
            <w:tcW w:w="1580" w:type="dxa"/>
            <w:vAlign w:val="bottom"/>
            <w:gridSpan w:val="4"/>
          </w:tcPr>
          <w:p>
            <w:pPr>
              <w:jc w:val="right"/>
              <w:ind w:right="20"/>
              <w:spacing w:after="0"/>
              <w:rPr>
                <w:sz w:val="20"/>
                <w:szCs w:val="20"/>
                <w:color w:val="auto"/>
              </w:rPr>
            </w:pPr>
            <w:r>
              <w:rPr>
                <w:rFonts w:ascii="Arial" w:cs="Arial" w:eastAsia="Arial" w:hAnsi="Arial"/>
                <w:sz w:val="18"/>
                <w:szCs w:val="18"/>
                <w:color w:val="auto"/>
              </w:rPr>
              <w:t>146,192</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ind w:left="300"/>
              <w:spacing w:after="0"/>
              <w:rPr>
                <w:sz w:val="20"/>
                <w:szCs w:val="20"/>
                <w:color w:val="auto"/>
              </w:rPr>
            </w:pPr>
            <w:r>
              <w:rPr>
                <w:rFonts w:ascii="Arial" w:cs="Arial" w:eastAsia="Arial" w:hAnsi="Arial"/>
                <w:sz w:val="18"/>
                <w:szCs w:val="18"/>
                <w:color w:val="auto"/>
              </w:rPr>
              <w:t>780</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146,972</w:t>
            </w:r>
          </w:p>
        </w:tc>
        <w:tc>
          <w:tcPr>
            <w:tcW w:w="26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2160" w:type="dxa"/>
            <w:vAlign w:val="bottom"/>
            <w:gridSpan w:val="5"/>
          </w:tcPr>
          <w:p>
            <w:pPr>
              <w:jc w:val="right"/>
              <w:ind w:right="540"/>
              <w:spacing w:after="0"/>
              <w:rPr>
                <w:sz w:val="20"/>
                <w:szCs w:val="20"/>
                <w:color w:val="auto"/>
              </w:rPr>
            </w:pPr>
            <w:r>
              <w:rPr>
                <w:rFonts w:ascii="Arial" w:cs="Arial" w:eastAsia="Arial" w:hAnsi="Arial"/>
                <w:sz w:val="18"/>
                <w:szCs w:val="18"/>
                <w:color w:val="auto"/>
              </w:rPr>
              <w:t>(60,664)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(301)</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ind w:right="220"/>
              <w:spacing w:after="0"/>
              <w:rPr>
                <w:sz w:val="20"/>
                <w:szCs w:val="20"/>
                <w:color w:val="auto"/>
              </w:rPr>
            </w:pPr>
            <w:r>
              <w:rPr>
                <w:rFonts w:ascii="Arial" w:cs="Arial" w:eastAsia="Arial" w:hAnsi="Arial"/>
                <w:sz w:val="18"/>
                <w:szCs w:val="18"/>
                <w:color w:val="auto"/>
              </w:rPr>
              <w:t>(60,965)</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15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560</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808</w:t>
            </w:r>
          </w:p>
        </w:tc>
        <w:tc>
          <w:tcPr>
            <w:tcW w:w="26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Net change in unrealized gains (losses)</w:t>
            </w:r>
          </w:p>
        </w:tc>
        <w:tc>
          <w:tcPr>
            <w:tcW w:w="1580" w:type="dxa"/>
            <w:vAlign w:val="bottom"/>
            <w:gridSpan w:val="4"/>
          </w:tcPr>
          <w:p>
            <w:pPr>
              <w:jc w:val="right"/>
              <w:ind w:right="20"/>
              <w:spacing w:after="0"/>
              <w:rPr>
                <w:sz w:val="20"/>
                <w:szCs w:val="20"/>
                <w:color w:val="auto"/>
              </w:rPr>
            </w:pPr>
            <w:r>
              <w:rPr>
                <w:rFonts w:ascii="Arial" w:cs="Arial" w:eastAsia="Arial" w:hAnsi="Arial"/>
                <w:sz w:val="18"/>
                <w:szCs w:val="18"/>
                <w:color w:val="auto"/>
              </w:rPr>
              <w:t>1,993</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ind w:left="240"/>
              <w:spacing w:after="0"/>
              <w:rPr>
                <w:sz w:val="20"/>
                <w:szCs w:val="20"/>
                <w:color w:val="auto"/>
              </w:rPr>
            </w:pPr>
            <w:r>
              <w:rPr>
                <w:rFonts w:ascii="Arial" w:cs="Arial" w:eastAsia="Arial" w:hAnsi="Arial"/>
                <w:sz w:val="18"/>
                <w:szCs w:val="18"/>
                <w:color w:val="auto"/>
              </w:rPr>
              <w:t>(304)</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1,862</w:t>
            </w:r>
          </w:p>
        </w:tc>
        <w:tc>
          <w:tcPr>
            <w:tcW w:w="26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 (losses)</w:t>
            </w: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1580" w:type="dxa"/>
            <w:vAlign w:val="bottom"/>
            <w:gridSpan w:val="4"/>
          </w:tcPr>
          <w:p>
            <w:pPr>
              <w:jc w:val="right"/>
              <w:ind w:right="20"/>
              <w:spacing w:after="0"/>
              <w:rPr>
                <w:sz w:val="20"/>
                <w:szCs w:val="20"/>
                <w:color w:val="auto"/>
              </w:rPr>
            </w:pPr>
            <w:r>
              <w:rPr>
                <w:rFonts w:ascii="Arial" w:cs="Arial" w:eastAsia="Arial" w:hAnsi="Arial"/>
                <w:sz w:val="18"/>
                <w:szCs w:val="18"/>
                <w:color w:val="auto"/>
              </w:rPr>
              <w:t>1,585</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1,644</w:t>
            </w:r>
          </w:p>
        </w:tc>
        <w:tc>
          <w:tcPr>
            <w:tcW w:w="26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Transfers into level 3</w:t>
            </w: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spacing w:after="0"/>
              <w:rPr>
                <w:sz w:val="18"/>
                <w:szCs w:val="18"/>
                <w:color w:val="auto"/>
              </w:rPr>
            </w:pPr>
          </w:p>
        </w:tc>
      </w:tr>
      <w:tr>
        <w:trPr>
          <w:trHeight w:val="222"/>
        </w:trPr>
        <w:tc>
          <w:tcPr>
            <w:tcW w:w="3760" w:type="dxa"/>
            <w:vAlign w:val="bottom"/>
          </w:tcPr>
          <w:p>
            <w:pPr>
              <w:ind w:left="440"/>
              <w:spacing w:after="0"/>
              <w:rPr>
                <w:sz w:val="20"/>
                <w:szCs w:val="20"/>
                <w:color w:val="auto"/>
              </w:rPr>
            </w:pPr>
            <w:r>
              <w:rPr>
                <w:rFonts w:ascii="Arial" w:cs="Arial" w:eastAsia="Arial" w:hAnsi="Arial"/>
                <w:sz w:val="18"/>
                <w:szCs w:val="18"/>
                <w:b w:val="1"/>
                <w:bCs w:val="1"/>
                <w:color w:val="auto"/>
              </w:rPr>
              <w:t>Balance, End of Period</w:t>
            </w:r>
          </w:p>
        </w:tc>
        <w:tc>
          <w:tcPr>
            <w:tcW w:w="860" w:type="dxa"/>
            <w:vAlign w:val="bottom"/>
            <w:gridSpan w:val="2"/>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$ 781,814</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52,237</w:t>
            </w:r>
          </w:p>
        </w:tc>
        <w:tc>
          <w:tcPr>
            <w:tcW w:w="66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8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ind w:left="180"/>
              <w:spacing w:after="0"/>
              <w:rPr>
                <w:sz w:val="20"/>
                <w:szCs w:val="20"/>
                <w:color w:val="auto"/>
              </w:rPr>
            </w:pPr>
            <w:r>
              <w:rPr>
                <w:rFonts w:ascii="Arial" w:cs="Arial" w:eastAsia="Arial" w:hAnsi="Arial"/>
                <w:sz w:val="18"/>
                <w:szCs w:val="18"/>
                <w:color w:val="auto"/>
              </w:rPr>
              <w:t>1,720</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835,771</w:t>
            </w:r>
          </w:p>
        </w:tc>
        <w:tc>
          <w:tcPr>
            <w:tcW w:w="260" w:type="dxa"/>
            <w:vAlign w:val="bottom"/>
          </w:tcPr>
          <w:p>
            <w:pPr>
              <w:spacing w:after="0"/>
              <w:rPr>
                <w:sz w:val="19"/>
                <w:szCs w:val="19"/>
                <w:color w:val="auto"/>
              </w:rPr>
            </w:pPr>
          </w:p>
        </w:tc>
      </w:tr>
      <w:tr>
        <w:trPr>
          <w:trHeight w:val="20"/>
        </w:trPr>
        <w:tc>
          <w:tcPr>
            <w:tcW w:w="3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33"/>
        </w:trPr>
        <w:tc>
          <w:tcPr>
            <w:tcW w:w="3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86"/>
              </w:rPr>
              <w:t>As of and for the Nine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1"/>
        </w:trPr>
        <w:tc>
          <w:tcPr>
            <w:tcW w:w="3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11"/>
          </w:tcPr>
          <w:p>
            <w:pPr>
              <w:jc w:val="center"/>
              <w:ind w:left="236"/>
              <w:spacing w:after="0"/>
              <w:rPr>
                <w:sz w:val="20"/>
                <w:szCs w:val="20"/>
                <w:color w:val="auto"/>
              </w:rPr>
            </w:pPr>
            <w:r>
              <w:rPr>
                <w:rFonts w:ascii="Arial" w:cs="Arial" w:eastAsia="Arial" w:hAnsi="Arial"/>
                <w:sz w:val="14"/>
                <w:szCs w:val="14"/>
                <w:b w:val="1"/>
                <w:bCs w:val="1"/>
                <w:color w:val="auto"/>
                <w:w w:val="87"/>
              </w:rPr>
              <w:t>Months Ended September 30, 2013</w:t>
            </w: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3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00" w:type="dxa"/>
            <w:vAlign w:val="bottom"/>
            <w:gridSpan w:val="3"/>
          </w:tcPr>
          <w:p>
            <w:pPr>
              <w:jc w:val="center"/>
              <w:ind w:right="640"/>
              <w:spacing w:after="0" w:line="129" w:lineRule="exact"/>
              <w:rPr>
                <w:sz w:val="20"/>
                <w:szCs w:val="20"/>
                <w:color w:val="auto"/>
              </w:rPr>
            </w:pPr>
            <w:r>
              <w:rPr>
                <w:rFonts w:ascii="Arial" w:cs="Arial" w:eastAsia="Arial" w:hAnsi="Arial"/>
                <w:sz w:val="14"/>
                <w:szCs w:val="14"/>
                <w:b w:val="1"/>
                <w:bCs w:val="1"/>
                <w:color w:val="auto"/>
                <w:w w:val="91"/>
              </w:rPr>
              <w:t>First-lien</w:t>
            </w:r>
          </w:p>
        </w:tc>
        <w:tc>
          <w:tcPr>
            <w:tcW w:w="800" w:type="dxa"/>
            <w:vAlign w:val="bottom"/>
            <w:gridSpan w:val="4"/>
          </w:tcPr>
          <w:p>
            <w:pPr>
              <w:ind w:left="20"/>
              <w:spacing w:after="0" w:line="129" w:lineRule="exact"/>
              <w:rPr>
                <w:sz w:val="20"/>
                <w:szCs w:val="20"/>
                <w:color w:val="auto"/>
              </w:rPr>
            </w:pPr>
            <w:r>
              <w:rPr>
                <w:rFonts w:ascii="Arial" w:cs="Arial" w:eastAsia="Arial" w:hAnsi="Arial"/>
                <w:sz w:val="14"/>
                <w:szCs w:val="14"/>
                <w:b w:val="1"/>
                <w:bCs w:val="1"/>
                <w:color w:val="auto"/>
                <w:w w:val="95"/>
              </w:rPr>
              <w:t>Second-lien</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4"/>
          </w:tcPr>
          <w:p>
            <w:pPr>
              <w:ind w:left="20"/>
              <w:spacing w:after="0" w:line="129" w:lineRule="exact"/>
              <w:rPr>
                <w:sz w:val="20"/>
                <w:szCs w:val="20"/>
                <w:color w:val="auto"/>
              </w:rPr>
            </w:pPr>
            <w:r>
              <w:rPr>
                <w:rFonts w:ascii="Arial" w:cs="Arial" w:eastAsia="Arial" w:hAnsi="Arial"/>
                <w:sz w:val="14"/>
                <w:szCs w:val="14"/>
                <w:b w:val="1"/>
                <w:bCs w:val="1"/>
                <w:color w:val="auto"/>
              </w:rPr>
              <w:t>Mezzanine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149"/>
        </w:trPr>
        <w:tc>
          <w:tcPr>
            <w:tcW w:w="3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debt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debt</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debt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Equity</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61"/>
        </w:trPr>
        <w:tc>
          <w:tcPr>
            <w:tcW w:w="3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85"/>
              </w:rPr>
              <w:t>investments</w:t>
            </w:r>
          </w:p>
        </w:tc>
        <w:tc>
          <w:tcPr>
            <w:tcW w:w="800" w:type="dxa"/>
            <w:vAlign w:val="bottom"/>
            <w:gridSpan w:val="4"/>
          </w:tcPr>
          <w:p>
            <w:pPr>
              <w:spacing w:after="0"/>
              <w:rPr>
                <w:sz w:val="20"/>
                <w:szCs w:val="20"/>
                <w:color w:val="auto"/>
              </w:rPr>
            </w:pPr>
            <w:r>
              <w:rPr>
                <w:rFonts w:ascii="Arial" w:cs="Arial" w:eastAsia="Arial" w:hAnsi="Arial"/>
                <w:sz w:val="14"/>
                <w:szCs w:val="14"/>
                <w:b w:val="1"/>
                <w:bCs w:val="1"/>
                <w:color w:val="auto"/>
                <w:w w:val="95"/>
              </w:rPr>
              <w:t>investments</w:t>
            </w:r>
          </w:p>
        </w:tc>
        <w:tc>
          <w:tcPr>
            <w:tcW w:w="500" w:type="dxa"/>
            <w:vAlign w:val="bottom"/>
          </w:tcPr>
          <w:p>
            <w:pPr>
              <w:spacing w:after="0"/>
              <w:rPr>
                <w:sz w:val="14"/>
                <w:szCs w:val="14"/>
                <w:color w:val="auto"/>
              </w:rPr>
            </w:pPr>
          </w:p>
        </w:tc>
        <w:tc>
          <w:tcPr>
            <w:tcW w:w="960" w:type="dxa"/>
            <w:vAlign w:val="bottom"/>
            <w:gridSpan w:val="5"/>
          </w:tcPr>
          <w:p>
            <w:pPr>
              <w:spacing w:after="0"/>
              <w:rPr>
                <w:sz w:val="20"/>
                <w:szCs w:val="20"/>
                <w:color w:val="auto"/>
              </w:rPr>
            </w:pPr>
            <w:r>
              <w:rPr>
                <w:rFonts w:ascii="Arial" w:cs="Arial" w:eastAsia="Arial" w:hAnsi="Arial"/>
                <w:sz w:val="14"/>
                <w:szCs w:val="14"/>
                <w:b w:val="1"/>
                <w:bCs w:val="1"/>
                <w:color w:val="auto"/>
              </w:rPr>
              <w:t>investments</w:t>
            </w:r>
          </w:p>
        </w:tc>
        <w:tc>
          <w:tcPr>
            <w:tcW w:w="100" w:type="dxa"/>
            <w:vAlign w:val="bottom"/>
          </w:tcPr>
          <w:p>
            <w:pPr>
              <w:spacing w:after="0"/>
              <w:rPr>
                <w:sz w:val="14"/>
                <w:szCs w:val="14"/>
                <w:color w:val="auto"/>
              </w:rPr>
            </w:pPr>
          </w:p>
        </w:tc>
        <w:tc>
          <w:tcPr>
            <w:tcW w:w="12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80"/>
              </w:rPr>
              <w:t>investments</w:t>
            </w:r>
          </w:p>
        </w:tc>
        <w:tc>
          <w:tcPr>
            <w:tcW w:w="40" w:type="dxa"/>
            <w:vAlign w:val="bottom"/>
          </w:tcPr>
          <w:p>
            <w:pPr>
              <w:spacing w:after="0"/>
              <w:rPr>
                <w:sz w:val="14"/>
                <w:szCs w:val="14"/>
                <w:color w:val="auto"/>
              </w:rPr>
            </w:pPr>
          </w:p>
        </w:tc>
        <w:tc>
          <w:tcPr>
            <w:tcW w:w="96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Total</w:t>
            </w:r>
          </w:p>
        </w:tc>
      </w:tr>
      <w:tr>
        <w:trPr>
          <w:trHeight w:val="210"/>
        </w:trPr>
        <w:tc>
          <w:tcPr>
            <w:tcW w:w="3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8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$ 514,104</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53,190</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$ 569,294</w:t>
            </w:r>
          </w:p>
        </w:tc>
        <w:tc>
          <w:tcPr>
            <w:tcW w:w="260" w:type="dxa"/>
            <w:vAlign w:val="bottom"/>
            <w:tcBorders>
              <w:top w:val="single" w:sz="8" w:color="CCEEFF"/>
            </w:tcBorders>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Purchases</w:t>
            </w:r>
          </w:p>
        </w:tc>
        <w:tc>
          <w:tcPr>
            <w:tcW w:w="1580" w:type="dxa"/>
            <w:vAlign w:val="bottom"/>
            <w:gridSpan w:val="4"/>
          </w:tcPr>
          <w:p>
            <w:pPr>
              <w:jc w:val="right"/>
              <w:ind w:right="20"/>
              <w:spacing w:after="0"/>
              <w:rPr>
                <w:sz w:val="20"/>
                <w:szCs w:val="20"/>
                <w:color w:val="auto"/>
              </w:rPr>
            </w:pPr>
            <w:r>
              <w:rPr>
                <w:rFonts w:ascii="Arial" w:cs="Arial" w:eastAsia="Arial" w:hAnsi="Arial"/>
                <w:sz w:val="18"/>
                <w:szCs w:val="18"/>
                <w:color w:val="auto"/>
              </w:rPr>
              <w:t>389,936</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(180)</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ind w:left="280"/>
              <w:spacing w:after="0"/>
              <w:rPr>
                <w:sz w:val="20"/>
                <w:szCs w:val="20"/>
                <w:color w:val="auto"/>
              </w:rPr>
            </w:pPr>
            <w:r>
              <w:rPr>
                <w:rFonts w:ascii="Arial" w:cs="Arial" w:eastAsia="Arial" w:hAnsi="Arial"/>
                <w:sz w:val="18"/>
                <w:szCs w:val="18"/>
                <w:color w:val="auto"/>
                <w:w w:val="86"/>
              </w:rPr>
              <w:t>780</w:t>
            </w:r>
          </w:p>
        </w:tc>
        <w:tc>
          <w:tcPr>
            <w:tcW w:w="52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390,536</w:t>
            </w:r>
          </w:p>
        </w:tc>
        <w:tc>
          <w:tcPr>
            <w:tcW w:w="26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2160" w:type="dxa"/>
            <w:vAlign w:val="bottom"/>
            <w:gridSpan w:val="5"/>
            <w:shd w:val="clear" w:color="auto" w:fill="CCEEFF"/>
          </w:tcPr>
          <w:p>
            <w:pPr>
              <w:jc w:val="right"/>
              <w:ind w:right="540"/>
              <w:spacing w:after="0"/>
              <w:rPr>
                <w:sz w:val="20"/>
                <w:szCs w:val="20"/>
                <w:color w:val="auto"/>
              </w:rPr>
            </w:pPr>
            <w:r>
              <w:rPr>
                <w:rFonts w:ascii="Arial" w:cs="Arial" w:eastAsia="Arial" w:hAnsi="Arial"/>
                <w:sz w:val="18"/>
                <w:szCs w:val="18"/>
                <w:color w:val="auto"/>
              </w:rPr>
              <w:t>(30,615)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(30,615)</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2160" w:type="dxa"/>
            <w:vAlign w:val="bottom"/>
            <w:gridSpan w:val="5"/>
          </w:tcPr>
          <w:p>
            <w:pPr>
              <w:jc w:val="right"/>
              <w:ind w:right="540"/>
              <w:spacing w:after="0"/>
              <w:rPr>
                <w:sz w:val="20"/>
                <w:szCs w:val="20"/>
                <w:color w:val="auto"/>
              </w:rPr>
            </w:pPr>
            <w:r>
              <w:rPr>
                <w:rFonts w:ascii="Arial" w:cs="Arial" w:eastAsia="Arial" w:hAnsi="Arial"/>
                <w:sz w:val="18"/>
                <w:szCs w:val="18"/>
                <w:color w:val="auto"/>
              </w:rPr>
              <w:t>(129,203)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(3,785)</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ind w:right="220"/>
              <w:spacing w:after="0"/>
              <w:rPr>
                <w:sz w:val="20"/>
                <w:szCs w:val="20"/>
                <w:color w:val="auto"/>
              </w:rPr>
            </w:pPr>
            <w:r>
              <w:rPr>
                <w:rFonts w:ascii="Arial" w:cs="Arial" w:eastAsia="Arial" w:hAnsi="Arial"/>
                <w:sz w:val="18"/>
                <w:szCs w:val="18"/>
                <w:color w:val="auto"/>
                <w:w w:val="98"/>
              </w:rPr>
              <w:t>(132,988)</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15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1,324</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26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Net change in unrealized gains (losses)</w:t>
            </w:r>
          </w:p>
        </w:tc>
        <w:tc>
          <w:tcPr>
            <w:tcW w:w="1580" w:type="dxa"/>
            <w:vAlign w:val="bottom"/>
            <w:gridSpan w:val="4"/>
          </w:tcPr>
          <w:p>
            <w:pPr>
              <w:jc w:val="right"/>
              <w:ind w:right="20"/>
              <w:spacing w:after="0"/>
              <w:rPr>
                <w:sz w:val="20"/>
                <w:szCs w:val="20"/>
                <w:color w:val="auto"/>
              </w:rPr>
            </w:pPr>
            <w:r>
              <w:rPr>
                <w:rFonts w:ascii="Arial" w:cs="Arial" w:eastAsia="Arial" w:hAnsi="Arial"/>
                <w:sz w:val="18"/>
                <w:szCs w:val="18"/>
                <w:color w:val="auto"/>
              </w:rPr>
              <w:t>2,185</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2,056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(1,060)</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3,181</w:t>
            </w:r>
          </w:p>
        </w:tc>
        <w:tc>
          <w:tcPr>
            <w:tcW w:w="26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w:t>
            </w:r>
          </w:p>
        </w:tc>
        <w:tc>
          <w:tcPr>
            <w:tcW w:w="15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142</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6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1580" w:type="dxa"/>
            <w:vAlign w:val="bottom"/>
            <w:gridSpan w:val="4"/>
          </w:tcPr>
          <w:p>
            <w:pPr>
              <w:jc w:val="right"/>
              <w:ind w:right="20"/>
              <w:spacing w:after="0"/>
              <w:rPr>
                <w:sz w:val="20"/>
                <w:szCs w:val="20"/>
                <w:color w:val="auto"/>
              </w:rPr>
            </w:pPr>
            <w:r>
              <w:rPr>
                <w:rFonts w:ascii="Arial" w:cs="Arial" w:eastAsia="Arial" w:hAnsi="Arial"/>
                <w:sz w:val="18"/>
                <w:szCs w:val="18"/>
                <w:color w:val="auto"/>
              </w:rPr>
              <w:t>4,015</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4,235</w:t>
            </w:r>
          </w:p>
        </w:tc>
        <w:tc>
          <w:tcPr>
            <w:tcW w:w="26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Transfers into level 3</w:t>
            </w:r>
          </w:p>
        </w:tc>
        <w:tc>
          <w:tcPr>
            <w:tcW w:w="820" w:type="dxa"/>
            <w:vAlign w:val="bottom"/>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29,926</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spacing w:after="0"/>
              <w:rPr>
                <w:sz w:val="18"/>
                <w:szCs w:val="18"/>
                <w:color w:val="auto"/>
              </w:rPr>
            </w:pP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29,926</w:t>
            </w:r>
          </w:p>
        </w:tc>
        <w:tc>
          <w:tcPr>
            <w:tcW w:w="260" w:type="dxa"/>
            <w:vAlign w:val="bottom"/>
            <w:shd w:val="clear" w:color="auto" w:fill="CCEEFF"/>
          </w:tcPr>
          <w:p>
            <w:pPr>
              <w:spacing w:after="0"/>
              <w:rPr>
                <w:sz w:val="18"/>
                <w:szCs w:val="18"/>
                <w:color w:val="auto"/>
              </w:rPr>
            </w:pPr>
          </w:p>
        </w:tc>
      </w:tr>
      <w:tr>
        <w:trPr>
          <w:trHeight w:val="222"/>
        </w:trPr>
        <w:tc>
          <w:tcPr>
            <w:tcW w:w="3760" w:type="dxa"/>
            <w:vAlign w:val="bottom"/>
          </w:tcPr>
          <w:p>
            <w:pPr>
              <w:ind w:left="440"/>
              <w:spacing w:after="0"/>
              <w:rPr>
                <w:sz w:val="20"/>
                <w:szCs w:val="20"/>
                <w:color w:val="auto"/>
              </w:rPr>
            </w:pPr>
            <w:r>
              <w:rPr>
                <w:rFonts w:ascii="Arial" w:cs="Arial" w:eastAsia="Arial" w:hAnsi="Arial"/>
                <w:sz w:val="18"/>
                <w:szCs w:val="18"/>
                <w:b w:val="1"/>
                <w:bCs w:val="1"/>
                <w:color w:val="auto"/>
              </w:rPr>
              <w:t>Balance, End of Period</w:t>
            </w:r>
          </w:p>
        </w:tc>
        <w:tc>
          <w:tcPr>
            <w:tcW w:w="820" w:type="dxa"/>
            <w:vAlign w:val="bottom"/>
          </w:tcPr>
          <w:p>
            <w:pPr>
              <w:spacing w:after="0"/>
              <w:rPr>
                <w:sz w:val="19"/>
                <w:szCs w:val="19"/>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$ 781,814</w:t>
            </w:r>
          </w:p>
        </w:tc>
        <w:tc>
          <w:tcPr>
            <w:tcW w:w="580" w:type="dxa"/>
            <w:vAlign w:val="bottom"/>
          </w:tcPr>
          <w:p>
            <w:pPr>
              <w:spacing w:after="0"/>
              <w:rPr>
                <w:sz w:val="19"/>
                <w:szCs w:val="19"/>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52,237</w:t>
            </w:r>
          </w:p>
        </w:tc>
        <w:tc>
          <w:tcPr>
            <w:tcW w:w="100" w:type="dxa"/>
            <w:vAlign w:val="bottom"/>
          </w:tcPr>
          <w:p>
            <w:pPr>
              <w:spacing w:after="0"/>
              <w:rPr>
                <w:sz w:val="19"/>
                <w:szCs w:val="19"/>
                <w:color w:val="auto"/>
              </w:rPr>
            </w:pPr>
          </w:p>
        </w:tc>
        <w:tc>
          <w:tcPr>
            <w:tcW w:w="66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80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1,720</w:t>
            </w:r>
          </w:p>
        </w:tc>
        <w:tc>
          <w:tcPr>
            <w:tcW w:w="52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w w:val="89"/>
              </w:rPr>
              <w:t>$ 835,771</w:t>
            </w:r>
          </w:p>
        </w:tc>
        <w:tc>
          <w:tcPr>
            <w:tcW w:w="260" w:type="dxa"/>
            <w:vAlign w:val="bottom"/>
          </w:tcPr>
          <w:p>
            <w:pPr>
              <w:spacing w:after="0"/>
              <w:rPr>
                <w:sz w:val="19"/>
                <w:szCs w:val="19"/>
                <w:color w:val="auto"/>
              </w:rPr>
            </w:pPr>
          </w:p>
        </w:tc>
      </w:tr>
      <w:tr>
        <w:trPr>
          <w:trHeight w:val="20"/>
        </w:trPr>
        <w:tc>
          <w:tcPr>
            <w:tcW w:w="3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58"/>
        </w:trPr>
        <w:tc>
          <w:tcPr>
            <w:tcW w:w="3760" w:type="dxa"/>
            <w:vAlign w:val="bottom"/>
          </w:tcPr>
          <w:p>
            <w:pPr>
              <w:spacing w:after="0"/>
              <w:rPr>
                <w:sz w:val="24"/>
                <w:szCs w:val="24"/>
                <w:color w:val="auto"/>
              </w:rPr>
            </w:pPr>
          </w:p>
        </w:tc>
        <w:tc>
          <w:tcPr>
            <w:tcW w:w="2160" w:type="dxa"/>
            <w:vAlign w:val="bottom"/>
            <w:gridSpan w:val="5"/>
          </w:tcPr>
          <w:p>
            <w:pPr>
              <w:jc w:val="right"/>
              <w:ind w:right="58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1300"/>
          </w:cols>
          <w:pgMar w:left="240" w:top="459" w:right="3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tables present information with respect to net change in unrealized appreciation or depreciation on investments for which Level 3 inputs were used in determining fair value that are still held by the Company at September 30, 2014 and 2013:</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Net Change in Unrealized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Net Change in Unrealized</w:t>
            </w:r>
          </w:p>
        </w:tc>
      </w:tr>
      <w:tr>
        <w:trPr>
          <w:trHeight w:val="149"/>
        </w:trPr>
        <w:tc>
          <w:tcPr>
            <w:tcW w:w="3220" w:type="dxa"/>
            <w:vAlign w:val="bottom"/>
          </w:tcPr>
          <w:p>
            <w:pPr>
              <w:spacing w:after="0"/>
              <w:rPr>
                <w:sz w:val="12"/>
                <w:szCs w:val="12"/>
                <w:color w:val="auto"/>
              </w:rPr>
            </w:pPr>
          </w:p>
        </w:tc>
        <w:tc>
          <w:tcPr>
            <w:tcW w:w="3280" w:type="dxa"/>
            <w:vAlign w:val="bottom"/>
            <w:gridSpan w:val="4"/>
          </w:tcPr>
          <w:p>
            <w:pPr>
              <w:ind w:left="1140"/>
              <w:spacing w:after="0" w:line="149" w:lineRule="exact"/>
              <w:rPr>
                <w:sz w:val="20"/>
                <w:szCs w:val="20"/>
                <w:color w:val="auto"/>
              </w:rPr>
            </w:pPr>
            <w:r>
              <w:rPr>
                <w:rFonts w:ascii="Arial" w:cs="Arial" w:eastAsia="Arial" w:hAnsi="Arial"/>
                <w:sz w:val="14"/>
                <w:szCs w:val="14"/>
                <w:b w:val="1"/>
                <w:bCs w:val="1"/>
                <w:color w:val="auto"/>
              </w:rPr>
              <w:t>Appreciation or (Depreciation)</w:t>
            </w:r>
          </w:p>
        </w:tc>
        <w:tc>
          <w:tcPr>
            <w:tcW w:w="2180" w:type="dxa"/>
            <w:vAlign w:val="bottom"/>
            <w:gridSpan w:val="4"/>
          </w:tcPr>
          <w:p>
            <w:pPr>
              <w:ind w:left="280"/>
              <w:spacing w:after="0" w:line="149" w:lineRule="exact"/>
              <w:rPr>
                <w:sz w:val="20"/>
                <w:szCs w:val="20"/>
                <w:color w:val="auto"/>
              </w:rPr>
            </w:pPr>
            <w:r>
              <w:rPr>
                <w:rFonts w:ascii="Arial" w:cs="Arial" w:eastAsia="Arial" w:hAnsi="Arial"/>
                <w:sz w:val="14"/>
                <w:szCs w:val="14"/>
                <w:b w:val="1"/>
                <w:bCs w:val="1"/>
                <w:color w:val="auto"/>
                <w:w w:val="93"/>
              </w:rPr>
              <w:t>Appreciation or (Depreciation)</w:t>
            </w:r>
          </w:p>
        </w:tc>
      </w:tr>
      <w:tr>
        <w:trPr>
          <w:trHeight w:val="149"/>
        </w:trPr>
        <w:tc>
          <w:tcPr>
            <w:tcW w:w="3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1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for the Three Months Ended</w:t>
            </w:r>
          </w:p>
        </w:tc>
        <w:tc>
          <w:tcPr>
            <w:tcW w:w="280" w:type="dxa"/>
            <w:vAlign w:val="bottom"/>
          </w:tcPr>
          <w:p>
            <w:pPr>
              <w:spacing w:after="0"/>
              <w:rPr>
                <w:sz w:val="12"/>
                <w:szCs w:val="12"/>
                <w:color w:val="auto"/>
              </w:rPr>
            </w:pPr>
          </w:p>
        </w:tc>
        <w:tc>
          <w:tcPr>
            <w:tcW w:w="19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for the Three Months Ended</w:t>
            </w:r>
          </w:p>
        </w:tc>
      </w:tr>
      <w:tr>
        <w:trPr>
          <w:trHeight w:val="149"/>
        </w:trPr>
        <w:tc>
          <w:tcPr>
            <w:tcW w:w="3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September 30, 2014 on</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September 30, 2013 on</w:t>
            </w:r>
          </w:p>
        </w:tc>
      </w:tr>
      <w:tr>
        <w:trPr>
          <w:trHeight w:val="149"/>
        </w:trPr>
        <w:tc>
          <w:tcPr>
            <w:tcW w:w="3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Investments Held at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Investments Held at</w:t>
            </w:r>
          </w:p>
        </w:tc>
      </w:tr>
      <w:tr>
        <w:trPr>
          <w:trHeight w:val="161"/>
        </w:trPr>
        <w:tc>
          <w:tcPr>
            <w:tcW w:w="3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September 30, 2014</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September 30, 2013</w:t>
            </w:r>
          </w:p>
        </w:tc>
      </w:tr>
      <w:tr>
        <w:trPr>
          <w:trHeight w:val="210"/>
        </w:trPr>
        <w:tc>
          <w:tcPr>
            <w:tcW w:w="3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1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(3,463)</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2,938</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955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(305)</w:t>
            </w:r>
          </w:p>
        </w:tc>
      </w:tr>
      <w:tr>
        <w:trPr>
          <w:trHeight w:val="27"/>
        </w:trPr>
        <w:tc>
          <w:tcPr>
            <w:tcW w:w="3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2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(2,577)</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w:t>
            </w:r>
          </w:p>
        </w:tc>
        <w:tc>
          <w:tcPr>
            <w:tcW w:w="120" w:type="dxa"/>
            <w:vAlign w:val="bottom"/>
            <w:shd w:val="clear" w:color="auto" w:fill="CCEEFF"/>
          </w:tcPr>
          <w:p>
            <w:pPr>
              <w:spacing w:after="0"/>
              <w:rPr>
                <w:sz w:val="18"/>
                <w:szCs w:val="18"/>
                <w:color w:val="auto"/>
              </w:rPr>
            </w:pPr>
          </w:p>
        </w:tc>
      </w:tr>
      <w:tr>
        <w:trPr>
          <w:trHeight w:val="20"/>
        </w:trPr>
        <w:tc>
          <w:tcPr>
            <w:tcW w:w="3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32"/>
        </w:trPr>
        <w:tc>
          <w:tcPr>
            <w:tcW w:w="3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Net Change in Unrealized</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Net Change in Unrealized</w:t>
            </w:r>
          </w:p>
        </w:tc>
      </w:tr>
      <w:tr>
        <w:trPr>
          <w:trHeight w:val="149"/>
        </w:trPr>
        <w:tc>
          <w:tcPr>
            <w:tcW w:w="3220" w:type="dxa"/>
            <w:vAlign w:val="bottom"/>
          </w:tcPr>
          <w:p>
            <w:pPr>
              <w:spacing w:after="0"/>
              <w:rPr>
                <w:sz w:val="12"/>
                <w:szCs w:val="12"/>
                <w:color w:val="auto"/>
              </w:rPr>
            </w:pPr>
          </w:p>
        </w:tc>
        <w:tc>
          <w:tcPr>
            <w:tcW w:w="3280" w:type="dxa"/>
            <w:vAlign w:val="bottom"/>
            <w:gridSpan w:val="4"/>
          </w:tcPr>
          <w:p>
            <w:pPr>
              <w:ind w:left="1140"/>
              <w:spacing w:after="0" w:line="149" w:lineRule="exact"/>
              <w:rPr>
                <w:sz w:val="20"/>
                <w:szCs w:val="20"/>
                <w:color w:val="auto"/>
              </w:rPr>
            </w:pPr>
            <w:r>
              <w:rPr>
                <w:rFonts w:ascii="Arial" w:cs="Arial" w:eastAsia="Arial" w:hAnsi="Arial"/>
                <w:sz w:val="14"/>
                <w:szCs w:val="14"/>
                <w:b w:val="1"/>
                <w:bCs w:val="1"/>
                <w:color w:val="auto"/>
              </w:rPr>
              <w:t>Appreciation or (Depreciation)</w:t>
            </w:r>
          </w:p>
        </w:tc>
        <w:tc>
          <w:tcPr>
            <w:tcW w:w="2180" w:type="dxa"/>
            <w:vAlign w:val="bottom"/>
            <w:gridSpan w:val="4"/>
          </w:tcPr>
          <w:p>
            <w:pPr>
              <w:ind w:left="280"/>
              <w:spacing w:after="0" w:line="149" w:lineRule="exact"/>
              <w:rPr>
                <w:sz w:val="20"/>
                <w:szCs w:val="20"/>
                <w:color w:val="auto"/>
              </w:rPr>
            </w:pPr>
            <w:r>
              <w:rPr>
                <w:rFonts w:ascii="Arial" w:cs="Arial" w:eastAsia="Arial" w:hAnsi="Arial"/>
                <w:sz w:val="14"/>
                <w:szCs w:val="14"/>
                <w:b w:val="1"/>
                <w:bCs w:val="1"/>
                <w:color w:val="auto"/>
                <w:w w:val="93"/>
              </w:rPr>
              <w:t>Appreciation or (Depreciation)</w:t>
            </w:r>
          </w:p>
        </w:tc>
      </w:tr>
      <w:tr>
        <w:trPr>
          <w:trHeight w:val="149"/>
        </w:trPr>
        <w:tc>
          <w:tcPr>
            <w:tcW w:w="3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for the Nine Months Ended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for the Nine Months Ended</w:t>
            </w:r>
          </w:p>
        </w:tc>
      </w:tr>
      <w:tr>
        <w:trPr>
          <w:trHeight w:val="149"/>
        </w:trPr>
        <w:tc>
          <w:tcPr>
            <w:tcW w:w="3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September 30, 2014 on</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September 30, 2013 on</w:t>
            </w:r>
          </w:p>
        </w:tc>
      </w:tr>
      <w:tr>
        <w:trPr>
          <w:trHeight w:val="149"/>
        </w:trPr>
        <w:tc>
          <w:tcPr>
            <w:tcW w:w="3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Investments Held at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Investments Held at</w:t>
            </w:r>
          </w:p>
        </w:tc>
      </w:tr>
      <w:tr>
        <w:trPr>
          <w:trHeight w:val="161"/>
        </w:trPr>
        <w:tc>
          <w:tcPr>
            <w:tcW w:w="3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September 30, 2014</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September 30, 2013</w:t>
            </w:r>
          </w:p>
        </w:tc>
      </w:tr>
      <w:tr>
        <w:trPr>
          <w:trHeight w:val="210"/>
        </w:trPr>
        <w:tc>
          <w:tcPr>
            <w:tcW w:w="3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1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2,056</w:t>
            </w:r>
          </w:p>
        </w:tc>
        <w:tc>
          <w:tcPr>
            <w:tcW w:w="12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194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(1,060)</w:t>
            </w:r>
          </w:p>
        </w:tc>
      </w:tr>
      <w:tr>
        <w:trPr>
          <w:trHeight w:val="27"/>
        </w:trPr>
        <w:tc>
          <w:tcPr>
            <w:tcW w:w="3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2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(1,136)</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5,595</w:t>
            </w:r>
          </w:p>
        </w:tc>
        <w:tc>
          <w:tcPr>
            <w:tcW w:w="120" w:type="dxa"/>
            <w:vAlign w:val="bottom"/>
            <w:shd w:val="clear" w:color="auto" w:fill="CCEEFF"/>
          </w:tcPr>
          <w:p>
            <w:pPr>
              <w:spacing w:after="0"/>
              <w:rPr>
                <w:sz w:val="18"/>
                <w:szCs w:val="18"/>
                <w:color w:val="auto"/>
              </w:rPr>
            </w:pPr>
          </w:p>
        </w:tc>
      </w:tr>
      <w:tr>
        <w:trPr>
          <w:trHeight w:val="20"/>
        </w:trPr>
        <w:tc>
          <w:tcPr>
            <w:tcW w:w="3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following tables present the Level 3 Investments at fair value and the significant unobservable inputs used in the valuations as of September 30, 2014 and December 31, 2013. The below tables are not intended to be all-inclusive, but rather to provide information on the significant unobservable inputs and valuation techniques as they relate to the Company’s determination of fair values.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w w:val="85"/>
              </w:rPr>
              <w:t>September 30, 2014</w:t>
            </w:r>
          </w:p>
        </w:tc>
        <w:tc>
          <w:tcPr>
            <w:tcW w:w="20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Impact to Valuation</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Valuation Technique</w:t>
            </w:r>
          </w:p>
        </w:tc>
        <w:tc>
          <w:tcPr>
            <w:tcW w:w="180" w:type="dxa"/>
            <w:vAlign w:val="bottom"/>
          </w:tcPr>
          <w:p>
            <w:pPr>
              <w:spacing w:after="0"/>
              <w:rPr>
                <w:sz w:val="12"/>
                <w:szCs w:val="12"/>
                <w:color w:val="auto"/>
              </w:rPr>
            </w:pPr>
          </w:p>
        </w:tc>
        <w:tc>
          <w:tcPr>
            <w:tcW w:w="16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Unobservable Input</w:t>
            </w:r>
          </w:p>
        </w:tc>
        <w:tc>
          <w:tcPr>
            <w:tcW w:w="2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from an Increase to</w:t>
            </w:r>
          </w:p>
        </w:tc>
        <w:tc>
          <w:tcPr>
            <w:tcW w:w="0" w:type="dxa"/>
            <w:vAlign w:val="bottom"/>
          </w:tcPr>
          <w:p>
            <w:pPr>
              <w:spacing w:after="0"/>
              <w:rPr>
                <w:sz w:val="1"/>
                <w:szCs w:val="1"/>
                <w:color w:val="auto"/>
              </w:rPr>
            </w:pPr>
          </w:p>
        </w:tc>
      </w:tr>
      <w:tr>
        <w:trPr>
          <w:trHeight w:val="161"/>
        </w:trPr>
        <w:tc>
          <w:tcPr>
            <w:tcW w:w="2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2300" w:type="dxa"/>
            <w:vAlign w:val="bottom"/>
            <w:gridSpan w:val="2"/>
          </w:tcPr>
          <w:p>
            <w:pPr>
              <w:ind w:left="240"/>
              <w:spacing w:after="0"/>
              <w:rPr>
                <w:sz w:val="20"/>
                <w:szCs w:val="20"/>
                <w:color w:val="auto"/>
              </w:rPr>
            </w:pPr>
            <w:r>
              <w:rPr>
                <w:rFonts w:ascii="Arial" w:cs="Arial" w:eastAsia="Arial" w:hAnsi="Arial"/>
                <w:sz w:val="14"/>
                <w:szCs w:val="14"/>
                <w:b w:val="1"/>
                <w:bCs w:val="1"/>
                <w:color w:val="auto"/>
              </w:rPr>
              <w:t>Range (Weighted Average)</w:t>
            </w:r>
          </w:p>
        </w:tc>
        <w:tc>
          <w:tcPr>
            <w:tcW w:w="16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Input</w:t>
            </w:r>
          </w:p>
        </w:tc>
        <w:tc>
          <w:tcPr>
            <w:tcW w:w="0" w:type="dxa"/>
            <w:vAlign w:val="bottom"/>
          </w:tcPr>
          <w:p>
            <w:pPr>
              <w:spacing w:after="0"/>
              <w:rPr>
                <w:sz w:val="1"/>
                <w:szCs w:val="1"/>
                <w:color w:val="auto"/>
              </w:rPr>
            </w:pPr>
          </w:p>
        </w:tc>
      </w:tr>
      <w:tr>
        <w:trPr>
          <w:trHeight w:val="210"/>
        </w:trPr>
        <w:tc>
          <w:tcPr>
            <w:tcW w:w="2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1,058,256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Income Approach (1)</w:t>
            </w:r>
          </w:p>
        </w:tc>
        <w:tc>
          <w:tcPr>
            <w:tcW w:w="1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Market Yield</w:t>
            </w:r>
          </w:p>
        </w:tc>
        <w:tc>
          <w:tcPr>
            <w:tcW w:w="2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7.77% — 14.19% (10.28%)</w:t>
            </w:r>
          </w:p>
        </w:tc>
        <w:tc>
          <w:tcPr>
            <w:tcW w:w="2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80"/>
              </w:rPr>
              <w:t>Decrease</w:t>
            </w:r>
          </w:p>
        </w:tc>
        <w:tc>
          <w:tcPr>
            <w:tcW w:w="4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112,909</w:t>
            </w:r>
          </w:p>
        </w:tc>
        <w:tc>
          <w:tcPr>
            <w:tcW w:w="1820" w:type="dxa"/>
            <w:vAlign w:val="bottom"/>
            <w:gridSpan w:val="2"/>
          </w:tcPr>
          <w:p>
            <w:pPr>
              <w:ind w:left="140"/>
              <w:spacing w:after="0"/>
              <w:rPr>
                <w:sz w:val="20"/>
                <w:szCs w:val="20"/>
                <w:color w:val="auto"/>
              </w:rPr>
            </w:pPr>
            <w:r>
              <w:rPr>
                <w:rFonts w:ascii="Arial" w:cs="Arial" w:eastAsia="Arial" w:hAnsi="Arial"/>
                <w:sz w:val="18"/>
                <w:szCs w:val="18"/>
                <w:color w:val="auto"/>
              </w:rPr>
              <w:t>Income Approach</w:t>
            </w:r>
          </w:p>
        </w:tc>
        <w:tc>
          <w:tcPr>
            <w:tcW w:w="1820" w:type="dxa"/>
            <w:vAlign w:val="bottom"/>
            <w:gridSpan w:val="3"/>
          </w:tcPr>
          <w:p>
            <w:pPr>
              <w:ind w:left="180"/>
              <w:spacing w:after="0"/>
              <w:rPr>
                <w:sz w:val="20"/>
                <w:szCs w:val="20"/>
                <w:color w:val="auto"/>
              </w:rPr>
            </w:pPr>
            <w:r>
              <w:rPr>
                <w:rFonts w:ascii="Arial" w:cs="Arial" w:eastAsia="Arial" w:hAnsi="Arial"/>
                <w:sz w:val="18"/>
                <w:szCs w:val="18"/>
                <w:color w:val="auto"/>
              </w:rPr>
              <w:t>Market Yield</w:t>
            </w:r>
          </w:p>
        </w:tc>
        <w:tc>
          <w:tcPr>
            <w:tcW w:w="23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9.99% — 10.56% (10.25%)</w:t>
            </w:r>
          </w:p>
        </w:tc>
        <w:tc>
          <w:tcPr>
            <w:tcW w:w="1600" w:type="dxa"/>
            <w:vAlign w:val="bottom"/>
            <w:gridSpan w:val="2"/>
          </w:tcPr>
          <w:p>
            <w:pPr>
              <w:jc w:val="right"/>
              <w:ind w:right="44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w:t>
            </w:r>
          </w:p>
        </w:tc>
        <w:tc>
          <w:tcPr>
            <w:tcW w:w="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Income Approach</w:t>
            </w:r>
          </w:p>
        </w:tc>
        <w:tc>
          <w:tcPr>
            <w:tcW w:w="18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Market Yield</w:t>
            </w:r>
          </w:p>
        </w:tc>
        <w:tc>
          <w:tcPr>
            <w:tcW w:w="202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rPr>
              <w:t>18.11%</w:t>
            </w: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08"/>
        </w:trPr>
        <w:tc>
          <w:tcPr>
            <w:tcW w:w="248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13,744</w:t>
            </w:r>
          </w:p>
        </w:tc>
        <w:tc>
          <w:tcPr>
            <w:tcW w:w="140" w:type="dxa"/>
            <w:vAlign w:val="bottom"/>
          </w:tcPr>
          <w:p>
            <w:pPr>
              <w:spacing w:after="0"/>
              <w:rPr>
                <w:sz w:val="18"/>
                <w:szCs w:val="18"/>
                <w:color w:val="auto"/>
              </w:rPr>
            </w:pPr>
          </w:p>
        </w:tc>
        <w:tc>
          <w:tcPr>
            <w:tcW w:w="1820" w:type="dxa"/>
            <w:vAlign w:val="bottom"/>
            <w:gridSpan w:val="2"/>
          </w:tcPr>
          <w:p>
            <w:pPr>
              <w:ind w:left="140"/>
              <w:spacing w:after="0"/>
              <w:rPr>
                <w:sz w:val="20"/>
                <w:szCs w:val="20"/>
                <w:color w:val="auto"/>
              </w:rPr>
            </w:pPr>
            <w:r>
              <w:rPr>
                <w:rFonts w:ascii="Arial" w:cs="Arial" w:eastAsia="Arial" w:hAnsi="Arial"/>
                <w:sz w:val="18"/>
                <w:szCs w:val="18"/>
                <w:color w:val="auto"/>
                <w:w w:val="96"/>
              </w:rPr>
              <w:t>EV Market Multiple or</w:t>
            </w:r>
          </w:p>
        </w:tc>
        <w:tc>
          <w:tcPr>
            <w:tcW w:w="1820" w:type="dxa"/>
            <w:vAlign w:val="bottom"/>
            <w:gridSpan w:val="3"/>
          </w:tcPr>
          <w:p>
            <w:pPr>
              <w:ind w:left="180"/>
              <w:spacing w:after="0"/>
              <w:rPr>
                <w:sz w:val="20"/>
                <w:szCs w:val="20"/>
                <w:color w:val="auto"/>
              </w:rPr>
            </w:pPr>
            <w:r>
              <w:rPr>
                <w:rFonts w:ascii="Arial" w:cs="Arial" w:eastAsia="Arial" w:hAnsi="Arial"/>
                <w:sz w:val="18"/>
                <w:szCs w:val="18"/>
                <w:color w:val="auto"/>
              </w:rPr>
              <w:t>EBITDA Multiple</w:t>
            </w:r>
          </w:p>
        </w:tc>
        <w:tc>
          <w:tcPr>
            <w:tcW w:w="2300" w:type="dxa"/>
            <w:vAlign w:val="bottom"/>
            <w:gridSpan w:val="2"/>
          </w:tcPr>
          <w:p>
            <w:pPr>
              <w:ind w:left="220"/>
              <w:spacing w:after="0"/>
              <w:rPr>
                <w:sz w:val="20"/>
                <w:szCs w:val="20"/>
                <w:color w:val="auto"/>
              </w:rPr>
            </w:pPr>
            <w:r>
              <w:rPr>
                <w:rFonts w:ascii="Arial" w:cs="Arial" w:eastAsia="Arial" w:hAnsi="Arial"/>
                <w:sz w:val="18"/>
                <w:szCs w:val="18"/>
                <w:color w:val="auto"/>
              </w:rPr>
              <w:t>12.0x — 19.3x (13.8x) or</w:t>
            </w:r>
          </w:p>
        </w:tc>
        <w:tc>
          <w:tcPr>
            <w:tcW w:w="1600" w:type="dxa"/>
            <w:vAlign w:val="bottom"/>
            <w:gridSpan w:val="2"/>
          </w:tcPr>
          <w:p>
            <w:pPr>
              <w:jc w:val="right"/>
              <w:ind w:right="440"/>
              <w:spacing w:after="0"/>
              <w:rPr>
                <w:sz w:val="20"/>
                <w:szCs w:val="20"/>
                <w:color w:val="auto"/>
              </w:rPr>
            </w:pPr>
            <w:r>
              <w:rPr>
                <w:rFonts w:ascii="Arial" w:cs="Arial" w:eastAsia="Arial" w:hAnsi="Arial"/>
                <w:sz w:val="18"/>
                <w:szCs w:val="18"/>
                <w:color w:val="auto"/>
              </w:rPr>
              <w:t>Increase</w:t>
            </w:r>
          </w:p>
        </w:tc>
        <w:tc>
          <w:tcPr>
            <w:tcW w:w="0" w:type="dxa"/>
            <w:vAlign w:val="bottom"/>
          </w:tcPr>
          <w:p>
            <w:pPr>
              <w:spacing w:after="0"/>
              <w:rPr>
                <w:sz w:val="1"/>
                <w:szCs w:val="1"/>
                <w:color w:val="auto"/>
              </w:rPr>
            </w:pPr>
          </w:p>
        </w:tc>
      </w:tr>
      <w:tr>
        <w:trPr>
          <w:trHeight w:val="222"/>
        </w:trPr>
        <w:tc>
          <w:tcPr>
            <w:tcW w:w="2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tcPr>
          <w:p>
            <w:pPr>
              <w:ind w:left="140"/>
              <w:spacing w:after="0"/>
              <w:rPr>
                <w:sz w:val="20"/>
                <w:szCs w:val="20"/>
                <w:color w:val="auto"/>
              </w:rPr>
            </w:pPr>
            <w:r>
              <w:rPr>
                <w:rFonts w:ascii="Arial" w:cs="Arial" w:eastAsia="Arial" w:hAnsi="Arial"/>
                <w:sz w:val="18"/>
                <w:szCs w:val="18"/>
                <w:color w:val="auto"/>
              </w:rPr>
              <w:t>Yield Analysis (2)</w:t>
            </w:r>
          </w:p>
        </w:tc>
        <w:tc>
          <w:tcPr>
            <w:tcW w:w="1820" w:type="dxa"/>
            <w:vAlign w:val="bottom"/>
            <w:gridSpan w:val="3"/>
          </w:tcPr>
          <w:p>
            <w:pPr>
              <w:ind w:left="180"/>
              <w:spacing w:after="0"/>
              <w:rPr>
                <w:sz w:val="20"/>
                <w:szCs w:val="20"/>
                <w:color w:val="auto"/>
              </w:rPr>
            </w:pPr>
            <w:r>
              <w:rPr>
                <w:rFonts w:ascii="Arial" w:cs="Arial" w:eastAsia="Arial" w:hAnsi="Arial"/>
                <w:sz w:val="18"/>
                <w:szCs w:val="18"/>
                <w:color w:val="auto"/>
              </w:rPr>
              <w:t>or Discount Rate</w:t>
            </w:r>
          </w:p>
        </w:tc>
        <w:tc>
          <w:tcPr>
            <w:tcW w:w="2020" w:type="dxa"/>
            <w:vAlign w:val="bottom"/>
          </w:tcPr>
          <w:p>
            <w:pPr>
              <w:jc w:val="right"/>
              <w:ind w:right="736"/>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9"/>
                <w:szCs w:val="19"/>
                <w:color w:val="auto"/>
              </w:rPr>
            </w:pPr>
          </w:p>
        </w:tc>
        <w:tc>
          <w:tcPr>
            <w:tcW w:w="1600" w:type="dxa"/>
            <w:vAlign w:val="bottom"/>
            <w:gridSpan w:val="2"/>
          </w:tcPr>
          <w:p>
            <w:pPr>
              <w:jc w:val="right"/>
              <w:ind w:right="440"/>
              <w:spacing w:after="0"/>
              <w:rPr>
                <w:sz w:val="20"/>
                <w:szCs w:val="20"/>
                <w:color w:val="auto"/>
              </w:rPr>
            </w:pPr>
            <w:r>
              <w:rPr>
                <w:rFonts w:ascii="Arial" w:cs="Arial" w:eastAsia="Arial" w:hAnsi="Arial"/>
                <w:sz w:val="18"/>
                <w:szCs w:val="18"/>
                <w:color w:val="auto"/>
              </w:rPr>
              <w:t>or Decrease</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440" w:right="800" w:hanging="432"/>
        <w:spacing w:after="0" w:line="254" w:lineRule="auto"/>
        <w:tabs>
          <w:tab w:leader="none" w:pos="388"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$73.7 million of first-lien debt investments which, due to the proximity of the transactions relative to the measurement date, were valued using the cost of the investments.</w:t>
      </w:r>
    </w:p>
    <w:p>
      <w:pPr>
        <w:ind w:left="440" w:right="700" w:hanging="432"/>
        <w:spacing w:after="0" w:line="261" w:lineRule="auto"/>
        <w:tabs>
          <w:tab w:leader="none" w:pos="388"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$2.4 million of equity investments which, due to the proximity of the transactions relative to the measurement date, were valued using the cost of the investments.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w w:val="87"/>
              </w:rPr>
              <w:t>December 31, 2013</w:t>
            </w:r>
          </w:p>
        </w:tc>
        <w:tc>
          <w:tcPr>
            <w:tcW w:w="14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Impact to Valuation</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vMerge w:val="restart"/>
          </w:tcPr>
          <w:p>
            <w:pPr>
              <w:ind w:left="240"/>
              <w:spacing w:after="0"/>
              <w:rPr>
                <w:sz w:val="20"/>
                <w:szCs w:val="20"/>
                <w:color w:val="auto"/>
              </w:rPr>
            </w:pPr>
            <w:r>
              <w:rPr>
                <w:rFonts w:ascii="Arial" w:cs="Arial" w:eastAsia="Arial" w:hAnsi="Arial"/>
                <w:sz w:val="14"/>
                <w:szCs w:val="14"/>
                <w:b w:val="1"/>
                <w:bCs w:val="1"/>
                <w:color w:val="auto"/>
                <w:w w:val="91"/>
              </w:rPr>
              <w:t>Valuation Technique</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Unobservable Input</w:t>
            </w:r>
          </w:p>
        </w:tc>
        <w:tc>
          <w:tcPr>
            <w:tcW w:w="2300" w:type="dxa"/>
            <w:vAlign w:val="bottom"/>
            <w:gridSpan w:val="3"/>
          </w:tcPr>
          <w:p>
            <w:pPr>
              <w:jc w:val="right"/>
              <w:ind w:right="800"/>
              <w:spacing w:after="0" w:line="149" w:lineRule="exact"/>
              <w:rPr>
                <w:sz w:val="20"/>
                <w:szCs w:val="20"/>
                <w:color w:val="auto"/>
              </w:rPr>
            </w:pPr>
            <w:r>
              <w:rPr>
                <w:rFonts w:ascii="Arial" w:cs="Arial" w:eastAsia="Arial" w:hAnsi="Arial"/>
                <w:sz w:val="14"/>
                <w:szCs w:val="14"/>
                <w:b w:val="1"/>
                <w:bCs w:val="1"/>
                <w:color w:val="auto"/>
              </w:rPr>
              <w:t>Range (Weighted</w:t>
            </w:r>
          </w:p>
        </w:tc>
        <w:tc>
          <w:tcPr>
            <w:tcW w:w="16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from an Increase to</w:t>
            </w:r>
          </w:p>
        </w:tc>
        <w:tc>
          <w:tcPr>
            <w:tcW w:w="0" w:type="dxa"/>
            <w:vAlign w:val="bottom"/>
          </w:tcPr>
          <w:p>
            <w:pPr>
              <w:spacing w:after="0"/>
              <w:rPr>
                <w:sz w:val="1"/>
                <w:szCs w:val="1"/>
                <w:color w:val="auto"/>
              </w:rPr>
            </w:pPr>
          </w:p>
        </w:tc>
      </w:tr>
      <w:tr>
        <w:trPr>
          <w:trHeight w:val="161"/>
        </w:trPr>
        <w:tc>
          <w:tcPr>
            <w:tcW w:w="2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36"/>
              <w:spacing w:after="0"/>
              <w:rPr>
                <w:sz w:val="20"/>
                <w:szCs w:val="20"/>
                <w:color w:val="auto"/>
              </w:rPr>
            </w:pPr>
            <w:r>
              <w:rPr>
                <w:rFonts w:ascii="Arial" w:cs="Arial" w:eastAsia="Arial" w:hAnsi="Arial"/>
                <w:sz w:val="14"/>
                <w:szCs w:val="14"/>
                <w:b w:val="1"/>
                <w:bCs w:val="1"/>
                <w:color w:val="auto"/>
                <w:w w:val="89"/>
              </w:rPr>
              <w:t>Fair Value</w:t>
            </w:r>
          </w:p>
        </w:tc>
        <w:tc>
          <w:tcPr>
            <w:tcW w:w="28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440" w:type="dxa"/>
            <w:vAlign w:val="bottom"/>
          </w:tcPr>
          <w:p>
            <w:pPr>
              <w:jc w:val="right"/>
              <w:ind w:right="100"/>
              <w:spacing w:after="0"/>
              <w:rPr>
                <w:sz w:val="20"/>
                <w:szCs w:val="20"/>
                <w:color w:val="auto"/>
              </w:rPr>
            </w:pPr>
            <w:r>
              <w:rPr>
                <w:rFonts w:ascii="Arial" w:cs="Arial" w:eastAsia="Arial" w:hAnsi="Arial"/>
                <w:sz w:val="14"/>
                <w:szCs w:val="14"/>
                <w:b w:val="1"/>
                <w:bCs w:val="1"/>
                <w:color w:val="auto"/>
              </w:rPr>
              <w:t>Average)</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Input</w:t>
            </w:r>
          </w:p>
        </w:tc>
        <w:tc>
          <w:tcPr>
            <w:tcW w:w="0" w:type="dxa"/>
            <w:vAlign w:val="bottom"/>
          </w:tcPr>
          <w:p>
            <w:pPr>
              <w:spacing w:after="0"/>
              <w:rPr>
                <w:sz w:val="1"/>
                <w:szCs w:val="1"/>
                <w:color w:val="auto"/>
              </w:rPr>
            </w:pPr>
          </w:p>
        </w:tc>
      </w:tr>
      <w:tr>
        <w:trPr>
          <w:trHeight w:val="210"/>
        </w:trPr>
        <w:tc>
          <w:tcPr>
            <w:tcW w:w="2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854,972</w:t>
            </w:r>
          </w:p>
        </w:tc>
        <w:tc>
          <w:tcPr>
            <w:tcW w:w="28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Approach</w:t>
            </w:r>
          </w:p>
        </w:tc>
        <w:tc>
          <w:tcPr>
            <w:tcW w:w="1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Market Yield</w:t>
            </w:r>
          </w:p>
        </w:tc>
        <w:tc>
          <w:tcPr>
            <w:tcW w:w="2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5.50% — 13.12%</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(9.81%)</w:t>
            </w:r>
          </w:p>
        </w:tc>
        <w:tc>
          <w:tcPr>
            <w:tcW w:w="2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80"/>
              </w:rPr>
              <w:t>Decrease</w:t>
            </w:r>
          </w:p>
        </w:tc>
        <w:tc>
          <w:tcPr>
            <w:tcW w:w="4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103,531</w:t>
            </w:r>
          </w:p>
        </w:tc>
        <w:tc>
          <w:tcPr>
            <w:tcW w:w="1800" w:type="dxa"/>
            <w:vAlign w:val="bottom"/>
            <w:gridSpan w:val="2"/>
          </w:tcPr>
          <w:p>
            <w:pPr>
              <w:ind w:left="280"/>
              <w:spacing w:after="0"/>
              <w:rPr>
                <w:sz w:val="20"/>
                <w:szCs w:val="20"/>
                <w:color w:val="auto"/>
              </w:rPr>
            </w:pPr>
            <w:r>
              <w:rPr>
                <w:rFonts w:ascii="Arial" w:cs="Arial" w:eastAsia="Arial" w:hAnsi="Arial"/>
                <w:sz w:val="18"/>
                <w:szCs w:val="18"/>
                <w:color w:val="auto"/>
              </w:rPr>
              <w:t>Income Approach</w:t>
            </w:r>
          </w:p>
        </w:tc>
        <w:tc>
          <w:tcPr>
            <w:tcW w:w="160" w:type="dxa"/>
            <w:vAlign w:val="bottom"/>
          </w:tcPr>
          <w:p>
            <w:pPr>
              <w:spacing w:after="0"/>
              <w:rPr>
                <w:sz w:val="18"/>
                <w:szCs w:val="18"/>
                <w:color w:val="auto"/>
              </w:rPr>
            </w:pPr>
          </w:p>
        </w:tc>
        <w:tc>
          <w:tcPr>
            <w:tcW w:w="1820" w:type="dxa"/>
            <w:vAlign w:val="bottom"/>
            <w:gridSpan w:val="3"/>
          </w:tcPr>
          <w:p>
            <w:pPr>
              <w:ind w:left="180"/>
              <w:spacing w:after="0"/>
              <w:rPr>
                <w:sz w:val="20"/>
                <w:szCs w:val="20"/>
                <w:color w:val="auto"/>
              </w:rPr>
            </w:pPr>
            <w:r>
              <w:rPr>
                <w:rFonts w:ascii="Arial" w:cs="Arial" w:eastAsia="Arial" w:hAnsi="Arial"/>
                <w:sz w:val="18"/>
                <w:szCs w:val="18"/>
                <w:color w:val="auto"/>
              </w:rPr>
              <w:t>Market Yield</w:t>
            </w:r>
          </w:p>
        </w:tc>
        <w:tc>
          <w:tcPr>
            <w:tcW w:w="1440" w:type="dxa"/>
            <w:vAlign w:val="bottom"/>
          </w:tcPr>
          <w:p>
            <w:pPr>
              <w:jc w:val="right"/>
              <w:spacing w:after="0"/>
              <w:rPr>
                <w:sz w:val="20"/>
                <w:szCs w:val="20"/>
                <w:color w:val="auto"/>
              </w:rPr>
            </w:pPr>
            <w:r>
              <w:rPr>
                <w:rFonts w:ascii="Arial" w:cs="Arial" w:eastAsia="Arial" w:hAnsi="Arial"/>
                <w:sz w:val="18"/>
                <w:szCs w:val="18"/>
                <w:color w:val="auto"/>
              </w:rPr>
              <w:t>9.32% — 9.87%</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(9.59%)</w:t>
            </w:r>
          </w:p>
        </w:tc>
        <w:tc>
          <w:tcPr>
            <w:tcW w:w="1600" w:type="dxa"/>
            <w:vAlign w:val="bottom"/>
            <w:gridSpan w:val="2"/>
          </w:tcPr>
          <w:p>
            <w:pPr>
              <w:ind w:left="52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480" w:type="dxa"/>
            <w:vAlign w:val="bottom"/>
          </w:tcPr>
          <w:p>
            <w:pPr>
              <w:spacing w:after="0"/>
              <w:rPr>
                <w:sz w:val="20"/>
                <w:szCs w:val="20"/>
                <w:color w:val="auto"/>
              </w:rPr>
            </w:pPr>
            <w:r>
              <w:rPr>
                <w:rFonts w:ascii="Arial" w:cs="Arial" w:eastAsia="Arial" w:hAnsi="Arial"/>
                <w:sz w:val="18"/>
                <w:szCs w:val="18"/>
                <w:color w:val="auto"/>
              </w:rPr>
              <w:t>Equity investments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1,804</w:t>
            </w:r>
          </w:p>
        </w:tc>
        <w:tc>
          <w:tcPr>
            <w:tcW w:w="1800" w:type="dxa"/>
            <w:vAlign w:val="bottom"/>
            <w:gridSpan w:val="2"/>
          </w:tcPr>
          <w:p>
            <w:pPr>
              <w:ind w:left="280"/>
              <w:spacing w:after="0"/>
              <w:rPr>
                <w:sz w:val="20"/>
                <w:szCs w:val="20"/>
                <w:color w:val="auto"/>
              </w:rPr>
            </w:pPr>
            <w:r>
              <w:rPr>
                <w:rFonts w:ascii="Arial" w:cs="Arial" w:eastAsia="Arial" w:hAnsi="Arial"/>
                <w:sz w:val="18"/>
                <w:szCs w:val="18"/>
                <w:color w:val="auto"/>
              </w:rPr>
              <w:t>Income Approach</w:t>
            </w:r>
          </w:p>
        </w:tc>
        <w:tc>
          <w:tcPr>
            <w:tcW w:w="160" w:type="dxa"/>
            <w:vAlign w:val="bottom"/>
          </w:tcPr>
          <w:p>
            <w:pPr>
              <w:spacing w:after="0"/>
              <w:rPr>
                <w:sz w:val="18"/>
                <w:szCs w:val="18"/>
                <w:color w:val="auto"/>
              </w:rPr>
            </w:pPr>
          </w:p>
        </w:tc>
        <w:tc>
          <w:tcPr>
            <w:tcW w:w="1820" w:type="dxa"/>
            <w:vAlign w:val="bottom"/>
            <w:gridSpan w:val="3"/>
          </w:tcPr>
          <w:p>
            <w:pPr>
              <w:ind w:left="180"/>
              <w:spacing w:after="0"/>
              <w:rPr>
                <w:sz w:val="20"/>
                <w:szCs w:val="20"/>
                <w:color w:val="auto"/>
              </w:rPr>
            </w:pPr>
            <w:r>
              <w:rPr>
                <w:rFonts w:ascii="Arial" w:cs="Arial" w:eastAsia="Arial" w:hAnsi="Arial"/>
                <w:sz w:val="18"/>
                <w:szCs w:val="18"/>
                <w:color w:val="auto"/>
              </w:rPr>
              <w:t>Weighted</w:t>
            </w:r>
          </w:p>
        </w:tc>
        <w:tc>
          <w:tcPr>
            <w:tcW w:w="1440" w:type="dxa"/>
            <w:vAlign w:val="bottom"/>
          </w:tcPr>
          <w:p>
            <w:pPr>
              <w:jc w:val="right"/>
              <w:spacing w:after="0"/>
              <w:rPr>
                <w:sz w:val="20"/>
                <w:szCs w:val="20"/>
                <w:color w:val="auto"/>
              </w:rPr>
            </w:pPr>
            <w:r>
              <w:rPr>
                <w:rFonts w:ascii="Arial" w:cs="Arial" w:eastAsia="Arial" w:hAnsi="Arial"/>
                <w:sz w:val="18"/>
                <w:szCs w:val="18"/>
                <w:color w:val="auto"/>
              </w:rPr>
              <w:t>12.1% — 15.3%</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(14.0%)</w:t>
            </w:r>
          </w:p>
        </w:tc>
        <w:tc>
          <w:tcPr>
            <w:tcW w:w="1600" w:type="dxa"/>
            <w:vAlign w:val="bottom"/>
            <w:gridSpan w:val="2"/>
          </w:tcPr>
          <w:p>
            <w:pPr>
              <w:ind w:left="52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3"/>
          </w:tcPr>
          <w:p>
            <w:pPr>
              <w:ind w:left="180"/>
              <w:spacing w:after="0"/>
              <w:rPr>
                <w:sz w:val="20"/>
                <w:szCs w:val="20"/>
                <w:color w:val="auto"/>
              </w:rPr>
            </w:pPr>
            <w:r>
              <w:rPr>
                <w:rFonts w:ascii="Arial" w:cs="Arial" w:eastAsia="Arial" w:hAnsi="Arial"/>
                <w:sz w:val="18"/>
                <w:szCs w:val="18"/>
                <w:color w:val="auto"/>
              </w:rPr>
              <w:t>Average Cost of</w:t>
            </w:r>
          </w:p>
        </w:tc>
        <w:tc>
          <w:tcPr>
            <w:tcW w:w="1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gridSpan w:val="3"/>
          </w:tcPr>
          <w:p>
            <w:pPr>
              <w:ind w:left="180"/>
              <w:spacing w:after="0"/>
              <w:rPr>
                <w:sz w:val="20"/>
                <w:szCs w:val="20"/>
                <w:color w:val="auto"/>
              </w:rPr>
            </w:pPr>
            <w:r>
              <w:rPr>
                <w:rFonts w:ascii="Arial" w:cs="Arial" w:eastAsia="Arial" w:hAnsi="Arial"/>
                <w:sz w:val="18"/>
                <w:szCs w:val="18"/>
                <w:color w:val="auto"/>
              </w:rPr>
              <w:t>Capital (WACC)</w:t>
            </w:r>
          </w:p>
        </w:tc>
        <w:tc>
          <w:tcPr>
            <w:tcW w:w="1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2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43"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Significant unobservable quantitative inputs typically used in the fair value measurement of the Company’s Level 3 debt investments primarily include current market yields, including relevant market indices, but may also include quotes from brokers, dealers, and pricing services as indicated by comparable investments. For the Company’s Level 3 equity investments, multiples of similar companies’ revenues, earnings before income taxes, depreciation and amortization (“EBITDA”) or some combination thereof and comparable market transactions are typically used.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fair value of the Company’s revolving credit facilities, which are categorized as Level 3 within the fair value hierarchy, as of September 30, 2014 and December 31, 2013, approximates their carrying value as the outstanding balances are callable at carrying value. The fair value of the Company’s Convertible Senior Notes, which is categorized as Level 2 within the fair value hierarchy, as of September 30, 2014, is $111.1 million, based on broker quotes received by the Company.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Other Financial Assets and Liabilities</w:t>
      </w:r>
    </w:p>
    <w:p>
      <w:pPr>
        <w:spacing w:after="0" w:line="90"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The carrying amounts of the Company’s assets and liabilities, other than investments at fair value,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debt, are classified as Level 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accordance with the 1940 Act, with certain limitations, the Company is allowed to borrow amounts such that its asset coverage, as defined in the 1940 Act, is at least 200% after such borrowing. As of September 30, 2014 and December 31, 2013, the Company’s asset coverage was 319.5% and 232.9%, respectively.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consisted of the following as of September 30, 2014 and December 31, 2013:</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September 30, 2014</w:t>
            </w: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29"/>
        </w:trPr>
        <w:tc>
          <w:tcPr>
            <w:tcW w:w="4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86"/>
              </w:rPr>
              <w:t>Aggregate Principal</w:t>
            </w:r>
          </w:p>
        </w:tc>
        <w:tc>
          <w:tcPr>
            <w:tcW w:w="540" w:type="dxa"/>
            <w:vAlign w:val="bottom"/>
          </w:tcPr>
          <w:p>
            <w:pPr>
              <w:spacing w:after="0"/>
              <w:rPr>
                <w:sz w:val="11"/>
                <w:szCs w:val="11"/>
                <w:color w:val="auto"/>
              </w:rPr>
            </w:pP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Outstanding</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ind w:right="57"/>
              <w:spacing w:after="0" w:line="129" w:lineRule="exact"/>
              <w:rPr>
                <w:sz w:val="20"/>
                <w:szCs w:val="20"/>
                <w:color w:val="auto"/>
              </w:rPr>
            </w:pPr>
            <w:r>
              <w:rPr>
                <w:rFonts w:ascii="Arial" w:cs="Arial" w:eastAsia="Arial" w:hAnsi="Arial"/>
                <w:sz w:val="14"/>
                <w:szCs w:val="14"/>
                <w:b w:val="1"/>
                <w:bCs w:val="1"/>
                <w:color w:val="auto"/>
                <w:w w:val="86"/>
              </w:rPr>
              <w:t>Amount</w:t>
            </w:r>
          </w:p>
        </w:tc>
        <w:tc>
          <w:tcPr>
            <w:tcW w:w="32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87"/>
              </w:rPr>
              <w:t>Amount Committed</w:t>
            </w:r>
          </w:p>
        </w:tc>
        <w:tc>
          <w:tcPr>
            <w:tcW w:w="5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56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Available (1)</w:t>
            </w:r>
          </w:p>
        </w:tc>
        <w:tc>
          <w:tcPr>
            <w:tcW w:w="100" w:type="dxa"/>
            <w:vAlign w:val="bottom"/>
          </w:tcPr>
          <w:p>
            <w:pPr>
              <w:spacing w:after="0"/>
              <w:rPr>
                <w:sz w:val="14"/>
                <w:szCs w:val="14"/>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4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SPV Asset Facility</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$ 108,725</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42,341</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108,725</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Revolving Credit Facility (2)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781,250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161,664</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476,036</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161,664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Convertible Senior Notes</w:t>
            </w: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115,000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115,000</w:t>
            </w: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111,788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60" w:type="dxa"/>
            <w:vAlign w:val="bottom"/>
          </w:tcPr>
          <w:p>
            <w:pPr>
              <w:ind w:left="440"/>
              <w:spacing w:after="0"/>
              <w:rPr>
                <w:sz w:val="20"/>
                <w:szCs w:val="20"/>
                <w:color w:val="auto"/>
              </w:rPr>
            </w:pPr>
            <w:r>
              <w:rPr>
                <w:rFonts w:ascii="Arial" w:cs="Arial" w:eastAsia="Arial" w:hAnsi="Arial"/>
                <w:sz w:val="18"/>
                <w:szCs w:val="18"/>
                <w:b w:val="1"/>
                <w:bCs w:val="1"/>
                <w:color w:val="auto"/>
              </w:rPr>
              <w:t>Total</w:t>
            </w: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1,071,250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$ 385,389</w:t>
            </w:r>
          </w:p>
        </w:tc>
        <w:tc>
          <w:tcPr>
            <w:tcW w:w="1620" w:type="dxa"/>
            <w:vAlign w:val="bottom"/>
            <w:gridSpan w:val="4"/>
          </w:tcPr>
          <w:p>
            <w:pPr>
              <w:jc w:val="right"/>
              <w:ind w:right="320"/>
              <w:spacing w:after="0"/>
              <w:rPr>
                <w:sz w:val="20"/>
                <w:szCs w:val="20"/>
                <w:color w:val="auto"/>
              </w:rPr>
            </w:pPr>
            <w:r>
              <w:rPr>
                <w:rFonts w:ascii="Arial" w:cs="Arial" w:eastAsia="Arial" w:hAnsi="Arial"/>
                <w:sz w:val="18"/>
                <w:szCs w:val="18"/>
                <w:color w:val="auto"/>
              </w:rPr>
              <w:t>$ 518,377</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382,177</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4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December 31, 2013</w:t>
            </w: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29"/>
        </w:trPr>
        <w:tc>
          <w:tcPr>
            <w:tcW w:w="4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86"/>
              </w:rPr>
              <w:t>Aggregate Principal</w:t>
            </w:r>
          </w:p>
        </w:tc>
        <w:tc>
          <w:tcPr>
            <w:tcW w:w="540" w:type="dxa"/>
            <w:vAlign w:val="bottom"/>
          </w:tcPr>
          <w:p>
            <w:pPr>
              <w:spacing w:after="0"/>
              <w:rPr>
                <w:sz w:val="11"/>
                <w:szCs w:val="11"/>
                <w:color w:val="auto"/>
              </w:rPr>
            </w:pP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Outstanding</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ind w:right="57"/>
              <w:spacing w:after="0" w:line="129" w:lineRule="exact"/>
              <w:rPr>
                <w:sz w:val="20"/>
                <w:szCs w:val="20"/>
                <w:color w:val="auto"/>
              </w:rPr>
            </w:pPr>
            <w:r>
              <w:rPr>
                <w:rFonts w:ascii="Arial" w:cs="Arial" w:eastAsia="Arial" w:hAnsi="Arial"/>
                <w:sz w:val="14"/>
                <w:szCs w:val="14"/>
                <w:b w:val="1"/>
                <w:bCs w:val="1"/>
                <w:color w:val="auto"/>
                <w:w w:val="86"/>
              </w:rPr>
              <w:t>Amount</w:t>
            </w:r>
          </w:p>
        </w:tc>
        <w:tc>
          <w:tcPr>
            <w:tcW w:w="32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87"/>
              </w:rPr>
              <w:t>Amount Committed</w:t>
            </w:r>
          </w:p>
        </w:tc>
        <w:tc>
          <w:tcPr>
            <w:tcW w:w="5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56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Available (1)</w:t>
            </w:r>
          </w:p>
        </w:tc>
        <w:tc>
          <w:tcPr>
            <w:tcW w:w="100" w:type="dxa"/>
            <w:vAlign w:val="bottom"/>
          </w:tcPr>
          <w:p>
            <w:pPr>
              <w:spacing w:after="0"/>
              <w:rPr>
                <w:sz w:val="14"/>
                <w:szCs w:val="14"/>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4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Subscription Credit Facility (3)</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32,000</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68,000</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SPV Asset Facility</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77,767</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77,767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(2)</w:t>
            </w: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322,500</w:t>
            </w: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77,500</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322,500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60" w:type="dxa"/>
            <w:vAlign w:val="bottom"/>
          </w:tcPr>
          <w:p>
            <w:pPr>
              <w:ind w:left="440"/>
              <w:spacing w:after="0"/>
              <w:rPr>
                <w:sz w:val="20"/>
                <w:szCs w:val="20"/>
                <w:color w:val="auto"/>
              </w:rPr>
            </w:pPr>
            <w:r>
              <w:rPr>
                <w:rFonts w:ascii="Arial" w:cs="Arial" w:eastAsia="Arial" w:hAnsi="Arial"/>
                <w:sz w:val="18"/>
                <w:szCs w:val="18"/>
                <w:b w:val="1"/>
                <w:bCs w:val="1"/>
                <w:color w:val="auto"/>
              </w:rPr>
              <w:t>Total</w:t>
            </w: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600,000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$ 432,267</w:t>
            </w:r>
          </w:p>
        </w:tc>
        <w:tc>
          <w:tcPr>
            <w:tcW w:w="1620" w:type="dxa"/>
            <w:vAlign w:val="bottom"/>
            <w:gridSpan w:val="4"/>
          </w:tcPr>
          <w:p>
            <w:pPr>
              <w:jc w:val="right"/>
              <w:ind w:right="320"/>
              <w:spacing w:after="0"/>
              <w:rPr>
                <w:sz w:val="20"/>
                <w:szCs w:val="20"/>
                <w:color w:val="auto"/>
              </w:rPr>
            </w:pPr>
            <w:r>
              <w:rPr>
                <w:rFonts w:ascii="Arial" w:cs="Arial" w:eastAsia="Arial" w:hAnsi="Arial"/>
                <w:sz w:val="18"/>
                <w:szCs w:val="18"/>
                <w:color w:val="auto"/>
              </w:rPr>
              <w:t>$ 145,500</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432,267</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15" w:lineRule="exact"/>
        <w:rPr>
          <w:rFonts w:ascii="Arial" w:cs="Arial" w:eastAsia="Arial" w:hAnsi="Arial"/>
          <w:sz w:val="18"/>
          <w:szCs w:val="18"/>
          <w:color w:val="auto"/>
        </w:rPr>
      </w:pPr>
    </w:p>
    <w:p>
      <w:pPr>
        <w:ind w:left="460" w:right="200" w:hanging="452"/>
        <w:spacing w:after="0" w:line="255"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October 17, 2014, the Company amended and extended the Revolving Credit Facility, which reduced pricing, extended the revolving period and final maturity date, and reduced total commitments from $781.3 million to $766.3 million. On October 23, 2014, the Company increased aggregate commitments under the Revolving Credit Facility from $766.3 million to $776.3 million.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February 27, 2014, the Company terminated the Subscription Credit Facility, effective March 4, 2014. The outstanding balance was paid down prior to terminating the facility.</w:t>
      </w:r>
    </w:p>
    <w:p>
      <w:pPr>
        <w:spacing w:after="0" w:line="13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For the three and nine months ended September 30, 2014 and 2013, the components of interest expense were as follows:</w:t>
      </w:r>
    </w:p>
    <w:p>
      <w:pPr>
        <w:spacing w:after="0" w:line="200" w:lineRule="exact"/>
        <w:rPr>
          <w:sz w:val="20"/>
          <w:szCs w:val="20"/>
          <w:color w:val="auto"/>
        </w:rPr>
      </w:pPr>
    </w:p>
    <w:p>
      <w:pPr>
        <w:spacing w:after="0" w:line="21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w w:val="90"/>
              </w:rPr>
              <w:t>Three Months Ended</w:t>
            </w: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w w:val="90"/>
              </w:rPr>
              <w:t>Nine Months Ended</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13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September 30, 2014</w:t>
            </w:r>
          </w:p>
        </w:tc>
        <w:tc>
          <w:tcPr>
            <w:tcW w:w="60" w:type="dxa"/>
            <w:vAlign w:val="bottom"/>
          </w:tcPr>
          <w:p>
            <w:pPr>
              <w:spacing w:after="0"/>
              <w:rPr>
                <w:sz w:val="12"/>
                <w:szCs w:val="12"/>
                <w:color w:val="auto"/>
              </w:rPr>
            </w:pPr>
          </w:p>
        </w:tc>
        <w:tc>
          <w:tcPr>
            <w:tcW w:w="11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September 30, 2013</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September 30, 2014</w:t>
            </w:r>
          </w:p>
        </w:tc>
        <w:tc>
          <w:tcPr>
            <w:tcW w:w="11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September 30, 2013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2,172</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7,592</w:t>
            </w: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4,665</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Commitment fees</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763</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341</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1,511</w:t>
            </w:r>
          </w:p>
        </w:tc>
        <w:tc>
          <w:tcPr>
            <w:tcW w:w="5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877</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513</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 Interest Expense</w:t>
            </w: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40" w:type="dxa"/>
            <w:vAlign w:val="bottom"/>
            <w:vMerge w:val="continue"/>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3,812</w:t>
            </w: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2,651</w:t>
            </w:r>
          </w:p>
        </w:tc>
        <w:tc>
          <w:tcPr>
            <w:tcW w:w="3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11,096</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7,330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318,471</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270,999</w:t>
            </w: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380,880</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226,294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40" w:type="dxa"/>
            <w:vAlign w:val="bottom"/>
          </w:tcPr>
          <w:p>
            <w:pPr>
              <w:spacing w:after="0"/>
              <w:rPr>
                <w:sz w:val="20"/>
                <w:szCs w:val="20"/>
                <w:color w:val="auto"/>
              </w:rPr>
            </w:pPr>
            <w:r>
              <w:rPr>
                <w:rFonts w:ascii="Arial" w:cs="Arial" w:eastAsia="Arial" w:hAnsi="Arial"/>
                <w:sz w:val="18"/>
                <w:szCs w:val="18"/>
                <w:color w:val="auto"/>
              </w:rPr>
              <w:t>Weighted average interest rate</w:t>
            </w:r>
          </w:p>
        </w:tc>
        <w:tc>
          <w:tcPr>
            <w:tcW w:w="3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5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On August 23, 2012, the Company entered into a senior secured revolving credit agreement with SunTrust Bank, as administrative agent, and J.P. Morgan Chase Bank, N.A., as syndication agent, and certain other lenders. On July 2, 2013, the Company entered into an agreement to amend and restate the agreement, effective on July 3, 2013. The amended and restated facility, among other things, increased the size of the facility from $200 million to $350 million. The facility included an uncommitted accordion feature that allowed the Company, under certain circumstances, to increase the size of the facility up to $550 million. On September 30, 2013, the Company exercised its right under the accordion feature and increased the size of the facility to $400 million. On January 27, 2014, the Company again exercised its right under the accordion feature and increased the size of the facility to $420 million.</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On February 27, 2014, the Company further amended and restated the agreement. The second amended and restated agreement (the Revolving Credit Facility) among other things:</w:t>
      </w:r>
    </w:p>
    <w:p>
      <w:pPr>
        <w:spacing w:after="0" w:line="51"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the size of the facility to $581.3 million;</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the size of the uncommitted accordion feature to allow the Company, under certain circumstances to increase the size of the facility up to $956.3 million;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the limit for swingline loans to $100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with respect to $545 million in commitments;</w:t>
      </w:r>
    </w:p>
    <w:p>
      <w:pPr>
        <w:spacing w:after="0" w:line="90" w:lineRule="exact"/>
        <w:rPr>
          <w:rFonts w:ascii="Arial" w:cs="Arial" w:eastAsia="Arial" w:hAnsi="Arial"/>
          <w:sz w:val="18"/>
          <w:szCs w:val="18"/>
          <w:color w:val="auto"/>
        </w:rPr>
      </w:pPr>
    </w:p>
    <w:p>
      <w:pPr>
        <w:ind w:left="1480" w:right="440" w:hanging="446"/>
        <w:spacing w:after="0" w:line="268" w:lineRule="auto"/>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June 30, 2017 to February 27, 2018, during which period the Company, subject to certain conditions, may make borrowings under the facility; and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extended the stated maturity date from July 2, 2018 to February 27, 2019;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provided that borrowings under the multicurrency tranche will be available in certain additional currencies.</w:t>
      </w:r>
    </w:p>
    <w:p>
      <w:pPr>
        <w:spacing w:after="0" w:line="171"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On May 30, 2014, the Company entered into agreements with various financial institutions pursuant to which each of the institutions agreed to provide commitments through the accordion feature of the Revolving Credit Facility, increasing the aggregate commitments from $581.3 million to $781.3 million.</w:t>
      </w:r>
    </w:p>
    <w:p>
      <w:pPr>
        <w:spacing w:after="0" w:line="8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On June 27, 2014, the Company further amended the Revolving Credit Facility to extend the $36.3 million in commitments not previously extended such that the revolving period as it related to all outstanding commitments would expire on February 27, 2018 and the stated maturity date as it related to all outstanding commitments would be February 27, 2019.</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October 17, 2014, the Company entered into a third amendment to the Revolving Credit Facility:</w:t>
      </w:r>
    </w:p>
    <w:p>
      <w:pPr>
        <w:spacing w:after="0" w:line="90" w:lineRule="exact"/>
        <w:rPr>
          <w:sz w:val="20"/>
          <w:szCs w:val="20"/>
          <w:color w:val="auto"/>
        </w:rPr>
      </w:pPr>
    </w:p>
    <w:p>
      <w:pPr>
        <w:ind w:left="900" w:hanging="325"/>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decreasing the applicable margin with respect to (i) any loan bearing interest at a rate determined by reference to the Alternate Base Rate from 1.25% to 1.00% and (ii) any loan bearing interest at a rate determined by reference to the Adjusted LIBO Rate from 2.25% to 2.00%;</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decreasing the aggregate commitments from $781.3 million to $766.3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extending the revolving period from February 27, 2018 to October 17, 2018;</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extending the stated maturity date from February 27, 2019 to October 17, 2019;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increasing the sublimit applicable to letters of credit from $20 million to $100 million.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On October 23, 2014, the Company entered into an agreement with a financial institution pursuant to which the institution agreed to provide commitments through the accordion feature, increasing the aggregate commitments from $766.3 million to $776.3 million.</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On November 3, 2014, an existing lender agreed to increase their commitment through the accordion feature, increasing aggregate commitments from $776.3 million to $781.3 million.</w:t>
      </w:r>
    </w:p>
    <w:p>
      <w:pPr>
        <w:spacing w:after="0" w:line="132" w:lineRule="exact"/>
        <w:rPr>
          <w:sz w:val="20"/>
          <w:szCs w:val="20"/>
          <w:color w:val="auto"/>
        </w:rPr>
      </w:pPr>
    </w:p>
    <w:p>
      <w:pPr>
        <w:jc w:val="both"/>
        <w:ind w:right="300" w:firstLine="456"/>
        <w:spacing w:after="0" w:line="268" w:lineRule="auto"/>
        <w:rPr>
          <w:sz w:val="20"/>
          <w:szCs w:val="20"/>
          <w:color w:val="auto"/>
        </w:rPr>
      </w:pPr>
      <w:r>
        <w:rPr>
          <w:rFonts w:ascii="Arial" w:cs="Arial" w:eastAsia="Arial" w:hAnsi="Arial"/>
          <w:sz w:val="18"/>
          <w:szCs w:val="18"/>
          <w:color w:val="auto"/>
        </w:rPr>
        <w:t>The Revolving Credit Facility continues to include the accordion feature, which would allow the Company, under certain circumstances, to increase the size to a maximum of $956.3 million.</w:t>
      </w:r>
    </w:p>
    <w:p>
      <w:pPr>
        <w:spacing w:after="0" w:line="132"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The Company may borrow amounts in U.S. dollars or certain other permitted currencies. As of September 30, 2014, the Company has outstanding debt denominated in Swedish Krona (SEK) of 209.7 million, Euro (EUR) of 25.0 million and Pound Sterling (GBP) of 9.9 million on its Revolving Credit Facility, included in the Outstanding Principal amount in the table above.</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Amounts drawn under the Revolving Credit Facility, including amounts drawn in respect of letters of credit, bear interest at either LIBOR plus a margin, or the prime rate plus a margin. The Company may elect either the LIBOR or prime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1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Revolving Credit Facility is guaranteed by TC Lending, LLC and TSL MR, LLC and may be guaranteed by certain domestic subsidiaries that are formed or acquired by the Company in the future.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4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requiring:</w:t>
      </w:r>
    </w:p>
    <w:p>
      <w:pPr>
        <w:spacing w:after="0" w:line="51"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90" w:lineRule="exact"/>
        <w:rPr>
          <w:rFonts w:ascii="Arial" w:cs="Arial" w:eastAsia="Arial" w:hAnsi="Arial"/>
          <w:sz w:val="18"/>
          <w:szCs w:val="18"/>
          <w:color w:val="auto"/>
        </w:rPr>
      </w:pPr>
    </w:p>
    <w:p>
      <w:pPr>
        <w:ind w:left="900" w:right="40" w:hanging="325"/>
        <w:spacing w:after="0" w:line="357" w:lineRule="auto"/>
        <w:tabs>
          <w:tab w:leader="none" w:pos="9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a liquidity test under which the Company must maintain cash and liquid investments of at least 10% of the covered debt amount under circumstances where the Company’s adjusted covered debt balance is greater than 90% of the Company’s adjusted borrowing base under the facility; and</w:t>
      </w: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October 17, 2014.</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Net proceeds received from the Company’s IPO, the exercise of the underwriters’ over-allotment option from the IPO, and net proceeds received from the issuance of the Convertible Senior Notes were used to pay down borrowings on the Revolving Credit Facility.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SPV Asset Facility</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On May 8, 2012, the “Closing Date,” the Company’s wholly owned subsidiary TPG SL SPV, LLC, a Delaware limited liability company, entered into a credit and security agreement with Natixis, New York Branch. Also on May 8, 2012, the Company contributed certain investments to TPG SL SPV pursuant to the terms of a Master Sale and Contribution Agreement by and between the Company and TPG SL SPV. The Company consolidates TPG SL SPV in its consolidated financial statements, and no gain or loss was recognized as a result of the contribution. Proceeds from the SPV Asset Facility may be used to finance the acquisition of eligible assets by TPG SL SPV, including the purchase of such assets from the Company. The Company retains a residual interest in assets contributed to or acquired by TPG SL SPV through its ownership of TPG SL SPV. The facility size is subject to availability under the borrowing base, which is based on the amount of TPG SL SPV’s assets from time to time, and satisfaction of certain conditions, including an asset coverage test, an asset quality test and certain concentration limits.</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credit and security agreement provided for a contribution and reinvestment period for up to 18 months after the Closing Date, or the Commitment Termination Date. The Commitment Termination Date was November 8, 2013, at which point the reinvestment period of the SPV Asset Facility expired and accordingly any undrawn availability under the facility terminated. Proceeds received by TPG SL SPV from interest, dividends or fees on assets are required to be used to pay expenses and interest on outstanding borrowings, and the excess can be returned to the Company, subject to certain conditions, on a quarterly basis. Prior to the Commitment Termination Date, proceeds received from principal on assets could be used to pay down borrowings or make additional investments. Following the Commitment Termination Date, proceeds received from principal on assets are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January 21, 2014, TPG SL SPV entered into an agreement to amend and restate the credit and security agreement (as amended, SPV Asset Facility).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amended and restated facility, among other things:</w:t>
      </w:r>
    </w:p>
    <w:p>
      <w:pPr>
        <w:spacing w:after="0" w:line="84"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the size of the facility from $100 million to $175 million;</w:t>
      </w:r>
    </w:p>
    <w:p>
      <w:pPr>
        <w:spacing w:after="0" w:line="90"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reopened the reinvestment period thereunder for an additional period of six months following the closing date of January 21, 2014, which reinvestment period was subsequently extended by the borrower for an additional six month period (pursuant to an extension right exercisable by the borrower) so that the reinvestment period will remain open until January 21, 2015;</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extended the stated maturity date from May 8, 2020 to January 21, 2021;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modified pricing;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made certain changes to the eligibility criteria and concentration limits.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Amounts drawn under the original credit and security agreement bore interest at LIBOR plus a margin or base rate plus a margin, in each case at TPG SL SPV’s option. Amounts drawn under the amended and restated SPV Asset Facility bear interest at LIBOR plus a margin, base rate plus a margin or the lenders’ cost of funds plus a margin, in each case at TPG SL SPV’s option. TPG SL SPV’s ability to borrow at lenders’ cost of funds plus a margin under the amended and restated SPV Asset Facility lowered the interest rate currently applicable on the Company’s borrowings under the SPV Asset Facility. The undrawn portion of the commitment bears an unutilized commitment fee of 0.75%. The SPV Asset Facility contains customary covenants, including covenants relating to separateness from the Adviser and its affiliates and long-term credit ratings with respect to the underlying collateral obligations, and events of default. The SPV Asset Facility is secured by a perfected first priority security interest in the assets of TPG SL SPV and on any payments received by TPG SL SPV in respect of such assets, which accordingly are not available to pay the Company’s other debt obligations.</w:t>
      </w:r>
    </w:p>
    <w:p>
      <w:pPr>
        <w:spacing w:after="0" w:line="118"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As of September 30, 2014 and December 31, 2013, TPG SL SPV had $336.6 million and $184.3 million, respectively, in investments at fair value, and $111.4 million and $78.3 million, respectively, in liabilities, including the outstanding borrowings, on its balance sheet. As of September 30, 2014 and December 31, 2013, TPG SL SPV had $10.7 million and $6.3 million, respectively, in restricted cash, a component of prepaid expenses and other assets, in the accompanying consolidated financial statements.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Borrowings of TPG SL SPV are considered the Company’s borrowings for purposes of complying with the asset coverage requirements of the 1940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June 10, 2014, the Company issued $115 million aggregate principal amount convertible senior notes due December 2019 (the “Convertible Senior Notes”). The Convertible Senior Notes were issued in a private placement only to qualified institutional buyers pursuant to Rule 144A under the Securities Act of 1933, as amended. The Convertible Senior Notes are unsecured, and bear interest at a rate of 4.50% per year, payable semiannually. The Convertible Senior Notes will mature on December 15, 2019. In certain circumstances, the Convertible Senior Notes will be convertible into cash, shares of the Company’s common stock or a combination of cash and shares of the Company’s common stock, at the Company’s election, at an initial conversion rate of 38.7162 shares of common stock per $1,000 principal amount of Convertible Senior Notes, which is equivalent to an initial conversion price of approximately $25.83 per share of the Company’s common stock, subject to customary anti-dilution adjustments. The sale of the Convertible Senior Notes generated net proceeds of approximately $110.8 million. The Company used the net proceeds of the offering to pay down debt under the Revolving Credit Facility. In connection with the offering of Convertible Senior Notes, the Company entered into an interest rate swap to continue to align the interest rates of its liabilities with its investment portfolio, which consists of predominately floating rate loans. As a result of the swap, the Company’s effective interest rate on the Convertible Senior Notes is three-month LIBOR plus 252.9 basis points. See Note 5 for further information related to the interest rate swaps the Company entered into.</w:t>
      </w:r>
    </w:p>
    <w:p>
      <w:pPr>
        <w:spacing w:after="0" w:line="12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Holders may convert their Convertible Senior Notes at their option at any time prior to June 15, 2019 only under the following circumstances: (1) during any calendar quarter commencing after the calendar quarter ending on September 30, 2014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(2) during the five business day period after any five consecutive trading day period (the “measurement period”) in which the trading price (as defined in the Convertible Senior Notes Indenture)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On or after June 15, 2019 until the close of business on the scheduled trading day immediately preceding the maturity date, holders may convert their notes at any time, regardless of the occurrence or nonoccurrence of any of the foregoing circumstances.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notes are senior unsecured obligations and rank senior in right of payment to the Company’s future indebtedness that is expressly subordinated in right of payment to the notes; equal in right of payment to the Company’s existing and future indebtedness that is not so subordinated; effectively junior in right of payment to any of the Company’s secured indebtedness (including unsecured indebtedness that the Company later secures) to the extent of the value of the assets securing such indebtedness; and structurally junior to all existing and future indebtedness (including trade payables) incurred by the Company’s subsidiaries, financing vehicles or similar facilities.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nine months ended September 30, 2014, the components of interest expense related to the Convertible Senior Notes were as follows:</w:t>
      </w:r>
    </w:p>
    <w:p>
      <w:pPr>
        <w:spacing w:after="0" w:line="23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240" w:type="dxa"/>
            <w:vAlign w:val="bottom"/>
            <w:gridSpan w:val="4"/>
          </w:tcPr>
          <w:p>
            <w:pPr>
              <w:spacing w:after="0"/>
              <w:rPr>
                <w:sz w:val="20"/>
                <w:szCs w:val="20"/>
                <w:color w:val="auto"/>
              </w:rPr>
            </w:pPr>
            <w:r>
              <w:rPr>
                <w:rFonts w:ascii="Arial" w:cs="Arial" w:eastAsia="Arial" w:hAnsi="Arial"/>
                <w:sz w:val="14"/>
                <w:szCs w:val="14"/>
                <w:b w:val="1"/>
                <w:bCs w:val="1"/>
                <w:color w:val="auto"/>
                <w:w w:val="93"/>
              </w:rPr>
              <w:t>September 30, 2014</w:t>
            </w:r>
          </w:p>
        </w:tc>
      </w:tr>
      <w:tr>
        <w:trPr>
          <w:trHeight w:val="210"/>
        </w:trPr>
        <w:tc>
          <w:tcPr>
            <w:tcW w:w="6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w:t>
            </w: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8"/>
                <w:szCs w:val="18"/>
                <w:color w:val="auto"/>
              </w:rPr>
            </w:pPr>
          </w:p>
        </w:tc>
      </w:tr>
      <w:tr>
        <w:trPr>
          <w:trHeight w:val="222"/>
        </w:trPr>
        <w:tc>
          <w:tcPr>
            <w:tcW w:w="6520" w:type="dxa"/>
            <w:vAlign w:val="bottom"/>
          </w:tcPr>
          <w:p>
            <w:pPr>
              <w:ind w:left="440"/>
              <w:spacing w:after="0"/>
              <w:rPr>
                <w:sz w:val="20"/>
                <w:szCs w:val="20"/>
                <w:color w:val="auto"/>
              </w:rPr>
            </w:pPr>
            <w:r>
              <w:rPr>
                <w:rFonts w:ascii="Arial" w:cs="Arial" w:eastAsia="Arial" w:hAnsi="Arial"/>
                <w:sz w:val="18"/>
                <w:szCs w:val="18"/>
                <w:b w:val="1"/>
                <w:bCs w:val="1"/>
                <w:color w:val="auto"/>
              </w:rPr>
              <w:t>Total Interest Expense</w:t>
            </w:r>
          </w:p>
        </w:tc>
        <w:tc>
          <w:tcPr>
            <w:tcW w:w="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w:t>
            </w:r>
          </w:p>
        </w:tc>
        <w:tc>
          <w:tcPr>
            <w:tcW w:w="100" w:type="dxa"/>
            <w:vAlign w:val="bottom"/>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20" w:firstLine="456"/>
        <w:spacing w:after="0" w:line="335" w:lineRule="auto"/>
        <w:rPr>
          <w:sz w:val="20"/>
          <w:szCs w:val="20"/>
          <w:color w:val="auto"/>
        </w:rPr>
      </w:pPr>
      <w:r>
        <w:rPr>
          <w:rFonts w:ascii="Arial" w:cs="Arial" w:eastAsia="Arial" w:hAnsi="Arial"/>
          <w:sz w:val="15"/>
          <w:szCs w:val="15"/>
          <w:color w:val="auto"/>
        </w:rPr>
        <w:t>Total interest expense in the table above does not include the effect of the interest rate swaps. During the three months ended September 30, 2014, the Company received $1.3 million and paid $0.8 million related to the quarterly settlement of its interest rate swaps. This net amount is a reduction to interest expense in the Company’s consolidated statements of operations. Please see Note 5 for further information about the Company’s interest rate swaps.</w:t>
      </w:r>
    </w:p>
    <w:p>
      <w:pPr>
        <w:spacing w:after="0" w:line="8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As of September 30, 2014, the principal amount of the Convertible Senior Notes exceeded the value of the underlying shares multiplied by the per share closing price of the Company’s common stock.</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September 30, 2014, the components of the carrying value of the Convertible Senior Notes and the stated interest rate were as follows:</w:t>
      </w:r>
    </w:p>
    <w:p>
      <w:pPr>
        <w:spacing w:after="0" w:line="21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3"/>
              </w:rPr>
              <w:t>December 2019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332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Convertible Senior Notes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Principal amount of debt</w:t>
            </w:r>
          </w:p>
        </w:tc>
        <w:tc>
          <w:tcPr>
            <w:tcW w:w="16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115,000</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Original issue discount, net of accretion</w:t>
            </w: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(3,212)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Carrying value of debt</w:t>
            </w:r>
          </w:p>
        </w:tc>
        <w:tc>
          <w:tcPr>
            <w:tcW w:w="18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111,788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Stated interest rate</w:t>
            </w:r>
          </w:p>
        </w:tc>
        <w:tc>
          <w:tcPr>
            <w:tcW w:w="1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440" w:type="dxa"/>
            <w:vAlign w:val="bottom"/>
            <w:gridSpan w:val="2"/>
            <w:vMerge w:val="continue"/>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stated interest rate in the table above does not include the effect of the interest rate swaps. The Company’s swap-adjusted interest rate is 3 month LIBOR + 2.529%. Please see Note 5 for further information about the Company’s interest rate swaps.</w:t>
      </w:r>
    </w:p>
    <w:p>
      <w:pPr>
        <w:spacing w:after="0" w:line="13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Convertible Senior Notes Indenture contains certain covenants, including covenants requiring the Company to comply with the requirement under the Investment Company Act that the Company’s asset coverage ratio, as defined in the Investment Company Act, equal at least 200% and to provide financial information to the holders of the Convertible Senior Notes under certain circumstances. These covenants are subject to important limitations and exceptions that are described in the Convertible Senior Notes Indenture. As of September 30, 2014, the Company was in compliance with the terms of the Convertible Senior Notes Indenture.</w:t>
      </w:r>
    </w:p>
    <w:p>
      <w:pPr>
        <w:spacing w:after="0" w:line="14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Convertible Senior Notes are accounted for in accordance with Accounting Standards Codification (“ASC”) 470-20. Upon conversion of any of the Convertible Senior Notes, the Company intends to pay the outstanding principal amount in cash and, to the extent that the conversion value exceeds the principal amount, the Company has the option to pay in cash or shares of the Company’s common stock (or a combination of cash and shares) in respect of the excess amount, subject to the requirements of the Convertible Senior Notes Indenture. The Company has determined that the embedded conversion options in the Convertible Senior Notes are not required to be separately accounted for as a derivative under U.S. GAAP. In accounting for the Convertible Senior Notes, the Company estimated at the time of issuance separate debt and equity components of the Convertible Senior Notes. An original issue discount equal to the equity components of the Convertible Senior Notes was recorded in “additional paid-in capital” in the accompanying consolidated balance sheet. Additionally, the issuance costs associated with the Convertible Senior Notes were allocated to the debt and equity components in proportion to the allocation of the proceeds and accounted for as debt issuance costs and equity issuance costs,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Credit Facility</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February 27, 2014, the Company terminated its Subscription Credit Facility with Deutsche Bank Trust Company Americas, effective March 4, 2014. At the time of the termination, the maximum principal amount of the facility was $100 million, and the outstanding balance was paid down prior to terminating the facility.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2014 and December 31, 2013, the Company was in compliance with the terms of its debt obligations.</w:t>
      </w:r>
    </w:p>
    <w:p>
      <w:pPr>
        <w:spacing w:after="0" w:line="246" w:lineRule="exact"/>
        <w:rPr>
          <w:sz w:val="20"/>
          <w:szCs w:val="20"/>
          <w:color w:val="auto"/>
        </w:rPr>
      </w:pPr>
    </w:p>
    <w:p>
      <w:pPr>
        <w:ind w:right="8700" w:firstLine="8"/>
        <w:spacing w:after="0" w:line="417" w:lineRule="auto"/>
        <w:tabs>
          <w:tab w:leader="none" w:pos="176" w:val="left"/>
        </w:tabs>
        <w:numPr>
          <w:ilvl w:val="0"/>
          <w:numId w:val="2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i w:val="1"/>
          <w:iCs w:val="1"/>
          <w:color w:val="auto"/>
        </w:rPr>
        <w:t>Portfolio Company Commitments</w:t>
      </w:r>
    </w:p>
    <w:p>
      <w:pPr>
        <w:spacing w:after="0" w:line="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From time to time, the Company may enter into commitments to fund investments. As of September 30, 2014 and December 31, 2013, the Company had the following commitments to fund investments:</w:t>
      </w:r>
    </w:p>
    <w:p>
      <w:pPr>
        <w:spacing w:after="0" w:line="37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21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 2014</w:t>
            </w:r>
          </w:p>
        </w:tc>
        <w:tc>
          <w:tcPr>
            <w:tcW w:w="210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 2013</w:t>
            </w:r>
          </w:p>
        </w:tc>
      </w:tr>
      <w:tr>
        <w:trPr>
          <w:trHeight w:val="210"/>
        </w:trPr>
        <w:tc>
          <w:tcPr>
            <w:tcW w:w="4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Senior secured revolving loan commitments</w:t>
            </w:r>
          </w:p>
        </w:tc>
        <w:tc>
          <w:tcPr>
            <w:tcW w:w="10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48,119</w:t>
            </w:r>
          </w:p>
        </w:tc>
        <w:tc>
          <w:tcPr>
            <w:tcW w:w="9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420" w:type="dxa"/>
            <w:vAlign w:val="bottom"/>
          </w:tcPr>
          <w:p>
            <w:pPr>
              <w:spacing w:after="0"/>
              <w:rPr>
                <w:sz w:val="20"/>
                <w:szCs w:val="20"/>
                <w:color w:val="auto"/>
              </w:rPr>
            </w:pPr>
            <w:r>
              <w:rPr>
                <w:rFonts w:ascii="Arial" w:cs="Arial" w:eastAsia="Arial" w:hAnsi="Arial"/>
                <w:sz w:val="18"/>
                <w:szCs w:val="18"/>
                <w:color w:val="auto"/>
              </w:rPr>
              <w:t>Senior secured term loan commitments</w:t>
            </w:r>
          </w:p>
        </w:tc>
        <w:tc>
          <w:tcPr>
            <w:tcW w:w="10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17,535</w:t>
            </w:r>
          </w:p>
        </w:tc>
        <w:tc>
          <w:tcPr>
            <w:tcW w:w="9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36,600</w:t>
            </w:r>
          </w:p>
        </w:tc>
        <w:tc>
          <w:tcPr>
            <w:tcW w:w="100" w:type="dxa"/>
            <w:vAlign w:val="bottom"/>
          </w:tcPr>
          <w:p>
            <w:pPr>
              <w:spacing w:after="0"/>
              <w:rPr>
                <w:sz w:val="19"/>
                <w:szCs w:val="19"/>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Portfolio Company Commitments</w:t>
            </w:r>
          </w:p>
        </w:tc>
        <w:tc>
          <w:tcPr>
            <w:tcW w:w="1400" w:type="dxa"/>
            <w:vAlign w:val="bottom"/>
            <w:gridSpan w:val="2"/>
            <w:shd w:val="clear" w:color="auto" w:fill="CCEEFF"/>
          </w:tcPr>
          <w:p>
            <w:pPr>
              <w:jc w:val="right"/>
              <w:ind w:right="223"/>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65,654</w:t>
            </w:r>
          </w:p>
        </w:tc>
        <w:tc>
          <w:tcPr>
            <w:tcW w:w="1260" w:type="dxa"/>
            <w:vAlign w:val="bottom"/>
            <w:gridSpan w:val="2"/>
            <w:shd w:val="clear" w:color="auto" w:fill="CCEEFF"/>
          </w:tcPr>
          <w:p>
            <w:pPr>
              <w:jc w:val="right"/>
              <w:ind w:right="203"/>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54,974</w:t>
            </w:r>
          </w:p>
        </w:tc>
        <w:tc>
          <w:tcPr>
            <w:tcW w:w="100" w:type="dxa"/>
            <w:vAlign w:val="bottom"/>
            <w:shd w:val="clear" w:color="auto" w:fill="CCEEFF"/>
          </w:tcPr>
          <w:p>
            <w:pPr>
              <w:spacing w:after="0"/>
              <w:rPr>
                <w:sz w:val="18"/>
                <w:szCs w:val="18"/>
                <w:color w:val="auto"/>
              </w:rPr>
            </w:pPr>
          </w:p>
        </w:tc>
      </w:tr>
      <w:tr>
        <w:trPr>
          <w:trHeight w:val="20"/>
        </w:trPr>
        <w:tc>
          <w:tcPr>
            <w:tcW w:w="4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of December 31, 2013 the Company had $1.5 billion in total capital commitments from investors (over $0.9 billion unfunded). Of this amount, $117.1 million was from the Adviser and its affiliates ($76.7 million unfunded). The remaining unfunded capital commitments terminated upon the completion of the Company’s IPO.</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As of September 30, 2014, management is not aware of any pending or threatened litigation.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Assets</w:t>
      </w:r>
    </w:p>
    <w:p>
      <w:pPr>
        <w:spacing w:after="0" w:line="9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On March 21, 2014, the Company completed its IPO, issuing 7,000,000 shares at $16.00 per share, and its concurrent private placement, issuing 3,124,984 shares at $16.00 per share. Net of underwriting fees and offering costs, the Company received total cash proceeds of $151.6 million.</w:t>
      </w:r>
    </w:p>
    <w:p>
      <w:pPr>
        <w:spacing w:after="0" w:line="8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 April 2014, a total of 1,050,000 shares of stock were issued pursuant to the exercise of the underwriters’ over-allotment option in connection with the Company’s IPO. Net of underwriting fees and offering costs, the Company received total cash proceeds of $15.4 million.</w:t>
      </w:r>
    </w:p>
    <w:p>
      <w:pPr>
        <w:spacing w:after="0" w:line="132"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Prior to December 31, 2013, the Company entered into subscription agreements (collectively, the “Subscription Agreements”) with several investors, including the Adviser and its affiliates, providing for the private placement of the Company’s Common Stock. Under the terms of the Subscription Agreements, investors were required to fund drawdowns to purchase the Company’s Common Stock up to the amount of their respective capital commitments on an as-needed basis as determined by the Company with a minimum of 10 business days’ prior notice. Offering costs associated with the private placements were absorbed by the Adviser. The remaining unfunded capital commitments related to these subscription agreements terminated upon the completion of the Company’s IPO.</w:t>
      </w:r>
    </w:p>
    <w:p>
      <w:pPr>
        <w:spacing w:after="0" w:line="100"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 following tables summarize the total shares issued and proceeds received related to capital drawdowns delivered pursuant to the Subscription Agreements during the nine months ended September 30, 2014 and 2013:</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4"/>
          </w:tcPr>
          <w:p>
            <w:pPr>
              <w:jc w:val="right"/>
              <w:ind w:right="43"/>
              <w:spacing w:after="0"/>
              <w:rPr>
                <w:sz w:val="20"/>
                <w:szCs w:val="20"/>
                <w:color w:val="auto"/>
              </w:rPr>
            </w:pPr>
            <w:r>
              <w:rPr>
                <w:rFonts w:ascii="Arial" w:cs="Arial" w:eastAsia="Arial" w:hAnsi="Arial"/>
                <w:sz w:val="14"/>
                <w:szCs w:val="14"/>
                <w:b w:val="1"/>
                <w:bCs w:val="1"/>
                <w:color w:val="auto"/>
              </w:rPr>
              <w:t>Nine Months Ended</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Borders>
              <w:bottom w:val="single" w:sz="8" w:color="auto"/>
            </w:tcBorders>
            <w:gridSpan w:val="4"/>
          </w:tcPr>
          <w:p>
            <w:pPr>
              <w:jc w:val="right"/>
              <w:ind w:right="63"/>
              <w:spacing w:after="0"/>
              <w:rPr>
                <w:sz w:val="20"/>
                <w:szCs w:val="20"/>
                <w:color w:val="auto"/>
              </w:rPr>
            </w:pPr>
            <w:r>
              <w:rPr>
                <w:rFonts w:ascii="Arial" w:cs="Arial" w:eastAsia="Arial" w:hAnsi="Arial"/>
                <w:sz w:val="14"/>
                <w:szCs w:val="14"/>
                <w:b w:val="1"/>
                <w:bCs w:val="1"/>
                <w:color w:val="auto"/>
              </w:rPr>
              <w:t>September 30, 2014</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
              <w:spacing w:after="0" w:line="142" w:lineRule="exact"/>
              <w:rPr>
                <w:sz w:val="20"/>
                <w:szCs w:val="20"/>
                <w:color w:val="auto"/>
              </w:rPr>
            </w:pPr>
            <w:r>
              <w:rPr>
                <w:rFonts w:ascii="Arial" w:cs="Arial" w:eastAsia="Arial" w:hAnsi="Arial"/>
                <w:sz w:val="14"/>
                <w:szCs w:val="14"/>
                <w:b w:val="1"/>
                <w:bCs w:val="1"/>
                <w:color w:val="auto"/>
                <w:w w:val="82"/>
              </w:rPr>
              <w:t>Shares Issued</w:t>
            </w:r>
          </w:p>
        </w:tc>
        <w:tc>
          <w:tcPr>
            <w:tcW w:w="17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Proceeds Received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January 15, 2014</w:t>
            </w:r>
          </w:p>
        </w:tc>
        <w:tc>
          <w:tcPr>
            <w:tcW w:w="1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4,234,501</w:t>
            </w:r>
          </w:p>
        </w:tc>
        <w:tc>
          <w:tcPr>
            <w:tcW w:w="7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30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tcPr>
          <w:p>
            <w:pPr>
              <w:ind w:left="440"/>
              <w:spacing w:after="0"/>
              <w:rPr>
                <w:sz w:val="20"/>
                <w:szCs w:val="20"/>
                <w:color w:val="auto"/>
              </w:rPr>
            </w:pPr>
            <w:r>
              <w:rPr>
                <w:rFonts w:ascii="Arial" w:cs="Arial" w:eastAsia="Arial" w:hAnsi="Arial"/>
                <w:sz w:val="18"/>
                <w:szCs w:val="18"/>
                <w:b w:val="1"/>
                <w:bCs w:val="1"/>
                <w:color w:val="auto"/>
              </w:rPr>
              <w:t>Total Capital Drawdowns</w:t>
            </w:r>
          </w:p>
        </w:tc>
        <w:tc>
          <w:tcPr>
            <w:tcW w:w="1880" w:type="dxa"/>
            <w:vAlign w:val="bottom"/>
            <w:gridSpan w:val="2"/>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4,234,501</w:t>
            </w:r>
          </w:p>
        </w:tc>
        <w:tc>
          <w:tcPr>
            <w:tcW w:w="1180" w:type="dxa"/>
            <w:vAlign w:val="bottom"/>
            <w:gridSpan w:val="2"/>
          </w:tcPr>
          <w:p>
            <w:pPr>
              <w:jc w:val="right"/>
              <w:ind w:right="303"/>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4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4"/>
          </w:tcPr>
          <w:p>
            <w:pPr>
              <w:jc w:val="right"/>
              <w:ind w:right="83"/>
              <w:spacing w:after="0"/>
              <w:rPr>
                <w:sz w:val="20"/>
                <w:szCs w:val="20"/>
                <w:color w:val="auto"/>
              </w:rPr>
            </w:pPr>
            <w:r>
              <w:rPr>
                <w:rFonts w:ascii="Arial" w:cs="Arial" w:eastAsia="Arial" w:hAnsi="Arial"/>
                <w:sz w:val="14"/>
                <w:szCs w:val="14"/>
                <w:b w:val="1"/>
                <w:bCs w:val="1"/>
                <w:color w:val="auto"/>
              </w:rPr>
              <w:t>Nine Months Ended</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103"/>
              <w:spacing w:after="0"/>
              <w:rPr>
                <w:sz w:val="20"/>
                <w:szCs w:val="20"/>
                <w:color w:val="auto"/>
              </w:rPr>
            </w:pPr>
            <w:r>
              <w:rPr>
                <w:rFonts w:ascii="Arial" w:cs="Arial" w:eastAsia="Arial" w:hAnsi="Arial"/>
                <w:sz w:val="14"/>
                <w:szCs w:val="14"/>
                <w:b w:val="1"/>
                <w:bCs w:val="1"/>
                <w:color w:val="auto"/>
              </w:rPr>
              <w:t>September 30, 2013</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41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900" w:type="dxa"/>
            <w:vAlign w:val="bottom"/>
            <w:gridSpan w:val="3"/>
          </w:tcPr>
          <w:p>
            <w:pPr>
              <w:jc w:val="center"/>
              <w:ind w:right="100"/>
              <w:spacing w:after="0" w:line="115" w:lineRule="exact"/>
              <w:rPr>
                <w:sz w:val="20"/>
                <w:szCs w:val="20"/>
                <w:color w:val="auto"/>
              </w:rPr>
            </w:pPr>
            <w:r>
              <w:rPr>
                <w:rFonts w:ascii="Arial" w:cs="Arial" w:eastAsia="Arial" w:hAnsi="Arial"/>
                <w:sz w:val="12"/>
                <w:szCs w:val="12"/>
                <w:b w:val="1"/>
                <w:bCs w:val="1"/>
                <w:color w:val="auto"/>
                <w:w w:val="98"/>
              </w:rPr>
              <w:t>Shares Issued</w:t>
            </w:r>
          </w:p>
        </w:tc>
        <w:tc>
          <w:tcPr>
            <w:tcW w:w="1880" w:type="dxa"/>
            <w:vAlign w:val="bottom"/>
            <w:gridSpan w:val="4"/>
            <w:vMerge w:val="restart"/>
          </w:tcPr>
          <w:p>
            <w:pPr>
              <w:jc w:val="right"/>
              <w:ind w:right="100"/>
              <w:spacing w:after="0"/>
              <w:rPr>
                <w:sz w:val="20"/>
                <w:szCs w:val="20"/>
                <w:color w:val="auto"/>
              </w:rPr>
            </w:pPr>
            <w:r>
              <w:rPr>
                <w:rFonts w:ascii="Arial" w:cs="Arial" w:eastAsia="Arial" w:hAnsi="Arial"/>
                <w:sz w:val="14"/>
                <w:szCs w:val="14"/>
                <w:b w:val="1"/>
                <w:bCs w:val="1"/>
                <w:color w:val="auto"/>
              </w:rPr>
              <w:t>Proceeds Received</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620" w:type="dxa"/>
            <w:vAlign w:val="bottom"/>
            <w:gridSpan w:val="3"/>
          </w:tcPr>
          <w:p>
            <w:pPr>
              <w:jc w:val="right"/>
              <w:ind w:right="287"/>
              <w:spacing w:after="0"/>
              <w:rPr>
                <w:sz w:val="20"/>
                <w:szCs w:val="20"/>
                <w:color w:val="auto"/>
              </w:rPr>
            </w:pPr>
            <w:r>
              <w:rPr>
                <w:rFonts w:ascii="Arial" w:cs="Arial" w:eastAsia="Arial" w:hAnsi="Arial"/>
                <w:sz w:val="11"/>
                <w:szCs w:val="11"/>
                <w:b w:val="1"/>
                <w:bCs w:val="1"/>
                <w:color w:val="auto"/>
              </w:rPr>
              <w:t>(1)</w:t>
            </w:r>
          </w:p>
        </w:tc>
        <w:tc>
          <w:tcPr>
            <w:tcW w:w="60" w:type="dxa"/>
            <w:vAlign w:val="bottom"/>
          </w:tcPr>
          <w:p>
            <w:pPr>
              <w:spacing w:after="0"/>
              <w:rPr>
                <w:sz w:val="12"/>
                <w:szCs w:val="12"/>
                <w:color w:val="auto"/>
              </w:rPr>
            </w:pPr>
          </w:p>
        </w:tc>
        <w:tc>
          <w:tcPr>
            <w:tcW w:w="18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February 20, 2013</w:t>
            </w:r>
          </w:p>
        </w:tc>
        <w:tc>
          <w:tcPr>
            <w:tcW w:w="17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center"/>
              <w:ind w:left="21"/>
              <w:spacing w:after="0"/>
              <w:rPr>
                <w:sz w:val="20"/>
                <w:szCs w:val="20"/>
                <w:color w:val="auto"/>
              </w:rPr>
            </w:pPr>
            <w:r>
              <w:rPr>
                <w:rFonts w:ascii="Arial" w:cs="Arial" w:eastAsia="Arial" w:hAnsi="Arial"/>
                <w:sz w:val="18"/>
                <w:szCs w:val="18"/>
                <w:color w:val="auto"/>
                <w:w w:val="87"/>
              </w:rPr>
              <w:t>2,079,224</w:t>
            </w:r>
          </w:p>
        </w:tc>
        <w:tc>
          <w:tcPr>
            <w:tcW w:w="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September 13, 2013</w:t>
            </w:r>
          </w:p>
        </w:tc>
        <w:tc>
          <w:tcPr>
            <w:tcW w:w="1780" w:type="dxa"/>
            <w:vAlign w:val="bottom"/>
          </w:tcPr>
          <w:p>
            <w:pPr>
              <w:spacing w:after="0"/>
              <w:rPr>
                <w:sz w:val="19"/>
                <w:szCs w:val="19"/>
                <w:color w:val="auto"/>
              </w:rPr>
            </w:pPr>
          </w:p>
        </w:tc>
        <w:tc>
          <w:tcPr>
            <w:tcW w:w="840" w:type="dxa"/>
            <w:vAlign w:val="bottom"/>
            <w:tcBorders>
              <w:bottom w:val="single" w:sz="8" w:color="auto"/>
            </w:tcBorders>
            <w:gridSpan w:val="2"/>
          </w:tcPr>
          <w:p>
            <w:pPr>
              <w:jc w:val="center"/>
              <w:ind w:left="21"/>
              <w:spacing w:after="0"/>
              <w:rPr>
                <w:sz w:val="20"/>
                <w:szCs w:val="20"/>
                <w:color w:val="auto"/>
              </w:rPr>
            </w:pPr>
            <w:r>
              <w:rPr>
                <w:rFonts w:ascii="Arial" w:cs="Arial" w:eastAsia="Arial" w:hAnsi="Arial"/>
                <w:sz w:val="18"/>
                <w:szCs w:val="18"/>
                <w:color w:val="auto"/>
                <w:w w:val="87"/>
              </w:rPr>
              <w:t>1,633,829</w:t>
            </w: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Capital Drawdowns</w:t>
            </w:r>
          </w:p>
        </w:tc>
        <w:tc>
          <w:tcPr>
            <w:tcW w:w="2620" w:type="dxa"/>
            <w:vAlign w:val="bottom"/>
            <w:gridSpan w:val="3"/>
            <w:shd w:val="clear" w:color="auto" w:fill="CCEEFF"/>
          </w:tcPr>
          <w:p>
            <w:pPr>
              <w:jc w:val="center"/>
              <w:ind w:left="1808"/>
              <w:spacing w:after="0"/>
              <w:rPr>
                <w:sz w:val="20"/>
                <w:szCs w:val="20"/>
                <w:color w:val="auto"/>
              </w:rPr>
            </w:pPr>
            <w:r>
              <w:rPr>
                <w:rFonts w:ascii="Arial" w:cs="Arial" w:eastAsia="Arial" w:hAnsi="Arial"/>
                <w:sz w:val="18"/>
                <w:szCs w:val="18"/>
                <w:color w:val="auto"/>
                <w:w w:val="87"/>
              </w:rPr>
              <w:t>3,713,053</w:t>
            </w:r>
          </w:p>
        </w:tc>
        <w:tc>
          <w:tcPr>
            <w:tcW w:w="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3"/>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30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further described in this Note 9, the indicated amounts have been retroactively adjusted for the stock split, which was effected in the form of a stock dividend.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 payable to a stockholder by the market price per share of the Company’s common stock at the close of regular trading on the NYSE on the payment date of a distribution, or if no sale is reported for such day, the average of the reported bid and asked prices. However, if the market price per share on the payment date of a cash dividend or distribution exceeds the most recently computed net asset value per share, the Company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20"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Pursuant to the Company’s dividend reinvestment plan, the following tables summarize the shares issued to shareholders who have not opted out of the Company’s dividend reinvestment plan during the nine months ended September 30, 2014 and 2013. All shares issued to shareholders in the tables below are newly issued shares.</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w w:val="96"/>
              </w:rPr>
              <w:t>Nine Months Ended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4"/>
                <w:szCs w:val="14"/>
                <w:b w:val="1"/>
                <w:bCs w:val="1"/>
                <w:color w:val="auto"/>
                <w:w w:val="94"/>
              </w:rPr>
              <w:t>September 30, 2014</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40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0" w:type="dxa"/>
            <w:vAlign w:val="bottom"/>
            <w:gridSpan w:val="3"/>
          </w:tcPr>
          <w:p>
            <w:pPr>
              <w:jc w:val="right"/>
              <w:ind w:right="760"/>
              <w:spacing w:after="0" w:line="129" w:lineRule="exact"/>
              <w:rPr>
                <w:sz w:val="20"/>
                <w:szCs w:val="20"/>
                <w:color w:val="auto"/>
              </w:rPr>
            </w:pPr>
            <w:r>
              <w:rPr>
                <w:rFonts w:ascii="Arial" w:cs="Arial" w:eastAsia="Arial" w:hAnsi="Arial"/>
                <w:sz w:val="14"/>
                <w:szCs w:val="14"/>
                <w:b w:val="1"/>
                <w:bCs w:val="1"/>
                <w:color w:val="auto"/>
              </w:rPr>
              <w:t>Date</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4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3"/>
          </w:tcPr>
          <w:p>
            <w:pPr>
              <w:jc w:val="right"/>
              <w:ind w:right="420"/>
              <w:spacing w:after="0" w:line="148" w:lineRule="exact"/>
              <w:rPr>
                <w:sz w:val="20"/>
                <w:szCs w:val="20"/>
                <w:color w:val="auto"/>
              </w:rPr>
            </w:pPr>
            <w:r>
              <w:rPr>
                <w:rFonts w:ascii="Arial" w:cs="Arial" w:eastAsia="Arial" w:hAnsi="Arial"/>
                <w:sz w:val="14"/>
                <w:szCs w:val="14"/>
                <w:b w:val="1"/>
                <w:bCs w:val="1"/>
                <w:color w:val="auto"/>
              </w:rPr>
              <w:t>Record Date</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0" w:type="dxa"/>
            <w:vAlign w:val="bottom"/>
            <w:gridSpan w:val="3"/>
          </w:tcPr>
          <w:p>
            <w:pPr>
              <w:jc w:val="right"/>
              <w:ind w:right="500"/>
              <w:spacing w:after="0" w:line="148" w:lineRule="exact"/>
              <w:rPr>
                <w:sz w:val="20"/>
                <w:szCs w:val="20"/>
                <w:color w:val="auto"/>
              </w:rPr>
            </w:pPr>
            <w:r>
              <w:rPr>
                <w:rFonts w:ascii="Arial" w:cs="Arial" w:eastAsia="Arial" w:hAnsi="Arial"/>
                <w:sz w:val="14"/>
                <w:szCs w:val="14"/>
                <w:b w:val="1"/>
                <w:bCs w:val="1"/>
                <w:color w:val="auto"/>
              </w:rPr>
              <w:t>Shares Issued</w:t>
            </w:r>
          </w:p>
        </w:tc>
        <w:tc>
          <w:tcPr>
            <w:tcW w:w="160" w:type="dxa"/>
            <w:vAlign w:val="bottom"/>
          </w:tcPr>
          <w:p>
            <w:pPr>
              <w:spacing w:after="0"/>
              <w:rPr>
                <w:sz w:val="14"/>
                <w:szCs w:val="14"/>
                <w:color w:val="auto"/>
              </w:rPr>
            </w:pPr>
          </w:p>
        </w:tc>
        <w:tc>
          <w:tcPr>
            <w:tcW w:w="92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w w:val="92"/>
              </w:rPr>
              <w:t>Shares Issued</w:t>
            </w:r>
          </w:p>
        </w:tc>
        <w:tc>
          <w:tcPr>
            <w:tcW w:w="0" w:type="dxa"/>
            <w:vAlign w:val="bottom"/>
          </w:tcPr>
          <w:p>
            <w:pPr>
              <w:spacing w:after="0"/>
              <w:rPr>
                <w:sz w:val="1"/>
                <w:szCs w:val="1"/>
                <w:color w:val="auto"/>
              </w:rPr>
            </w:pPr>
          </w:p>
        </w:tc>
      </w:tr>
      <w:tr>
        <w:trPr>
          <w:trHeight w:val="203"/>
        </w:trPr>
        <w:tc>
          <w:tcPr>
            <w:tcW w:w="49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December 31, 2013</w:t>
            </w:r>
          </w:p>
        </w:tc>
        <w:tc>
          <w:tcPr>
            <w:tcW w:w="12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December 31, 2013</w:t>
            </w: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February 13, 2014</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502,200</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March 26, 2014</w:t>
            </w:r>
          </w:p>
        </w:tc>
        <w:tc>
          <w:tcPr>
            <w:tcW w:w="120" w:type="dxa"/>
            <w:vAlign w:val="bottom"/>
          </w:tcPr>
          <w:p>
            <w:pPr>
              <w:spacing w:after="0"/>
              <w:rPr>
                <w:sz w:val="18"/>
                <w:szCs w:val="18"/>
                <w:color w:val="auto"/>
              </w:rPr>
            </w:pP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March 31, 2014</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May 1, 2014</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410,183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6, 2014</w:t>
            </w:r>
          </w:p>
        </w:tc>
        <w:tc>
          <w:tcPr>
            <w:tcW w:w="1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June 30, 2014</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August 1, 2014</w:t>
            </w:r>
          </w:p>
        </w:tc>
        <w:tc>
          <w:tcPr>
            <w:tcW w:w="1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218,892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96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Shares Issued</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1,131,275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20" w:type="dxa"/>
            <w:vAlign w:val="bottom"/>
            <w:gridSpan w:val="5"/>
            <w:vMerge w:val="restart"/>
          </w:tcPr>
          <w:p>
            <w:pPr>
              <w:jc w:val="right"/>
              <w:ind w:right="680"/>
              <w:spacing w:after="0"/>
              <w:rPr>
                <w:sz w:val="20"/>
                <w:szCs w:val="20"/>
                <w:color w:val="auto"/>
              </w:rPr>
            </w:pPr>
            <w:r>
              <w:rPr>
                <w:rFonts w:ascii="Arial" w:cs="Arial" w:eastAsia="Arial" w:hAnsi="Arial"/>
                <w:sz w:val="14"/>
                <w:szCs w:val="14"/>
                <w:b w:val="1"/>
                <w:bCs w:val="1"/>
                <w:color w:val="auto"/>
                <w:w w:val="93"/>
              </w:rPr>
              <w:t>Nine Months Ended</w:t>
            </w: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8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20" w:type="dxa"/>
            <w:vAlign w:val="bottom"/>
            <w:gridSpan w:val="5"/>
            <w:vMerge w:val="continue"/>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8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right"/>
              <w:ind w:right="720"/>
              <w:spacing w:after="0"/>
              <w:rPr>
                <w:sz w:val="20"/>
                <w:szCs w:val="20"/>
                <w:color w:val="auto"/>
              </w:rPr>
            </w:pPr>
            <w:r>
              <w:rPr>
                <w:rFonts w:ascii="Arial" w:cs="Arial" w:eastAsia="Arial" w:hAnsi="Arial"/>
                <w:sz w:val="14"/>
                <w:szCs w:val="14"/>
                <w:b w:val="1"/>
                <w:bCs w:val="1"/>
                <w:color w:val="auto"/>
                <w:w w:val="90"/>
              </w:rPr>
              <w:t>September 30, 2013</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40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0" w:type="dxa"/>
            <w:vAlign w:val="bottom"/>
            <w:gridSpan w:val="3"/>
          </w:tcPr>
          <w:p>
            <w:pPr>
              <w:jc w:val="right"/>
              <w:ind w:right="920"/>
              <w:spacing w:after="0" w:line="129" w:lineRule="exact"/>
              <w:rPr>
                <w:sz w:val="20"/>
                <w:szCs w:val="20"/>
                <w:color w:val="auto"/>
              </w:rPr>
            </w:pPr>
            <w:r>
              <w:rPr>
                <w:rFonts w:ascii="Arial" w:cs="Arial" w:eastAsia="Arial" w:hAnsi="Arial"/>
                <w:sz w:val="14"/>
                <w:szCs w:val="14"/>
                <w:b w:val="1"/>
                <w:bCs w:val="1"/>
                <w:color w:val="auto"/>
              </w:rPr>
              <w:t>Date</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4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3"/>
          </w:tcPr>
          <w:p>
            <w:pPr>
              <w:jc w:val="right"/>
              <w:ind w:right="540"/>
              <w:spacing w:after="0" w:line="148" w:lineRule="exact"/>
              <w:rPr>
                <w:sz w:val="20"/>
                <w:szCs w:val="20"/>
                <w:color w:val="auto"/>
              </w:rPr>
            </w:pPr>
            <w:r>
              <w:rPr>
                <w:rFonts w:ascii="Arial" w:cs="Arial" w:eastAsia="Arial" w:hAnsi="Arial"/>
                <w:sz w:val="14"/>
                <w:szCs w:val="14"/>
                <w:b w:val="1"/>
                <w:bCs w:val="1"/>
                <w:color w:val="auto"/>
              </w:rPr>
              <w:t>Record Date</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0" w:type="dxa"/>
            <w:vAlign w:val="bottom"/>
            <w:gridSpan w:val="3"/>
          </w:tcPr>
          <w:p>
            <w:pPr>
              <w:jc w:val="right"/>
              <w:ind w:right="660"/>
              <w:spacing w:after="0" w:line="148" w:lineRule="exact"/>
              <w:rPr>
                <w:sz w:val="20"/>
                <w:szCs w:val="20"/>
                <w:color w:val="auto"/>
              </w:rPr>
            </w:pPr>
            <w:r>
              <w:rPr>
                <w:rFonts w:ascii="Arial" w:cs="Arial" w:eastAsia="Arial" w:hAnsi="Arial"/>
                <w:sz w:val="14"/>
                <w:szCs w:val="14"/>
                <w:b w:val="1"/>
                <w:bCs w:val="1"/>
                <w:color w:val="auto"/>
                <w:w w:val="96"/>
              </w:rPr>
              <w:t>Shares Issued</w:t>
            </w:r>
          </w:p>
        </w:tc>
        <w:tc>
          <w:tcPr>
            <w:tcW w:w="1080" w:type="dxa"/>
            <w:vAlign w:val="bottom"/>
            <w:gridSpan w:val="4"/>
          </w:tcPr>
          <w:p>
            <w:pPr>
              <w:spacing w:after="0" w:line="148" w:lineRule="exact"/>
              <w:rPr>
                <w:sz w:val="20"/>
                <w:szCs w:val="20"/>
                <w:color w:val="auto"/>
              </w:rPr>
            </w:pPr>
            <w:r>
              <w:rPr>
                <w:rFonts w:ascii="Arial" w:cs="Arial" w:eastAsia="Arial" w:hAnsi="Arial"/>
                <w:sz w:val="14"/>
                <w:szCs w:val="14"/>
                <w:b w:val="1"/>
                <w:bCs w:val="1"/>
                <w:color w:val="auto"/>
                <w:w w:val="91"/>
              </w:rPr>
              <w:t>Shares Issued (1)</w:t>
            </w:r>
          </w:p>
        </w:tc>
        <w:tc>
          <w:tcPr>
            <w:tcW w:w="0" w:type="dxa"/>
            <w:vAlign w:val="bottom"/>
          </w:tcPr>
          <w:p>
            <w:pPr>
              <w:spacing w:after="0"/>
              <w:rPr>
                <w:sz w:val="1"/>
                <w:szCs w:val="1"/>
                <w:color w:val="auto"/>
              </w:rPr>
            </w:pPr>
          </w:p>
        </w:tc>
      </w:tr>
      <w:tr>
        <w:trPr>
          <w:trHeight w:val="203"/>
        </w:trPr>
        <w:tc>
          <w:tcPr>
            <w:tcW w:w="49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December 31, 2012</w:t>
            </w:r>
          </w:p>
        </w:tc>
        <w:tc>
          <w:tcPr>
            <w:tcW w:w="14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December 31, 2012</w:t>
            </w:r>
          </w:p>
        </w:tc>
        <w:tc>
          <w:tcPr>
            <w:tcW w:w="180" w:type="dxa"/>
            <w:vAlign w:val="bottom"/>
            <w:tcBorders>
              <w:top w:val="single" w:sz="8" w:color="CCEEFF"/>
            </w:tcBorders>
            <w:gridSpan w:val="2"/>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March 12, 2013</w:t>
            </w:r>
          </w:p>
        </w:tc>
        <w:tc>
          <w:tcPr>
            <w:tcW w:w="460" w:type="dxa"/>
            <w:vAlign w:val="bottom"/>
            <w:tcBorders>
              <w:top w:val="single" w:sz="8" w:color="CCEEFF"/>
            </w:tcBorders>
            <w:gridSpan w:val="2"/>
            <w:shd w:val="clear" w:color="auto" w:fill="CCEEFF"/>
          </w:tcPr>
          <w:p>
            <w:pPr>
              <w:spacing w:after="0"/>
              <w:rPr>
                <w:sz w:val="17"/>
                <w:szCs w:val="17"/>
                <w:color w:val="auto"/>
              </w:rPr>
            </w:pPr>
          </w:p>
        </w:tc>
        <w:tc>
          <w:tcPr>
            <w:tcW w:w="1000" w:type="dxa"/>
            <w:vAlign w:val="bottom"/>
            <w:tcBorders>
              <w:top w:val="single" w:sz="8" w:color="auto"/>
            </w:tcBorders>
            <w:gridSpan w:val="3"/>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343,981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March 31, 2013</w:t>
            </w:r>
          </w:p>
        </w:tc>
        <w:tc>
          <w:tcPr>
            <w:tcW w:w="120" w:type="dxa"/>
            <w:vAlign w:val="bottom"/>
          </w:tcPr>
          <w:p>
            <w:pPr>
              <w:spacing w:after="0"/>
              <w:rPr>
                <w:sz w:val="18"/>
                <w:szCs w:val="18"/>
                <w:color w:val="auto"/>
              </w:rPr>
            </w:pP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March 31, 2013</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0" w:type="dxa"/>
            <w:vAlign w:val="bottom"/>
            <w:gridSpan w:val="3"/>
          </w:tcPr>
          <w:p>
            <w:pPr>
              <w:jc w:val="right"/>
              <w:ind w:right="460"/>
              <w:spacing w:after="0"/>
              <w:rPr>
                <w:sz w:val="20"/>
                <w:szCs w:val="20"/>
                <w:color w:val="auto"/>
              </w:rPr>
            </w:pPr>
            <w:r>
              <w:rPr>
                <w:rFonts w:ascii="Arial" w:cs="Arial" w:eastAsia="Arial" w:hAnsi="Arial"/>
                <w:sz w:val="18"/>
                <w:szCs w:val="18"/>
                <w:color w:val="auto"/>
              </w:rPr>
              <w:t>May 7, 2013</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436,728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2013</w:t>
            </w:r>
          </w:p>
        </w:tc>
        <w:tc>
          <w:tcPr>
            <w:tcW w:w="1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June 30, 2013</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92"/>
              </w:rPr>
              <w:t>August 6, 2013</w:t>
            </w:r>
          </w:p>
        </w:tc>
        <w:tc>
          <w:tcPr>
            <w:tcW w:w="100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469,799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6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Shares Issued</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1,250,508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34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further described in this Note 9, the indicated amounts have been retroactively adjusted for the stock split which was effected in the form of a stock dividend.</w:t>
      </w:r>
    </w:p>
    <w:p>
      <w:pPr>
        <w:spacing w:after="0" w:line="132" w:lineRule="exact"/>
        <w:rPr>
          <w:sz w:val="20"/>
          <w:szCs w:val="20"/>
          <w:color w:val="auto"/>
        </w:rPr>
      </w:pPr>
    </w:p>
    <w:p>
      <w:pPr>
        <w:jc w:val="both"/>
        <w:ind w:right="20" w:firstLine="456"/>
        <w:spacing w:after="0" w:line="335" w:lineRule="auto"/>
        <w:rPr>
          <w:sz w:val="20"/>
          <w:szCs w:val="20"/>
          <w:color w:val="auto"/>
        </w:rPr>
      </w:pPr>
      <w:r>
        <w:rPr>
          <w:rFonts w:ascii="Arial" w:cs="Arial" w:eastAsia="Arial" w:hAnsi="Arial"/>
          <w:sz w:val="15"/>
          <w:szCs w:val="15"/>
          <w:color w:val="auto"/>
        </w:rPr>
        <w:t>Prior to the Company’s IPO, the number of shares issued through the dividend reinvestment plan was determined by dividing the total dollar amount of the dividend payable to such shareholder by the net asset value per share of the common stock on the record date of the dividend. The common stock issued through the dividend reinvestment plan was rounded down to the nearest whole share to avoid the issuance of fractional shares, and fractional shares were paid in cash.</w:t>
      </w:r>
    </w:p>
    <w:p>
      <w:pPr>
        <w:spacing w:after="0" w:line="88"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On November 3, 2014, pursuant to its dividend reinvestment plan, the Company issued 230,575 shares in connection with the dividend that was paid on October 31, 2014. This dividend was declared on August 4, 2014 for shareholders of record on September 30, 2014.</w:t>
      </w:r>
    </w:p>
    <w:p>
      <w:pPr>
        <w:spacing w:after="0" w:line="85"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On November 3, 2014, the Company’s Board of Directors approved a stock repurchase plan (the “Company 10b5-1 Plan”) to acquire up to $50 million in the aggregate of the Company’s common stock at prices below the Company’s net asset value per share, in accordance with the guidelines specified in Rule 10b-18 and Rule 10b5-1 of the 1934 Act.</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10b5-1 Plan is designed to allow the Company to repurchase its common stock at times when it otherwise might be prevented from doing so under insider trading laws. The Company 10b5-1 Plan will require an agent selected by the Company to repurchase shares of common stock on the Company’s behalf when the market price per share is below the most recently reported net asset value per share (including any updates, corrections or adjustments publicly announced by the Company to any previously announced net asset value per share). Under the Company 10b5-1 Plan, the agent will increase the volume of purchases made as the price of the Company’s common stock declines, subject to volume restrictions. The timing and amount of any stock repurchases will depend on the terms and conditions of the Company 10b5-1 Plan, the market price of the common stock and trading volumes, and no assurance can be given that any particular amount of common stock will be repurchased.</w:t>
      </w:r>
    </w:p>
    <w:p>
      <w:pPr>
        <w:spacing w:after="0" w:line="118" w:lineRule="exact"/>
        <w:rPr>
          <w:sz w:val="20"/>
          <w:szCs w:val="20"/>
          <w:color w:val="auto"/>
        </w:rPr>
      </w:pPr>
    </w:p>
    <w:p>
      <w:pPr>
        <w:ind w:right="260" w:firstLine="348"/>
        <w:spacing w:after="0" w:line="256" w:lineRule="auto"/>
        <w:rPr>
          <w:sz w:val="20"/>
          <w:szCs w:val="20"/>
          <w:color w:val="auto"/>
        </w:rPr>
      </w:pPr>
      <w:r>
        <w:rPr>
          <w:rFonts w:ascii="Arial" w:cs="Arial" w:eastAsia="Arial" w:hAnsi="Arial"/>
          <w:sz w:val="18"/>
          <w:szCs w:val="18"/>
          <w:color w:val="auto"/>
        </w:rPr>
        <w:t>The purchase of shares pursuant to the Company 10b5-1 Plan is intended to satisfy the conditions of Rule 10b5-1 and, together with the Advisers 10b5-1 Plan, Rule 10b-18 under the 1934 Act, and will otherwise be subject to applicable law, including Regulation M, which may prohibit purchases under certain circumstances. Purchases under the Company 10b5-1 Plan and the Advisers 10b5-1 plan will be allocated between the two plans pro rata based on the amount available for purchases under each plan.</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Unless extended or terminated by the Board of Directors, the Company expects that the Company 10b5-1 Plan will be in effect through the earlier of May 4, 2015 or such time as the approved $50 million repurchase amount has been fully utilized, subject to certain conditions.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December 3, 2013, the Board approved a stock split in the form of a stock dividend pursuant to which the Company’s stockholders of record as of December 4, 2013 received 65.676 additional shares of common stock for each share of common stock held. The Company distributed the shares on December 5, 2013 and paid cash for fractional shares without interest or deduction. The Company has retroactively applied the effect of the stock split to the financial information presented herein by multiplying numbers of shares outstanding by 66.676 and dividing per share amounts by 66.676.</w:t>
      </w:r>
    </w:p>
    <w:p>
      <w:pPr>
        <w:sectPr>
          <w:pgSz w:w="11900" w:h="16838" w:orient="portrait"/>
          <w:cols w:equalWidth="0" w:num="1">
            <w:col w:w="11380"/>
          </w:cols>
          <w:pgMar w:left="240" w:top="459" w:right="279" w:bottom="1440" w:gutter="0" w:footer="0" w:header="0"/>
        </w:sectPr>
      </w:pP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380"/>
          </w:cols>
          <w:pgMar w:left="240" w:top="459" w:right="27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common share:</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w w:val="90"/>
              </w:rPr>
              <w:t>Three Months Ended</w:t>
            </w:r>
          </w:p>
        </w:tc>
        <w:tc>
          <w:tcPr>
            <w:tcW w:w="8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ind w:left="720"/>
              <w:spacing w:after="0"/>
              <w:rPr>
                <w:sz w:val="20"/>
                <w:szCs w:val="20"/>
                <w:color w:val="auto"/>
              </w:rPr>
            </w:pPr>
            <w:r>
              <w:rPr>
                <w:rFonts w:ascii="Arial" w:cs="Arial" w:eastAsia="Arial" w:hAnsi="Arial"/>
                <w:sz w:val="14"/>
                <w:szCs w:val="14"/>
                <w:b w:val="1"/>
                <w:bCs w:val="1"/>
                <w:color w:val="auto"/>
                <w:w w:val="91"/>
              </w:rPr>
              <w:t>Nine Months Ended</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September 30, 2014</w:t>
            </w:r>
          </w:p>
        </w:tc>
        <w:tc>
          <w:tcPr>
            <w:tcW w:w="11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September 30, 2013</w:t>
            </w: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September 30, 2014</w:t>
            </w:r>
          </w:p>
        </w:tc>
        <w:tc>
          <w:tcPr>
            <w:tcW w:w="380" w:type="dxa"/>
            <w:vAlign w:val="bottom"/>
          </w:tcPr>
          <w:p>
            <w:pPr>
              <w:spacing w:after="0"/>
              <w:rPr>
                <w:sz w:val="12"/>
                <w:szCs w:val="12"/>
                <w:color w:val="auto"/>
              </w:rPr>
            </w:pPr>
          </w:p>
        </w:tc>
        <w:tc>
          <w:tcPr>
            <w:tcW w:w="11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September 30, 2013</w:t>
            </w:r>
          </w:p>
        </w:tc>
        <w:tc>
          <w:tcPr>
            <w:tcW w:w="100" w:type="dxa"/>
            <w:vAlign w:val="bottom"/>
          </w:tcPr>
          <w:p>
            <w:pPr>
              <w:spacing w:after="0"/>
              <w:rPr>
                <w:sz w:val="12"/>
                <w:szCs w:val="12"/>
                <w:color w:val="auto"/>
              </w:rPr>
            </w:pPr>
          </w:p>
        </w:tc>
      </w:tr>
      <w:tr>
        <w:trPr>
          <w:trHeight w:val="188"/>
        </w:trPr>
        <w:tc>
          <w:tcPr>
            <w:tcW w:w="320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Increase in net assets resulting from</w:t>
            </w:r>
          </w:p>
        </w:tc>
        <w:tc>
          <w:tcPr>
            <w:tcW w:w="4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24"/>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operations</w:t>
            </w: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18,603</w:t>
            </w: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16,259</w:t>
            </w:r>
          </w:p>
        </w:tc>
        <w:tc>
          <w:tcPr>
            <w:tcW w:w="6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71,245</w:t>
            </w: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45,927</w:t>
            </w:r>
          </w:p>
        </w:tc>
        <w:tc>
          <w:tcPr>
            <w:tcW w:w="100" w:type="dxa"/>
            <w:vAlign w:val="bottom"/>
            <w:shd w:val="clear" w:color="auto" w:fill="CCEEFF"/>
          </w:tcPr>
          <w:p>
            <w:pPr>
              <w:spacing w:after="0"/>
              <w:rPr>
                <w:sz w:val="19"/>
                <w:szCs w:val="19"/>
                <w:color w:val="auto"/>
              </w:rPr>
            </w:pPr>
          </w:p>
        </w:tc>
      </w:tr>
      <w:tr>
        <w:trPr>
          <w:trHeight w:val="208"/>
        </w:trPr>
        <w:tc>
          <w:tcPr>
            <w:tcW w:w="3200" w:type="dxa"/>
            <w:vAlign w:val="bottom"/>
          </w:tcPr>
          <w:p>
            <w:pPr>
              <w:spacing w:after="0"/>
              <w:rPr>
                <w:sz w:val="20"/>
                <w:szCs w:val="20"/>
                <w:color w:val="auto"/>
              </w:rPr>
            </w:pPr>
            <w:r>
              <w:rPr>
                <w:rFonts w:ascii="Arial" w:cs="Arial" w:eastAsia="Arial" w:hAnsi="Arial"/>
                <w:sz w:val="18"/>
                <w:szCs w:val="18"/>
                <w:color w:val="auto"/>
              </w:rPr>
              <w:t>Weighted average shares of common</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0" w:type="dxa"/>
            <w:vAlign w:val="bottom"/>
          </w:tcPr>
          <w:p>
            <w:pPr>
              <w:ind w:left="220"/>
              <w:spacing w:after="0"/>
              <w:rPr>
                <w:sz w:val="20"/>
                <w:szCs w:val="20"/>
                <w:color w:val="auto"/>
              </w:rPr>
            </w:pPr>
            <w:r>
              <w:rPr>
                <w:rFonts w:ascii="Arial" w:cs="Arial" w:eastAsia="Arial" w:hAnsi="Arial"/>
                <w:sz w:val="18"/>
                <w:szCs w:val="18"/>
                <w:color w:val="auto"/>
              </w:rPr>
              <w:t>stock outstanding - basic and diluted</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3200" w:type="dxa"/>
            <w:vAlign w:val="bottom"/>
          </w:tcPr>
          <w:p>
            <w:pPr>
              <w:ind w:left="22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53,493,026</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34,817,674</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49,427,943</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33,891,011</w:t>
            </w:r>
          </w:p>
        </w:tc>
        <w:tc>
          <w:tcPr>
            <w:tcW w:w="100" w:type="dxa"/>
            <w:vAlign w:val="bottom"/>
          </w:tcPr>
          <w:p>
            <w:pPr>
              <w:spacing w:after="0"/>
              <w:rPr>
                <w:sz w:val="19"/>
                <w:szCs w:val="19"/>
                <w:color w:val="auto"/>
              </w:rPr>
            </w:pP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w w:val="99"/>
              </w:rPr>
              <w:t>Earnings per common share - basic and</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 (1)</w:t>
            </w: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0.47</w:t>
            </w:r>
          </w:p>
        </w:tc>
        <w:tc>
          <w:tcPr>
            <w:tcW w:w="6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1.44</w:t>
            </w: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r>
    </w:tbl>
    <w:p>
      <w:pPr>
        <w:spacing w:after="0" w:line="194" w:lineRule="exact"/>
        <w:rPr>
          <w:sz w:val="20"/>
          <w:szCs w:val="20"/>
          <w:color w:val="auto"/>
        </w:rPr>
      </w:pPr>
    </w:p>
    <w:p>
      <w:pPr>
        <w:ind w:left="460" w:right="40" w:hanging="452"/>
        <w:spacing w:after="0" w:line="26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periods prior to December 3, 2013 have been retroactively adjusted for the stock split which was effected in the form of a stock dividend.</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For the purpose of calculating diluted earnings per common share, the average closing price of the Company’s common stock for the three months ended September 30, 2014 was less than the conversion price for the Convertible Senior Notes outstanding as of September 30, 2014. Therefore, for all periods presented in the financial statements, the underlying shares for the intrinsic value of the embedded options in the Convertible Senior Notes have no impact on the computation of diluted earnings per common share.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Dividends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dividends declared during the nine months ended September 30, 2014 and 2013:</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60" w:type="dxa"/>
            <w:vAlign w:val="bottom"/>
            <w:gridSpan w:val="3"/>
          </w:tcPr>
          <w:p>
            <w:pPr>
              <w:ind w:left="32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240" w:type="dxa"/>
            <w:vAlign w:val="bottom"/>
            <w:vMerge w:val="restart"/>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2014</w:t>
            </w: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vMerge w:val="continue"/>
          </w:tcPr>
          <w:p>
            <w:pPr>
              <w:spacing w:after="0"/>
              <w:rPr>
                <w:sz w:val="12"/>
                <w:szCs w:val="12"/>
                <w:color w:val="auto"/>
              </w:rPr>
            </w:pPr>
          </w:p>
        </w:tc>
        <w:tc>
          <w:tcPr>
            <w:tcW w:w="3240" w:type="dxa"/>
            <w:vAlign w:val="bottom"/>
            <w:vMerge w:val="continue"/>
          </w:tcPr>
          <w:p>
            <w:pPr>
              <w:spacing w:after="0"/>
              <w:rPr>
                <w:sz w:val="12"/>
                <w:szCs w:val="12"/>
                <w:color w:val="auto"/>
              </w:rPr>
            </w:pPr>
          </w:p>
        </w:tc>
        <w:tc>
          <w:tcPr>
            <w:tcW w:w="1780" w:type="dxa"/>
            <w:vAlign w:val="bottom"/>
            <w:gridSpan w:val="2"/>
          </w:tcPr>
          <w:p>
            <w:pPr>
              <w:jc w:val="right"/>
              <w:ind w:right="700"/>
              <w:spacing w:after="0" w:line="129" w:lineRule="exact"/>
              <w:rPr>
                <w:sz w:val="20"/>
                <w:szCs w:val="20"/>
                <w:color w:val="auto"/>
              </w:rPr>
            </w:pPr>
            <w:r>
              <w:rPr>
                <w:rFonts w:ascii="Arial" w:cs="Arial" w:eastAsia="Arial" w:hAnsi="Arial"/>
                <w:sz w:val="14"/>
                <w:szCs w:val="14"/>
                <w:b w:val="1"/>
                <w:bCs w:val="1"/>
                <w:color w:val="auto"/>
              </w:rPr>
              <w:t>Record Date</w:t>
            </w:r>
          </w:p>
        </w:tc>
        <w:tc>
          <w:tcPr>
            <w:tcW w:w="340" w:type="dxa"/>
            <w:vAlign w:val="bottom"/>
          </w:tcPr>
          <w:p>
            <w:pPr>
              <w:spacing w:after="0"/>
              <w:rPr>
                <w:sz w:val="12"/>
                <w:szCs w:val="12"/>
                <w:color w:val="auto"/>
              </w:rPr>
            </w:pPr>
          </w:p>
        </w:tc>
        <w:tc>
          <w:tcPr>
            <w:tcW w:w="1920" w:type="dxa"/>
            <w:vAlign w:val="bottom"/>
            <w:gridSpan w:val="2"/>
          </w:tcPr>
          <w:p>
            <w:pPr>
              <w:ind w:left="220"/>
              <w:spacing w:after="0" w:line="129" w:lineRule="exact"/>
              <w:rPr>
                <w:sz w:val="20"/>
                <w:szCs w:val="20"/>
                <w:color w:val="auto"/>
              </w:rPr>
            </w:pPr>
            <w:r>
              <w:rPr>
                <w:rFonts w:ascii="Arial" w:cs="Arial" w:eastAsia="Arial" w:hAnsi="Arial"/>
                <w:sz w:val="14"/>
                <w:szCs w:val="14"/>
                <w:b w:val="1"/>
                <w:bCs w:val="1"/>
                <w:color w:val="auto"/>
              </w:rPr>
              <w:t>Payment Date</w:t>
            </w:r>
          </w:p>
        </w:tc>
        <w:tc>
          <w:tcPr>
            <w:tcW w:w="100" w:type="dxa"/>
            <w:vAlign w:val="bottom"/>
          </w:tcPr>
          <w:p>
            <w:pPr>
              <w:spacing w:after="0"/>
              <w:rPr>
                <w:sz w:val="12"/>
                <w:szCs w:val="12"/>
                <w:color w:val="auto"/>
              </w:rPr>
            </w:pPr>
          </w:p>
        </w:tc>
        <w:tc>
          <w:tcPr>
            <w:tcW w:w="1220" w:type="dxa"/>
            <w:vAlign w:val="bottom"/>
          </w:tcPr>
          <w:p>
            <w:pPr>
              <w:jc w:val="right"/>
              <w:ind w:right="14"/>
              <w:spacing w:after="0" w:line="129" w:lineRule="exact"/>
              <w:rPr>
                <w:sz w:val="20"/>
                <w:szCs w:val="20"/>
                <w:color w:val="auto"/>
              </w:rPr>
            </w:pPr>
            <w:r>
              <w:rPr>
                <w:rFonts w:ascii="Arial" w:cs="Arial" w:eastAsia="Arial" w:hAnsi="Arial"/>
                <w:sz w:val="14"/>
                <w:szCs w:val="14"/>
                <w:b w:val="1"/>
                <w:bCs w:val="1"/>
                <w:color w:val="auto"/>
                <w:w w:val="86"/>
              </w:rPr>
              <w:t>Dividend per Share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1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March 26, 2014</w:t>
            </w:r>
          </w:p>
        </w:tc>
        <w:tc>
          <w:tcPr>
            <w:tcW w:w="1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March 31, 2014</w:t>
            </w:r>
          </w:p>
        </w:tc>
        <w:tc>
          <w:tcPr>
            <w:tcW w:w="3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April 30, 2014</w:t>
            </w: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0.38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May 6, 2014</w:t>
            </w:r>
          </w:p>
        </w:tc>
        <w:tc>
          <w:tcPr>
            <w:tcW w:w="1780" w:type="dxa"/>
            <w:vAlign w:val="bottom"/>
            <w:gridSpan w:val="2"/>
          </w:tcPr>
          <w:p>
            <w:pPr>
              <w:jc w:val="right"/>
              <w:ind w:right="320"/>
              <w:spacing w:after="0"/>
              <w:rPr>
                <w:sz w:val="20"/>
                <w:szCs w:val="20"/>
                <w:color w:val="auto"/>
              </w:rPr>
            </w:pPr>
            <w:r>
              <w:rPr>
                <w:rFonts w:ascii="Arial" w:cs="Arial" w:eastAsia="Arial" w:hAnsi="Arial"/>
                <w:sz w:val="18"/>
                <w:szCs w:val="18"/>
                <w:color w:val="auto"/>
              </w:rPr>
              <w:t>June 30, 2014</w:t>
            </w:r>
          </w:p>
        </w:tc>
        <w:tc>
          <w:tcPr>
            <w:tcW w:w="340" w:type="dxa"/>
            <w:vAlign w:val="bottom"/>
          </w:tcPr>
          <w:p>
            <w:pPr>
              <w:spacing w:after="0"/>
              <w:rPr>
                <w:sz w:val="18"/>
                <w:szCs w:val="18"/>
                <w:color w:val="auto"/>
              </w:rPr>
            </w:pPr>
          </w:p>
        </w:tc>
        <w:tc>
          <w:tcPr>
            <w:tcW w:w="1920" w:type="dxa"/>
            <w:vAlign w:val="bottom"/>
            <w:gridSpan w:val="2"/>
          </w:tcPr>
          <w:p>
            <w:pPr>
              <w:jc w:val="right"/>
              <w:ind w:right="640"/>
              <w:spacing w:after="0"/>
              <w:rPr>
                <w:sz w:val="20"/>
                <w:szCs w:val="20"/>
                <w:color w:val="auto"/>
              </w:rPr>
            </w:pPr>
            <w:r>
              <w:rPr>
                <w:rFonts w:ascii="Arial" w:cs="Arial" w:eastAsia="Arial" w:hAnsi="Arial"/>
                <w:sz w:val="18"/>
                <w:szCs w:val="18"/>
                <w:color w:val="auto"/>
              </w:rPr>
              <w:t>July 31, 2014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4, 2014</w:t>
            </w:r>
          </w:p>
        </w:tc>
        <w:tc>
          <w:tcPr>
            <w:tcW w:w="1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September 30, 2014</w:t>
            </w:r>
          </w:p>
        </w:tc>
        <w:tc>
          <w:tcPr>
            <w:tcW w:w="3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0"/>
              </w:rPr>
              <w:t>October 31, 2014</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12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1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6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8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6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240" w:type="dxa"/>
            <w:vAlign w:val="bottom"/>
            <w:vMerge w:val="restart"/>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2013</w:t>
            </w: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vMerge w:val="continue"/>
          </w:tcPr>
          <w:p>
            <w:pPr>
              <w:spacing w:after="0"/>
              <w:rPr>
                <w:sz w:val="12"/>
                <w:szCs w:val="12"/>
                <w:color w:val="auto"/>
              </w:rPr>
            </w:pPr>
          </w:p>
        </w:tc>
        <w:tc>
          <w:tcPr>
            <w:tcW w:w="3240" w:type="dxa"/>
            <w:vAlign w:val="bottom"/>
            <w:vMerge w:val="continue"/>
          </w:tcPr>
          <w:p>
            <w:pPr>
              <w:spacing w:after="0"/>
              <w:rPr>
                <w:sz w:val="12"/>
                <w:szCs w:val="12"/>
                <w:color w:val="auto"/>
              </w:rPr>
            </w:pPr>
          </w:p>
        </w:tc>
        <w:tc>
          <w:tcPr>
            <w:tcW w:w="1780" w:type="dxa"/>
            <w:vAlign w:val="bottom"/>
            <w:gridSpan w:val="2"/>
          </w:tcPr>
          <w:p>
            <w:pPr>
              <w:jc w:val="right"/>
              <w:ind w:right="700"/>
              <w:spacing w:after="0" w:line="129" w:lineRule="exact"/>
              <w:rPr>
                <w:sz w:val="20"/>
                <w:szCs w:val="20"/>
                <w:color w:val="auto"/>
              </w:rPr>
            </w:pPr>
            <w:r>
              <w:rPr>
                <w:rFonts w:ascii="Arial" w:cs="Arial" w:eastAsia="Arial" w:hAnsi="Arial"/>
                <w:sz w:val="14"/>
                <w:szCs w:val="14"/>
                <w:b w:val="1"/>
                <w:bCs w:val="1"/>
                <w:color w:val="auto"/>
              </w:rPr>
              <w:t>Record Date</w:t>
            </w:r>
          </w:p>
        </w:tc>
        <w:tc>
          <w:tcPr>
            <w:tcW w:w="340" w:type="dxa"/>
            <w:vAlign w:val="bottom"/>
          </w:tcPr>
          <w:p>
            <w:pPr>
              <w:spacing w:after="0"/>
              <w:rPr>
                <w:sz w:val="12"/>
                <w:szCs w:val="12"/>
                <w:color w:val="auto"/>
              </w:rPr>
            </w:pPr>
          </w:p>
        </w:tc>
        <w:tc>
          <w:tcPr>
            <w:tcW w:w="1920" w:type="dxa"/>
            <w:vAlign w:val="bottom"/>
            <w:gridSpan w:val="2"/>
          </w:tcPr>
          <w:p>
            <w:pPr>
              <w:ind w:left="220"/>
              <w:spacing w:after="0" w:line="129" w:lineRule="exact"/>
              <w:rPr>
                <w:sz w:val="20"/>
                <w:szCs w:val="20"/>
                <w:color w:val="auto"/>
              </w:rPr>
            </w:pPr>
            <w:r>
              <w:rPr>
                <w:rFonts w:ascii="Arial" w:cs="Arial" w:eastAsia="Arial" w:hAnsi="Arial"/>
                <w:sz w:val="14"/>
                <w:szCs w:val="14"/>
                <w:b w:val="1"/>
                <w:bCs w:val="1"/>
                <w:color w:val="auto"/>
              </w:rPr>
              <w:t>Payment Date</w:t>
            </w:r>
          </w:p>
        </w:tc>
        <w:tc>
          <w:tcPr>
            <w:tcW w:w="13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7"/>
              </w:rPr>
              <w:t>Dividend per Share (1)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1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March 12, 2013</w:t>
            </w:r>
          </w:p>
        </w:tc>
        <w:tc>
          <w:tcPr>
            <w:tcW w:w="1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March 31, 2013</w:t>
            </w:r>
          </w:p>
        </w:tc>
        <w:tc>
          <w:tcPr>
            <w:tcW w:w="3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May 6, 2013</w:t>
            </w: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0.38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June 30, 2013</w:t>
            </w:r>
          </w:p>
        </w:tc>
        <w:tc>
          <w:tcPr>
            <w:tcW w:w="1780" w:type="dxa"/>
            <w:vAlign w:val="bottom"/>
            <w:gridSpan w:val="2"/>
          </w:tcPr>
          <w:p>
            <w:pPr>
              <w:jc w:val="right"/>
              <w:ind w:right="320"/>
              <w:spacing w:after="0"/>
              <w:rPr>
                <w:sz w:val="20"/>
                <w:szCs w:val="20"/>
                <w:color w:val="auto"/>
              </w:rPr>
            </w:pPr>
            <w:r>
              <w:rPr>
                <w:rFonts w:ascii="Arial" w:cs="Arial" w:eastAsia="Arial" w:hAnsi="Arial"/>
                <w:sz w:val="18"/>
                <w:szCs w:val="18"/>
                <w:color w:val="auto"/>
              </w:rPr>
              <w:t>June 30, 2013</w:t>
            </w:r>
          </w:p>
        </w:tc>
        <w:tc>
          <w:tcPr>
            <w:tcW w:w="340" w:type="dxa"/>
            <w:vAlign w:val="bottom"/>
          </w:tcPr>
          <w:p>
            <w:pPr>
              <w:spacing w:after="0"/>
              <w:rPr>
                <w:sz w:val="18"/>
                <w:szCs w:val="18"/>
                <w:color w:val="auto"/>
              </w:rPr>
            </w:pPr>
          </w:p>
        </w:tc>
        <w:tc>
          <w:tcPr>
            <w:tcW w:w="1920" w:type="dxa"/>
            <w:vAlign w:val="bottom"/>
            <w:gridSpan w:val="2"/>
          </w:tcPr>
          <w:p>
            <w:pPr>
              <w:jc w:val="right"/>
              <w:ind w:right="640"/>
              <w:spacing w:after="0"/>
              <w:rPr>
                <w:sz w:val="20"/>
                <w:szCs w:val="20"/>
                <w:color w:val="auto"/>
              </w:rPr>
            </w:pPr>
            <w:r>
              <w:rPr>
                <w:rFonts w:ascii="Arial" w:cs="Arial" w:eastAsia="Arial" w:hAnsi="Arial"/>
                <w:sz w:val="18"/>
                <w:szCs w:val="18"/>
                <w:color w:val="auto"/>
              </w:rPr>
              <w:t>July 31, 2013</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2013</w:t>
            </w:r>
          </w:p>
        </w:tc>
        <w:tc>
          <w:tcPr>
            <w:tcW w:w="1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September 30, 2013</w:t>
            </w:r>
          </w:p>
        </w:tc>
        <w:tc>
          <w:tcPr>
            <w:tcW w:w="3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0"/>
              </w:rPr>
              <w:t>October 31, 2013</w:t>
            </w: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1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20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dates prior to December 3, 2013 have been retroactively adjusted for the stock split which was effected in the form of a stock dividend.</w:t>
      </w:r>
    </w:p>
    <w:p>
      <w:pPr>
        <w:spacing w:after="0" w:line="13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5"/>
          <w:szCs w:val="15"/>
          <w:color w:val="auto"/>
        </w:rPr>
        <w:t>The dividends declared during the nine months ended September 30, 2014 and 2013, were derived from net investment income determined on a tax basis.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Financial Highlights</w:t>
      </w:r>
    </w:p>
    <w:p>
      <w:pPr>
        <w:spacing w:after="0" w:line="96"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The following per share data and ratios have been derived from information provided in the consolidated financial statements. The following are the financial highlights for a share of Common Stock outstanding during the nine months ended September 30, 2014 and 2013.</w:t>
      </w:r>
    </w:p>
    <w:p>
      <w:pPr>
        <w:spacing w:after="0" w:line="10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8"/>
              </w:rPr>
              <w:t>Nine Months</w:t>
            </w: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4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Ended</w:t>
            </w:r>
          </w:p>
        </w:tc>
        <w:tc>
          <w:tcPr>
            <w:tcW w:w="520" w:type="dxa"/>
            <w:vAlign w:val="bottom"/>
          </w:tcPr>
          <w:p>
            <w:pPr>
              <w:spacing w:after="0"/>
              <w:rPr>
                <w:sz w:val="12"/>
                <w:szCs w:val="12"/>
                <w:color w:val="auto"/>
              </w:rPr>
            </w:pPr>
          </w:p>
        </w:tc>
        <w:tc>
          <w:tcPr>
            <w:tcW w:w="144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4"/>
              </w:rPr>
              <w:t>Nine Months Ended</w:t>
            </w:r>
          </w:p>
        </w:tc>
      </w:tr>
      <w:tr>
        <w:trPr>
          <w:trHeight w:val="161"/>
        </w:trPr>
        <w:tc>
          <w:tcPr>
            <w:tcW w:w="4340" w:type="dxa"/>
            <w:vAlign w:val="bottom"/>
          </w:tcPr>
          <w:p>
            <w:pPr>
              <w:spacing w:after="0"/>
              <w:rPr>
                <w:sz w:val="14"/>
                <w:szCs w:val="14"/>
                <w:color w:val="auto"/>
              </w:rPr>
            </w:pPr>
          </w:p>
        </w:tc>
        <w:tc>
          <w:tcPr>
            <w:tcW w:w="2380" w:type="dxa"/>
            <w:vAlign w:val="bottom"/>
            <w:gridSpan w:val="4"/>
          </w:tcPr>
          <w:p>
            <w:pPr>
              <w:jc w:val="center"/>
              <w:ind w:left="42"/>
              <w:spacing w:after="0"/>
              <w:rPr>
                <w:sz w:val="20"/>
                <w:szCs w:val="20"/>
                <w:color w:val="auto"/>
              </w:rPr>
            </w:pPr>
            <w:r>
              <w:rPr>
                <w:rFonts w:ascii="Arial" w:cs="Arial" w:eastAsia="Arial" w:hAnsi="Arial"/>
                <w:sz w:val="14"/>
                <w:szCs w:val="14"/>
                <w:b w:val="1"/>
                <w:bCs w:val="1"/>
                <w:color w:val="auto"/>
                <w:w w:val="87"/>
              </w:rPr>
              <w:t>September 30, 2014</w:t>
            </w:r>
          </w:p>
        </w:tc>
        <w:tc>
          <w:tcPr>
            <w:tcW w:w="1960" w:type="dxa"/>
            <w:vAlign w:val="bottom"/>
            <w:gridSpan w:val="4"/>
          </w:tcPr>
          <w:p>
            <w:pPr>
              <w:ind w:left="520"/>
              <w:spacing w:after="0"/>
              <w:rPr>
                <w:sz w:val="20"/>
                <w:szCs w:val="20"/>
                <w:color w:val="auto"/>
              </w:rPr>
            </w:pPr>
            <w:r>
              <w:rPr>
                <w:rFonts w:ascii="Arial" w:cs="Arial" w:eastAsia="Arial" w:hAnsi="Arial"/>
                <w:sz w:val="14"/>
                <w:szCs w:val="14"/>
                <w:b w:val="1"/>
                <w:bCs w:val="1"/>
                <w:color w:val="auto"/>
                <w:w w:val="93"/>
              </w:rPr>
              <w:t>September 30, 2013 (6)</w:t>
            </w:r>
          </w:p>
        </w:tc>
      </w:tr>
      <w:tr>
        <w:trPr>
          <w:trHeight w:val="196"/>
        </w:trPr>
        <w:tc>
          <w:tcPr>
            <w:tcW w:w="4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6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15.52</w:t>
            </w:r>
          </w:p>
        </w:tc>
        <w:tc>
          <w:tcPr>
            <w:tcW w:w="560" w:type="dxa"/>
            <w:vAlign w:val="bottom"/>
          </w:tcPr>
          <w:p>
            <w:pPr>
              <w:spacing w:after="0"/>
              <w:rPr>
                <w:sz w:val="18"/>
                <w:szCs w:val="18"/>
                <w:color w:val="auto"/>
              </w:rPr>
            </w:pP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15.19</w:t>
            </w:r>
          </w:p>
        </w:tc>
        <w:tc>
          <w:tcPr>
            <w:tcW w:w="12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(1)</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8"/>
                <w:szCs w:val="18"/>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Net realized and unrealized gains (1)</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(0.02)</w:t>
            </w: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19"/>
                <w:szCs w:val="19"/>
                <w:color w:val="auto"/>
              </w:rPr>
            </w:pPr>
          </w:p>
        </w:tc>
      </w:tr>
      <w:tr>
        <w:trPr>
          <w:trHeight w:val="216"/>
        </w:trPr>
        <w:tc>
          <w:tcPr>
            <w:tcW w:w="4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from investment operations</w:t>
            </w:r>
          </w:p>
        </w:tc>
        <w:tc>
          <w:tcPr>
            <w:tcW w:w="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Issuances of common stock, net of offering costs (1)</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(0.20)</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(2)</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(1.14)</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r>
      <w:tr>
        <w:trPr>
          <w:trHeight w:val="222"/>
        </w:trPr>
        <w:tc>
          <w:tcPr>
            <w:tcW w:w="4340" w:type="dxa"/>
            <w:vAlign w:val="bottom"/>
          </w:tcPr>
          <w:p>
            <w:pPr>
              <w:ind w:left="440"/>
              <w:spacing w:after="0"/>
              <w:rPr>
                <w:sz w:val="20"/>
                <w:szCs w:val="20"/>
                <w:color w:val="auto"/>
              </w:rPr>
            </w:pPr>
            <w:r>
              <w:rPr>
                <w:rFonts w:ascii="Arial" w:cs="Arial" w:eastAsia="Arial" w:hAnsi="Arial"/>
                <w:sz w:val="18"/>
                <w:szCs w:val="18"/>
                <w:color w:val="auto"/>
              </w:rPr>
              <w:t>Total increase in net assets</w:t>
            </w: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19"/>
                <w:szCs w:val="19"/>
                <w:color w:val="auto"/>
              </w:rPr>
            </w:pPr>
          </w:p>
        </w:tc>
      </w:tr>
    </w:tbl>
    <w:p>
      <w:pPr>
        <w:spacing w:after="0" w:line="154" w:lineRule="exact"/>
        <w:rPr>
          <w:sz w:val="20"/>
          <w:szCs w:val="20"/>
          <w:color w:val="auto"/>
        </w:rPr>
      </w:pPr>
    </w:p>
    <w:p>
      <w:pPr>
        <w:sectPr>
          <w:pgSz w:w="11900" w:h="16838" w:orient="portrait"/>
          <w:cols w:equalWidth="0" w:num="1">
            <w:col w:w="11340"/>
          </w:cols>
          <w:pgMar w:left="240" w:top="459" w:right="319" w:bottom="1440" w:gutter="0" w:footer="0" w:header="0"/>
        </w:sectPr>
      </w:pPr>
    </w:p>
    <w:p>
      <w:pPr>
        <w:jc w:val="center"/>
        <w:ind w:right="-7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340"/>
          </w:cols>
          <w:pgMar w:left="240" w:top="459" w:right="31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2"/>
              </w:rPr>
              <w:t>Nine Months</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2"/>
                <w:szCs w:val="12"/>
                <w:color w:val="auto"/>
              </w:rPr>
            </w:pPr>
          </w:p>
        </w:tc>
        <w:tc>
          <w:tcPr>
            <w:tcW w:w="154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61"/>
        </w:trPr>
        <w:tc>
          <w:tcPr>
            <w:tcW w:w="4780" w:type="dxa"/>
            <w:vAlign w:val="bottom"/>
          </w:tcPr>
          <w:p>
            <w:pPr>
              <w:spacing w:after="0"/>
              <w:rPr>
                <w:sz w:val="14"/>
                <w:szCs w:val="14"/>
                <w:color w:val="auto"/>
              </w:rPr>
            </w:pPr>
          </w:p>
        </w:tc>
        <w:tc>
          <w:tcPr>
            <w:tcW w:w="2240" w:type="dxa"/>
            <w:vAlign w:val="bottom"/>
            <w:gridSpan w:val="4"/>
          </w:tcPr>
          <w:p>
            <w:pPr>
              <w:ind w:left="840"/>
              <w:spacing w:after="0"/>
              <w:rPr>
                <w:sz w:val="20"/>
                <w:szCs w:val="20"/>
                <w:color w:val="auto"/>
              </w:rPr>
            </w:pPr>
            <w:r>
              <w:rPr>
                <w:rFonts w:ascii="Arial" w:cs="Arial" w:eastAsia="Arial" w:hAnsi="Arial"/>
                <w:sz w:val="14"/>
                <w:szCs w:val="14"/>
                <w:b w:val="1"/>
                <w:bCs w:val="1"/>
                <w:color w:val="auto"/>
              </w:rPr>
              <w:t>September 30, 2014</w:t>
            </w:r>
          </w:p>
        </w:tc>
        <w:tc>
          <w:tcPr>
            <w:tcW w:w="166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3"/>
              </w:rPr>
              <w:t>September 30, 2013 (6)</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Net Asset Value, End of Period</w:t>
            </w:r>
          </w:p>
        </w:tc>
        <w:tc>
          <w:tcPr>
            <w:tcW w:w="8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42"/>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color w:val="auto"/>
              </w:rPr>
              <w:t>Per share market value at end of period</w:t>
            </w:r>
          </w:p>
        </w:tc>
        <w:tc>
          <w:tcPr>
            <w:tcW w:w="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780" w:type="dxa"/>
            <w:vAlign w:val="bottom"/>
            <w:vMerge w:val="continue"/>
          </w:tcPr>
          <w:p>
            <w:pPr>
              <w:spacing w:after="0"/>
              <w:rPr>
                <w:sz w:val="18"/>
                <w:szCs w:val="18"/>
                <w:color w:val="auto"/>
              </w:rPr>
            </w:pPr>
          </w:p>
        </w:tc>
        <w:tc>
          <w:tcPr>
            <w:tcW w:w="960" w:type="dxa"/>
            <w:vAlign w:val="bottom"/>
            <w:gridSpan w:val="2"/>
          </w:tcPr>
          <w:p>
            <w:pPr>
              <w:ind w:left="84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16.01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8"/>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 return based on market value (3)</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Total return based on net asset value (4)</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8.25%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End of Period</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53,566,783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36,546,515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b w:val="1"/>
                <w:bCs w:val="1"/>
                <w:color w:val="auto"/>
              </w:rPr>
              <w:t>Ratios/Supplemental Data</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Ratio of net expenses to average net assets (5)</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Ratio of net investment income to average net assets (5)</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Portfolio turnover (5)</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22"/>
        </w:trPr>
        <w:tc>
          <w:tcPr>
            <w:tcW w:w="4780" w:type="dxa"/>
            <w:vAlign w:val="bottom"/>
          </w:tcPr>
          <w:p>
            <w:pPr>
              <w:spacing w:after="0"/>
              <w:rPr>
                <w:sz w:val="20"/>
                <w:szCs w:val="20"/>
                <w:color w:val="auto"/>
              </w:rPr>
            </w:pPr>
            <w:r>
              <w:rPr>
                <w:rFonts w:ascii="Arial" w:cs="Arial" w:eastAsia="Arial" w:hAnsi="Arial"/>
                <w:sz w:val="18"/>
                <w:szCs w:val="18"/>
                <w:color w:val="auto"/>
              </w:rPr>
              <w:t>Net assets, end of period</w:t>
            </w:r>
          </w:p>
        </w:tc>
        <w:tc>
          <w:tcPr>
            <w:tcW w:w="960" w:type="dxa"/>
            <w:vAlign w:val="bottom"/>
            <w:gridSpan w:val="2"/>
          </w:tcPr>
          <w:p>
            <w:pPr>
              <w:ind w:left="84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838,889</w:t>
            </w:r>
          </w:p>
        </w:tc>
        <w:tc>
          <w:tcPr>
            <w:tcW w:w="260" w:type="dxa"/>
            <w:vAlign w:val="bottom"/>
          </w:tcPr>
          <w:p>
            <w:pPr>
              <w:spacing w:after="0"/>
              <w:rPr>
                <w:sz w:val="19"/>
                <w:szCs w:val="19"/>
                <w:color w:val="auto"/>
              </w:rPr>
            </w:pPr>
          </w:p>
        </w:tc>
        <w:tc>
          <w:tcPr>
            <w:tcW w:w="44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561,089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per share data was derived by using the weighted average shares outstanding during the period.</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per share data was derived by using the actual shares outstanding at the date of the relevant transactions.</w:t>
      </w:r>
    </w:p>
    <w:p>
      <w:pPr>
        <w:spacing w:after="0" w:line="9" w:lineRule="exact"/>
        <w:rPr>
          <w:rFonts w:ascii="Arial" w:cs="Arial" w:eastAsia="Arial" w:hAnsi="Arial"/>
          <w:sz w:val="18"/>
          <w:szCs w:val="18"/>
          <w:color w:val="auto"/>
        </w:rPr>
      </w:pPr>
    </w:p>
    <w:p>
      <w:pPr>
        <w:ind w:left="580" w:right="180" w:hanging="572"/>
        <w:spacing w:after="0" w:line="250"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Total return based on market value is calculated as the change in market value per share during the period plus declared dividends per share, divided by the beginning market value per share.</w:t>
      </w:r>
    </w:p>
    <w:p>
      <w:pPr>
        <w:ind w:left="580" w:right="180" w:hanging="572"/>
        <w:spacing w:after="0" w:line="250"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Total return based on net asset value is calculated as the change in net asset value per share during the period plus declared dividends per share, divided by the beginning net asset value per share.</w:t>
      </w: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ratios reflect an annualized amount.</w:t>
      </w:r>
    </w:p>
    <w:p>
      <w:pPr>
        <w:spacing w:after="0" w:line="9" w:lineRule="exact"/>
        <w:rPr>
          <w:rFonts w:ascii="Arial" w:cs="Arial" w:eastAsia="Arial" w:hAnsi="Arial"/>
          <w:sz w:val="18"/>
          <w:szCs w:val="18"/>
          <w:color w:val="auto"/>
        </w:rPr>
      </w:pPr>
    </w:p>
    <w:p>
      <w:pPr>
        <w:ind w:left="580" w:right="140" w:hanging="572"/>
        <w:spacing w:after="0" w:line="261"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dates prior to December 3, 2013 have been retroactively adjusted for the stock split which was effected in the form of a stock dividend.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consolidated financial statements and notes thereto appearing elsewhere in this report. This discussion also should be read in conjunction with the “Cautionary Statement Regarding Forward Looking Statements” set forth on page 3 of this Quarterly Report on Form 10-Q.</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TPG Specialty Lending, Inc. is a Delaware corporation formed on July 21, 2010. The Adviser is our external manager. We have three wholly owned subsidiaries, TC Lending, LLC, a Delaware limited liability company, which holds a California finance lender and broker license, TPG SL SPV, LLC, a Delaware limited liability company, in which we hold assets to support our asset-backed credit facility, and TSL MR, LLC, a Delaware limited liability company, in which we hold certain investments. Our results reflect our ramp-up of initial investments, which is now complete, as well as the ongoing measured growth of our portfolio of investments.</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have elected to be regulated as a BDC under the 1940 Act and as a RIC under the Code. We made our BDC election on April 15, 2011. As a result, we are required to comply with various statutory and regulatory requirements, such as:</w:t>
      </w:r>
    </w:p>
    <w:p>
      <w:pPr>
        <w:spacing w:after="0" w:line="51"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requirement to invest at least 70% of our assets in “qualifying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source of income limitations;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asset diversification requirements; and</w:t>
      </w:r>
    </w:p>
    <w:p>
      <w:pPr>
        <w:spacing w:after="0" w:line="9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requirement to distribute (or be treated as distributing) in each taxable year at least 90% of our investment company taxable income and tax-exempt interest for that taxable year.</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March 21, 2014, we completed our IPO, issuing 7,000,000 shares at $16.00 per share, and our concurrent private placement, issuing 3,124,984 shares at $16.00 per share. Net of underwriting fees and offering costs, we received total cash proceeds of $151.6 million.</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April 2014, an additional 1,050,000 shares of stock were issued pursuant to the exercise of the underwriters’ over-allotment option. Net of underwriting fees and offering costs, we received additional total cash proceeds of approximately $15.4 million.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shares are currently listed on the NYSE under the symbol “TSLX”.</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Board of Directors has approved a stock repurchase plan, which we refer to as the Company 10b5-1 Plan, to acquire up to $50 million in the aggregate of our common stock at prices below our net asset value over a specified period, in accordance with the guidelines specified in Rule 10b-18 and Rule 10b5-1 of the 1934 Act. Unless extended or terminated by the Board of Directors, we expect that the Company 10b5-1 Plan will be in effect through the earlier of May 4, 2015 or such time as the approved $50 million repurchase amount has been fully utilized, subject to certain conditions.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Framework</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are a specialty finance company focused on lending to middle-market companies. Since we began our investment activities in July 2011, through September 30, 2014 we have originated more than $3.0 billion aggregate principal amount of investments and retained approximately $2.0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loans and investments in corporate bonds and equity securities.</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By “middle-market companies,” we mean companies that have annual EBITDA, which we believe is a useful proxy for cash flow, of $10 million to $250 million, although we may invest in larger or smaller companies on occasion. As of September 30, 2014, our core portfolio companies had weighted average annual revenue of $165 million and weighted average annual EBITDA of $33 million.</w:t>
      </w:r>
    </w:p>
    <w:p>
      <w:pPr>
        <w:spacing w:after="0" w:line="140"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We invest in first-lien debt, second-lien debt, mezzanine debt and equity securities.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2014, our average investment size in our portfolio companies was $40 million.</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companies in which we invest use our capital to support organic growth, acquisitions, market or product expansion and recapitalizations. We expect that no single investment will represent more than 15% of our total investment portfolio. The debt in which we invest typically is not rated by any rating agency, but if these instruments were rated, they would likely receive a rating of below investment grade (that is, below BBB- or Baa3), which is often referred to as “junk”.</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Through our Adviser, we consider potential investments utilizing a four-tiered investment framework and against our existing portfolio as a whole:</w:t>
      </w:r>
    </w:p>
    <w:p>
      <w:pPr>
        <w:spacing w:after="0" w:line="19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Business and sector selection. </w:t>
      </w:r>
      <w:r>
        <w:rPr>
          <w:rFonts w:ascii="Arial" w:cs="Arial" w:eastAsia="Arial" w:hAnsi="Arial"/>
          <w:sz w:val="18"/>
          <w:szCs w:val="18"/>
          <w:color w:val="auto"/>
        </w:rPr>
        <w:t>We focus on companies with enterprise value between $50 million and $1 billion. When reviewing potential investments, we</w:t>
      </w:r>
      <w:r>
        <w:rPr>
          <w:rFonts w:ascii="Arial" w:cs="Arial" w:eastAsia="Arial" w:hAnsi="Arial"/>
          <w:sz w:val="18"/>
          <w:szCs w:val="18"/>
          <w:i w:val="1"/>
          <w:iCs w:val="1"/>
          <w:color w:val="auto"/>
        </w:rPr>
        <w:t xml:space="preserve"> </w:t>
      </w:r>
      <w:r>
        <w:rPr>
          <w:rFonts w:ascii="Arial" w:cs="Arial" w:eastAsia="Arial" w:hAnsi="Arial"/>
          <w:sz w:val="18"/>
          <w:szCs w:val="18"/>
          <w:color w:val="auto"/>
        </w:rPr>
        <w:t>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currently do not limit our focus to any specific industry and we may invest in larger or smaller companies on occasion. We classify the industries of our portfolio companies by end-market (such as healthcare and pharmaceuticals, and business services) and not by the products or services (such as software) directed to those end-markets.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2014, no industry represented more than 16.2% of our total investment portfolio.</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 xml:space="preserve">Investment Structuring. </w:t>
      </w:r>
      <w:r>
        <w:rPr>
          <w:rFonts w:ascii="Arial" w:cs="Arial" w:eastAsia="Arial" w:hAnsi="Arial"/>
          <w:sz w:val="16"/>
          <w:szCs w:val="16"/>
          <w:color w:val="auto"/>
        </w:rPr>
        <w:t>We focus on investing at the top of the capital structure and protecting that position. As of September 30, 2014, approximately</w:t>
      </w:r>
      <w:r>
        <w:rPr>
          <w:rFonts w:ascii="Arial" w:cs="Arial" w:eastAsia="Arial" w:hAnsi="Arial"/>
          <w:sz w:val="16"/>
          <w:szCs w:val="16"/>
          <w:i w:val="1"/>
          <w:iCs w:val="1"/>
          <w:color w:val="auto"/>
        </w:rPr>
        <w:t xml:space="preserve"> </w:t>
      </w:r>
      <w:r>
        <w:rPr>
          <w:rFonts w:ascii="Arial" w:cs="Arial" w:eastAsia="Arial" w:hAnsi="Arial"/>
          <w:sz w:val="16"/>
          <w:szCs w:val="16"/>
          <w:color w:val="auto"/>
        </w:rPr>
        <w:t>98.5% of our portfolio at fair value was invested in secured debt, including 85.8% in first-lien debt investments. We carefully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 For the three months ended September 30, 2014, the weighted average term on new investment commitments in new portfolio companies was 4.1 years.</w:t>
      </w:r>
    </w:p>
    <w:p>
      <w:pPr>
        <w:spacing w:after="0" w:line="11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i w:val="1"/>
          <w:iCs w:val="1"/>
          <w:color w:val="auto"/>
        </w:rPr>
        <w:t xml:space="preserve">Deal Dynamics. </w:t>
      </w:r>
      <w:r>
        <w:rPr>
          <w:rFonts w:ascii="Arial" w:cs="Arial" w:eastAsia="Arial" w:hAnsi="Arial"/>
          <w:sz w:val="18"/>
          <w:szCs w:val="18"/>
          <w:color w:val="auto"/>
        </w:rPr>
        <w:t>We focus on, among other deal dynamics, direct origination of investments, where we identify and lead the investment transaction. A</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 majority of our portfolio investments are sourced through our direct or proprietary relationships.</w:t>
      </w:r>
    </w:p>
    <w:p>
      <w:pPr>
        <w:spacing w:after="0" w:line="132"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i w:val="1"/>
          <w:iCs w:val="1"/>
          <w:color w:val="auto"/>
        </w:rPr>
        <w:t xml:space="preserve">Risk Mitigation. </w:t>
      </w:r>
      <w:r>
        <w:rPr>
          <w:rFonts w:ascii="Arial" w:cs="Arial" w:eastAsia="Arial" w:hAnsi="Arial"/>
          <w:sz w:val="16"/>
          <w:szCs w:val="16"/>
          <w:color w:val="auto"/>
        </w:rPr>
        <w:t>We seek to mitigate non-credit-related risk on our returns in several ways, including call protection provisions to protect future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income. As of September 30, 2014, we had call protection on 99.6% of our debt investments, with weighted average call prices of 107.9% for the first year, 104.4% for the second year and 101.9% for the third year, in each case from the date of the initial investment. As of September 30, 2014, 98.3% of our debt investments bore interest at floating rates, subject to interest rate floors, which we believe helps act as a portfolio-wide hedge against inflation.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Relationship with our Adviser, TSSP and TPG</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us. Our Investment Team is led by our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TPG Special Situations Partners, LLC (“TSSP”) and TPG Global, LLC (“TPG”).</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TSSP, which encompasses TPG Specialty Lending, TPG Opportunities Partners, which invests in special situations and distressed investments across the credit cycle, and TPG Institutional Credit Partners, which is a “public-side” credit investment platform focused on investment opportunities in broadly syndicated leveraged loan markets, is TPG’s special situations and credit platform. TSSP had over $10 billion of assets under management as of June 30, 2014. TSSP has extensive experience with highly complex, global public and private investments executed through primary originations, secondary market purchases and restructurings, and has a team of over 90 investment and operating professionals as of Sept 30, 2014. Twenty three of these personnel are dedicated to our business, including 17 investment professionals.</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 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w:t>
      </w:r>
    </w:p>
    <w:p>
      <w:pPr>
        <w:spacing w:after="0" w:line="12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If the SEC grants the exemptive relief we have requested, to the extent the size of the opportunity exceeds the amount our Adviser independently determines is appropriate for us to invest, our affiliates may be able to co-invest with us. We believe our ability to co-invest with TPG affiliates would be particularly useful where we identify larger capital commitments than otherwise would be appropriate for us. We would be able to provide “one-stop” financing to a potential portfolio company in these circumstances, which could allow us to capture opportunities where we alone could not commit the full amount of required capital or would have to spend additional time to locate unaffiliated co-investors. We cannot assure you, however, when or whether the SEC will grant our exemptive relief request.</w:t>
      </w:r>
    </w:p>
    <w:p>
      <w:pPr>
        <w:spacing w:after="0" w:line="144"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Management Fee and may also pay the Incentive Fee.</w:t>
      </w:r>
    </w:p>
    <w:p>
      <w:pPr>
        <w:spacing w:after="0" w:line="14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143"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The Adviser has entered into an agreement with Goldman, Sachs &amp; Co., which we refer to as the Adviser 10b5-1 Plan, in accordance with Rules 10b5-1 and 10b-18 under the 1934 Act, under which Goldman, Sachs &amp; Co., as agent for the Adviser, will buy up to $25 million in the aggregate of our common stock, subject to certain conditions, during the period beginning April 24, 2014 and ending on the earlier of the date on which all the capital committed to the Adviser 10b5-1 Plan has been exhausted or December 31, 2014. During the nine months ended September 30, 2014, no shares were purchased under the Adviser 10b5-1 Plan; however, subsequent to September 30, 2014, 300 shares have been purchased under the Adviser 10b5-1 Plan as of November 3, 2014. Purchases under the Company 10b5-1 Plan and the Advisers 10b5-1 plan will be allocated between the two plans pro rata based on the amount available for purchases under each plan.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focus primarily on the direct origination of loans to middle-market companies domiciled in the United States.</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level of investment activity (both the number of investments and the size of each investment) can and does vary substantially from period to period depending on many factors, including the amount of debt and equity capital available to middle-market companies, the level of merger and acquisition activity for such companies, the general economic environment and the competitive environment for the types of investments we make.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In addition, as part of our risk strategy on investments, we may reduce certain levels of investments through partial sales or syndication to additional investors.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other fees. Our debt investments typically have a term of two to six years, and, as of September 30, 2014, 98.3% bear interest at a floating rate, subject to interest rate floors. Interest on debt securities is generally payable quarterly or semiannually. Some of our investments provide for deferred interest payments or PIK interest. For the nine months ended September 30, 2014, less than 2.0% of our total investment income was comprised of PIK interest income.</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Loan origination fees, original issue discount and market discount or premium are capitalized, and we accrete or amortize such amounts as interest income using the effective yield method for term instruments and the straight-line method for revolving or delayed draw instruments. Repayments of our debt investments can reduce interest income from period to period. The frequency or volume of these repayments may fluctuate significantly. We record prepayment premiums on loans as interest income. We also may generate revenue in the form of commitment, amendment, structuring, syndication or due diligence fees, fees for providing managerial assistance and consulting fees.</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Dividend income on common equity securities is recorded on the record date for private portfolio companies or on the ex-dividend date for publicly traded portfolio companies.</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appreciation (depreciation) on investments in the consolidated statements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59"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90" w:lineRule="exact"/>
        <w:rPr>
          <w:rFonts w:ascii="Arial" w:cs="Arial" w:eastAsia="Arial" w:hAnsi="Arial"/>
          <w:sz w:val="18"/>
          <w:szCs w:val="18"/>
          <w:color w:val="auto"/>
        </w:rPr>
      </w:pPr>
    </w:p>
    <w:p>
      <w:pPr>
        <w:ind w:left="900" w:right="360" w:hanging="325"/>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Adviser’s allocable share of costs incurred in providing significant managerial assistance to those portfolio companies that request it;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60" w:hanging="325"/>
        <w:spacing w:after="0" w:line="306"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and chief compliance officer and their respective staffs;</w:t>
      </w:r>
    </w:p>
    <w:p>
      <w:pPr>
        <w:spacing w:after="0" w:line="25" w:lineRule="exact"/>
        <w:rPr>
          <w:rFonts w:ascii="Arial" w:cs="Arial" w:eastAsia="Arial" w:hAnsi="Arial"/>
          <w:sz w:val="16"/>
          <w:szCs w:val="16"/>
          <w:color w:val="auto"/>
        </w:rPr>
      </w:pPr>
    </w:p>
    <w:p>
      <w:pPr>
        <w:ind w:left="900" w:right="220" w:hanging="325"/>
        <w:spacing w:after="0" w:line="332"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17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Leverage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In any period, our interest expense will depend largely on the extent of our borrowing. In addition, we may continue to dedicate assets to financing facilities, such as the Amended and Restated Revolving Credit and Security Agreement between our wholly owned subsidiary, TPG SL SPV, LLC and Natixis, which we refer to as the SPV Asset Facility.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Trends</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believe trends in the middle-market lending environment, including the limited availability of capital, strong demand for debt capital and specialized lending requirements, are likely to continue to create favorable opportunities for us to invest at attractive risk-adjusted rates.</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limited number of providers of capital to middle-market companies, combined with expected increases in required capital levels for financial institutions, reduce the capacity of traditional lenders to serve middle-market companies. We believe that the limited availability of capital creates a large number of opportunities for us to originate direct investments in companies. We also believe that the large amount of uninvested capital held by private equity firms will continue to drive deal activity, which may in turn create additional demand for debt capital.</w:t>
      </w:r>
    </w:p>
    <w:p>
      <w:pPr>
        <w:spacing w:after="0" w:line="143"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limited number of providers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w:t>
      </w:r>
    </w:p>
    <w:p>
      <w:pPr>
        <w:spacing w:after="0" w:line="140" w:lineRule="exact"/>
        <w:rPr>
          <w:sz w:val="20"/>
          <w:szCs w:val="20"/>
          <w:color w:val="auto"/>
        </w:rPr>
      </w:pPr>
    </w:p>
    <w:p>
      <w:pPr>
        <w:ind w:right="420" w:firstLine="456"/>
        <w:spacing w:after="0" w:line="323" w:lineRule="auto"/>
        <w:rPr>
          <w:sz w:val="20"/>
          <w:szCs w:val="20"/>
          <w:color w:val="auto"/>
        </w:rPr>
      </w:pPr>
      <w:r>
        <w:rPr>
          <w:rFonts w:ascii="Arial" w:cs="Arial" w:eastAsia="Arial" w:hAnsi="Arial"/>
          <w:sz w:val="15"/>
          <w:szCs w:val="15"/>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of September 30, 2014, our portfolio at fair value consisted of 85.8% first-lien debt investments, 12.7% second-lien debt investments, 0.4% mezzanine debt investments, and 1.1% equity and other investments. As of December 31, 2013, our portfolio at fair value consisted of 86.3% first-lien debt investments, 13.5% second-lien debt investments, and 0.2% equity investments.</w:t>
      </w:r>
    </w:p>
    <w:p>
      <w:pPr>
        <w:spacing w:after="0" w:line="14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As of September 30, 2014 and December 31, 2013, our weighted average total yield of debt and income producing securities at fair value (which includes interest income and amortization of fees and discounts) was 10.5% and 10.4%, respectively, and our weighted average total yield of debt and income producing securities at amortized cost (which includes interest income and amortization of fees and discounts) was 10.6% and 10.6%, respectively.</w:t>
      </w:r>
    </w:p>
    <w:p>
      <w:pPr>
        <w:spacing w:after="0" w:line="10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As of September 30, 2014 and December 31, 2013, we had investments in 31 and 27 portfolio companies, respectively, with an aggregate fair value of $1,233.2 million and $1,016.5 million, respectively.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the three months ended September 30, 2014, we made new investment commitments of $248.6 million, $216.9 million in four new portfolio companies and $31.7 million in four existing portfolio companies. For this period, we had $109.6 million aggregate principal amount in exits and repayments, resulting in a net portfolio increase of $114.4 million aggregate principal amount.</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 the three months ended September 30, 2013, we made new investment commitments of $184.2 million, $145.0 million in five new portfolio companies and $39.2 million in five existing portfolio companies. For this period, we had $64.0 million aggregate principal amount in exits and repayments, resulting in a net portfolio increase of $106.4 million aggregate principal amount.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investment activity for the three months ended September 30, 2014 and 2013 is presented below (information presented herein is at par value unless otherwise indicated).</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2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29"/>
        </w:trPr>
        <w:tc>
          <w:tcPr>
            <w:tcW w:w="84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millions)</w:t>
            </w:r>
          </w:p>
        </w:tc>
        <w:tc>
          <w:tcPr>
            <w:tcW w:w="5940" w:type="dxa"/>
            <w:vAlign w:val="bottom"/>
            <w:vMerge w:val="restart"/>
          </w:tcPr>
          <w:p>
            <w:pPr>
              <w:spacing w:after="0"/>
              <w:rPr>
                <w:sz w:val="11"/>
                <w:szCs w:val="11"/>
                <w:color w:val="auto"/>
              </w:rPr>
            </w:pPr>
          </w:p>
        </w:tc>
        <w:tc>
          <w:tcPr>
            <w:tcW w:w="13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4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840" w:type="dxa"/>
            <w:vAlign w:val="bottom"/>
            <w:tcBorders>
              <w:bottom w:val="single" w:sz="8" w:color="auto"/>
            </w:tcBorders>
            <w:vMerge w:val="continue"/>
          </w:tcPr>
          <w:p>
            <w:pPr>
              <w:spacing w:after="0"/>
              <w:rPr>
                <w:sz w:val="14"/>
                <w:szCs w:val="14"/>
                <w:color w:val="auto"/>
              </w:rPr>
            </w:pPr>
          </w:p>
        </w:tc>
        <w:tc>
          <w:tcPr>
            <w:tcW w:w="59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4"/>
              <w:spacing w:after="0" w:line="148" w:lineRule="exact"/>
              <w:rPr>
                <w:sz w:val="20"/>
                <w:szCs w:val="20"/>
                <w:color w:val="auto"/>
              </w:rPr>
            </w:pPr>
            <w:r>
              <w:rPr>
                <w:rFonts w:ascii="Arial" w:cs="Arial" w:eastAsia="Arial" w:hAnsi="Arial"/>
                <w:sz w:val="14"/>
                <w:szCs w:val="14"/>
                <w:b w:val="1"/>
                <w:bCs w:val="1"/>
                <w:color w:val="auto"/>
              </w:rPr>
              <w:t>2014</w:t>
            </w: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3"/>
              <w:spacing w:after="0" w:line="148"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7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New investment commitments:</w:t>
            </w:r>
          </w:p>
        </w:tc>
        <w:tc>
          <w:tcPr>
            <w:tcW w:w="1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ind w:left="440"/>
              <w:spacing w:after="0"/>
              <w:rPr>
                <w:sz w:val="20"/>
                <w:szCs w:val="20"/>
                <w:color w:val="auto"/>
              </w:rPr>
            </w:pPr>
            <w:r>
              <w:rPr>
                <w:rFonts w:ascii="Arial" w:cs="Arial" w:eastAsia="Arial" w:hAnsi="Arial"/>
                <w:sz w:val="18"/>
                <w:szCs w:val="18"/>
                <w:color w:val="auto"/>
              </w:rPr>
              <w:t>Gross originations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288.6</w:t>
            </w: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277.3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Less: syndications/sell downs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0" w:type="dxa"/>
            <w:vAlign w:val="bottom"/>
          </w:tcPr>
          <w:p>
            <w:pPr>
              <w:spacing w:after="0"/>
              <w:rPr>
                <w:sz w:val="19"/>
                <w:szCs w:val="19"/>
                <w:color w:val="auto"/>
              </w:rPr>
            </w:pPr>
          </w:p>
        </w:tc>
        <w:tc>
          <w:tcPr>
            <w:tcW w:w="5940" w:type="dxa"/>
            <w:vAlign w:val="bottom"/>
          </w:tcPr>
          <w:p>
            <w:pPr>
              <w:ind w:left="40"/>
              <w:spacing w:after="0"/>
              <w:rPr>
                <w:sz w:val="20"/>
                <w:szCs w:val="20"/>
                <w:color w:val="auto"/>
              </w:rPr>
            </w:pPr>
            <w:r>
              <w:rPr>
                <w:rFonts w:ascii="Arial" w:cs="Arial" w:eastAsia="Arial" w:hAnsi="Arial"/>
                <w:sz w:val="18"/>
                <w:szCs w:val="18"/>
                <w:color w:val="auto"/>
              </w:rPr>
              <w:t>Total new investment commitments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248.6</w:t>
            </w: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184.2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ind w:left="440"/>
              <w:spacing w:after="0"/>
              <w:rPr>
                <w:sz w:val="20"/>
                <w:szCs w:val="20"/>
                <w:color w:val="auto"/>
              </w:rPr>
            </w:pPr>
            <w:r>
              <w:rPr>
                <w:rFonts w:ascii="Arial" w:cs="Arial" w:eastAsia="Arial" w:hAnsi="Arial"/>
                <w:sz w:val="18"/>
                <w:szCs w:val="18"/>
                <w:color w:val="auto"/>
              </w:rPr>
              <w:t>First-lien</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198.8</w:t>
            </w: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158.3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Second-lien</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25.2</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ind w:left="440"/>
              <w:spacing w:after="0"/>
              <w:rPr>
                <w:sz w:val="20"/>
                <w:szCs w:val="20"/>
                <w:color w:val="auto"/>
              </w:rPr>
            </w:pPr>
            <w:r>
              <w:rPr>
                <w:rFonts w:ascii="Arial" w:cs="Arial" w:eastAsia="Arial" w:hAnsi="Arial"/>
                <w:sz w:val="18"/>
                <w:szCs w:val="18"/>
                <w:color w:val="auto"/>
              </w:rPr>
              <w:t>Mezzanine</w:t>
            </w:r>
          </w:p>
        </w:tc>
        <w:tc>
          <w:tcPr>
            <w:tcW w:w="18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Equity</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0" w:type="dxa"/>
            <w:vAlign w:val="bottom"/>
          </w:tcPr>
          <w:p>
            <w:pPr>
              <w:spacing w:after="0"/>
              <w:rPr>
                <w:sz w:val="19"/>
                <w:szCs w:val="19"/>
                <w:color w:val="auto"/>
              </w:rPr>
            </w:pPr>
          </w:p>
        </w:tc>
        <w:tc>
          <w:tcPr>
            <w:tcW w:w="5940" w:type="dxa"/>
            <w:vAlign w:val="bottom"/>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224.0</w:t>
            </w: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170.4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ind w:left="440"/>
              <w:spacing w:after="0"/>
              <w:rPr>
                <w:sz w:val="20"/>
                <w:szCs w:val="20"/>
                <w:color w:val="auto"/>
              </w:rPr>
            </w:pPr>
            <w:r>
              <w:rPr>
                <w:rFonts w:ascii="Arial" w:cs="Arial" w:eastAsia="Arial" w:hAnsi="Arial"/>
                <w:sz w:val="18"/>
                <w:szCs w:val="18"/>
                <w:color w:val="auto"/>
              </w:rPr>
              <w:t>First-lien</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97.6</w:t>
            </w: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51.3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Second-lien</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ind w:left="440"/>
              <w:spacing w:after="0"/>
              <w:rPr>
                <w:sz w:val="20"/>
                <w:szCs w:val="20"/>
                <w:color w:val="auto"/>
              </w:rPr>
            </w:pPr>
            <w:r>
              <w:rPr>
                <w:rFonts w:ascii="Arial" w:cs="Arial" w:eastAsia="Arial" w:hAnsi="Arial"/>
                <w:sz w:val="18"/>
                <w:szCs w:val="18"/>
                <w:color w:val="auto"/>
              </w:rPr>
              <w:t>Mezzanine</w:t>
            </w:r>
          </w:p>
        </w:tc>
        <w:tc>
          <w:tcPr>
            <w:tcW w:w="18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Equity</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5940" w:type="dxa"/>
            <w:vAlign w:val="bottom"/>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109.6</w:t>
            </w:r>
          </w:p>
        </w:tc>
        <w:tc>
          <w:tcPr>
            <w:tcW w:w="540" w:type="dxa"/>
            <w:vAlign w:val="bottom"/>
          </w:tcPr>
          <w:p>
            <w:pPr>
              <w:spacing w:after="0"/>
              <w:rPr>
                <w:sz w:val="20"/>
                <w:szCs w:val="20"/>
                <w:color w:val="auto"/>
              </w:rPr>
            </w:pP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64.0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Number of new investment commitments in new portfolio companies</w:t>
            </w: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Average new investment commitment amount in new portfolio companies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54.2</w:t>
            </w: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29.0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Weighted average term for new investment commitments in new portfolio</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8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companies (in years)</w:t>
            </w: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4.1</w:t>
            </w: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Percentage of new debt investment commitments at floating rates</w:t>
            </w:r>
          </w:p>
        </w:tc>
        <w:tc>
          <w:tcPr>
            <w:tcW w:w="18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98.7%</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Percentage of new debt investment commitments at fixed rates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interest rate of new investment commitments</w:t>
            </w:r>
          </w:p>
        </w:tc>
        <w:tc>
          <w:tcPr>
            <w:tcW w:w="18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10.3%</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2"/>
        </w:trPr>
        <w:tc>
          <w:tcPr>
            <w:tcW w:w="6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Weighted average spread over LIBOR of new floating rate investment</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8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commitments</w:t>
            </w: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9.3%</w:t>
            </w: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8"/>
        </w:trPr>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interest rate on investments sold or paid down</w:t>
            </w:r>
          </w:p>
        </w:tc>
        <w:tc>
          <w:tcPr>
            <w:tcW w:w="18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9.8%</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2014 and December 31, 2013, our investments consisted of the following:</w:t>
      </w:r>
    </w:p>
    <w:p>
      <w:pPr>
        <w:spacing w:after="0" w:line="200" w:lineRule="exact"/>
        <w:rPr>
          <w:sz w:val="20"/>
          <w:szCs w:val="20"/>
          <w:color w:val="auto"/>
        </w:rPr>
      </w:pPr>
    </w:p>
    <w:p>
      <w:pPr>
        <w:spacing w:after="0" w:line="21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millions)</w:t>
            </w:r>
          </w:p>
        </w:tc>
        <w:tc>
          <w:tcPr>
            <w:tcW w:w="4660" w:type="dxa"/>
            <w:vAlign w:val="bottom"/>
            <w:vMerge w:val="restart"/>
          </w:tcPr>
          <w:p>
            <w:pPr>
              <w:spacing w:after="0"/>
              <w:rPr>
                <w:sz w:val="14"/>
                <w:szCs w:val="14"/>
                <w:color w:val="auto"/>
              </w:rPr>
            </w:pPr>
          </w:p>
        </w:tc>
        <w:tc>
          <w:tcPr>
            <w:tcW w:w="216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rPr>
              <w:t>September 30, 2014</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85"/>
              </w:rPr>
              <w:t>December 31, 2013</w:t>
            </w:r>
          </w:p>
        </w:tc>
        <w:tc>
          <w:tcPr>
            <w:tcW w:w="4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40" w:type="dxa"/>
            <w:vAlign w:val="bottom"/>
            <w:tcBorders>
              <w:bottom w:val="single" w:sz="8" w:color="auto"/>
            </w:tcBorders>
            <w:vMerge w:val="continue"/>
          </w:tcPr>
          <w:p>
            <w:pPr>
              <w:spacing w:after="0"/>
              <w:rPr>
                <w:sz w:val="12"/>
                <w:szCs w:val="12"/>
                <w:color w:val="auto"/>
              </w:rPr>
            </w:pPr>
          </w:p>
        </w:tc>
        <w:tc>
          <w:tcPr>
            <w:tcW w:w="4660" w:type="dxa"/>
            <w:vAlign w:val="bottom"/>
            <w:vMerge w:val="continue"/>
          </w:tcPr>
          <w:p>
            <w:pPr>
              <w:spacing w:after="0"/>
              <w:rPr>
                <w:sz w:val="12"/>
                <w:szCs w:val="12"/>
                <w:color w:val="auto"/>
              </w:rPr>
            </w:pPr>
          </w:p>
        </w:tc>
        <w:tc>
          <w:tcPr>
            <w:tcW w:w="12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Fair Value</w:t>
            </w:r>
          </w:p>
        </w:tc>
        <w:tc>
          <w:tcPr>
            <w:tcW w:w="9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5"/>
              </w:rPr>
              <w:t>Amortized Cost</w:t>
            </w:r>
          </w:p>
        </w:tc>
        <w:tc>
          <w:tcPr>
            <w:tcW w:w="640" w:type="dxa"/>
            <w:vAlign w:val="bottom"/>
          </w:tcPr>
          <w:p>
            <w:pPr>
              <w:spacing w:after="0"/>
              <w:rPr>
                <w:sz w:val="12"/>
                <w:szCs w:val="12"/>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Fair Value</w:t>
            </w:r>
          </w:p>
        </w:tc>
        <w:tc>
          <w:tcPr>
            <w:tcW w:w="380" w:type="dxa"/>
            <w:vAlign w:val="bottom"/>
          </w:tcPr>
          <w:p>
            <w:pPr>
              <w:spacing w:after="0"/>
              <w:rPr>
                <w:sz w:val="12"/>
                <w:szCs w:val="12"/>
                <w:color w:val="auto"/>
              </w:rPr>
            </w:pPr>
          </w:p>
        </w:tc>
        <w:tc>
          <w:tcPr>
            <w:tcW w:w="9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Amortized Cost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5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$1,058.3</w:t>
            </w:r>
          </w:p>
        </w:tc>
        <w:tc>
          <w:tcPr>
            <w:tcW w:w="6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1,050.8</w:t>
            </w: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877.2</w:t>
            </w:r>
          </w:p>
        </w:tc>
        <w:tc>
          <w:tcPr>
            <w:tcW w:w="3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863.4</w:t>
            </w:r>
          </w:p>
        </w:tc>
        <w:tc>
          <w:tcPr>
            <w:tcW w:w="2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Second-lien debt investments</w:t>
            </w: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156.5</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150.4</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137.5</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131.1</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0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1,233.2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w:t>
            </w:r>
            <w:r>
              <w:rPr>
                <w:rFonts w:ascii="Arial" w:cs="Arial" w:eastAsia="Arial" w:hAnsi="Arial"/>
                <w:sz w:val="18"/>
                <w:szCs w:val="18"/>
                <w:u w:val="single" w:color="auto"/>
                <w:color w:val="auto"/>
              </w:rPr>
              <w:t>4</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1,016.5</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997.3</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amortized cost of our performing and non-accrual investments as of September 30, 2014 and December 31, 2013: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vMerge w:val="restart"/>
          </w:tcPr>
          <w:p>
            <w:pPr>
              <w:spacing w:after="0"/>
              <w:rPr>
                <w:sz w:val="14"/>
                <w:szCs w:val="14"/>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millions)</w:t>
            </w:r>
          </w:p>
        </w:tc>
        <w:tc>
          <w:tcPr>
            <w:tcW w:w="436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2460" w:type="dxa"/>
            <w:vAlign w:val="bottom"/>
            <w:gridSpan w:val="4"/>
          </w:tcPr>
          <w:p>
            <w:pPr>
              <w:jc w:val="right"/>
              <w:ind w:right="1020"/>
              <w:spacing w:after="0"/>
              <w:rPr>
                <w:sz w:val="20"/>
                <w:szCs w:val="20"/>
                <w:color w:val="auto"/>
              </w:rPr>
            </w:pPr>
            <w:r>
              <w:rPr>
                <w:rFonts w:ascii="Arial" w:cs="Arial" w:eastAsia="Arial" w:hAnsi="Arial"/>
                <w:sz w:val="14"/>
                <w:szCs w:val="14"/>
                <w:b w:val="1"/>
                <w:bCs w:val="1"/>
                <w:color w:val="auto"/>
              </w:rPr>
              <w:t>September 30, 2014</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4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w w:val="96"/>
              </w:rPr>
              <w:t>December 31, 2013</w:t>
            </w:r>
          </w:p>
        </w:tc>
        <w:tc>
          <w:tcPr>
            <w:tcW w:w="0" w:type="dxa"/>
            <w:vAlign w:val="bottom"/>
          </w:tcPr>
          <w:p>
            <w:pPr>
              <w:spacing w:after="0"/>
              <w:rPr>
                <w:sz w:val="1"/>
                <w:szCs w:val="1"/>
                <w:color w:val="auto"/>
              </w:rPr>
            </w:pPr>
          </w:p>
        </w:tc>
      </w:tr>
      <w:tr>
        <w:trPr>
          <w:trHeight w:val="134"/>
        </w:trPr>
        <w:tc>
          <w:tcPr>
            <w:tcW w:w="460" w:type="dxa"/>
            <w:vAlign w:val="bottom"/>
            <w:vMerge w:val="continue"/>
          </w:tcPr>
          <w:p>
            <w:pPr>
              <w:spacing w:after="0"/>
              <w:rPr>
                <w:sz w:val="11"/>
                <w:szCs w:val="11"/>
                <w:color w:val="auto"/>
              </w:rPr>
            </w:pPr>
          </w:p>
        </w:tc>
        <w:tc>
          <w:tcPr>
            <w:tcW w:w="840" w:type="dxa"/>
            <w:vAlign w:val="bottom"/>
            <w:tcBorders>
              <w:bottom w:val="single" w:sz="8" w:color="auto"/>
            </w:tcBorders>
            <w:gridSpan w:val="2"/>
            <w:vMerge w:val="continue"/>
          </w:tcPr>
          <w:p>
            <w:pPr>
              <w:spacing w:after="0"/>
              <w:rPr>
                <w:sz w:val="11"/>
                <w:szCs w:val="11"/>
                <w:color w:val="auto"/>
              </w:rPr>
            </w:pPr>
          </w:p>
        </w:tc>
        <w:tc>
          <w:tcPr>
            <w:tcW w:w="4360" w:type="dxa"/>
            <w:vAlign w:val="bottom"/>
            <w:vMerge w:val="continue"/>
          </w:tcPr>
          <w:p>
            <w:pPr>
              <w:spacing w:after="0"/>
              <w:rPr>
                <w:sz w:val="11"/>
                <w:szCs w:val="11"/>
                <w:color w:val="auto"/>
              </w:rPr>
            </w:pPr>
          </w:p>
        </w:tc>
        <w:tc>
          <w:tcPr>
            <w:tcW w:w="92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5"/>
              </w:rPr>
              <w:t>Amortized Cost</w:t>
            </w:r>
          </w:p>
        </w:tc>
        <w:tc>
          <w:tcPr>
            <w:tcW w:w="6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2"/>
              </w:rPr>
              <w:t>Percentage</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6"/>
              </w:rPr>
              <w:t>Amortized Cost</w:t>
            </w:r>
          </w:p>
        </w:tc>
        <w:tc>
          <w:tcPr>
            <w:tcW w:w="3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2"/>
              </w:rPr>
              <w:t>Percentage</w:t>
            </w: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20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Performing</w:t>
            </w: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 w:type="dxa"/>
            <w:vAlign w:val="bottom"/>
          </w:tcPr>
          <w:p>
            <w:pPr>
              <w:spacing w:after="0"/>
              <w:rPr>
                <w:sz w:val="17"/>
                <w:szCs w:val="17"/>
                <w:color w:val="auto"/>
              </w:rPr>
            </w:pPr>
          </w:p>
        </w:tc>
        <w:tc>
          <w:tcPr>
            <w:tcW w:w="5200" w:type="dxa"/>
            <w:vAlign w:val="bottom"/>
            <w:gridSpan w:val="3"/>
            <w:vMerge w:val="continue"/>
            <w:shd w:val="clear" w:color="auto" w:fill="CCEEFF"/>
          </w:tcPr>
          <w:p>
            <w:pPr>
              <w:spacing w:after="0"/>
              <w:rPr>
                <w:sz w:val="17"/>
                <w:szCs w:val="17"/>
                <w:color w:val="auto"/>
              </w:rPr>
            </w:pPr>
          </w:p>
        </w:tc>
        <w:tc>
          <w:tcPr>
            <w:tcW w:w="2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1,220.4</w:t>
            </w:r>
          </w:p>
        </w:tc>
        <w:tc>
          <w:tcPr>
            <w:tcW w:w="660" w:type="dxa"/>
            <w:vAlign w:val="bottom"/>
            <w:vMerge w:val="continue"/>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100.0%</w:t>
            </w:r>
          </w:p>
        </w:tc>
        <w:tc>
          <w:tcPr>
            <w:tcW w:w="30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997.3</w:t>
            </w:r>
          </w:p>
        </w:tc>
        <w:tc>
          <w:tcPr>
            <w:tcW w:w="360" w:type="dxa"/>
            <w:vAlign w:val="bottom"/>
            <w:vMerge w:val="continue"/>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Non-accrual (1)</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00" w:type="dxa"/>
            <w:vAlign w:val="bottom"/>
            <w:gridSpan w:val="3"/>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w:t>
            </w:r>
            <w:r>
              <w:rPr>
                <w:rFonts w:ascii="Arial" w:cs="Arial" w:eastAsia="Arial" w:hAnsi="Arial"/>
                <w:sz w:val="18"/>
                <w:szCs w:val="18"/>
                <w:u w:val="single" w:color="auto"/>
                <w:color w:val="auto"/>
              </w:rPr>
              <w:t>4</w:t>
            </w:r>
          </w:p>
        </w:tc>
        <w:tc>
          <w:tcPr>
            <w:tcW w:w="17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997.3</w:t>
            </w: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56"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Loans are generally placed on non-accrual status when principal or interest payments are past due 30 days or more or when there is reasonable doubt that principal or interest will be collected in full.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weighted average yields and interest rates of our debt investments at fair value as of September 30, 2014 and December 31, 2013 were as follows:</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232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September 30, 2014</w:t>
            </w:r>
          </w:p>
        </w:tc>
        <w:tc>
          <w:tcPr>
            <w:tcW w:w="18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2013</w:t>
            </w:r>
          </w:p>
        </w:tc>
      </w:tr>
      <w:tr>
        <w:trPr>
          <w:trHeight w:val="188"/>
        </w:trPr>
        <w:tc>
          <w:tcPr>
            <w:tcW w:w="454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Weighted average total yield of debt and income</w:t>
            </w:r>
          </w:p>
        </w:tc>
        <w:tc>
          <w:tcPr>
            <w:tcW w:w="5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r>
      <w:tr>
        <w:trPr>
          <w:trHeight w:val="224"/>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producing securities</w:t>
            </w:r>
          </w:p>
        </w:tc>
        <w:tc>
          <w:tcPr>
            <w:tcW w:w="2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10.5%</w:t>
            </w:r>
          </w:p>
        </w:tc>
        <w:tc>
          <w:tcPr>
            <w:tcW w:w="1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r>
      <w:tr>
        <w:trPr>
          <w:trHeight w:val="208"/>
        </w:trPr>
        <w:tc>
          <w:tcPr>
            <w:tcW w:w="4540" w:type="dxa"/>
            <w:vAlign w:val="bottom"/>
          </w:tcPr>
          <w:p>
            <w:pPr>
              <w:spacing w:after="0"/>
              <w:rPr>
                <w:sz w:val="20"/>
                <w:szCs w:val="20"/>
                <w:color w:val="auto"/>
              </w:rPr>
            </w:pPr>
            <w:r>
              <w:rPr>
                <w:rFonts w:ascii="Arial" w:cs="Arial" w:eastAsia="Arial" w:hAnsi="Arial"/>
                <w:sz w:val="18"/>
                <w:szCs w:val="18"/>
                <w:color w:val="auto"/>
              </w:rPr>
              <w:t>Weighted average interest rate of debt and income</w:t>
            </w: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2"/>
        </w:trPr>
        <w:tc>
          <w:tcPr>
            <w:tcW w:w="4540" w:type="dxa"/>
            <w:vAlign w:val="bottom"/>
          </w:tcPr>
          <w:p>
            <w:pPr>
              <w:ind w:left="220"/>
              <w:spacing w:after="0"/>
              <w:rPr>
                <w:sz w:val="20"/>
                <w:szCs w:val="20"/>
                <w:color w:val="auto"/>
              </w:rPr>
            </w:pPr>
            <w:r>
              <w:rPr>
                <w:rFonts w:ascii="Arial" w:cs="Arial" w:eastAsia="Arial" w:hAnsi="Arial"/>
                <w:sz w:val="18"/>
                <w:szCs w:val="18"/>
                <w:color w:val="auto"/>
              </w:rPr>
              <w:t>producing securities</w:t>
            </w:r>
          </w:p>
        </w:tc>
        <w:tc>
          <w:tcPr>
            <w:tcW w:w="2320" w:type="dxa"/>
            <w:vAlign w:val="bottom"/>
            <w:gridSpan w:val="3"/>
          </w:tcPr>
          <w:p>
            <w:pPr>
              <w:jc w:val="right"/>
              <w:ind w:right="500"/>
              <w:spacing w:after="0"/>
              <w:rPr>
                <w:sz w:val="20"/>
                <w:szCs w:val="20"/>
                <w:color w:val="auto"/>
              </w:rPr>
            </w:pPr>
            <w:r>
              <w:rPr>
                <w:rFonts w:ascii="Arial" w:cs="Arial" w:eastAsia="Arial" w:hAnsi="Arial"/>
                <w:sz w:val="18"/>
                <w:szCs w:val="18"/>
                <w:color w:val="auto"/>
              </w:rPr>
              <w:t>10.0%</w:t>
            </w:r>
          </w:p>
        </w:tc>
        <w:tc>
          <w:tcPr>
            <w:tcW w:w="18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spread over LIBOR of all floating rate</w:t>
            </w: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w:t>
            </w:r>
          </w:p>
        </w:tc>
        <w:tc>
          <w:tcPr>
            <w:tcW w:w="2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8.8%</w:t>
            </w:r>
          </w:p>
        </w:tc>
        <w:tc>
          <w:tcPr>
            <w:tcW w:w="1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r>
    </w:tbl>
    <w:p>
      <w:pPr>
        <w:spacing w:after="0" w:line="154"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and fair value of our investments, which may include the following:</w:t>
      </w:r>
    </w:p>
    <w:p>
      <w:pPr>
        <w:spacing w:after="0" w:line="59"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171"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59" w:lineRule="exact"/>
        <w:rPr>
          <w:sz w:val="20"/>
          <w:szCs w:val="20"/>
          <w:color w:val="auto"/>
        </w:rPr>
      </w:pPr>
    </w:p>
    <w:p>
      <w:pPr>
        <w:ind w:left="900" w:right="200" w:hanging="325"/>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loan performance and intensive quarterly asset reviews.</w:t>
      </w:r>
    </w:p>
    <w:p>
      <w:pPr>
        <w:spacing w:after="0" w:line="59"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borrower.</w:t>
      </w:r>
    </w:p>
    <w:p>
      <w:pPr>
        <w:spacing w:after="0" w:line="59" w:lineRule="exact"/>
        <w:rPr>
          <w:rFonts w:ascii="Arial" w:cs="Arial" w:eastAsia="Arial" w:hAnsi="Arial"/>
          <w:sz w:val="18"/>
          <w:szCs w:val="18"/>
          <w:color w:val="auto"/>
        </w:rPr>
      </w:pPr>
    </w:p>
    <w:p>
      <w:pPr>
        <w:ind w:left="900" w:right="420" w:hanging="325"/>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as agreed but a covenant violation is expected. For these investments, in addition to monthly reports and quarterly asset reviews, the Adviser also adds the company to its “watch list” and researches any areas of concern with the objective of early intervention with the borrower.</w:t>
      </w:r>
    </w:p>
    <w:p>
      <w:pPr>
        <w:spacing w:after="0" w:line="59" w:lineRule="exact"/>
        <w:rPr>
          <w:rFonts w:ascii="Arial" w:cs="Arial" w:eastAsia="Arial" w:hAnsi="Arial"/>
          <w:sz w:val="18"/>
          <w:szCs w:val="18"/>
          <w:color w:val="auto"/>
        </w:rPr>
      </w:pPr>
    </w:p>
    <w:p>
      <w:pPr>
        <w:ind w:left="900" w:right="80" w:hanging="325"/>
        <w:spacing w:after="0" w:line="294"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 investment will be assigned a rating of 4 if a material covenant has been violated, but the company is making its scheduled payments. For these investments, the Adviser prepares a bi-monthly asset review email and generally has monthly meetings with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loan terms or structure, or payment of amendment and waiver fees.</w:t>
      </w:r>
    </w:p>
    <w:p>
      <w:pPr>
        <w:spacing w:after="0" w:line="34"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rating of 5 indicates an investment is in default on its interest or principal payments. For these investments, our Adviser reviews the loans on a bi-monthly basis and, where possible, pursues workouts that achieve an early resolution to avoid further deterioration. The Adviser retains legal counsel and takes actions to preserve our rights, which may include working with the borrower to have the default cured, to have the loan restructured or to have the loan repaid through a consensual workout.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following table shows the distribution of our investments on the 1 to 5 investment performance rating scale at fair value as of September 30, 2014 and December 31, 2013. Investment performance ratings are accurate only as of those dates and may change due to subsequent developments relating to a portfolio company’s business or financial condition, market conditions or developments, and other factors.</w:t>
      </w:r>
    </w:p>
    <w:p>
      <w:pPr>
        <w:spacing w:after="0" w:line="14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440" w:type="dxa"/>
            <w:vAlign w:val="bottom"/>
            <w:gridSpan w:val="2"/>
            <w:vMerge w:val="restart"/>
          </w:tcPr>
          <w:p>
            <w:pPr>
              <w:jc w:val="center"/>
              <w:ind w:right="1040"/>
              <w:spacing w:after="0"/>
              <w:rPr>
                <w:sz w:val="20"/>
                <w:szCs w:val="20"/>
                <w:color w:val="auto"/>
              </w:rPr>
            </w:pPr>
            <w:r>
              <w:rPr>
                <w:rFonts w:ascii="Arial" w:cs="Arial" w:eastAsia="Arial" w:hAnsi="Arial"/>
                <w:sz w:val="14"/>
                <w:szCs w:val="14"/>
                <w:b w:val="1"/>
                <w:bCs w:val="1"/>
                <w:color w:val="auto"/>
                <w:w w:val="86"/>
              </w:rPr>
              <w:t>Investment</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4"/>
                <w:szCs w:val="14"/>
                <w:b w:val="1"/>
                <w:bCs w:val="1"/>
                <w:color w:val="auto"/>
                <w:w w:val="85"/>
              </w:rPr>
              <w:t>September 30, 2014</w:t>
            </w: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0" w:type="dxa"/>
            <w:vAlign w:val="bottom"/>
            <w:gridSpan w:val="3"/>
          </w:tcPr>
          <w:p>
            <w:pPr>
              <w:jc w:val="right"/>
              <w:ind w:right="1080"/>
              <w:spacing w:after="0"/>
              <w:rPr>
                <w:sz w:val="20"/>
                <w:szCs w:val="20"/>
                <w:color w:val="auto"/>
              </w:rPr>
            </w:pPr>
            <w:r>
              <w:rPr>
                <w:rFonts w:ascii="Arial" w:cs="Arial" w:eastAsia="Arial" w:hAnsi="Arial"/>
                <w:sz w:val="14"/>
                <w:szCs w:val="14"/>
                <w:b w:val="1"/>
                <w:bCs w:val="1"/>
                <w:color w:val="auto"/>
                <w:w w:val="87"/>
              </w:rPr>
              <w:t>December 31, 2013</w:t>
            </w:r>
          </w:p>
        </w:tc>
        <w:tc>
          <w:tcPr>
            <w:tcW w:w="0" w:type="dxa"/>
            <w:vAlign w:val="bottom"/>
          </w:tcPr>
          <w:p>
            <w:pPr>
              <w:spacing w:after="0"/>
              <w:rPr>
                <w:sz w:val="1"/>
                <w:szCs w:val="1"/>
                <w:color w:val="auto"/>
              </w:rPr>
            </w:pPr>
          </w:p>
        </w:tc>
      </w:tr>
      <w:tr>
        <w:trPr>
          <w:trHeight w:val="116"/>
        </w:trPr>
        <w:tc>
          <w:tcPr>
            <w:tcW w:w="2440" w:type="dxa"/>
            <w:vAlign w:val="bottom"/>
            <w:gridSpan w:val="2"/>
            <w:vMerge w:val="continue"/>
          </w:tcPr>
          <w:p>
            <w:pPr>
              <w:spacing w:after="0"/>
              <w:rPr>
                <w:sz w:val="10"/>
                <w:szCs w:val="10"/>
                <w:color w:val="auto"/>
              </w:rPr>
            </w:pPr>
          </w:p>
        </w:tc>
        <w:tc>
          <w:tcPr>
            <w:tcW w:w="2000" w:type="dxa"/>
            <w:vAlign w:val="bottom"/>
            <w:tcBorders>
              <w:top w:val="single" w:sz="8" w:color="auto"/>
            </w:tcBorders>
            <w:gridSpan w:val="3"/>
          </w:tcPr>
          <w:p>
            <w:pPr>
              <w:spacing w:after="0" w:line="116" w:lineRule="exact"/>
              <w:rPr>
                <w:sz w:val="20"/>
                <w:szCs w:val="20"/>
                <w:color w:val="auto"/>
              </w:rPr>
            </w:pPr>
            <w:r>
              <w:rPr>
                <w:rFonts w:ascii="Arial" w:cs="Arial" w:eastAsia="Arial" w:hAnsi="Arial"/>
                <w:sz w:val="12"/>
                <w:szCs w:val="12"/>
                <w:b w:val="1"/>
                <w:bCs w:val="1"/>
                <w:color w:val="auto"/>
              </w:rPr>
              <w:t>Investments at</w:t>
            </w:r>
          </w:p>
        </w:tc>
        <w:tc>
          <w:tcPr>
            <w:tcW w:w="840" w:type="dxa"/>
            <w:vAlign w:val="bottom"/>
            <w:tcBorders>
              <w:top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Borders>
              <w:top w:val="single" w:sz="8" w:color="auto"/>
            </w:tcBorders>
            <w:gridSpan w:val="2"/>
          </w:tcPr>
          <w:p>
            <w:pPr>
              <w:ind w:left="20"/>
              <w:spacing w:after="0" w:line="116" w:lineRule="exact"/>
              <w:rPr>
                <w:sz w:val="20"/>
                <w:szCs w:val="20"/>
                <w:color w:val="auto"/>
              </w:rPr>
            </w:pPr>
            <w:r>
              <w:rPr>
                <w:rFonts w:ascii="Arial" w:cs="Arial" w:eastAsia="Arial" w:hAnsi="Arial"/>
                <w:sz w:val="12"/>
                <w:szCs w:val="12"/>
                <w:b w:val="1"/>
                <w:bCs w:val="1"/>
                <w:color w:val="auto"/>
                <w:w w:val="97"/>
              </w:rPr>
              <w:t>Investments at</w:t>
            </w:r>
          </w:p>
        </w:tc>
        <w:tc>
          <w:tcPr>
            <w:tcW w:w="1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4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8"/>
              </w:rPr>
              <w:t>Performance</w:t>
            </w:r>
          </w:p>
        </w:tc>
        <w:tc>
          <w:tcPr>
            <w:tcW w:w="100" w:type="dxa"/>
            <w:vAlign w:val="bottom"/>
          </w:tcPr>
          <w:p>
            <w:pPr>
              <w:spacing w:after="0"/>
              <w:rPr>
                <w:sz w:val="12"/>
                <w:szCs w:val="12"/>
                <w:color w:val="auto"/>
              </w:rPr>
            </w:pPr>
          </w:p>
        </w:tc>
        <w:tc>
          <w:tcPr>
            <w:tcW w:w="1900" w:type="dxa"/>
            <w:vAlign w:val="bottom"/>
            <w:gridSpan w:val="2"/>
          </w:tcPr>
          <w:p>
            <w:pPr>
              <w:jc w:val="center"/>
              <w:ind w:right="1192"/>
              <w:spacing w:after="0" w:line="149" w:lineRule="exact"/>
              <w:rPr>
                <w:sz w:val="20"/>
                <w:szCs w:val="20"/>
                <w:color w:val="auto"/>
              </w:rPr>
            </w:pPr>
            <w:r>
              <w:rPr>
                <w:rFonts w:ascii="Arial" w:cs="Arial" w:eastAsia="Arial" w:hAnsi="Arial"/>
                <w:sz w:val="14"/>
                <w:szCs w:val="14"/>
                <w:b w:val="1"/>
                <w:bCs w:val="1"/>
                <w:color w:val="auto"/>
                <w:w w:val="89"/>
              </w:rPr>
              <w:t>Fair Value</w:t>
            </w:r>
          </w:p>
        </w:tc>
        <w:tc>
          <w:tcPr>
            <w:tcW w:w="154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86"/>
              </w:rPr>
              <w:t>Percentage of</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35"/>
              <w:spacing w:after="0" w:line="149" w:lineRule="exact"/>
              <w:rPr>
                <w:sz w:val="20"/>
                <w:szCs w:val="20"/>
                <w:color w:val="auto"/>
              </w:rPr>
            </w:pPr>
            <w:r>
              <w:rPr>
                <w:rFonts w:ascii="Arial" w:cs="Arial" w:eastAsia="Arial" w:hAnsi="Arial"/>
                <w:sz w:val="14"/>
                <w:szCs w:val="14"/>
                <w:b w:val="1"/>
                <w:bCs w:val="1"/>
                <w:color w:val="auto"/>
                <w:w w:val="89"/>
              </w:rPr>
              <w:t>Fair Value</w:t>
            </w:r>
          </w:p>
        </w:tc>
        <w:tc>
          <w:tcPr>
            <w:tcW w:w="114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6"/>
              </w:rPr>
              <w:t>Percentage of</w:t>
            </w:r>
          </w:p>
        </w:tc>
        <w:tc>
          <w:tcPr>
            <w:tcW w:w="0" w:type="dxa"/>
            <w:vAlign w:val="bottom"/>
          </w:tcPr>
          <w:p>
            <w:pPr>
              <w:spacing w:after="0"/>
              <w:rPr>
                <w:sz w:val="1"/>
                <w:szCs w:val="1"/>
                <w:color w:val="auto"/>
              </w:rPr>
            </w:pPr>
          </w:p>
        </w:tc>
      </w:tr>
      <w:tr>
        <w:trPr>
          <w:trHeight w:val="175"/>
        </w:trPr>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1"/>
              </w:rPr>
              <w:t>Rating</w:t>
            </w:r>
          </w:p>
        </w:tc>
        <w:tc>
          <w:tcPr>
            <w:tcW w:w="1040" w:type="dxa"/>
            <w:vAlign w:val="bottom"/>
          </w:tcPr>
          <w:p>
            <w:pPr>
              <w:spacing w:after="0"/>
              <w:rPr>
                <w:sz w:val="15"/>
                <w:szCs w:val="15"/>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 in millions)</w:t>
            </w:r>
          </w:p>
        </w:tc>
        <w:tc>
          <w:tcPr>
            <w:tcW w:w="1140" w:type="dxa"/>
            <w:vAlign w:val="bottom"/>
          </w:tcPr>
          <w:p>
            <w:pPr>
              <w:spacing w:after="0"/>
              <w:rPr>
                <w:sz w:val="15"/>
                <w:szCs w:val="15"/>
                <w:color w:val="auto"/>
              </w:rPr>
            </w:pPr>
          </w:p>
        </w:tc>
        <w:tc>
          <w:tcPr>
            <w:tcW w:w="15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6"/>
              </w:rPr>
              <w:t>Total Portfolio</w:t>
            </w:r>
          </w:p>
        </w:tc>
        <w:tc>
          <w:tcPr>
            <w:tcW w:w="5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 in millions)</w:t>
            </w:r>
          </w:p>
        </w:tc>
        <w:tc>
          <w:tcPr>
            <w:tcW w:w="114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8"/>
              </w:rPr>
              <w:t>Total Portfolio</w:t>
            </w: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10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14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972.1</w:t>
            </w:r>
          </w:p>
        </w:tc>
        <w:tc>
          <w:tcPr>
            <w:tcW w:w="1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78.8%</w:t>
            </w:r>
          </w:p>
        </w:tc>
        <w:tc>
          <w:tcPr>
            <w:tcW w:w="5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859.4</w:t>
            </w:r>
          </w:p>
        </w:tc>
        <w:tc>
          <w:tcPr>
            <w:tcW w:w="1140" w:type="dxa"/>
            <w:vAlign w:val="bottom"/>
            <w:vMerge w:val="continue"/>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6"/>
        </w:trPr>
        <w:tc>
          <w:tcPr>
            <w:tcW w:w="14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130.7</w:t>
            </w:r>
          </w:p>
        </w:tc>
        <w:tc>
          <w:tcPr>
            <w:tcW w:w="1140" w:type="dxa"/>
            <w:vAlign w:val="bottom"/>
          </w:tcPr>
          <w:p>
            <w:pPr>
              <w:spacing w:after="0"/>
              <w:rPr>
                <w:sz w:val="18"/>
                <w:szCs w:val="18"/>
                <w:color w:val="auto"/>
              </w:rPr>
            </w:pPr>
          </w:p>
        </w:tc>
        <w:tc>
          <w:tcPr>
            <w:tcW w:w="1540" w:type="dxa"/>
            <w:vAlign w:val="bottom"/>
            <w:gridSpan w:val="2"/>
          </w:tcPr>
          <w:p>
            <w:pPr>
              <w:jc w:val="right"/>
              <w:ind w:right="540"/>
              <w:spacing w:after="0"/>
              <w:rPr>
                <w:sz w:val="20"/>
                <w:szCs w:val="20"/>
                <w:color w:val="auto"/>
              </w:rPr>
            </w:pPr>
            <w:r>
              <w:rPr>
                <w:rFonts w:ascii="Arial" w:cs="Arial" w:eastAsia="Arial" w:hAnsi="Arial"/>
                <w:sz w:val="18"/>
                <w:szCs w:val="18"/>
                <w:color w:val="auto"/>
              </w:rPr>
              <w:t>10.6%</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116.4</w:t>
            </w:r>
          </w:p>
        </w:tc>
        <w:tc>
          <w:tcPr>
            <w:tcW w:w="2200" w:type="dxa"/>
            <w:vAlign w:val="bottom"/>
            <w:gridSpan w:val="3"/>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7.7%</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4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35.3</w:t>
            </w:r>
          </w:p>
        </w:tc>
        <w:tc>
          <w:tcPr>
            <w:tcW w:w="1140" w:type="dxa"/>
            <w:vAlign w:val="bottom"/>
          </w:tcPr>
          <w:p>
            <w:pPr>
              <w:spacing w:after="0"/>
              <w:rPr>
                <w:sz w:val="18"/>
                <w:szCs w:val="18"/>
                <w:color w:val="auto"/>
              </w:rPr>
            </w:pPr>
          </w:p>
        </w:tc>
        <w:tc>
          <w:tcPr>
            <w:tcW w:w="1540" w:type="dxa"/>
            <w:vAlign w:val="bottom"/>
            <w:gridSpan w:val="2"/>
          </w:tcPr>
          <w:p>
            <w:pPr>
              <w:jc w:val="right"/>
              <w:ind w:right="540"/>
              <w:spacing w:after="0"/>
              <w:rPr>
                <w:sz w:val="20"/>
                <w:szCs w:val="20"/>
                <w:color w:val="auto"/>
              </w:rPr>
            </w:pPr>
            <w:r>
              <w:rPr>
                <w:rFonts w:ascii="Arial" w:cs="Arial" w:eastAsia="Arial" w:hAnsi="Arial"/>
                <w:sz w:val="18"/>
                <w:szCs w:val="18"/>
                <w:color w:val="auto"/>
              </w:rPr>
              <w:t>2.9%</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0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right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40" w:type="dxa"/>
            <w:vAlign w:val="bottom"/>
            <w:gridSpan w:val="2"/>
          </w:tcPr>
          <w:p>
            <w:pPr>
              <w:jc w:val="center"/>
              <w:ind w:right="1040"/>
              <w:spacing w:after="0"/>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1,233.2</w:t>
            </w:r>
          </w:p>
        </w:tc>
        <w:tc>
          <w:tcPr>
            <w:tcW w:w="1140" w:type="dxa"/>
            <w:vAlign w:val="bottom"/>
          </w:tcPr>
          <w:p>
            <w:pPr>
              <w:spacing w:after="0"/>
              <w:rPr>
                <w:sz w:val="19"/>
                <w:szCs w:val="19"/>
                <w:color w:val="auto"/>
              </w:rPr>
            </w:pPr>
          </w:p>
        </w:tc>
        <w:tc>
          <w:tcPr>
            <w:tcW w:w="1540" w:type="dxa"/>
            <w:vAlign w:val="bottom"/>
            <w:gridSpan w:val="2"/>
          </w:tcPr>
          <w:p>
            <w:pPr>
              <w:jc w:val="right"/>
              <w:ind w:right="540"/>
              <w:spacing w:after="0"/>
              <w:rPr>
                <w:sz w:val="20"/>
                <w:szCs w:val="20"/>
                <w:color w:val="auto"/>
              </w:rPr>
            </w:pPr>
            <w:r>
              <w:rPr>
                <w:rFonts w:ascii="Arial" w:cs="Arial" w:eastAsia="Arial" w:hAnsi="Arial"/>
                <w:sz w:val="18"/>
                <w:szCs w:val="18"/>
                <w:color w:val="auto"/>
              </w:rPr>
              <w:t>100.0%</w:t>
            </w: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1,016.5</w:t>
            </w:r>
          </w:p>
        </w:tc>
        <w:tc>
          <w:tcPr>
            <w:tcW w:w="220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We had one investment with an investment performance rating of a 4 as of September 30, 2014. That investment paid down in full subsequent to September 30, 2014 at full par value plus a call premium.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results for the three and nine months ended September 30, 2014 and 2013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5"/>
          </w:tcPr>
          <w:p>
            <w:pPr>
              <w:jc w:val="right"/>
              <w:ind w:right="234"/>
              <w:spacing w:after="0"/>
              <w:rPr>
                <w:sz w:val="20"/>
                <w:szCs w:val="20"/>
                <w:color w:val="auto"/>
              </w:rPr>
            </w:pPr>
            <w:r>
              <w:rPr>
                <w:rFonts w:ascii="Arial" w:cs="Arial" w:eastAsia="Arial" w:hAnsi="Arial"/>
                <w:sz w:val="14"/>
                <w:szCs w:val="14"/>
                <w:b w:val="1"/>
                <w:bCs w:val="1"/>
                <w:color w:val="auto"/>
              </w:rPr>
              <w:t>Three Months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6"/>
          </w:tcPr>
          <w:p>
            <w:pPr>
              <w:ind w:left="26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61"/>
        </w:trPr>
        <w:tc>
          <w:tcPr>
            <w:tcW w:w="460" w:type="dxa"/>
            <w:vAlign w:val="bottom"/>
            <w:vMerge w:val="restart"/>
          </w:tcPr>
          <w:p>
            <w:pPr>
              <w:spacing w:after="0"/>
              <w:rPr>
                <w:sz w:val="14"/>
                <w:szCs w:val="14"/>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millions)</w:t>
            </w:r>
          </w:p>
        </w:tc>
        <w:tc>
          <w:tcPr>
            <w:tcW w:w="626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5"/>
          </w:tcPr>
          <w:p>
            <w:pPr>
              <w:jc w:val="right"/>
              <w:ind w:right="34"/>
              <w:spacing w:after="0"/>
              <w:rPr>
                <w:sz w:val="20"/>
                <w:szCs w:val="20"/>
                <w:color w:val="auto"/>
              </w:rPr>
            </w:pPr>
            <w:r>
              <w:rPr>
                <w:rFonts w:ascii="Arial" w:cs="Arial" w:eastAsia="Arial" w:hAnsi="Arial"/>
                <w:sz w:val="14"/>
                <w:szCs w:val="14"/>
                <w:b w:val="1"/>
                <w:bCs w:val="1"/>
                <w:color w:val="auto"/>
                <w:w w:val="85"/>
              </w:rPr>
              <w:t>Ended September 30,</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85"/>
              </w:rPr>
              <w:t>Ended September 30,</w:t>
            </w:r>
          </w:p>
        </w:tc>
        <w:tc>
          <w:tcPr>
            <w:tcW w:w="0" w:type="dxa"/>
            <w:vAlign w:val="bottom"/>
          </w:tcPr>
          <w:p>
            <w:pPr>
              <w:spacing w:after="0"/>
              <w:rPr>
                <w:sz w:val="1"/>
                <w:szCs w:val="1"/>
                <w:color w:val="auto"/>
              </w:rPr>
            </w:pPr>
          </w:p>
        </w:tc>
      </w:tr>
      <w:tr>
        <w:trPr>
          <w:trHeight w:val="149"/>
        </w:trPr>
        <w:tc>
          <w:tcPr>
            <w:tcW w:w="460" w:type="dxa"/>
            <w:vAlign w:val="bottom"/>
            <w:vMerge w:val="continue"/>
          </w:tcPr>
          <w:p>
            <w:pPr>
              <w:spacing w:after="0"/>
              <w:rPr>
                <w:sz w:val="12"/>
                <w:szCs w:val="12"/>
                <w:color w:val="auto"/>
              </w:rPr>
            </w:pPr>
          </w:p>
        </w:tc>
        <w:tc>
          <w:tcPr>
            <w:tcW w:w="840" w:type="dxa"/>
            <w:vAlign w:val="bottom"/>
            <w:tcBorders>
              <w:bottom w:val="single" w:sz="8" w:color="auto"/>
            </w:tcBorders>
            <w:gridSpan w:val="2"/>
            <w:vMerge w:val="continue"/>
          </w:tcPr>
          <w:p>
            <w:pPr>
              <w:spacing w:after="0"/>
              <w:rPr>
                <w:sz w:val="12"/>
                <w:szCs w:val="12"/>
                <w:color w:val="auto"/>
              </w:rPr>
            </w:pPr>
          </w:p>
        </w:tc>
        <w:tc>
          <w:tcPr>
            <w:tcW w:w="6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58"/>
              <w:spacing w:after="0" w:line="129" w:lineRule="exact"/>
              <w:rPr>
                <w:sz w:val="20"/>
                <w:szCs w:val="20"/>
                <w:color w:val="auto"/>
              </w:rPr>
            </w:pPr>
            <w:r>
              <w:rPr>
                <w:rFonts w:ascii="Arial" w:cs="Arial" w:eastAsia="Arial" w:hAnsi="Arial"/>
                <w:sz w:val="14"/>
                <w:szCs w:val="14"/>
                <w:b w:val="1"/>
                <w:bCs w:val="1"/>
                <w:color w:val="auto"/>
                <w:w w:val="83"/>
              </w:rPr>
              <w:t>2014</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w w:val="89"/>
              </w:rPr>
              <w:t>2013</w:t>
            </w:r>
          </w:p>
        </w:tc>
        <w:tc>
          <w:tcPr>
            <w:tcW w:w="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8"/>
              <w:spacing w:after="0" w:line="129" w:lineRule="exact"/>
              <w:rPr>
                <w:sz w:val="20"/>
                <w:szCs w:val="20"/>
                <w:color w:val="auto"/>
              </w:rPr>
            </w:pPr>
            <w:r>
              <w:rPr>
                <w:rFonts w:ascii="Arial" w:cs="Arial" w:eastAsia="Arial" w:hAnsi="Arial"/>
                <w:sz w:val="14"/>
                <w:szCs w:val="14"/>
                <w:b w:val="1"/>
                <w:bCs w:val="1"/>
                <w:color w:val="auto"/>
                <w:w w:val="96"/>
              </w:rPr>
              <w:t>2014</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4"/>
              <w:spacing w:after="0" w:line="129" w:lineRule="exact"/>
              <w:rPr>
                <w:sz w:val="20"/>
                <w:szCs w:val="20"/>
                <w:color w:val="auto"/>
              </w:rPr>
            </w:pPr>
            <w:r>
              <w:rPr>
                <w:rFonts w:ascii="Arial" w:cs="Arial" w:eastAsia="Arial" w:hAnsi="Arial"/>
                <w:sz w:val="14"/>
                <w:szCs w:val="14"/>
                <w:b w:val="1"/>
                <w:bCs w:val="1"/>
                <w:color w:val="auto"/>
                <w:w w:val="83"/>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710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38.4</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23.3</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117.5</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65.0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Arial" w:cs="Arial" w:eastAsia="Arial" w:hAnsi="Arial"/>
                <w:sz w:val="18"/>
                <w:szCs w:val="18"/>
                <w:color w:val="auto"/>
              </w:rPr>
              <w:t>Net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43.1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71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Net investment income before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00" w:type="dxa"/>
            <w:vAlign w:val="bottom"/>
            <w:gridSpan w:val="3"/>
          </w:tcPr>
          <w:p>
            <w:pPr>
              <w:ind w:left="440"/>
              <w:spacing w:after="0"/>
              <w:rPr>
                <w:sz w:val="20"/>
                <w:szCs w:val="20"/>
                <w:color w:val="auto"/>
              </w:rPr>
            </w:pPr>
            <w:r>
              <w:rPr>
                <w:rFonts w:ascii="Arial" w:cs="Arial" w:eastAsia="Arial" w:hAnsi="Arial"/>
                <w:sz w:val="18"/>
                <w:szCs w:val="18"/>
                <w:color w:val="auto"/>
              </w:rPr>
              <w:t>Income taxes, including excise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71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Net investment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Arial" w:cs="Arial" w:eastAsia="Arial" w:hAnsi="Arial"/>
                <w:sz w:val="18"/>
                <w:szCs w:val="18"/>
                <w:color w:val="auto"/>
              </w:rPr>
              <w:t>Net realized gains (losses) on investments (1)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change in unrealized gains (losses) on investments (2)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100" w:type="dxa"/>
            <w:vAlign w:val="bottom"/>
            <w:gridSpan w:val="3"/>
            <w:vMerge w:val="restart"/>
          </w:tcPr>
          <w:p>
            <w:pPr>
              <w:ind w:left="44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7100" w:type="dxa"/>
            <w:vAlign w:val="bottom"/>
            <w:gridSpan w:val="3"/>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18.6</w:t>
            </w:r>
          </w:p>
        </w:tc>
        <w:tc>
          <w:tcPr>
            <w:tcW w:w="2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16.3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71.2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foreign exchange forward contracts and foreign currency transactions.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foreign exchange forward contracts, foreign currency debt and interest rate swaps.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millions)</w:t>
            </w:r>
          </w:p>
        </w:tc>
        <w:tc>
          <w:tcPr>
            <w:tcW w:w="2660" w:type="dxa"/>
            <w:vAlign w:val="bottom"/>
            <w:vMerge w:val="restart"/>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80" w:type="dxa"/>
            <w:vAlign w:val="bottom"/>
            <w:gridSpan w:val="5"/>
          </w:tcPr>
          <w:p>
            <w:pPr>
              <w:jc w:val="right"/>
              <w:ind w:right="157"/>
              <w:spacing w:after="0"/>
              <w:rPr>
                <w:sz w:val="20"/>
                <w:szCs w:val="20"/>
                <w:color w:val="auto"/>
              </w:rPr>
            </w:pPr>
            <w:r>
              <w:rPr>
                <w:rFonts w:ascii="Arial" w:cs="Arial" w:eastAsia="Arial" w:hAnsi="Arial"/>
                <w:sz w:val="14"/>
                <w:szCs w:val="14"/>
                <w:b w:val="1"/>
                <w:bCs w:val="1"/>
                <w:color w:val="auto"/>
                <w:w w:val="89"/>
              </w:rPr>
              <w:t>Three Months Ended September 30,</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6"/>
          </w:tcPr>
          <w:p>
            <w:pPr>
              <w:ind w:left="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9"/>
        </w:trPr>
        <w:tc>
          <w:tcPr>
            <w:tcW w:w="840" w:type="dxa"/>
            <w:vAlign w:val="bottom"/>
            <w:tcBorders>
              <w:bottom w:val="single" w:sz="8" w:color="auto"/>
            </w:tcBorders>
            <w:vMerge w:val="continue"/>
          </w:tcPr>
          <w:p>
            <w:pPr>
              <w:spacing w:after="0"/>
              <w:rPr>
                <w:sz w:val="12"/>
                <w:szCs w:val="12"/>
                <w:color w:val="auto"/>
              </w:rPr>
            </w:pPr>
          </w:p>
        </w:tc>
        <w:tc>
          <w:tcPr>
            <w:tcW w:w="2660" w:type="dxa"/>
            <w:vAlign w:val="bottom"/>
            <w:vMerge w:val="continue"/>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20"/>
              <w:spacing w:after="0" w:line="129"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37"/>
              <w:spacing w:after="0" w:line="129" w:lineRule="exact"/>
              <w:rPr>
                <w:sz w:val="20"/>
                <w:szCs w:val="20"/>
                <w:color w:val="auto"/>
              </w:rPr>
            </w:pPr>
            <w:r>
              <w:rPr>
                <w:rFonts w:ascii="Arial" w:cs="Arial" w:eastAsia="Arial" w:hAnsi="Arial"/>
                <w:sz w:val="14"/>
                <w:szCs w:val="14"/>
                <w:b w:val="1"/>
                <w:bCs w:val="1"/>
                <w:color w:val="auto"/>
              </w:rPr>
              <w:t>2013</w:t>
            </w:r>
          </w:p>
        </w:tc>
        <w:tc>
          <w:tcPr>
            <w:tcW w:w="6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60"/>
              <w:spacing w:after="0" w:line="129"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7"/>
              <w:spacing w:after="0" w:line="129"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5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Interest from investments</w:t>
            </w:r>
          </w:p>
        </w:tc>
        <w:tc>
          <w:tcPr>
            <w:tcW w:w="1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35.0</w:t>
            </w:r>
          </w:p>
        </w:tc>
        <w:tc>
          <w:tcPr>
            <w:tcW w:w="4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22.8</w:t>
            </w:r>
          </w:p>
        </w:tc>
        <w:tc>
          <w:tcPr>
            <w:tcW w:w="6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110.9</w:t>
            </w:r>
          </w:p>
        </w:tc>
        <w:tc>
          <w:tcPr>
            <w:tcW w:w="3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63.3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50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1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 income</w:t>
            </w:r>
          </w:p>
        </w:tc>
        <w:tc>
          <w:tcPr>
            <w:tcW w:w="14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38.4</w:t>
            </w:r>
          </w:p>
        </w:tc>
        <w:tc>
          <w:tcPr>
            <w:tcW w:w="58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8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117.5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Interest from investments, which includes amortization of upfront fees and prepayment fees, increased from $22.8 million for the three months ended September 30, 2013 to $35.0 million for the three months ended September 30, 2014, primarily due to the increase in the size of our portfolio. The average size of our total investment portfolio increased from $0.8 billion during the three months ended September 30, 2013 to $1.2 billion during the three months ended September 30, 2014. In addition, accelerated amortization of upfront fees primarily from unscheduled paydowns increased from $0.9 million for the three months ended September 30, 2013 to $3.2 million for the three months ended September 30, 2014; and prepayment fees increased from $0.5 million for the three months ended September 30, 2013 to $2.3 million for the three months ended September 30, 2014. The accelerated amortization and prepayment fees primarily resulted from a partial paydown on one portfolio investment and full paydowns on two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portfolio investments during the three months ended September 30, 2013 and from full paydowns on four portfolio investments and the expiration of one unfunded commitment during the three months ended September 30, 2014. Other income increased from $0.5 million for the three months ended September 30, 2013 to $3.4 million for the three months ended September 30, 2014, primarily due to higher syndication, amendment and agency fees earned during the third quarter of 2014.</w:t>
      </w:r>
    </w:p>
    <w:p>
      <w:pPr>
        <w:spacing w:after="0" w:line="14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Interest from investments, which includes amortization of upfront fees and prepayment fees, increased from $63.3 million for the nine months ended September 30, 2013 to $110.9 million for the nine months ended September 30, 2014, primarily due to the increase in the size of our portfolio. The average size of our total investment portfolio increased from $0.7 billion during the nine months ended September 30, 2013 to $1.1 billion during the nine months ended September 30, 2014. In addition, accelerated amortization of upfront fees primarily from unscheduled paydowns increased from $2.7 million for the nine months ended September 30, 2013 to $7.7 million for the nine months ended September 30, 2014; and prepayment fees increased from $2.2 million for the nine months ended September 30, 2013 to $14.2 million for the nine months ended September 30, 2014. The accelerated amortization and prepayment fees primarily resulted from a partial paydown on one portfolio investment and full paydowns on four portfolio investments during the nine months ended September 30, 2013 and from full paydowns on ten portfolio investments and the expiration of one unfunded commitment during the nine months ended September 30, 2014. Other income increased from $1.7 million for the nine months ended September 30, 2013 to $6.6 million for the nine months ended September 30, 2014, primarily due to higher syndication, amendment and agency fees earned during the first three quarters of 2014.</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expenses for the three and nine months ended September 30, 2014 and 2013 were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millions)</w:t>
            </w:r>
          </w:p>
        </w:tc>
        <w:tc>
          <w:tcPr>
            <w:tcW w:w="374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Three Months Ended September 30,</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gridSpan w:val="6"/>
          </w:tcPr>
          <w:p>
            <w:pPr>
              <w:ind w:left="10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9"/>
        </w:trPr>
        <w:tc>
          <w:tcPr>
            <w:tcW w:w="840" w:type="dxa"/>
            <w:vAlign w:val="bottom"/>
            <w:tcBorders>
              <w:bottom w:val="single" w:sz="8" w:color="auto"/>
            </w:tcBorders>
            <w:vMerge w:val="continue"/>
          </w:tcPr>
          <w:p>
            <w:pPr>
              <w:spacing w:after="0"/>
              <w:rPr>
                <w:sz w:val="12"/>
                <w:szCs w:val="12"/>
                <w:color w:val="auto"/>
              </w:rPr>
            </w:pPr>
          </w:p>
        </w:tc>
        <w:tc>
          <w:tcPr>
            <w:tcW w:w="3740" w:type="dxa"/>
            <w:vAlign w:val="bottom"/>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76"/>
              <w:spacing w:after="0" w:line="129" w:lineRule="exact"/>
              <w:rPr>
                <w:sz w:val="20"/>
                <w:szCs w:val="20"/>
                <w:color w:val="auto"/>
              </w:rPr>
            </w:pPr>
            <w:r>
              <w:rPr>
                <w:rFonts w:ascii="Arial" w:cs="Arial" w:eastAsia="Arial" w:hAnsi="Arial"/>
                <w:sz w:val="14"/>
                <w:szCs w:val="14"/>
                <w:b w:val="1"/>
                <w:bCs w:val="1"/>
                <w:color w:val="auto"/>
              </w:rPr>
              <w:t>2014</w:t>
            </w:r>
          </w:p>
        </w:tc>
        <w:tc>
          <w:tcPr>
            <w:tcW w:w="8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6"/>
              <w:spacing w:after="0" w:line="129"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4"/>
              <w:spacing w:after="0" w:line="129"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5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Interest</w:t>
            </w: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3.8</w:t>
            </w:r>
          </w:p>
        </w:tc>
        <w:tc>
          <w:tcPr>
            <w:tcW w:w="8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ind w:right="386"/>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2.7</w:t>
            </w:r>
          </w:p>
        </w:tc>
        <w:tc>
          <w:tcPr>
            <w:tcW w:w="6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11.1</w:t>
            </w:r>
          </w:p>
        </w:tc>
        <w:tc>
          <w:tcPr>
            <w:tcW w:w="4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Management fees (net of waivers)</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w:t>
            </w: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7"/>
              </w:rPr>
              <w:t>1.5</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10.9</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Incentive fees related to pre-incentive fee net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investment income</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w:t>
            </w: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14.8</w:t>
            </w: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580" w:type="dxa"/>
            <w:vAlign w:val="bottom"/>
            <w:gridSpan w:val="2"/>
          </w:tcPr>
          <w:p>
            <w:pPr>
              <w:spacing w:after="0"/>
              <w:rPr>
                <w:sz w:val="20"/>
                <w:szCs w:val="20"/>
                <w:color w:val="auto"/>
              </w:rPr>
            </w:pPr>
            <w:r>
              <w:rPr>
                <w:rFonts w:ascii="Arial" w:cs="Arial" w:eastAsia="Arial" w:hAnsi="Arial"/>
                <w:sz w:val="18"/>
                <w:szCs w:val="18"/>
                <w:color w:val="auto"/>
              </w:rPr>
              <w:t>Incentive fees related to realized/unrealized capital</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80" w:type="dxa"/>
            <w:vAlign w:val="bottom"/>
            <w:gridSpan w:val="2"/>
          </w:tcPr>
          <w:p>
            <w:pPr>
              <w:ind w:left="220"/>
              <w:spacing w:after="0"/>
              <w:rPr>
                <w:sz w:val="20"/>
                <w:szCs w:val="20"/>
                <w:color w:val="auto"/>
              </w:rPr>
            </w:pPr>
            <w:r>
              <w:rPr>
                <w:rFonts w:ascii="Arial" w:cs="Arial" w:eastAsia="Arial" w:hAnsi="Arial"/>
                <w:sz w:val="18"/>
                <w:szCs w:val="18"/>
                <w:color w:val="auto"/>
              </w:rPr>
              <w:t>gains (losses)</w:t>
            </w:r>
          </w:p>
        </w:tc>
        <w:tc>
          <w:tcPr>
            <w:tcW w:w="160" w:type="dxa"/>
            <w:vAlign w:val="bottom"/>
          </w:tcPr>
          <w:p>
            <w:pPr>
              <w:spacing w:after="0"/>
              <w:rPr>
                <w:sz w:val="19"/>
                <w:szCs w:val="19"/>
                <w:color w:val="auto"/>
              </w:rPr>
            </w:pPr>
          </w:p>
        </w:tc>
        <w:tc>
          <w:tcPr>
            <w:tcW w:w="1660" w:type="dxa"/>
            <w:vAlign w:val="bottom"/>
            <w:gridSpan w:val="2"/>
          </w:tcPr>
          <w:p>
            <w:pPr>
              <w:jc w:val="right"/>
              <w:ind w:right="820"/>
              <w:spacing w:after="0"/>
              <w:rPr>
                <w:sz w:val="20"/>
                <w:szCs w:val="20"/>
                <w:color w:val="auto"/>
              </w:rPr>
            </w:pPr>
            <w:r>
              <w:rPr>
                <w:rFonts w:ascii="Arial" w:cs="Arial" w:eastAsia="Arial" w:hAnsi="Arial"/>
                <w:sz w:val="18"/>
                <w:szCs w:val="18"/>
                <w:color w:val="auto"/>
              </w:rPr>
              <w:t>(0.6)</w:t>
            </w:r>
          </w:p>
        </w:tc>
        <w:tc>
          <w:tcPr>
            <w:tcW w:w="54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7"/>
              </w:rPr>
              <w:t>0.2</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(0.3)</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0.9</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Directors’ fees</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7"/>
              </w:rPr>
              <w:t>0.1</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0.2</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general and administrative</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0.6</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Net Expenses</w:t>
            </w: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80" w:type="dxa"/>
            <w:vAlign w:val="bottom"/>
            <w:gridSpan w:val="2"/>
            <w:vMerge w:val="continue"/>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14.9</w:t>
            </w:r>
          </w:p>
        </w:tc>
        <w:tc>
          <w:tcPr>
            <w:tcW w:w="860" w:type="dxa"/>
            <w:vAlign w:val="bottom"/>
          </w:tcPr>
          <w:p>
            <w:pPr>
              <w:spacing w:after="0"/>
              <w:rPr>
                <w:sz w:val="19"/>
                <w:szCs w:val="19"/>
                <w:color w:val="auto"/>
              </w:rPr>
            </w:pPr>
          </w:p>
        </w:tc>
        <w:tc>
          <w:tcPr>
            <w:tcW w:w="540" w:type="dxa"/>
            <w:vAlign w:val="bottom"/>
          </w:tcPr>
          <w:p>
            <w:pPr>
              <w:jc w:val="right"/>
              <w:ind w:right="386"/>
              <w:spacing w:after="0"/>
              <w:rPr>
                <w:sz w:val="20"/>
                <w:szCs w:val="20"/>
                <w:color w:val="auto"/>
              </w:rPr>
            </w:pPr>
            <w:r>
              <w:rPr>
                <w:rFonts w:ascii="Arial" w:cs="Arial" w:eastAsia="Arial" w:hAnsi="Arial"/>
                <w:sz w:val="15"/>
                <w:szCs w:val="15"/>
                <w:color w:val="auto"/>
                <w:w w:val="71"/>
              </w:rPr>
              <w:t>$</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8.6</w:t>
            </w:r>
          </w:p>
        </w:tc>
        <w:tc>
          <w:tcPr>
            <w:tcW w:w="6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43.1</w:t>
            </w:r>
          </w:p>
        </w:tc>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Interest, including other debt financing expenses, increased from $2.7 million for the three months ended September 30, 2013 to $3.8 million for the three months ended September 30, 2014. This increase was primarily due to a slight increase in our average stated interest rate and an increase in our average debt outstanding. The average debt outstanding increased from $271 million for the three months ended September 30, 2013 to $318 million for the three months ended September 30, 2014. The average stated interest rate on our debt outstanding increased from 2.6% for the three months ended September 30, 2013 to 2.7% for the three months ended September 30, 2014.</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Interest, including other debt financing expenses, increased from $7.3 million for the nine months ended September 30, 2013 to $11.1 million for the nine months ended September 30, 2014. This increase was primarily due to an increase in the average debt outstanding from $226 million for the nine months ended September 30, 2013 to $381 million for the nine months ended September 30, 2014. The average stated interest rate on our debt outstanding decreased from 2.7% for the nine months ended September 30, 2013 to 2.6% for the nine months ended September 30, 2014.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Management Fees (net of waivers) increased from $1.5 million for the three months ended September 30, 2013 to $4.7 million for the three months ended September 30, 2014. Management Fees increased from $3.4 million for the three months ended September 30, 2013 to $4.7 million for the three months ended September 30, 2014 due to the increase in total assets, which increased from an average of $0.9 billion for the three months ended September 30, 2013 to an average of $1.2 billion for the three months ended September 30, 2014. Management Fees waived for the three months ended September 30, 2013 were $1.9 million. There were no management fees waived for the three months ended September 30, 2014.</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Management Fees (net of waivers) increased from $4.8 million for the nine months ended September 30, 2013 to $10.9 million for the nine months ended September 30, 2014. Management Fees increased from $9.7 million for the nine months ended September 30, 2013 to $13.4 million for the nine months ended September 30, 2014 due to the increase in total assets, which increased from an average of $0.9 billion for the nine months ended September 30, 2013 to an average of $1.2 billion for the nine months ended September 30, 2014. Management Fees waived decreased from $5.0 million for the nine months ended September 30, 2013 to $2.5 million for the nine months ended September 30, 2014 as no management fees were waived in the two quarters subsequent to our IPO.</w:t>
      </w:r>
    </w:p>
    <w:p>
      <w:pPr>
        <w:spacing w:after="0" w:line="14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Until our IPO, the Adviser had waived its right to receive the Management Fee in excess of the sum of (i) 0.25% of aggregate committed but undrawn capital; and (ii) 0.75% of aggregate drawn capital (including capital drawn to pay our expenses) as determined as of the end of any calendar quarter. Any waived Management Fees are not subject to recoupment by the Adviser. Following our IPO, the Adviser does not intend to waive its right to receive the full Management Fee, and accordingly, we will be required to pay the full amount of the Management Fee.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Incentive Fees</w:t>
      </w:r>
    </w:p>
    <w:p>
      <w:pPr>
        <w:spacing w:after="0" w:line="9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Incentive Fees related to pre-Incentive Fee net investment income increased from $2.6 million for the three months ended September 30, 2013 to $4.7 million for the three months ended September 30, 2014. This increase resulted from the increase in the size of the portfolio and related increase in pre-Incentive Fee net investment income, including an increase in prepayment fees and accelerated amortization of upfront fees primarily from unscheduled paydowns. This increase also resulted from an increase in the Incentive Fee rate from 15% through March 31, 2014 to 17.5% beginning April 1, 2014 as a result of the consummation of our IPO. Incentive Fees related to capital gains decreased from $0.2 million for the three months ended September 30, 2013 to ($0.6) million for the three months ended September 30, 2014 due to changes in unrealized gains and losses on our investments.</w:t>
      </w:r>
    </w:p>
    <w:p>
      <w:pPr>
        <w:spacing w:after="0" w:line="12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Incentive Fees related to pre-Incentive Fee net investment income increased from $7.3 million for the nine months ended September 30, 2013 to $14.8 million for the nine months ended September 30, 2014. This increase resulted from the increase in the size of the portfolio and related increase in pre-Incentive Fee net investment income. This increase also resulted from an increase in the Incentive Fee rate from 15% through March 31, 2014 to 17.5% beginning April 1, 2014 as a result of the consummation of our IPO. Incentive Fees related to capital gains decreased from $0.8 million for the nine months ended September 30, 2013 to ($0.3) million for the nine months ended September 30, 2014 due to changes in unrealized gains and losses on our investments.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Fees and Other General and Administrative Expenses</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Professional fees increased from $0.9 million for the three months ended September 30, 2013 to $1.0 million for the three months ended September 30, 2014 and other general and administrative fees increased from $0.6 million for the three months ended September 30, 2013 to $1.2 million for the three months ended September 30, 2014, both due to an increase in costs associated with servicing a growing investment portfolio.</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Professional fees increased from $2.4 million for the nine months ended September 30, 2013 to $3.4 million for the nine months ended September 30, 2014 and other general and administrative fees increased from $1.7 million for the nine months ended September 30, 2013 to $3.0 million for the nine months ended September 30, 2014, both due to an increase in costs associated with servicing a growing investment portfolio.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Including Excise Taxes</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43"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13"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For the three months ended September 30, 2014 and 2013 we recorded a net expense of $0.4 million and $0.1 million, respectively, for U.S. federal excise tax. For the nine months ended September 30, 2014 and 2013 we recorded a net expense of $0.6 million and $0.1 million, respectively, for U.S. federal excise tax.</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Realized and Unrealized Gains and Losses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net realized and unrealized gains (losses) for the three and nine months ended September 30, 2014 and 2013:</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88"/>
              </w:rPr>
              <w:t>Three Months Ended</w:t>
            </w:r>
          </w:p>
        </w:tc>
        <w:tc>
          <w:tcPr>
            <w:tcW w:w="200" w:type="dxa"/>
            <w:vAlign w:val="bottom"/>
          </w:tcPr>
          <w:p>
            <w:pPr>
              <w:spacing w:after="0"/>
              <w:rPr>
                <w:sz w:val="14"/>
                <w:szCs w:val="14"/>
                <w:color w:val="auto"/>
              </w:rPr>
            </w:pPr>
          </w:p>
        </w:tc>
        <w:tc>
          <w:tcPr>
            <w:tcW w:w="150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61"/>
        </w:trPr>
        <w:tc>
          <w:tcPr>
            <w:tcW w:w="6980" w:type="dxa"/>
            <w:vAlign w:val="bottom"/>
            <w:gridSpan w:val="3"/>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20" w:type="dxa"/>
            <w:vAlign w:val="bottom"/>
          </w:tcPr>
          <w:p>
            <w:pPr>
              <w:spacing w:after="0"/>
              <w:rPr>
                <w:sz w:val="14"/>
                <w:szCs w:val="14"/>
                <w:color w:val="auto"/>
              </w:rPr>
            </w:pPr>
          </w:p>
        </w:tc>
        <w:tc>
          <w:tcPr>
            <w:tcW w:w="170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85"/>
              </w:rPr>
              <w:t>September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8"/>
              </w:rPr>
              <w:t>September 30,</w:t>
            </w:r>
          </w:p>
        </w:tc>
        <w:tc>
          <w:tcPr>
            <w:tcW w:w="0" w:type="dxa"/>
            <w:vAlign w:val="bottom"/>
          </w:tcPr>
          <w:p>
            <w:pPr>
              <w:spacing w:after="0"/>
              <w:rPr>
                <w:sz w:val="1"/>
                <w:szCs w:val="1"/>
                <w:color w:val="auto"/>
              </w:rPr>
            </w:pPr>
          </w:p>
        </w:tc>
      </w:tr>
      <w:tr>
        <w:trPr>
          <w:trHeight w:val="129"/>
        </w:trPr>
        <w:tc>
          <w:tcPr>
            <w:tcW w:w="6980" w:type="dxa"/>
            <w:vAlign w:val="bottom"/>
            <w:gridSpan w:val="3"/>
            <w:vMerge w:val="continue"/>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ind w:right="56"/>
              <w:spacing w:after="0" w:line="129" w:lineRule="exact"/>
              <w:rPr>
                <w:sz w:val="20"/>
                <w:szCs w:val="20"/>
                <w:color w:val="auto"/>
              </w:rPr>
            </w:pPr>
            <w:r>
              <w:rPr>
                <w:rFonts w:ascii="Arial" w:cs="Arial" w:eastAsia="Arial" w:hAnsi="Arial"/>
                <w:sz w:val="14"/>
                <w:szCs w:val="14"/>
                <w:b w:val="1"/>
                <w:bCs w:val="1"/>
                <w:color w:val="auto"/>
                <w:w w:val="89"/>
              </w:rPr>
              <w:t>2014</w:t>
            </w: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4"/>
                <w:szCs w:val="14"/>
                <w:b w:val="1"/>
                <w:bCs w:val="1"/>
                <w:color w:val="auto"/>
                <w:w w:val="83"/>
              </w:rPr>
              <w:t>2013</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ind w:right="35"/>
              <w:spacing w:after="0" w:line="129" w:lineRule="exact"/>
              <w:rPr>
                <w:sz w:val="20"/>
                <w:szCs w:val="20"/>
                <w:color w:val="auto"/>
              </w:rPr>
            </w:pPr>
            <w:r>
              <w:rPr>
                <w:rFonts w:ascii="Arial" w:cs="Arial" w:eastAsia="Arial" w:hAnsi="Arial"/>
                <w:sz w:val="14"/>
                <w:szCs w:val="14"/>
                <w:b w:val="1"/>
                <w:bCs w:val="1"/>
                <w:color w:val="auto"/>
                <w:w w:val="89"/>
              </w:rPr>
              <w:t>2014</w:t>
            </w: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4"/>
                <w:szCs w:val="14"/>
                <w:b w:val="1"/>
                <w:bCs w:val="1"/>
                <w:color w:val="auto"/>
                <w:w w:val="83"/>
              </w:rPr>
              <w:t>2013</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realized gains on investments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0.0</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center"/>
              <w:ind w:left="74"/>
              <w:spacing w:after="0" w:line="203" w:lineRule="exact"/>
              <w:rPr>
                <w:sz w:val="20"/>
                <w:szCs w:val="20"/>
                <w:color w:val="auto"/>
              </w:rPr>
            </w:pPr>
            <w:r>
              <w:rPr>
                <w:rFonts w:ascii="Arial" w:cs="Arial" w:eastAsia="Arial" w:hAnsi="Arial"/>
                <w:sz w:val="18"/>
                <w:szCs w:val="18"/>
                <w:color w:val="auto"/>
                <w:w w:val="87"/>
              </w:rPr>
              <w:t>0.5</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Net realized losses on foreign currency transactions</w:t>
            </w: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gains (losses) on foreign currency forward contracts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center"/>
              <w:ind w:left="74"/>
              <w:spacing w:after="0"/>
              <w:rPr>
                <w:sz w:val="20"/>
                <w:szCs w:val="20"/>
                <w:color w:val="auto"/>
              </w:rPr>
            </w:pPr>
            <w:r>
              <w:rPr>
                <w:rFonts w:ascii="Arial" w:cs="Arial" w:eastAsia="Arial" w:hAnsi="Arial"/>
                <w:sz w:val="18"/>
                <w:szCs w:val="18"/>
                <w:color w:val="auto"/>
                <w:w w:val="87"/>
              </w:rPr>
              <w:t>0.3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Net realized gains on foreign currency borrowings</w:t>
            </w:r>
          </w:p>
        </w:tc>
        <w:tc>
          <w:tcPr>
            <w:tcW w:w="12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realized gains (losses)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center"/>
              <w:ind w:left="74"/>
              <w:spacing w:after="0"/>
              <w:rPr>
                <w:sz w:val="20"/>
                <w:szCs w:val="20"/>
                <w:color w:val="auto"/>
              </w:rPr>
            </w:pPr>
            <w:r>
              <w:rPr>
                <w:rFonts w:ascii="Arial" w:cs="Arial" w:eastAsia="Arial" w:hAnsi="Arial"/>
                <w:sz w:val="18"/>
                <w:szCs w:val="18"/>
                <w:color w:val="auto"/>
                <w:w w:val="87"/>
              </w:rPr>
              <w:t>0.8</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6980" w:type="dxa"/>
            <w:vAlign w:val="bottom"/>
            <w:gridSpan w:val="3"/>
            <w:vMerge w:val="restart"/>
          </w:tcPr>
          <w:p>
            <w:pPr>
              <w:spacing w:after="0"/>
              <w:rPr>
                <w:sz w:val="20"/>
                <w:szCs w:val="20"/>
                <w:color w:val="auto"/>
              </w:rPr>
            </w:pPr>
            <w:r>
              <w:rPr>
                <w:rFonts w:ascii="Arial" w:cs="Arial" w:eastAsia="Arial" w:hAnsi="Arial"/>
                <w:sz w:val="18"/>
                <w:szCs w:val="18"/>
                <w:color w:val="auto"/>
              </w:rPr>
              <w:t>Change in unrealized gains on investments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980" w:type="dxa"/>
            <w:vAlign w:val="bottom"/>
            <w:gridSpan w:val="3"/>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3.6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center"/>
              <w:ind w:left="74"/>
              <w:spacing w:after="0"/>
              <w:rPr>
                <w:sz w:val="20"/>
                <w:szCs w:val="20"/>
                <w:color w:val="auto"/>
              </w:rPr>
            </w:pPr>
            <w:r>
              <w:rPr>
                <w:rFonts w:ascii="Arial" w:cs="Arial" w:eastAsia="Arial" w:hAnsi="Arial"/>
                <w:sz w:val="18"/>
                <w:szCs w:val="18"/>
                <w:color w:val="auto"/>
                <w:w w:val="87"/>
              </w:rPr>
              <w:t>5.8</w:t>
            </w:r>
          </w:p>
        </w:tc>
        <w:tc>
          <w:tcPr>
            <w:tcW w:w="2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unrealized losses on investments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(3.0)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69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Change in Unrealized Gains (Losses) on Investments</w:t>
            </w: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980" w:type="dxa"/>
            <w:vAlign w:val="bottom"/>
            <w:gridSpan w:val="3"/>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center"/>
              <w:ind w:left="74"/>
              <w:spacing w:after="0"/>
              <w:rPr>
                <w:sz w:val="20"/>
                <w:szCs w:val="20"/>
                <w:color w:val="auto"/>
              </w:rPr>
            </w:pPr>
            <w:r>
              <w:rPr>
                <w:rFonts w:ascii="Arial" w:cs="Arial" w:eastAsia="Arial" w:hAnsi="Arial"/>
                <w:sz w:val="18"/>
                <w:szCs w:val="18"/>
                <w:color w:val="auto"/>
                <w:w w:val="87"/>
              </w:rPr>
              <w:t>2.8</w:t>
            </w:r>
          </w:p>
        </w:tc>
        <w:tc>
          <w:tcPr>
            <w:tcW w:w="2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(6.4)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appreciation on foreign currency borrowings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Unrealized appreciation (depreciation) on foreign currency forward contracts</w:t>
            </w:r>
          </w:p>
        </w:tc>
        <w:tc>
          <w:tcPr>
            <w:tcW w:w="12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appreciation (depreciation) on interest rate swaps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980" w:type="dxa"/>
            <w:vAlign w:val="bottom"/>
            <w:gridSpan w:val="3"/>
          </w:tcPr>
          <w:p>
            <w:pPr>
              <w:spacing w:after="0"/>
              <w:rPr>
                <w:sz w:val="20"/>
                <w:szCs w:val="20"/>
                <w:color w:val="auto"/>
              </w:rPr>
            </w:pPr>
            <w:r>
              <w:rPr>
                <w:rFonts w:ascii="Arial" w:cs="Arial" w:eastAsia="Arial" w:hAnsi="Arial"/>
                <w:sz w:val="18"/>
                <w:szCs w:val="18"/>
                <w:b w:val="1"/>
                <w:bCs w:val="1"/>
                <w:color w:val="auto"/>
              </w:rPr>
              <w:t>Net Change in Unrealized Gains (Losses) on Foreign Currency Transactions and</w:t>
            </w: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b w:val="1"/>
                <w:bCs w:val="1"/>
                <w:color w:val="auto"/>
              </w:rPr>
              <w:t>Interest Rate Swaps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2.3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(1.9)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2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Change in Unrealized Gains (Losses)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center"/>
              <w:ind w:left="74"/>
              <w:spacing w:after="0"/>
              <w:rPr>
                <w:sz w:val="20"/>
                <w:szCs w:val="20"/>
                <w:color w:val="auto"/>
              </w:rPr>
            </w:pPr>
            <w:r>
              <w:rPr>
                <w:rFonts w:ascii="Arial" w:cs="Arial" w:eastAsia="Arial" w:hAnsi="Arial"/>
                <w:sz w:val="18"/>
                <w:szCs w:val="18"/>
                <w:color w:val="auto"/>
                <w:w w:val="87"/>
              </w:rPr>
              <w:t>0.9</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For the three and nine months ended September 30, 2014 we had net realized gains on investments of $10 thousand and $0.1 million, respectively. For the three and nine months ended September 30, 2014 we had net realized losses on foreign currency transactions of $0.3 million and $0.2 million, respectively, primarily as a result of translating foreign currency related to one of our non-USD denominated investments. For the nine months ended September 30, 2014 we had net realized losses on foreign currency forward contracts of $1.6 million primarily as a result of settling our foreign currency forward contracts related to our investments in Jeeves Information Systems AB and Soho House Bond Ltd. For the three months ended September 30, 2014 we did not have any realized gains or losses on foreign currency forward contracts. For both the three and nine months ended September 30, 2014 we had net realized gains on foreign currency borrowings of $0.1 million.</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For the three months ended September 30, 2014 we had $3.6 million in unrealized appreciation on 8 portfolio company investments, which was offset by $10.1 million in unrealized depreciation on 25 portfolio company investments. For the nine months ended September 30, 2014 we had $6.4 million in unrealized appreciation on 16 portfolio company investments, which was offset by $12.8 million in unrealized depreciation on 22 portfolio company investments. Unrealized appreciation for the three months ended September 30, 2014 resulted from an increase in fair market value, primarily due to positive credit-related adjustments. Unrealized appreciation for the nine months ended September 30, 2014 resulted from an increase in fair market value, primarily due to a tightening spread environment during the six months ended June 30, 2014 and positive credit-related adjustments. Unrealized depreciation for the three months ended September 30, 2014 primarily resulted from a widening spread environment, the reversal of prior period unrealized appreciation and in some instances negative credit-related adjustments. Unrealized depreciation for the nine months ended September 30, 2014 primarily resulted from the reversal of prior period unrealized appreciation and in some instances negative credit-related adjustments.</w:t>
      </w:r>
    </w:p>
    <w:p>
      <w:pPr>
        <w:spacing w:after="0" w:line="120"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For the three and nine months ended September 30, 2014 we had unrealized appreciation on foreign currency borrowings of $3.3 million and $4.5 million, respectively, primarily as a result of fluctuations in the GBP, SEK and EUR exchange rates. For the nine months ended September 30, 2014 we had unrealized appreciation on foreign currency forward contracts of $1.2 million as a result of the reversal of prior period unrealized depreciation due to settling our foreign currency forward contracts related to our investments in Jeeves Information Systems AB and Soho House Bond Ltd. For the three and nine months ended September 30, 2014 we had unrealized depreciation on interest rate swaps of $1.0 million and $0.2 million, respectively, due to fluctuations in interest rates.</w:t>
      </w:r>
    </w:p>
    <w:p>
      <w:pPr>
        <w:spacing w:after="0" w:line="100"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For the three months ended September 30, 2013 we had net realized gains on investments of $0.5 million primarily as a result of the sale of one of our investments. For the nine months ended September 30, 2013 we had net realized gains on investments of $1.1 million primarily as a result of the sale of one of our investments and a partial sale of three of our investments. For the three and nine months ended September 30, 2013 we had net realized gains on foreign currency forward contracts of $0.3 million as a result of settling and rolling foreign currency forward contracts related to our investment in Jeeves Information Systems AB.</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the three months ended September 30, 2013 we had $5.8 million in unrealized appreciation on 12 portfolio company investments, which was partially offset by $3.0 million in unrealized depreciation on 11 portfolio company investments. For the nine months ended September 30, 2013 we had $10.1 million in unrealized appreciation on 16 portfolio company investments, which was partially offset by $4.9 million in unrealized depreciation on 8 portfolio company investments. Unrealized appreciation for the three and nine months ended September 30, 2013 resulted from an increase in fair market value, primarily due to a tightening spread environment and positive credit-related adjustments. Unrealized depreciation for the three and nine months ended September 30, 2013 primarily resulted from the reversal of prior period unrealized appreciation and in some instances negative credit-related adjustments.</w:t>
      </w:r>
    </w:p>
    <w:p>
      <w:pPr>
        <w:spacing w:after="0" w:line="12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For the three and nine months ended September 30, 2013 we had unrealized depreciation on foreign currency forward contracts of $1.9 million and $1.2 million, respectively, as a result of fluctuations in the SEK exchange rate.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Aggregate Cash Flow Realized Gross Internal Rate of Return</w:t>
      </w:r>
    </w:p>
    <w:p>
      <w:pPr>
        <w:spacing w:after="0" w:line="9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Since we began investing in 2011 through September 30, 2014, our exited investments have resulted in an aggregate cash flow realized gross internal rate of return to us of 16.2% (based on cash invested of $732 million and total proceeds from these exited investments of $854 million). Eighty one percent of these exited investments resulted in an aggregate cash flow realized gross internal rate of return to us of 10% or greater.</w:t>
      </w:r>
    </w:p>
    <w:p>
      <w:pPr>
        <w:spacing w:after="0" w:line="10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our investments is equal to the present value of all realized returns from the investments. Our IRR calculations are unaudited.</w:t>
      </w:r>
    </w:p>
    <w:p>
      <w:pPr>
        <w:spacing w:after="0" w:line="140"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represent any inception-to-date realized losses on foreign currency forward contracts allocable to the investment, if any.</w:t>
      </w:r>
    </w:p>
    <w:p>
      <w:pPr>
        <w:spacing w:after="0" w:line="10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Realized returns, with respect to an investment, represents the total cash received with respect to each investment, including all amortization payments, interest, dividends, prepayment fees, upfront fees (except upfront fees paid at closing for the term loan portion of an investment), administrative fees, agent fees, amendment fees, accrued interest, and other fees and proceeds. Realized returns also include realized gains on hedging activity, with respect to an investment, represent any inception-to-date realized gains on foreign currency forward contracts allocable to the investment, if any.</w:t>
      </w:r>
    </w:p>
    <w:p>
      <w:pPr>
        <w:spacing w:after="0" w:line="113"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spacing w:after="0" w:line="140" w:lineRule="exact"/>
        <w:rPr>
          <w:sz w:val="20"/>
          <w:szCs w:val="20"/>
          <w:color w:val="auto"/>
        </w:rPr>
      </w:pPr>
    </w:p>
    <w:p>
      <w:pPr>
        <w:jc w:val="both"/>
        <w:ind w:right="120" w:firstLine="456"/>
        <w:spacing w:after="0" w:line="332" w:lineRule="auto"/>
        <w:rPr>
          <w:sz w:val="20"/>
          <w:szCs w:val="20"/>
          <w:color w:val="auto"/>
        </w:rPr>
      </w:pPr>
      <w:r>
        <w:rPr>
          <w:rFonts w:ascii="Arial" w:cs="Arial" w:eastAsia="Arial" w:hAnsi="Arial"/>
          <w:sz w:val="16"/>
          <w:szCs w:val="16"/>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Aggregate cash flow realized gross IRR on our exited investments reflects only invested and realized cash amounts as described above, and does not reflect any unrealized gains or losses in our portfolio.</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Hedging</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During the nine months ended September 30, 2014, we settled our foreign currency forward contracts related to our investments in Jeeves Information Systems AB and Soho House Bond Ltd., which in total generated a realized loss of $1.6 million. As of September 30, 2014, we had one foreign currency forward contract outstanding with a notional amount of EUR 2.8 million. We bear the costs incurred in connection with entering into, administering and settling derivative contracts. There can be no assurance any hedging strategy we employ will be successful.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liquidity and capital resources are derived primarily from proceeds from equity and debt issuances, advances from our credit facilities, and cash flows from operations. The primary uses of our cash and cash equivalents are:</w:t>
      </w:r>
    </w:p>
    <w:p>
      <w:pPr>
        <w:spacing w:after="0" w:line="51"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investments in portfolio companies and other investments and to comply with certain portfolio diversification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cost of operations (including paying our Adviser);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debt service, repayment, and other financing costs;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cash distributions to the holders of our shares.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capital commitments of our private phase investors terminated on the completion of our IPO. 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the ratio of total assets (less total liabilities other than indebtedness) to total indebtedness plus preferred stock, is at least 200%. As of September 30, 2014 and December 31, 2013, our asset coverage ratio was 319.5% and 232.9%, respectively.</w:t>
      </w:r>
    </w:p>
    <w:p>
      <w:pPr>
        <w:spacing w:after="0" w:line="14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Cash and cash equivalents as of September 30, 2014, taken together with cash available under our credit facilities, is expected to be sufficient for our investing activities and to conduct our operations in the near term. As of September 30, 2014, we had approximately $686 million of undrawn commitments on our revolving credit facilities subject to borrowing base limitations.</w:t>
      </w:r>
    </w:p>
    <w:p>
      <w:pPr>
        <w:spacing w:after="0" w:line="140" w:lineRule="exact"/>
        <w:rPr>
          <w:sz w:val="20"/>
          <w:szCs w:val="20"/>
          <w:color w:val="auto"/>
        </w:rPr>
      </w:pPr>
    </w:p>
    <w:p>
      <w:pPr>
        <w:ind w:right="180" w:firstLine="456"/>
        <w:spacing w:after="0" w:line="283" w:lineRule="auto"/>
        <w:rPr>
          <w:sz w:val="20"/>
          <w:szCs w:val="20"/>
          <w:color w:val="auto"/>
        </w:rPr>
      </w:pPr>
      <w:r>
        <w:rPr>
          <w:rFonts w:ascii="Arial" w:cs="Arial" w:eastAsia="Arial" w:hAnsi="Arial"/>
          <w:sz w:val="16"/>
          <w:szCs w:val="16"/>
          <w:color w:val="auto"/>
        </w:rPr>
        <w:t>As of September 30, 2014, we had $9.2 million in cash and cash equivalents, an increase of $5.7 million from December 31, 2013. The increase was primarily attributable to cash received on September 30, 2014 from repayments on investments. During the nine months ended September 30, 2014, we used $141.8 million in cash for operating activities, primarily as a result of funding portfolio investments of $701.5 million, which was partially offset by proceeds from investments of $86.8 million, repayments on investments of $405.4 million, other operating activity of $3.7 million, and an increase in net assets resulting from operations of $71.2 million. Lastly, cash provided by financing activities was $147.5 million during the period, primarily due to proceeds from issuance of common stock of $234.4 million, partially offset by net repayments on debt of $45.5 million, debt issuance costs of $5.5 million and dividends paid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$35.9 million.</w:t>
      </w:r>
    </w:p>
    <w:p>
      <w:pPr>
        <w:spacing w:after="0" w:line="165"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As of September 30, 2014, we had $2.4 million of restricted cash pledged as collateral under our interest rate swap agreements, which we entered into in June 2014, an increase of $2.4 million from December 31, 2013. We also had an additional $0.2 million of cash collateral posted under our interest rate swaps as of September 30, 2014, which is netted against the fair value of the interest rate swaps and reflected as a payable on our consolidated balance sheet. As of September 30, 2014, we had $10.7 million of restricted cash in our wholly owned subsidiary TPG SL SPV, an increase of $4.3 million from December 31, 2013. The increase was primarily attributable to increased interest payments from additional investments contributed to TPG SL SPV. Proceeds received by TPG SL SPV from interest and principal at the end of a reporting period that have not gone through a settlement process are considered to be restricted cash. The settlement process involves the payment of certain required amounts under the SPV Asset Facility, following which excess cash generated in TPG SL SPV may be distributed to us. Restricted cash is a component of prepaid expenses and other assets in our consolidated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Issuances</w:t>
      </w:r>
    </w:p>
    <w:p>
      <w:pPr>
        <w:spacing w:after="0" w:line="9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On March 26, 2014, we closed our IPO and issued 7,000,000 shares at $16.00 per share, and closed our concurrent private placement and issued 3,124,984 shares at $16.00 per share. Net of underwriting fees and offering costs, we received total cash proceeds of $151.6 million.</w:t>
      </w:r>
    </w:p>
    <w:p>
      <w:pPr>
        <w:spacing w:after="0" w:line="8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April 2014, an additional 1,050,000 shares of stock were issued pursuant to the exercise of the underwriters’ over-allotment option. Net of underwriting fees and offering costs, we received additional total cash proceeds of $15.4 million.</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Prior to December 31, 2013, we entered into Subscription Agreements with our existing investors, including our Adviser and its affiliates, providing for the private placement of our common stock, which brought our total capital commitments to $1.5 billion (including $117.1 million from our Adviser and its affiliates). From inception through September 30, 2014, we had drawn down a total of $0.6 billion of capital and issued 38.9 million shares, excluding equity and shares issued through our dividend reinvestment plan. As of December 31, 2013, over $0.9 billion of capital commitments remained unfunded. These unfunded commitments terminated upon the completion of our IPO, and hence as of September 30, 2014 no longer remain in effect.</w:t>
      </w:r>
    </w:p>
    <w:p>
      <w:pPr>
        <w:spacing w:after="0" w:line="1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During the nine months ended September 30, 2014 and 2013, we received fundings from drawdown notices to our investors relating to the issuance of 4,234,501 shares and 2,079,224 shares, respectively, of our common stock for aggregate proceeds of $65 million and $32 million, respectively. Proceeds from the issuances were used in investing activities and for other general corporate purposes.</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addition to the drawdowns noted above, during the nine months ended September 30, 2014 and 2013, we issued 1,131,275 and 1,250,508 shares of our common stock, respectively, to shareholders who have not opted out of our dividend reinvestment plan for proceeds of $18.9 million and $19.1 million, respectively.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November 3, 2014, pursuant to our dividend reinvestment plan, we issued 230,575 shares in connection with the dividend that was paid on October 31, 2014 to shareholders who opted out of the dividend reinvestment plan. This dividend was declared on August 4, 2014 for shareholders of record on September 30, 2014.</w:t>
      </w:r>
    </w:p>
    <w:p>
      <w:pPr>
        <w:spacing w:after="0" w:line="14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On November 3, 2014, the Board of Directors approved the Company 10b5-1 Plan to acquire up to $50 million in the aggregate of our common stock at prices below our net asset value over a specified period, in accordance with the guidelines specified in Rule 10b-18 and Rule 10b5-1 of the 1934 Act.</w:t>
      </w:r>
    </w:p>
    <w:p>
      <w:pPr>
        <w:spacing w:after="0" w:line="85"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Company 10b5-1 Plan is designed to allow us to repurchase our common stock at times when we otherwise might be prevented from doing so under insider trading laws. The Company 10b5-1 Plan will require an agent selected by us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 The timing and amount of any stock repurchases will depend on the terms and conditions of the Company 10b5-1 Plan, the market price of our common stock and trading volumes, and no assurance can be given that any particular amount of common stock will be repurchased.</w:t>
      </w:r>
    </w:p>
    <w:p>
      <w:pPr>
        <w:spacing w:after="0" w:line="14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purchase of shares pursuant to the Company 10b5-1 Plan is intended to satisfy the conditions of Rule 10b5-1 and, together with the Advisers 10b5-1 Plan, Rule 10b-18 under the 1934 Act, and will otherwise be subject to applicable law, including Regulation M, which may prohibit purchases under certain circumstances. Purchases under the Company 10b5-1 Plan and the Advisers 10b5-1 plan will be allocated between the two plans pro rata based on the amount available for purchases under each plan.</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Unless extended or terminated by the Board of Directors, we expect that the Company 10b5-1 Plan will be in effect through the earlier of May 4, 2015 or such time as the approved $50 million repurchase amount has been fully utilized, subject to certain conditions.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consisted of the following as of September 30, 2014 and December 31, 2013:</w:t>
      </w:r>
    </w:p>
    <w:p>
      <w:pPr>
        <w:spacing w:after="0" w:line="200" w:lineRule="exact"/>
        <w:rPr>
          <w:sz w:val="20"/>
          <w:szCs w:val="20"/>
          <w:color w:val="auto"/>
        </w:rPr>
      </w:pPr>
    </w:p>
    <w:p>
      <w:pPr>
        <w:spacing w:after="0" w:line="21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w w:val="90"/>
              </w:rPr>
              <w:t>September 30, 2014</w:t>
            </w:r>
          </w:p>
        </w:tc>
        <w:tc>
          <w:tcPr>
            <w:tcW w:w="6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Aggregate Principal</w:t>
            </w: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Outstanding</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ind w:right="57"/>
              <w:spacing w:after="0" w:line="129" w:lineRule="exact"/>
              <w:rPr>
                <w:sz w:val="20"/>
                <w:szCs w:val="20"/>
                <w:color w:val="auto"/>
              </w:rPr>
            </w:pPr>
            <w:r>
              <w:rPr>
                <w:rFonts w:ascii="Arial" w:cs="Arial" w:eastAsia="Arial" w:hAnsi="Arial"/>
                <w:sz w:val="14"/>
                <w:szCs w:val="14"/>
                <w:b w:val="1"/>
                <w:bCs w:val="1"/>
                <w:color w:val="auto"/>
                <w:w w:val="86"/>
              </w:rPr>
              <w:t>Amount</w:t>
            </w:r>
          </w:p>
        </w:tc>
        <w:tc>
          <w:tcPr>
            <w:tcW w:w="56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Carrying</w:t>
            </w:r>
          </w:p>
        </w:tc>
        <w:tc>
          <w:tcPr>
            <w:tcW w:w="100" w:type="dxa"/>
            <w:vAlign w:val="bottom"/>
          </w:tcPr>
          <w:p>
            <w:pPr>
              <w:spacing w:after="0"/>
              <w:rPr>
                <w:sz w:val="11"/>
                <w:szCs w:val="11"/>
                <w:color w:val="auto"/>
              </w:rPr>
            </w:pPr>
          </w:p>
        </w:tc>
      </w:tr>
      <w:tr>
        <w:trPr>
          <w:trHeight w:val="161"/>
        </w:trPr>
        <w:tc>
          <w:tcPr>
            <w:tcW w:w="5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Amount Committed</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54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7"/>
              </w:rPr>
              <w:t>Available (1)</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5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SPV Asset Facility</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5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$ 108,725</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42,341</w:t>
            </w:r>
          </w:p>
        </w:tc>
        <w:tc>
          <w:tcPr>
            <w:tcW w:w="5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108,725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Revolving Credit Facility (2)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781,250</w:t>
            </w:r>
          </w:p>
        </w:tc>
        <w:tc>
          <w:tcPr>
            <w:tcW w:w="5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161,664</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476,036</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161,664</w:t>
            </w:r>
          </w:p>
        </w:tc>
        <w:tc>
          <w:tcPr>
            <w:tcW w:w="10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Convertible Senior Notes</w:t>
            </w: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115,000</w:t>
            </w:r>
          </w:p>
        </w:tc>
        <w:tc>
          <w:tcPr>
            <w:tcW w:w="5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115,000</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111,788</w:t>
            </w:r>
          </w:p>
        </w:tc>
        <w:tc>
          <w:tcPr>
            <w:tcW w:w="100" w:type="dxa"/>
            <w:vAlign w:val="bottom"/>
            <w:shd w:val="clear" w:color="auto" w:fill="CCEEFF"/>
          </w:tcPr>
          <w:p>
            <w:pPr>
              <w:spacing w:after="0"/>
              <w:rPr>
                <w:sz w:val="18"/>
                <w:szCs w:val="18"/>
                <w:color w:val="auto"/>
              </w:rPr>
            </w:pPr>
          </w:p>
        </w:tc>
      </w:tr>
      <w:tr>
        <w:trPr>
          <w:trHeight w:val="222"/>
        </w:trPr>
        <w:tc>
          <w:tcPr>
            <w:tcW w:w="5440" w:type="dxa"/>
            <w:vAlign w:val="bottom"/>
          </w:tcPr>
          <w:p>
            <w:pPr>
              <w:ind w:left="440"/>
              <w:spacing w:after="0"/>
              <w:rPr>
                <w:sz w:val="20"/>
                <w:szCs w:val="20"/>
                <w:color w:val="auto"/>
              </w:rPr>
            </w:pPr>
            <w:r>
              <w:rPr>
                <w:rFonts w:ascii="Arial" w:cs="Arial" w:eastAsia="Arial" w:hAnsi="Arial"/>
                <w:sz w:val="18"/>
                <w:szCs w:val="18"/>
                <w:b w:val="1"/>
                <w:bCs w:val="1"/>
                <w:color w:val="auto"/>
              </w:rPr>
              <w:t>Total Debt</w:t>
            </w: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1,071,250</w:t>
            </w:r>
          </w:p>
        </w:tc>
        <w:tc>
          <w:tcPr>
            <w:tcW w:w="5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$ 385,389</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$ 518,377</w:t>
            </w:r>
          </w:p>
        </w:tc>
        <w:tc>
          <w:tcPr>
            <w:tcW w:w="6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382,177</w:t>
            </w:r>
          </w:p>
        </w:tc>
        <w:tc>
          <w:tcPr>
            <w:tcW w:w="10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0"/>
        </w:trPr>
        <w:tc>
          <w:tcPr>
            <w:tcW w:w="5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w w:val="91"/>
              </w:rPr>
              <w:t>December 31, 2013</w:t>
            </w:r>
          </w:p>
        </w:tc>
        <w:tc>
          <w:tcPr>
            <w:tcW w:w="6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5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Aggregate Principal</w:t>
            </w: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Outstanding</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ind w:right="57"/>
              <w:spacing w:after="0" w:line="129" w:lineRule="exact"/>
              <w:rPr>
                <w:sz w:val="20"/>
                <w:szCs w:val="20"/>
                <w:color w:val="auto"/>
              </w:rPr>
            </w:pPr>
            <w:r>
              <w:rPr>
                <w:rFonts w:ascii="Arial" w:cs="Arial" w:eastAsia="Arial" w:hAnsi="Arial"/>
                <w:sz w:val="14"/>
                <w:szCs w:val="14"/>
                <w:b w:val="1"/>
                <w:bCs w:val="1"/>
                <w:color w:val="auto"/>
                <w:w w:val="86"/>
              </w:rPr>
              <w:t>Amount</w:t>
            </w:r>
          </w:p>
        </w:tc>
        <w:tc>
          <w:tcPr>
            <w:tcW w:w="56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Carrying</w:t>
            </w:r>
          </w:p>
        </w:tc>
        <w:tc>
          <w:tcPr>
            <w:tcW w:w="100" w:type="dxa"/>
            <w:vAlign w:val="bottom"/>
          </w:tcPr>
          <w:p>
            <w:pPr>
              <w:spacing w:after="0"/>
              <w:rPr>
                <w:sz w:val="11"/>
                <w:szCs w:val="11"/>
                <w:color w:val="auto"/>
              </w:rPr>
            </w:pPr>
          </w:p>
        </w:tc>
      </w:tr>
      <w:tr>
        <w:trPr>
          <w:trHeight w:val="161"/>
        </w:trPr>
        <w:tc>
          <w:tcPr>
            <w:tcW w:w="5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Amount Committed</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54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7"/>
              </w:rPr>
              <w:t>Available (1)</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5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Subscription Credit Facility (3)</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5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32,000</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68,000</w:t>
            </w:r>
          </w:p>
        </w:tc>
        <w:tc>
          <w:tcPr>
            <w:tcW w:w="5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SPV Asset Facility</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100,000</w:t>
            </w:r>
          </w:p>
        </w:tc>
        <w:tc>
          <w:tcPr>
            <w:tcW w:w="5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77,767</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77,767</w:t>
            </w:r>
          </w:p>
        </w:tc>
        <w:tc>
          <w:tcPr>
            <w:tcW w:w="10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(2)</w:t>
            </w: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5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322,500</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77,500</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322,500</w:t>
            </w:r>
          </w:p>
        </w:tc>
        <w:tc>
          <w:tcPr>
            <w:tcW w:w="100" w:type="dxa"/>
            <w:vAlign w:val="bottom"/>
            <w:shd w:val="clear" w:color="auto" w:fill="CCEEFF"/>
          </w:tcPr>
          <w:p>
            <w:pPr>
              <w:spacing w:after="0"/>
              <w:rPr>
                <w:sz w:val="18"/>
                <w:szCs w:val="18"/>
                <w:color w:val="auto"/>
              </w:rPr>
            </w:pPr>
          </w:p>
        </w:tc>
      </w:tr>
      <w:tr>
        <w:trPr>
          <w:trHeight w:val="222"/>
        </w:trPr>
        <w:tc>
          <w:tcPr>
            <w:tcW w:w="5440" w:type="dxa"/>
            <w:vAlign w:val="bottom"/>
          </w:tcPr>
          <w:p>
            <w:pPr>
              <w:ind w:left="440"/>
              <w:spacing w:after="0"/>
              <w:rPr>
                <w:sz w:val="20"/>
                <w:szCs w:val="20"/>
                <w:color w:val="auto"/>
              </w:rPr>
            </w:pPr>
            <w:r>
              <w:rPr>
                <w:rFonts w:ascii="Arial" w:cs="Arial" w:eastAsia="Arial" w:hAnsi="Arial"/>
                <w:sz w:val="18"/>
                <w:szCs w:val="18"/>
                <w:b w:val="1"/>
                <w:bCs w:val="1"/>
                <w:color w:val="auto"/>
              </w:rPr>
              <w:t>Total Debt</w:t>
            </w: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600,000</w:t>
            </w:r>
          </w:p>
        </w:tc>
        <w:tc>
          <w:tcPr>
            <w:tcW w:w="5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$ 432,267</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$ 145,500</w:t>
            </w:r>
          </w:p>
        </w:tc>
        <w:tc>
          <w:tcPr>
            <w:tcW w:w="6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432,267</w:t>
            </w:r>
          </w:p>
        </w:tc>
        <w:tc>
          <w:tcPr>
            <w:tcW w:w="10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15" w:lineRule="exact"/>
        <w:rPr>
          <w:rFonts w:ascii="Arial" w:cs="Arial" w:eastAsia="Arial" w:hAnsi="Arial"/>
          <w:sz w:val="18"/>
          <w:szCs w:val="18"/>
          <w:color w:val="auto"/>
        </w:rPr>
      </w:pPr>
    </w:p>
    <w:p>
      <w:pPr>
        <w:ind w:left="460" w:right="300" w:hanging="452"/>
        <w:spacing w:after="0" w:line="250"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 October 17, 2014, we amended and extended the Revolving Credit Facility, which reduced pricing, extended the revolving period and final maturity date, and reduced total commitments from $781.3 million to 766.3 million. On October 23, 2014, we increased aggregate commitments under the Revolving Credit Facility from $766.3 million to $776.3 million.</w:t>
      </w:r>
    </w:p>
    <w:p>
      <w:pPr>
        <w:spacing w:after="0" w:line="1" w:lineRule="exact"/>
        <w:rPr>
          <w:rFonts w:ascii="Arial" w:cs="Arial" w:eastAsia="Arial" w:hAnsi="Arial"/>
          <w:sz w:val="18"/>
          <w:szCs w:val="18"/>
          <w:color w:val="auto"/>
        </w:rPr>
      </w:pPr>
    </w:p>
    <w:p>
      <w:pPr>
        <w:ind w:left="460" w:right="840" w:hanging="452"/>
        <w:spacing w:after="0" w:line="261"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 February 27, 2014, we terminated the Subscription Credit Facility, effective March 4, 2014. The outstanding balance was paid down prior to terminating the facility.</w:t>
      </w:r>
    </w:p>
    <w:p>
      <w:pPr>
        <w:spacing w:after="0" w:line="13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As of September 30, 2014 and December 31, 2013, we were in compliance with the terms of our debt arrangements. We intend to continue to utilize our credit facilities to fund investments and for other general corporate purposes.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On August 23, 2012, we entered into a senior secured revolving credit agreement with SunTrust Bank, as administrative agent, and J.P. Morgan Chase Bank, N.A., as syndication agent, and certain other lenders. On July 2, 2013, we entered into an agreement to amend and restate the agreement, effective on July 3, 2013. The amended and restated facility, among other things, increased the size of the facility from $200 million to $350 million. The facility included an uncommitted accordion feature that allowed us, under certain circumstances, to increase the size of the facility up to $550 million. On September 30, 2013, we exercised our right under the accordion feature and increased the size of the facility to $400 million. On January 27, 2014, we again exercised our right under the accordion feature and increased the size of the facility to $420 million.</w:t>
      </w:r>
    </w:p>
    <w:p>
      <w:pPr>
        <w:spacing w:after="0" w:line="12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On February 27, 2014, we further amended and restated the agreement. The second amended and restated agreement (the Revolving Credit Facility) among other things:</w:t>
      </w:r>
    </w:p>
    <w:p>
      <w:pPr>
        <w:spacing w:after="0" w:line="51"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increased the size of the facility to $581.3 million;</w:t>
      </w:r>
    </w:p>
    <w:p>
      <w:pPr>
        <w:spacing w:after="0" w:line="9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increased the size of the uncommitted accordion feature to allow us, under certain circumstances, to increase the size of the facility up to $956.3 million;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increased the limit for swingline loans to $100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with respect to $545 million in commitments;</w:t>
      </w:r>
    </w:p>
    <w:p>
      <w:pPr>
        <w:spacing w:after="0" w:line="90" w:lineRule="exact"/>
        <w:rPr>
          <w:rFonts w:ascii="Arial" w:cs="Arial" w:eastAsia="Arial" w:hAnsi="Arial"/>
          <w:sz w:val="18"/>
          <w:szCs w:val="18"/>
          <w:color w:val="auto"/>
        </w:rPr>
      </w:pPr>
    </w:p>
    <w:p>
      <w:pPr>
        <w:ind w:left="1480" w:right="660" w:hanging="446"/>
        <w:spacing w:after="0" w:line="268" w:lineRule="auto"/>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June 30, 2017 to February 27, 2018, during which period we, subject to certain conditions, may make borrowings under the facility; and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extended the stated maturity date from July 2, 2018 to February 27, 2019; and</w:t>
      </w:r>
    </w:p>
    <w:p>
      <w:pPr>
        <w:sectPr>
          <w:pgSz w:w="11900" w:h="16838" w:orient="portrait"/>
          <w:cols w:equalWidth="0" w:num="1">
            <w:col w:w="11420"/>
          </w:cols>
          <w:pgMar w:left="240" w:top="459" w:right="239" w:bottom="0" w:gutter="0" w:footer="0" w:header="0"/>
        </w:sectPr>
      </w:pPr>
    </w:p>
    <w:bookmarkStart w:id="52" w:name="page53"/>
    <w:bookmarkEnd w:id="52"/>
    <w:p>
      <w:pPr>
        <w:ind w:left="325" w:hanging="325"/>
        <w:spacing w:after="0"/>
        <w:tabs>
          <w:tab w:leader="none" w:pos="325" w:val="left"/>
        </w:tabs>
        <w:numPr>
          <w:ilvl w:val="0"/>
          <w:numId w:val="43"/>
        </w:numPr>
        <w:rPr>
          <w:rFonts w:ascii="Arial" w:cs="Arial" w:eastAsia="Arial" w:hAnsi="Arial"/>
          <w:sz w:val="16"/>
          <w:szCs w:val="16"/>
          <w:color w:val="auto"/>
        </w:rPr>
      </w:pPr>
      <w:r>
        <w:rPr>
          <w:rFonts w:ascii="Arial" w:cs="Arial" w:eastAsia="Arial" w:hAnsi="Arial"/>
          <w:sz w:val="16"/>
          <w:szCs w:val="16"/>
          <w:color w:val="auto"/>
        </w:rPr>
        <w:t>provided that borrowings under the multicurrency tranche will be available in certain additional currencies.</w:t>
      </w:r>
    </w:p>
    <w:p>
      <w:pPr>
        <w:sectPr>
          <w:pgSz w:w="11900" w:h="16838" w:orient="portrait"/>
          <w:cols w:equalWidth="0" w:num="1">
            <w:col w:w="9644"/>
          </w:cols>
          <w:pgMar w:left="815" w:top="131" w:right="1440" w:bottom="1440" w:gutter="0" w:footer="0" w:header="0"/>
        </w:sectPr>
      </w:pPr>
    </w:p>
    <w:p>
      <w:pPr>
        <w:spacing w:after="0" w:line="181" w:lineRule="exact"/>
        <w:rPr>
          <w:sz w:val="20"/>
          <w:szCs w:val="20"/>
          <w:color w:val="auto"/>
        </w:rPr>
      </w:pPr>
    </w:p>
    <w:p>
      <w:pPr>
        <w:ind w:left="5045"/>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9644"/>
          </w:cols>
          <w:pgMar w:left="815" w:top="131" w:right="1440"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On May 30, 2014, we entered into agreements with various financial institutions pursuant to which each of the institutions agreed to provide commitments through the accordion feature of our Revolving Credit Facility, increasing the aggregate commitments from $581.3 million to $781.3 million.</w:t>
      </w:r>
    </w:p>
    <w:p>
      <w:pPr>
        <w:spacing w:after="0" w:line="85"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On June 27, 2014, we further amended the Revolving Credit Facility to extend the $36.3 million in commitments not previously extended such that the revolving period as it related to all outstanding commitments would expire on February 27, 2018 and the stated maturity date as it related to all outstanding commitments would be February 27, 2019.</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October 17, 2014, we entered into a third amendment to the Revolving Credit Facility:</w:t>
      </w:r>
    </w:p>
    <w:p>
      <w:pPr>
        <w:spacing w:after="0" w:line="90" w:lineRule="exact"/>
        <w:rPr>
          <w:sz w:val="20"/>
          <w:szCs w:val="20"/>
          <w:color w:val="auto"/>
        </w:rPr>
      </w:pPr>
    </w:p>
    <w:p>
      <w:pPr>
        <w:ind w:left="900" w:right="20" w:hanging="325"/>
        <w:spacing w:after="0" w:line="332"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decreasing the applicable margin with respect to (i) any loan bearing interest at a rate determined by reference to the Alternate Base Rate from 1.25% to 1.00% and (ii) any loan bearing interest at a rate determined by reference to the Adjusted LIBO Rate from 2.25% to 2.00%;</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decreasing the aggregate commitments from $781.3 million to $766.3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extending the revolving period from February 27, 2018 to October 17, 2018;</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extending the stated maturity date from February 27, 2019 to October 17, 2019;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increasing the sublimit applicable to letters of credit from $20 million to $100 million.</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On October 23, 2014, we entered into an agreement with a financial institution pursuant to which the institution agreed to provide commitments through the accordion feature, increasing the aggregate commitments from $766.3 million to $776.3 million.</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On November 3, 2014, an existing lender agreed to increase their commitment through the accordion feature, increasing aggregate commitments from $776.3 million to $781.3 million.</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Revolving Credit Facility continues to include the accordion feature, which would allow us, under certain circumstances, to increase the size to a maximum of $956.3 million.</w:t>
      </w:r>
    </w:p>
    <w:p>
      <w:pPr>
        <w:spacing w:after="0" w:line="132"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may borrow amounts in U.S. dollars or certain other permitted currencies. As of September 30, 2014, we have outstanding debt denominated in Swedish Krona (SEK) of 209.7 million, Euro (EUR) of 25.0 million and Pound Sterling (GBP) of 9.9 million on our Revolving Credit Facility, included in the Outstanding Principal amount in the table above.</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Amounts drawn under the Revolving Credit Facility, including amounts drawn in respect of letters of credit, bear interest at either LIBOR plus a margin, or the prime rate plus a margin. We may elect either the LIBOR or prime rate at the time of drawdown, and loans may be converted from one rate to another at any time, subject to certain conditions. We also pay a fee of 0.375% on undrawn amounts and, in respect of each undrawn letter of credit, a fee and interest rate equal to the then-applicable margin while the letter of credit is outstanding.</w:t>
      </w:r>
    </w:p>
    <w:p>
      <w:pPr>
        <w:spacing w:after="0" w:line="143"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Revolving Credit Facility is guaranteed by TC Lending, LLC and TSL MR, LLC and may be guaranteed by certain domestic subsidiaries that are formed or acquired by us in the future.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8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requiring:</w:t>
      </w:r>
    </w:p>
    <w:p>
      <w:pPr>
        <w:spacing w:after="0" w:line="51"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liquidity test under which we must maintain cash and liquid investments of at least 10% of the covered debt amount under circumstances where our adjusted covered debt balance is greater than 90% of our adjusted borrowing base under the facility;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October 17, 2014.</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Net proceeds received from our IPO, the exercise of the underwriters’ over-allotment option from the IPO, and net proceeds received from the issuance of the Convertible Senior Notes were used to pay down borrowings on the Revolving Credit Facility.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SPV Asset Facility</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On May 8, 2012, the “Closing Date,” our wholly owned subsidiary TPG SL SPV, LLC, a Delaware limited liability company, entered into a credit and security agreement with Natixis, New York Branch. Also on May 8, 2012, we contributed certain investments to TPG SL SPV pursuant to the terms of a Master Sale and Contribution Agreement by and between us and TPG SL SPV. We consolidate TPG SL SPV in our consolidated financial statements, and no gain or loss was recognized as a result of the contribution. Proceeds from the SPV Asset Facility may be used to finance the acquisition of eligible assets by TPG SL SPV, including the purchase of such assets from us. We retain a residual interest in assets contributed to or acquired by TPG SL SPV through our ownership of TPG SL SPV. The facility size is subject to availability under the borrowing base, which is based on the amount of TPG SL SPV’s assets from time to time, and satisfaction of certain conditions, including an asset coverage test, an asset quality test and certain concentration limits.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credit and security agreement provided for a contribution and reinvestment period for up to 18 months after the Closing Date, or the Commitment Termination Date. The Commitment Termination Date was November 8, 2013, at which point the reinvestment period of the SPV Asset Facility expired and accordingly any undrawn availability under the facility terminated. Proceeds received by TPG SL SPV from interest, dividends or fees on assets are required to be used to pay expenses and interest on outstanding borrowings, and the excess can be returned to us, subject to certain conditions, on a quarterly basis. Prior to the Commitment Termination Date, proceeds received from principal on assets could be used to pay down borrowings or make additional investments. Following the Commitment Termination Date, proceeds received from principal on assets are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On January 21, 2014, TPG SL SPV entered into an agreement to amend and restate the credit and security agreement, which we refer to as the SPV Asset Facility. The amended and restated facility, among other things:</w:t>
      </w:r>
    </w:p>
    <w:p>
      <w:pPr>
        <w:spacing w:after="0" w:line="51"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increased the size of the facility from $100 million to $175 million;</w:t>
      </w:r>
    </w:p>
    <w:p>
      <w:pPr>
        <w:spacing w:after="0" w:line="90"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reopened the reinvestment period thereunder for an additional period of six months following the closing date of January 21, 2014, which reinvestment period was subsequently extended by the borrower for an additional six month period (pursuant to an extension right exercisable by the borrower) so that the reinvestment period will remain open until January 21, 2015;</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extended the stated maturity date from May 8, 2020 to January 21, 2021;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modified pricing;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made certain changes to the eligibility criteria and concentration limits.</w:t>
      </w:r>
    </w:p>
    <w:p>
      <w:pPr>
        <w:spacing w:after="0" w:line="17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Amounts drawn under the original credit and security agreement bore interest at LIBOR plus a margin or base rate plus a margin, in each case at TPG SL SPV’s option. Amounts drawn under the amended and restated SPV Asset Facility bear interest at LIBOR plus a margin, base rate plus a margin or the lenders’ cost of funds plus a margin, in each case at TPG SL SPV’s option. TPG SL SPV’s ability to borrow at lenders’ cost of funds plus a margin under the amended and restated SPV Asset Facility lowered the interest rate currently applicable on our borrowings under the SPV Asset Facility. The undrawn portion of the commitment bears an unutilized commitment fee of 0.75%. The SPV Asset Facility contains customary covenants, including covenants relating to separateness from the Adviser and its affiliates and long-term credit ratings with respect to the underlying collateral obligations, and events of default. The SPV Asset Facility is secured by a perfected first priority security interest in the assets of TPG SL SPV and on any payments received by TPG SL SPV in respect of such assets, which accordingly are not available to pay our other debt obligations.</w:t>
      </w:r>
    </w:p>
    <w:p>
      <w:pPr>
        <w:spacing w:after="0" w:line="118"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As of September 30, 2014 and December 31, 2013, TPG SL SPV had $336.6 million and $184.3 million, respectively, in investments at fair value, and $111.4 million and $78.3 million, respectively, in liabilities, including the outstanding borrowings, on its balance sheet. As of September 30, 2014 and December 31, 2013, TPG SL SPV had $10.7 million and $6.3 million, respectively, in restricted cash, a component of prepaid expenses and other assets, in the accompanying consolidated financial statements.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Borrowings of TPG SL SPV are considered our borrowings for purposes of complying with the asset coverage requirements of the 1940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June 10, 2014, we issued in a private offering $115 million aggregate principal amount convertible senior notes due December 2019, or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“Convertible Senior Notes”). The Convertible Senior Notes were issued in a private placement only to qualified institutional buyers pursuant to Rule 144A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Securities Act of 1933, as amended. The Convertible Senior Notes are unsecured, and bear interest at a rate of 4.50% per year, payable semiannually.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Convertible Senior Notes will mature on December 15, 2019. In certain circumstances, the Convertible Senior Notes will be convertible into cash, shares of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stock or a combination of cash and shares of our common stock, at our election, at an initial conversion rate of 38.7162 shares of common stock per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 principal amount of Convertible Senior Notes, which is equivalent to an initial conversion price of approximately $25.83 per share of our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subject to customary anti-dilution adjustments. The sale of the Convertible Senior Notes generated net proceeds of approximately $110.8 million. We used the net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proceeds of the offering to pay down debt under the Revolving Credit Facility. In connection with the offering of Convertible Senior Notes, we entered into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rate swap to continue to align the interest rates of our liabilities with our investment portfolio, which consists of predominately floating rate loans. As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result of the swap, our effective interest rate on the Convertible Senior Notes is three-month LIBOR plus 252.9 basis points.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Holders may convert their notes at their option at any time prior to June 15, 2019 only under the following circumstances: (1) during any calendar quarter commencing after the calendar quarter ending on September 30, 2014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(2) during the five business day period after any five consecutive trading day period (the “measurement period”) in which the trading price (as defined in the Convertible Senior Notes Indenture) per $1,000 principal amount of notes for each trading day of the measurement period was less than 98% of the product of the last reported sale price of our common stock and the conversion rate on each such trading day; or (3) upon the occurrence of specified corporate events. On or after June 15, 2019 until the close of business on the scheduled trading day immediately preceding the maturity date, holders may convert their notes at any time, regardless of the occurrence or nonoccurrence of any of the foregoing circumstances.</w:t>
      </w:r>
    </w:p>
    <w:p>
      <w:pPr>
        <w:spacing w:after="0" w:line="12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notes are senior unsecured obligations and rank senior in right of payment to our future indebtedness that is expressly subordinated in right of payment to the notes; equal in right of payment to our existing and future indebtedness that is not so subordinated; effectively junior in right of payment to any of our secured indebtedness (including unsecured indebtedness that we later secures) to the extent of the value of the assets securing such indebtedness; and structurally junior to all existing and future indebtedness (including trade payables) incurred by our subsidiaries, financing vehicles or similar facilities.</w:t>
      </w:r>
    </w:p>
    <w:p>
      <w:pPr>
        <w:spacing w:after="0" w:line="11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As of September 30, 2014, the principal amount of the Convertible Senior Notes exceeded the value of the underlying shares multiplied by the per share closing price of our common stock.</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Convertible Senior Notes Indenture contains certain covenants, including covenants requiring us to comply with the requirement under the Investment Company Act that our asset coverage ratio, as defined in the Investment Company Act, equal at least 200% and to provide financial information to the holders of the Convertible Senior Notes under certain circumstances. These covenants are subject to important limitations and exceptions that are described in the Convertible Senior Notes Indenture. As of September 30, 2014, we were in compliance with the terms of the Convertible Senior Notes Indenture.</w:t>
      </w:r>
    </w:p>
    <w:p>
      <w:pPr>
        <w:spacing w:after="0" w:line="11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Convertible Senior Notes are accounted for in accordance with Accounting Standards Codification (“ASC”) 470-20. Upon conversion of any of the Convertible Senior Notes, we intend to pay the outstanding principal amount in cash and, to the extent that the conversion value exceeds the principal amount, the Company has the option to pay in cash or shares of our common stock (or a combination of cash and shares) in respect of the excess amount, subject to the requirements of the Convertible Senior Notes Indenture. We have determined that the embedded conversion options in the Convertible Senior Notes are not required to be separately accounted for as a derivative under U.S. GAAP. In accounting for the Convertible Senior Notes, we estimated at the time of issuance separate debt and equity components of the Convertible Senior Notes. An original issue discount equal to the equity components of the Convertible Senior Notes was recorded in “additional paid-in capital” in the accompanying consolidated balance sheet. Additionally, the issuance costs associated with the Convertible Senior Notes were allocated to the debt and equity components in proportion to the allocation of the proceeds and accounted for as debt issuance costs and equity issuance costs,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Credit Facility</w:t>
      </w:r>
    </w:p>
    <w:p>
      <w:pPr>
        <w:spacing w:after="0" w:line="9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On February 27, 2014, we terminated our Subscription Credit Facility with Deutsche Bank Trust Company Americas, effective March 4, 2014. At the time of the termination, the maximum principal amount of the facility was $100 million, and the outstanding balance was paid down prior to terminating the facility.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Company Commitments</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From time to time, we may enter into commitments to fund investments. Our senior secured revolving loan commitments are generally available on a borrower’s demand and may remain outstanding until the maturity date of the applicable loan. Our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 As of September 30, 2014 and December 31, 2013, we had the following commitments to fund investments:</w:t>
      </w:r>
    </w:p>
    <w:p>
      <w:pPr>
        <w:spacing w:after="0" w:line="179" w:lineRule="exact"/>
        <w:rPr>
          <w:sz w:val="20"/>
          <w:szCs w:val="20"/>
          <w:color w:val="auto"/>
        </w:rPr>
      </w:pPr>
    </w:p>
    <w:tbl>
      <w:tblPr>
        <w:tblLayout w:type="fixed"/>
        <w:tblInd w:w="1380" w:type="dxa"/>
        <w:tblCellMar>
          <w:top w:w="0" w:type="dxa"/>
          <w:left w:w="0" w:type="dxa"/>
          <w:bottom w:w="0" w:type="dxa"/>
          <w:right w:w="0" w:type="dxa"/>
        </w:tblCellMar>
      </w:tblPr>
      <w:tr>
        <w:trPr>
          <w:trHeight w:val="18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 in millions)</w:t>
            </w:r>
          </w:p>
        </w:tc>
        <w:tc>
          <w:tcPr>
            <w:tcW w:w="3000" w:type="dxa"/>
            <w:vAlign w:val="bottom"/>
          </w:tcPr>
          <w:p>
            <w:pPr>
              <w:spacing w:after="0"/>
              <w:rPr>
                <w:sz w:val="15"/>
                <w:szCs w:val="15"/>
                <w:color w:val="auto"/>
              </w:rPr>
            </w:pPr>
          </w:p>
        </w:tc>
        <w:tc>
          <w:tcPr>
            <w:tcW w:w="31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 2014</w:t>
            </w:r>
          </w:p>
        </w:tc>
        <w:tc>
          <w:tcPr>
            <w:tcW w:w="17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203"/>
        </w:trPr>
        <w:tc>
          <w:tcPr>
            <w:tcW w:w="38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Senior secured revolving loan commitments</w:t>
            </w:r>
          </w:p>
        </w:tc>
        <w:tc>
          <w:tcPr>
            <w:tcW w:w="20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303"/>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48.1</w:t>
            </w:r>
          </w:p>
        </w:tc>
        <w:tc>
          <w:tcPr>
            <w:tcW w:w="5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8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color w:val="auto"/>
              </w:rPr>
              <w:t>Senior secured term loan commitments</w:t>
            </w:r>
          </w:p>
        </w:tc>
        <w:tc>
          <w:tcPr>
            <w:tcW w:w="20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5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Portfolio Company Commitments</w:t>
            </w:r>
          </w:p>
        </w:tc>
        <w:tc>
          <w:tcPr>
            <w:tcW w:w="2460" w:type="dxa"/>
            <w:vAlign w:val="bottom"/>
            <w:gridSpan w:val="2"/>
            <w:shd w:val="clear" w:color="auto" w:fill="CCEEFF"/>
          </w:tcPr>
          <w:p>
            <w:pPr>
              <w:jc w:val="right"/>
              <w:ind w:right="303"/>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960" w:type="dxa"/>
            <w:vAlign w:val="bottom"/>
            <w:gridSpan w:val="2"/>
            <w:shd w:val="clear" w:color="auto" w:fill="CCEEFF"/>
          </w:tcPr>
          <w:p>
            <w:pPr>
              <w:jc w:val="right"/>
              <w:ind w:right="283"/>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00" w:type="dxa"/>
            <w:vAlign w:val="bottom"/>
            <w:vMerge w:val="restart"/>
          </w:tcPr>
          <w:p>
            <w:pPr>
              <w:jc w:val="right"/>
              <w:ind w:right="1319"/>
              <w:spacing w:after="0"/>
              <w:rPr>
                <w:sz w:val="20"/>
                <w:szCs w:val="20"/>
                <w:color w:val="auto"/>
              </w:rPr>
            </w:pPr>
            <w:r>
              <w:rPr>
                <w:rFonts w:ascii="Arial" w:cs="Arial" w:eastAsia="Arial" w:hAnsi="Arial"/>
                <w:sz w:val="18"/>
                <w:szCs w:val="18"/>
                <w:color w:val="auto"/>
              </w:rPr>
              <w:t>53</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As of December 31, 2013 we had $1.5 billion in total capital commitments from investors (over $0.9 billion unfunded). These unfunded commitments terminated upon the completion of our IPO, and hence as of September 30, 2014 no longer remain in effect.</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may become a party to financial instruments with off-balance sheet risk in the normal course of our business to meet the financial needs of our portfolio companies. These instruments may include commitments to extend credit and involve, to varying degrees, elements of liquidity and credit risk in excess of the amount recognized in the balance sheet. As of September 30, 2014 and December 31, 2013, we had outstanding commitments to fund investments totaling $65.6 million and $55.0 million, respectively.</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for the allocable portion (subject to the review and approval of our Board) of expenses incurred by it in performing its obligations under the Administration Agreement, including rent, the fees and expenses associated with performing compliance functions and our allocable portion of the compensation of our chief financial officer and chief compliance officer and their respective staffs. Our Adviser also offers on our behalf significant managerial assistance to those portfolio companies to which we are required to offer to provide such assistance.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contractual payment obligations as of September 30, 2014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3"/>
              </w:rPr>
              <w:t>Payments Due by Period</w:t>
            </w:r>
          </w:p>
        </w:tc>
        <w:tc>
          <w:tcPr>
            <w:tcW w:w="4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millions)</w:t>
            </w:r>
          </w:p>
        </w:tc>
        <w:tc>
          <w:tcPr>
            <w:tcW w:w="5740" w:type="dxa"/>
            <w:vAlign w:val="bottom"/>
            <w:vMerge w:val="restart"/>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2"/>
              </w:rPr>
              <w:t>Less than</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840" w:type="dxa"/>
            <w:vAlign w:val="bottom"/>
            <w:tcBorders>
              <w:bottom w:val="single" w:sz="8" w:color="auto"/>
            </w:tcBorders>
            <w:vMerge w:val="continue"/>
          </w:tcPr>
          <w:p>
            <w:pPr>
              <w:spacing w:after="0"/>
              <w:rPr>
                <w:sz w:val="14"/>
                <w:szCs w:val="14"/>
                <w:color w:val="auto"/>
              </w:rPr>
            </w:pPr>
          </w:p>
        </w:tc>
        <w:tc>
          <w:tcPr>
            <w:tcW w:w="5740" w:type="dxa"/>
            <w:vAlign w:val="bottom"/>
            <w:vMerge w:val="continue"/>
          </w:tcPr>
          <w:p>
            <w:pPr>
              <w:spacing w:after="0"/>
              <w:rPr>
                <w:sz w:val="14"/>
                <w:szCs w:val="14"/>
                <w:color w:val="auto"/>
              </w:rPr>
            </w:pPr>
          </w:p>
        </w:tc>
        <w:tc>
          <w:tcPr>
            <w:tcW w:w="96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460" w:type="dxa"/>
            <w:vAlign w:val="bottom"/>
          </w:tcPr>
          <w:p>
            <w:pPr>
              <w:spacing w:after="0" w:line="148" w:lineRule="exact"/>
              <w:rPr>
                <w:sz w:val="20"/>
                <w:szCs w:val="20"/>
                <w:color w:val="auto"/>
              </w:rPr>
            </w:pPr>
            <w:r>
              <w:rPr>
                <w:rFonts w:ascii="Arial" w:cs="Arial" w:eastAsia="Arial" w:hAnsi="Arial"/>
                <w:sz w:val="14"/>
                <w:szCs w:val="14"/>
                <w:b w:val="1"/>
                <w:bCs w:val="1"/>
                <w:color w:val="auto"/>
              </w:rPr>
              <w:t>1 year</w:t>
            </w:r>
          </w:p>
        </w:tc>
        <w:tc>
          <w:tcPr>
            <w:tcW w:w="480" w:type="dxa"/>
            <w:vAlign w:val="bottom"/>
          </w:tcPr>
          <w:p>
            <w:pPr>
              <w:spacing w:after="0"/>
              <w:rPr>
                <w:sz w:val="14"/>
                <w:szCs w:val="14"/>
                <w:color w:val="auto"/>
              </w:rPr>
            </w:pPr>
          </w:p>
        </w:tc>
        <w:tc>
          <w:tcPr>
            <w:tcW w:w="5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2"/>
              </w:rPr>
              <w:t>1-3 years</w:t>
            </w:r>
          </w:p>
        </w:tc>
        <w:tc>
          <w:tcPr>
            <w:tcW w:w="460" w:type="dxa"/>
            <w:vAlign w:val="bottom"/>
          </w:tcPr>
          <w:p>
            <w:pPr>
              <w:spacing w:after="0"/>
              <w:rPr>
                <w:sz w:val="14"/>
                <w:szCs w:val="14"/>
                <w:color w:val="auto"/>
              </w:rPr>
            </w:pPr>
          </w:p>
        </w:tc>
        <w:tc>
          <w:tcPr>
            <w:tcW w:w="54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w w:val="82"/>
              </w:rPr>
              <w:t>3-5 years</w:t>
            </w:r>
          </w:p>
        </w:tc>
        <w:tc>
          <w:tcPr>
            <w:tcW w:w="460" w:type="dxa"/>
            <w:vAlign w:val="bottom"/>
          </w:tcPr>
          <w:p>
            <w:pPr>
              <w:spacing w:after="0"/>
              <w:rPr>
                <w:sz w:val="14"/>
                <w:szCs w:val="14"/>
                <w:color w:val="auto"/>
              </w:rPr>
            </w:pPr>
          </w:p>
        </w:tc>
        <w:tc>
          <w:tcPr>
            <w:tcW w:w="860" w:type="dxa"/>
            <w:vAlign w:val="bottom"/>
            <w:gridSpan w:val="3"/>
          </w:tcPr>
          <w:p>
            <w:pPr>
              <w:jc w:val="right"/>
              <w:ind w:right="100"/>
              <w:spacing w:after="0" w:line="148" w:lineRule="exact"/>
              <w:rPr>
                <w:sz w:val="20"/>
                <w:szCs w:val="20"/>
                <w:color w:val="auto"/>
              </w:rPr>
            </w:pPr>
            <w:r>
              <w:rPr>
                <w:rFonts w:ascii="Arial" w:cs="Arial" w:eastAsia="Arial" w:hAnsi="Arial"/>
                <w:sz w:val="14"/>
                <w:szCs w:val="14"/>
                <w:b w:val="1"/>
                <w:bCs w:val="1"/>
                <w:color w:val="auto"/>
                <w:w w:val="87"/>
              </w:rPr>
              <w:t>After 5 years</w:t>
            </w:r>
          </w:p>
        </w:tc>
        <w:tc>
          <w:tcPr>
            <w:tcW w:w="0" w:type="dxa"/>
            <w:vAlign w:val="bottom"/>
          </w:tcPr>
          <w:p>
            <w:pPr>
              <w:spacing w:after="0"/>
              <w:rPr>
                <w:sz w:val="1"/>
                <w:szCs w:val="1"/>
                <w:color w:val="auto"/>
              </w:rPr>
            </w:pPr>
          </w:p>
        </w:tc>
      </w:tr>
      <w:tr>
        <w:trPr>
          <w:trHeight w:val="203"/>
        </w:trPr>
        <w:tc>
          <w:tcPr>
            <w:tcW w:w="65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SPV Asset Facility</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$108.7</w:t>
            </w: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ind w:left="200"/>
              <w:spacing w:after="0" w:line="203"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w:t>
            </w:r>
          </w:p>
        </w:tc>
        <w:tc>
          <w:tcPr>
            <w:tcW w:w="4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2"/>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108.7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Revolving Credit Facility</w:t>
            </w:r>
          </w:p>
        </w:tc>
        <w:tc>
          <w:tcPr>
            <w:tcW w:w="500" w:type="dxa"/>
            <w:vAlign w:val="bottom"/>
          </w:tcPr>
          <w:p>
            <w:pPr>
              <w:jc w:val="right"/>
              <w:spacing w:after="0"/>
              <w:rPr>
                <w:sz w:val="20"/>
                <w:szCs w:val="20"/>
                <w:color w:val="auto"/>
              </w:rPr>
            </w:pPr>
            <w:r>
              <w:rPr>
                <w:rFonts w:ascii="Arial" w:cs="Arial" w:eastAsia="Arial" w:hAnsi="Arial"/>
                <w:sz w:val="18"/>
                <w:szCs w:val="18"/>
                <w:color w:val="auto"/>
              </w:rPr>
              <w:t>161.7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8"/>
              </w:rPr>
              <w:t>161.7</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Senior Notes</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4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8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Contractual Obligations</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385.4</w:t>
            </w:r>
          </w:p>
        </w:tc>
        <w:tc>
          <w:tcPr>
            <w:tcW w:w="4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center"/>
              <w:spacing w:after="0"/>
              <w:rPr>
                <w:sz w:val="20"/>
                <w:szCs w:val="20"/>
                <w:color w:val="auto"/>
              </w:rPr>
            </w:pPr>
            <w:r>
              <w:rPr>
                <w:rFonts w:ascii="Arial" w:cs="Arial" w:eastAsia="Arial" w:hAnsi="Arial"/>
                <w:sz w:val="18"/>
                <w:szCs w:val="18"/>
                <w:color w:val="auto"/>
                <w:w w:val="88"/>
              </w:rPr>
              <w:t>161.7</w:t>
            </w:r>
          </w:p>
        </w:tc>
        <w:tc>
          <w:tcPr>
            <w:tcW w:w="700" w:type="dxa"/>
            <w:vAlign w:val="bottom"/>
            <w:gridSpan w:val="2"/>
          </w:tcPr>
          <w:p>
            <w:pPr>
              <w:jc w:val="right"/>
              <w:ind w:right="6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223.</w:t>
            </w:r>
            <w:r>
              <w:rPr>
                <w:rFonts w:ascii="Arial" w:cs="Arial" w:eastAsia="Arial" w:hAnsi="Arial"/>
                <w:sz w:val="18"/>
                <w:szCs w:val="18"/>
                <w:u w:val="single" w:color="auto"/>
                <w:color w:val="auto"/>
              </w:rPr>
              <w:t>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 addition to the contractual payment obligations in the tables above, we also have commitments to fund investments and to pledge assets as collateral under the terms of our derivatives agreements.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w:t>
      </w:r>
    </w:p>
    <w:p>
      <w:pPr>
        <w:spacing w:after="0" w:line="9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4" w:lineRule="exact"/>
        <w:rPr>
          <w:sz w:val="20"/>
          <w:szCs w:val="20"/>
          <w:color w:val="auto"/>
        </w:rPr>
      </w:pPr>
    </w:p>
    <w:p>
      <w:pPr>
        <w:ind w:left="900" w:right="20" w:hanging="325"/>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5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net tax-exempt interest income (which is the excess of our gross tax exempt interest income over certain disallowed deductions) for such taxable year.</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As a RIC, we (but not our stockholders) generally will not be subject to U.S. federal income tax on investment company taxable income and net capital gains that we distribute to our stockholders.</w:t>
      </w:r>
    </w:p>
    <w:p>
      <w:pPr>
        <w:spacing w:after="0" w:line="132"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pacing w:after="0" w:line="140"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4"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98.0% of our net ordinary income excluding certain ordinary gains or losses for that calendar year;</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that calendar year;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pacing w:after="0" w:line="140"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 distribution carefully and should not assume that the source of any distribution is our ordinary income or gains.</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adopted an “opt out” dividend reinvestment plan for our common stockholders. As a result, if we declare a cash dividend or other distribution, each stockholder that has not “opted out” of our dividend reinvestment plan will have their dividends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Related-Party Transactions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entered into a number of business relationships with affiliated or related parties, including the following:</w:t>
      </w:r>
    </w:p>
    <w:p>
      <w:pPr>
        <w:spacing w:after="0" w:line="90"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Investment Advisory Agreement;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Administration Agreement; and</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license agreement with an affiliate of TPG under which the affiliate granted us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in our Annual Report on Form 10-K for the year ended December 31, 2013, filed with the SEC on March 4, 2014, and our Form 10-K/A, filed with the SEC on March 14, 2014, and elsewhere in our filings with the SEC.</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subject to financial market risks, including valuation risk, interest rate risk and currency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Risk</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of September 30, 2014, 98.3% of our debt investments bore interest at floating rates, subject to interest rate floors. Our credit facilities bear interest at floating rates, and in connection with our issuance of convertible notes, we entered into an interest rate swap to continue to align the interest rates of our liabilities with our investment portfolio.</w:t>
      </w:r>
    </w:p>
    <w:p>
      <w:pPr>
        <w:spacing w:after="0" w:line="14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Assuming that our consolidated balance sheet as of September 30, 2014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2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Interest</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4"/>
                <w:szCs w:val="14"/>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8"/>
              </w:rPr>
              <w:t>Net</w:t>
            </w:r>
          </w:p>
        </w:tc>
      </w:tr>
      <w:tr>
        <w:trPr>
          <w:trHeight w:val="149"/>
        </w:trPr>
        <w:tc>
          <w:tcPr>
            <w:tcW w:w="70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Basis Point Change</w:t>
            </w:r>
          </w:p>
        </w:tc>
        <w:tc>
          <w:tcPr>
            <w:tcW w:w="10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Income</w:t>
            </w:r>
          </w:p>
        </w:tc>
        <w:tc>
          <w:tcPr>
            <w:tcW w:w="10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Expense</w:t>
            </w:r>
          </w:p>
        </w:tc>
        <w:tc>
          <w:tcPr>
            <w:tcW w:w="5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Income</w:t>
            </w:r>
          </w:p>
        </w:tc>
      </w:tr>
      <w:tr>
        <w:trPr>
          <w:trHeight w:val="20"/>
        </w:trPr>
        <w:tc>
          <w:tcPr>
            <w:tcW w:w="1200" w:type="dxa"/>
            <w:vAlign w:val="bottom"/>
            <w:tcBorders>
              <w:top w:val="single" w:sz="8" w:color="auto"/>
              <w:bottom w:val="single" w:sz="8" w:color="CCEEFF"/>
            </w:tcBorders>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97"/>
        </w:trPr>
        <w:tc>
          <w:tcPr>
            <w:tcW w:w="70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Up 300 basis points</w:t>
            </w: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1"/>
              </w:rPr>
              <w:t>25.2</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1"/>
              </w:rPr>
              <w:t>11.6</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1"/>
              </w:rPr>
              <w:t>13.6</w:t>
            </w:r>
          </w:p>
        </w:tc>
        <w:tc>
          <w:tcPr>
            <w:tcW w:w="100" w:type="dxa"/>
            <w:vAlign w:val="bottom"/>
            <w:shd w:val="clear" w:color="auto" w:fill="CCEEFF"/>
          </w:tcPr>
          <w:p>
            <w:pPr>
              <w:spacing w:after="0"/>
              <w:rPr>
                <w:sz w:val="17"/>
                <w:szCs w:val="17"/>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Up 200 basis points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13.1</w:t>
            </w:r>
          </w:p>
        </w:tc>
        <w:tc>
          <w:tcPr>
            <w:tcW w:w="5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4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 100 basis points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r>
      <w:tr>
        <w:trPr>
          <w:trHeight w:val="222"/>
        </w:trPr>
        <w:tc>
          <w:tcPr>
            <w:tcW w:w="7020" w:type="dxa"/>
            <w:vAlign w:val="bottom"/>
            <w:gridSpan w:val="2"/>
          </w:tcPr>
          <w:p>
            <w:pPr>
              <w:spacing w:after="0"/>
              <w:rPr>
                <w:sz w:val="20"/>
                <w:szCs w:val="20"/>
                <w:color w:val="auto"/>
              </w:rPr>
            </w:pPr>
            <w:r>
              <w:rPr>
                <w:rFonts w:ascii="Arial" w:cs="Arial" w:eastAsia="Arial" w:hAnsi="Arial"/>
                <w:sz w:val="18"/>
                <w:szCs w:val="18"/>
                <w:color w:val="auto"/>
              </w:rPr>
              <w:t>Down 25 basis points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r>
    </w:tbl>
    <w:p>
      <w:pPr>
        <w:spacing w:after="0" w:line="147"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4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We may in the future hedge against interest rate fluctuations by using hedging instruments such as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lower interest rates with respect to our portfolio investments.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right="180" w:firstLine="456"/>
        <w:spacing w:after="0" w:line="318" w:lineRule="auto"/>
        <w:rPr>
          <w:sz w:val="20"/>
          <w:szCs w:val="20"/>
          <w:color w:val="auto"/>
        </w:rPr>
      </w:pPr>
      <w:r>
        <w:rPr>
          <w:rFonts w:ascii="Arial" w:cs="Arial" w:eastAsia="Arial" w:hAnsi="Arial"/>
          <w:sz w:val="15"/>
          <w:szCs w:val="15"/>
          <w:i w:val="1"/>
          <w:iCs w:val="1"/>
          <w:color w:val="auto"/>
        </w:rPr>
        <w:t>Evaluation of Disclosure Controls and Procedures</w:t>
      </w:r>
      <w:r>
        <w:rPr>
          <w:rFonts w:ascii="Arial" w:cs="Arial" w:eastAsia="Arial" w:hAnsi="Arial"/>
          <w:sz w:val="15"/>
          <w:szCs w:val="15"/>
          <w:color w:val="auto"/>
        </w:rPr>
        <w:t>. As of the end of the period covered by this report, we carried out an evaluation, under the supervision</w:t>
      </w:r>
      <w:r>
        <w:rPr>
          <w:rFonts w:ascii="Arial" w:cs="Arial" w:eastAsia="Arial" w:hAnsi="Arial"/>
          <w:sz w:val="15"/>
          <w:szCs w:val="15"/>
          <w:i w:val="1"/>
          <w:iCs w:val="1"/>
          <w:color w:val="auto"/>
        </w:rPr>
        <w:t xml:space="preserve"> </w:t>
      </w:r>
      <w:r>
        <w:rPr>
          <w:rFonts w:ascii="Arial" w:cs="Arial" w:eastAsia="Arial" w:hAnsi="Arial"/>
          <w:sz w:val="15"/>
          <w:szCs w:val="15"/>
          <w:color w:val="auto"/>
        </w:rPr>
        <w:t>and with the participation of our management, including our Co-Chief Executive Officers and Chief Financial Officer, of the effectiveness of the design and operation of our disclosure controls and procedures (as defined in Rule 13a-15 under the Securities Exchange Act of 1934). Based on that evaluation, our Co-Chief Executive Officers and Chief Financial Officer have concluded that our current disclosure controls and procedures are effective in timely alerting them to material information relating to us that is required to be disclosed by us in the reports we file or submit under the Securities Exchange Act of 1934.</w:t>
      </w:r>
    </w:p>
    <w:p>
      <w:pPr>
        <w:spacing w:after="0" w:line="10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i w:val="1"/>
          <w:iCs w:val="1"/>
          <w:color w:val="auto"/>
        </w:rPr>
        <w:t>Changes in Internal Control over Financial Reporting</w:t>
      </w:r>
      <w:r>
        <w:rPr>
          <w:rFonts w:ascii="Arial" w:cs="Arial" w:eastAsia="Arial" w:hAnsi="Arial"/>
          <w:sz w:val="16"/>
          <w:szCs w:val="16"/>
          <w:color w:val="auto"/>
        </w:rPr>
        <w:t>. There have been no changes in our internal control over financial reporting that occurred during our</w:t>
      </w:r>
      <w:r>
        <w:rPr>
          <w:rFonts w:ascii="Arial" w:cs="Arial" w:eastAsia="Arial" w:hAnsi="Arial"/>
          <w:sz w:val="16"/>
          <w:szCs w:val="16"/>
          <w:i w:val="1"/>
          <w:iCs w:val="1"/>
          <w:color w:val="auto"/>
        </w:rPr>
        <w:t xml:space="preserve"> </w:t>
      </w:r>
      <w:r>
        <w:rPr>
          <w:rFonts w:ascii="Arial" w:cs="Arial" w:eastAsia="Arial" w:hAnsi="Arial"/>
          <w:sz w:val="16"/>
          <w:szCs w:val="16"/>
          <w:color w:val="auto"/>
        </w:rPr>
        <w:t>most recently completed fiscal quarter that have materially affected, or are reasonably likely to materially affect, our internal control over financial reporting.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addition to the other information set forth in this report, you should carefully consider the risk factors discussed in Part I, “Item 1A. Risk Factors” in our Annual Report on Form 10-K for the fiscal year ended December 31, 2013 and the risk factor set forth below, which could materially affect our business, financial condition and/or operating results. These risks are not the only risks facing our Company. Additional risks and uncertainties not currently known to us or that we currently deem to be immaterial also may materially and adversely affect our business, financial condition and/or operating results.</w:t>
      </w:r>
    </w:p>
    <w:p>
      <w:pPr>
        <w:spacing w:after="0" w:line="194"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b w:val="1"/>
          <w:bCs w:val="1"/>
          <w:i w:val="1"/>
          <w:iCs w:val="1"/>
          <w:color w:val="auto"/>
        </w:rPr>
        <w:t>Purchases of our common stock by us and the Adviser under the Company 10b5-1 Plan and the Adviser 10b5-1 Plan, respectively, may result in the price of our common stock being higher than the price that otherwise might exist in the open market.</w:t>
      </w:r>
    </w:p>
    <w:p>
      <w:pPr>
        <w:spacing w:after="0" w:line="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Adviser has entered into the Adviser 10b5-1 Plan under which Goldman, Sachs &amp; Co., as agent for the Adviser, will buy up to $25 million of our common stock in the aggregate during the period beginning April 24, 2014 and ending on the earlier of the date on which all the capital committed to the plan has been exhausted or December 31, 2014.</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November 3, 2014, our Board of Directors authorized us to enter into the Company 10b5-1 Plan, under which an agent for us will buy up to $50 million of our common stock in the aggregate during the period ending on the earlier of the date on which all the capital committed to the plan has been exhausted or May 4, 2015.</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Whether purchases will be made under the Company 10b5-1 Plan or the Adviser 10b5-1 Plan and how much will be purchased at any time is uncertain, dependent on prevailing market prices and trading volumes, all of which we cannot predict. These activities may have the effect of maintaining the market price of our common stock or retarding a decline in the market price of the common stock, and, as a result, the price of our common stock may be higher than the price that otherwise might exist in the open market.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459" w:right="239" w:bottom="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459" w:right="239" w:bottom="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jc w:val="center"/>
        <w:ind w:right="9200"/>
        <w:spacing w:after="0"/>
        <w:rPr>
          <w:sz w:val="20"/>
          <w:szCs w:val="20"/>
          <w:color w:val="auto"/>
        </w:rPr>
      </w:pPr>
      <w:r>
        <w:rPr>
          <w:rFonts w:ascii="Arial" w:cs="Arial" w:eastAsia="Arial" w:hAnsi="Arial"/>
          <w:sz w:val="16"/>
          <w:szCs w:val="16"/>
          <w:b w:val="1"/>
          <w:bCs w:val="1"/>
          <w:color w:val="auto"/>
        </w:rPr>
        <w:t>Item 5. Other Information.</w:t>
      </w:r>
    </w:p>
    <w:p>
      <w:pPr>
        <w:spacing w:after="0" w:line="119" w:lineRule="exact"/>
        <w:rPr>
          <w:sz w:val="20"/>
          <w:szCs w:val="20"/>
          <w:color w:val="auto"/>
        </w:rPr>
      </w:pPr>
    </w:p>
    <w:p>
      <w:pPr>
        <w:jc w:val="center"/>
        <w:ind w:right="924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0"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1100" w:type="dxa"/>
            <w:vAlign w:val="bottom"/>
          </w:tcPr>
          <w:p>
            <w:pPr>
              <w:jc w:val="right"/>
              <w:ind w:right="92"/>
              <w:spacing w:after="0"/>
              <w:rPr>
                <w:sz w:val="20"/>
                <w:szCs w:val="20"/>
                <w:color w:val="auto"/>
              </w:rPr>
            </w:pPr>
            <w:r>
              <w:rPr>
                <w:rFonts w:ascii="Arial" w:cs="Arial" w:eastAsia="Arial" w:hAnsi="Arial"/>
                <w:sz w:val="18"/>
                <w:szCs w:val="18"/>
                <w:b w:val="1"/>
                <w:bCs w:val="1"/>
                <w:color w:val="auto"/>
                <w:w w:val="88"/>
              </w:rPr>
              <w:t>(a) Exhibits.</w:t>
            </w:r>
          </w:p>
        </w:tc>
        <w:tc>
          <w:tcPr>
            <w:tcW w:w="9680" w:type="dxa"/>
            <w:vAlign w:val="bottom"/>
          </w:tcPr>
          <w:p>
            <w:pPr>
              <w:spacing w:after="0"/>
              <w:rPr>
                <w:sz w:val="19"/>
                <w:szCs w:val="19"/>
                <w:color w:val="auto"/>
              </w:rPr>
            </w:pPr>
          </w:p>
        </w:tc>
      </w:tr>
      <w:tr>
        <w:trPr>
          <w:trHeight w:val="412"/>
        </w:trPr>
        <w:tc>
          <w:tcPr>
            <w:tcW w:w="1100" w:type="dxa"/>
            <w:vAlign w:val="bottom"/>
          </w:tcPr>
          <w:p>
            <w:pPr>
              <w:jc w:val="right"/>
              <w:ind w:right="372"/>
              <w:spacing w:after="0"/>
              <w:rPr>
                <w:sz w:val="20"/>
                <w:szCs w:val="20"/>
                <w:color w:val="auto"/>
              </w:rPr>
            </w:pPr>
            <w:r>
              <w:rPr>
                <w:rFonts w:ascii="Arial" w:cs="Arial" w:eastAsia="Arial" w:hAnsi="Arial"/>
                <w:sz w:val="18"/>
                <w:szCs w:val="18"/>
                <w:color w:val="auto"/>
              </w:rPr>
              <w:t>10.1</w:t>
            </w:r>
          </w:p>
        </w:tc>
        <w:tc>
          <w:tcPr>
            <w:tcW w:w="9680" w:type="dxa"/>
            <w:vAlign w:val="bottom"/>
          </w:tcPr>
          <w:p>
            <w:pPr>
              <w:ind w:left="160"/>
              <w:spacing w:after="0"/>
              <w:rPr>
                <w:sz w:val="20"/>
                <w:szCs w:val="20"/>
                <w:color w:val="auto"/>
              </w:rPr>
            </w:pPr>
            <w:r>
              <w:rPr>
                <w:rFonts w:ascii="Arial" w:cs="Arial" w:eastAsia="Arial" w:hAnsi="Arial"/>
                <w:sz w:val="18"/>
                <w:szCs w:val="18"/>
                <w:color w:val="auto"/>
                <w:w w:val="88"/>
              </w:rPr>
              <w:t>Third Amendment to the Second Amended and Restated Senior Secured Revolving Credit Agreement, dated October 17, 2014, among</w:t>
            </w:r>
          </w:p>
        </w:tc>
      </w:tr>
      <w:tr>
        <w:trPr>
          <w:trHeight w:val="222"/>
        </w:trPr>
        <w:tc>
          <w:tcPr>
            <w:tcW w:w="1100" w:type="dxa"/>
            <w:vAlign w:val="bottom"/>
          </w:tcPr>
          <w:p>
            <w:pPr>
              <w:spacing w:after="0"/>
              <w:rPr>
                <w:sz w:val="19"/>
                <w:szCs w:val="19"/>
                <w:color w:val="auto"/>
              </w:rPr>
            </w:pPr>
          </w:p>
        </w:tc>
        <w:tc>
          <w:tcPr>
            <w:tcW w:w="9680" w:type="dxa"/>
            <w:vAlign w:val="bottom"/>
          </w:tcPr>
          <w:p>
            <w:pPr>
              <w:ind w:left="160"/>
              <w:spacing w:after="0"/>
              <w:rPr>
                <w:sz w:val="20"/>
                <w:szCs w:val="20"/>
                <w:color w:val="auto"/>
              </w:rPr>
            </w:pPr>
            <w:r>
              <w:rPr>
                <w:rFonts w:ascii="Arial" w:cs="Arial" w:eastAsia="Arial" w:hAnsi="Arial"/>
                <w:sz w:val="18"/>
                <w:szCs w:val="18"/>
                <w:color w:val="auto"/>
              </w:rPr>
              <w:t>TPG Specialty Lending, Inc., as Borrower, the Lenders party thereto and SunTrust Bank, as Administrative Agent</w:t>
            </w:r>
          </w:p>
        </w:tc>
      </w:tr>
      <w:tr>
        <w:trPr>
          <w:trHeight w:val="318"/>
        </w:trPr>
        <w:tc>
          <w:tcPr>
            <w:tcW w:w="1100" w:type="dxa"/>
            <w:vAlign w:val="bottom"/>
          </w:tcPr>
          <w:p>
            <w:pPr>
              <w:jc w:val="right"/>
              <w:ind w:right="372"/>
              <w:spacing w:after="0"/>
              <w:rPr>
                <w:sz w:val="20"/>
                <w:szCs w:val="20"/>
                <w:color w:val="auto"/>
              </w:rPr>
            </w:pPr>
            <w:r>
              <w:rPr>
                <w:rFonts w:ascii="Arial" w:cs="Arial" w:eastAsia="Arial" w:hAnsi="Arial"/>
                <w:sz w:val="18"/>
                <w:szCs w:val="18"/>
                <w:color w:val="auto"/>
              </w:rPr>
              <w:t>31.1</w:t>
            </w:r>
          </w:p>
        </w:tc>
        <w:tc>
          <w:tcPr>
            <w:tcW w:w="9680" w:type="dxa"/>
            <w:vAlign w:val="bottom"/>
          </w:tcPr>
          <w:p>
            <w:pPr>
              <w:ind w:left="160"/>
              <w:spacing w:after="0"/>
              <w:rPr>
                <w:sz w:val="20"/>
                <w:szCs w:val="20"/>
                <w:color w:val="auto"/>
              </w:rPr>
            </w:pPr>
            <w:r>
              <w:rPr>
                <w:rFonts w:ascii="Arial" w:cs="Arial" w:eastAsia="Arial" w:hAnsi="Arial"/>
                <w:sz w:val="18"/>
                <w:szCs w:val="18"/>
                <w:color w:val="auto"/>
                <w:w w:val="89"/>
              </w:rPr>
              <w:t>Certification of Co-Chief Executive Officer Pursuant to 18 U.S.C. Section 1350, as Adopted Pursuant to Section 302 of the Sarbanes-</w:t>
            </w:r>
          </w:p>
        </w:tc>
      </w:tr>
      <w:tr>
        <w:trPr>
          <w:trHeight w:val="222"/>
        </w:trPr>
        <w:tc>
          <w:tcPr>
            <w:tcW w:w="1100" w:type="dxa"/>
            <w:vAlign w:val="bottom"/>
          </w:tcPr>
          <w:p>
            <w:pPr>
              <w:spacing w:after="0"/>
              <w:rPr>
                <w:sz w:val="19"/>
                <w:szCs w:val="19"/>
                <w:color w:val="auto"/>
              </w:rPr>
            </w:pPr>
          </w:p>
        </w:tc>
        <w:tc>
          <w:tcPr>
            <w:tcW w:w="9680" w:type="dxa"/>
            <w:vAlign w:val="bottom"/>
          </w:tcPr>
          <w:p>
            <w:pPr>
              <w:ind w:left="160"/>
              <w:spacing w:after="0"/>
              <w:rPr>
                <w:sz w:val="20"/>
                <w:szCs w:val="20"/>
                <w:color w:val="auto"/>
              </w:rPr>
            </w:pPr>
            <w:r>
              <w:rPr>
                <w:rFonts w:ascii="Arial" w:cs="Arial" w:eastAsia="Arial" w:hAnsi="Arial"/>
                <w:sz w:val="18"/>
                <w:szCs w:val="18"/>
                <w:color w:val="auto"/>
              </w:rPr>
              <w:t>Oxley Act of 2002</w:t>
            </w:r>
          </w:p>
        </w:tc>
      </w:tr>
      <w:tr>
        <w:trPr>
          <w:trHeight w:val="318"/>
        </w:trPr>
        <w:tc>
          <w:tcPr>
            <w:tcW w:w="1100" w:type="dxa"/>
            <w:vAlign w:val="bottom"/>
          </w:tcPr>
          <w:p>
            <w:pPr>
              <w:jc w:val="right"/>
              <w:ind w:right="372"/>
              <w:spacing w:after="0"/>
              <w:rPr>
                <w:sz w:val="20"/>
                <w:szCs w:val="20"/>
                <w:color w:val="auto"/>
              </w:rPr>
            </w:pPr>
            <w:r>
              <w:rPr>
                <w:rFonts w:ascii="Arial" w:cs="Arial" w:eastAsia="Arial" w:hAnsi="Arial"/>
                <w:sz w:val="18"/>
                <w:szCs w:val="18"/>
                <w:color w:val="auto"/>
              </w:rPr>
              <w:t>31.2</w:t>
            </w:r>
          </w:p>
        </w:tc>
        <w:tc>
          <w:tcPr>
            <w:tcW w:w="9680" w:type="dxa"/>
            <w:vAlign w:val="bottom"/>
          </w:tcPr>
          <w:p>
            <w:pPr>
              <w:ind w:left="160"/>
              <w:spacing w:after="0"/>
              <w:rPr>
                <w:sz w:val="20"/>
                <w:szCs w:val="20"/>
                <w:color w:val="auto"/>
              </w:rPr>
            </w:pPr>
            <w:r>
              <w:rPr>
                <w:rFonts w:ascii="Arial" w:cs="Arial" w:eastAsia="Arial" w:hAnsi="Arial"/>
                <w:sz w:val="18"/>
                <w:szCs w:val="18"/>
                <w:color w:val="auto"/>
                <w:w w:val="89"/>
              </w:rPr>
              <w:t>Certification of Co-Chief Executive Officer Pursuant to 18 U.S.C. Section 1350, as Adopted Pursuant to Section 302 of the Sarbanes-</w:t>
            </w:r>
          </w:p>
        </w:tc>
      </w:tr>
      <w:tr>
        <w:trPr>
          <w:trHeight w:val="222"/>
        </w:trPr>
        <w:tc>
          <w:tcPr>
            <w:tcW w:w="1100" w:type="dxa"/>
            <w:vAlign w:val="bottom"/>
          </w:tcPr>
          <w:p>
            <w:pPr>
              <w:spacing w:after="0"/>
              <w:rPr>
                <w:sz w:val="19"/>
                <w:szCs w:val="19"/>
                <w:color w:val="auto"/>
              </w:rPr>
            </w:pPr>
          </w:p>
        </w:tc>
        <w:tc>
          <w:tcPr>
            <w:tcW w:w="9680" w:type="dxa"/>
            <w:vAlign w:val="bottom"/>
          </w:tcPr>
          <w:p>
            <w:pPr>
              <w:ind w:left="160"/>
              <w:spacing w:after="0"/>
              <w:rPr>
                <w:sz w:val="20"/>
                <w:szCs w:val="20"/>
                <w:color w:val="auto"/>
              </w:rPr>
            </w:pPr>
            <w:r>
              <w:rPr>
                <w:rFonts w:ascii="Arial" w:cs="Arial" w:eastAsia="Arial" w:hAnsi="Arial"/>
                <w:sz w:val="18"/>
                <w:szCs w:val="18"/>
                <w:color w:val="auto"/>
              </w:rPr>
              <w:t>Oxley Act of 2002</w:t>
            </w:r>
          </w:p>
        </w:tc>
      </w:tr>
      <w:tr>
        <w:trPr>
          <w:trHeight w:val="318"/>
        </w:trPr>
        <w:tc>
          <w:tcPr>
            <w:tcW w:w="1100" w:type="dxa"/>
            <w:vAlign w:val="bottom"/>
          </w:tcPr>
          <w:p>
            <w:pPr>
              <w:jc w:val="right"/>
              <w:ind w:right="372"/>
              <w:spacing w:after="0"/>
              <w:rPr>
                <w:sz w:val="20"/>
                <w:szCs w:val="20"/>
                <w:color w:val="auto"/>
              </w:rPr>
            </w:pPr>
            <w:r>
              <w:rPr>
                <w:rFonts w:ascii="Arial" w:cs="Arial" w:eastAsia="Arial" w:hAnsi="Arial"/>
                <w:sz w:val="18"/>
                <w:szCs w:val="18"/>
                <w:color w:val="auto"/>
              </w:rPr>
              <w:t>31.3</w:t>
            </w:r>
          </w:p>
        </w:tc>
        <w:tc>
          <w:tcPr>
            <w:tcW w:w="9680" w:type="dxa"/>
            <w:vAlign w:val="bottom"/>
          </w:tcPr>
          <w:p>
            <w:pPr>
              <w:ind w:left="160"/>
              <w:spacing w:after="0"/>
              <w:rPr>
                <w:sz w:val="20"/>
                <w:szCs w:val="20"/>
                <w:color w:val="auto"/>
              </w:rPr>
            </w:pPr>
            <w:r>
              <w:rPr>
                <w:rFonts w:ascii="Arial" w:cs="Arial" w:eastAsia="Arial" w:hAnsi="Arial"/>
                <w:sz w:val="18"/>
                <w:szCs w:val="18"/>
                <w:color w:val="auto"/>
                <w:w w:val="88"/>
              </w:rPr>
              <w:t>Certification of Chief Financial Officer Pursuant to 18 U.S.C. Section 1350, as Adopted Pursuant to Section 302 of the Sarbanes-Oxley</w:t>
            </w:r>
          </w:p>
        </w:tc>
      </w:tr>
      <w:tr>
        <w:trPr>
          <w:trHeight w:val="222"/>
        </w:trPr>
        <w:tc>
          <w:tcPr>
            <w:tcW w:w="1100" w:type="dxa"/>
            <w:vAlign w:val="bottom"/>
          </w:tcPr>
          <w:p>
            <w:pPr>
              <w:spacing w:after="0"/>
              <w:rPr>
                <w:sz w:val="19"/>
                <w:szCs w:val="19"/>
                <w:color w:val="auto"/>
              </w:rPr>
            </w:pPr>
          </w:p>
        </w:tc>
        <w:tc>
          <w:tcPr>
            <w:tcW w:w="9680" w:type="dxa"/>
            <w:vAlign w:val="bottom"/>
          </w:tcPr>
          <w:p>
            <w:pPr>
              <w:ind w:left="160"/>
              <w:spacing w:after="0"/>
              <w:rPr>
                <w:sz w:val="20"/>
                <w:szCs w:val="20"/>
                <w:color w:val="auto"/>
              </w:rPr>
            </w:pPr>
            <w:r>
              <w:rPr>
                <w:rFonts w:ascii="Arial" w:cs="Arial" w:eastAsia="Arial" w:hAnsi="Arial"/>
                <w:sz w:val="18"/>
                <w:szCs w:val="18"/>
                <w:color w:val="auto"/>
              </w:rPr>
              <w:t>Act of 2002</w:t>
            </w:r>
          </w:p>
        </w:tc>
      </w:tr>
    </w:tbl>
    <w:p>
      <w:pPr>
        <w:spacing w:after="0" w:line="102" w:lineRule="exact"/>
        <w:rPr>
          <w:sz w:val="20"/>
          <w:szCs w:val="20"/>
          <w:color w:val="auto"/>
        </w:rPr>
      </w:pPr>
    </w:p>
    <w:p>
      <w:pPr>
        <w:ind w:left="1720" w:right="120" w:hanging="922"/>
        <w:spacing w:after="0" w:line="268" w:lineRule="auto"/>
        <w:tabs>
          <w:tab w:leader="none" w:pos="1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Certification of CEO and CFO Pursuant to 18 U.S.C. Section 1350, as Adopted Pursuant to Section 906 of the Sarbanes-Oxley Act of 2002</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240" w:top="459" w:right="4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80" w:type="dxa"/>
            <w:vAlign w:val="bottom"/>
          </w:tcPr>
          <w:p>
            <w:pPr>
              <w:spacing w:after="0"/>
              <w:rPr>
                <w:sz w:val="19"/>
                <w:szCs w:val="19"/>
                <w:color w:val="auto"/>
              </w:rPr>
            </w:pPr>
          </w:p>
        </w:tc>
        <w:tc>
          <w:tcPr>
            <w:tcW w:w="7740" w:type="dxa"/>
            <w:vAlign w:val="bottom"/>
            <w:gridSpan w:val="2"/>
          </w:tcPr>
          <w:p>
            <w:pPr>
              <w:ind w:left="2240"/>
              <w:spacing w:after="0"/>
              <w:rPr>
                <w:sz w:val="20"/>
                <w:szCs w:val="20"/>
                <w:color w:val="auto"/>
              </w:rPr>
            </w:pPr>
            <w:r>
              <w:rPr>
                <w:rFonts w:ascii="Arial" w:cs="Arial" w:eastAsia="Arial" w:hAnsi="Arial"/>
                <w:sz w:val="18"/>
                <w:szCs w:val="18"/>
                <w:color w:val="auto"/>
              </w:rPr>
              <w:t>TPG SPECIALTY LENDING, INC.</w:t>
            </w:r>
          </w:p>
        </w:tc>
      </w:tr>
      <w:tr>
        <w:trPr>
          <w:trHeight w:val="433"/>
        </w:trPr>
        <w:tc>
          <w:tcPr>
            <w:tcW w:w="3680" w:type="dxa"/>
            <w:vAlign w:val="bottom"/>
          </w:tcPr>
          <w:p>
            <w:pPr>
              <w:spacing w:after="0"/>
              <w:rPr>
                <w:sz w:val="20"/>
                <w:szCs w:val="20"/>
                <w:color w:val="auto"/>
              </w:rPr>
            </w:pPr>
            <w:r>
              <w:rPr>
                <w:rFonts w:ascii="Arial" w:cs="Arial" w:eastAsia="Arial" w:hAnsi="Arial"/>
                <w:sz w:val="18"/>
                <w:szCs w:val="18"/>
                <w:color w:val="auto"/>
              </w:rPr>
              <w:t>Date: November 3, 2014</w:t>
            </w:r>
          </w:p>
        </w:tc>
        <w:tc>
          <w:tcPr>
            <w:tcW w:w="7740" w:type="dxa"/>
            <w:vAlign w:val="bottom"/>
            <w:gridSpan w:val="2"/>
          </w:tcPr>
          <w:p>
            <w:pPr>
              <w:ind w:left="2240"/>
              <w:spacing w:after="0"/>
              <w:rPr>
                <w:sz w:val="20"/>
                <w:szCs w:val="20"/>
                <w:color w:val="auto"/>
              </w:rPr>
            </w:pPr>
            <w:r>
              <w:rPr>
                <w:rFonts w:ascii="Arial" w:cs="Arial" w:eastAsia="Arial" w:hAnsi="Arial"/>
                <w:sz w:val="18"/>
                <w:szCs w:val="18"/>
                <w:color w:val="auto"/>
              </w:rPr>
              <w:t>By: /s/ Joshua Easterly</w:t>
            </w:r>
          </w:p>
        </w:tc>
      </w:tr>
      <w:tr>
        <w:trPr>
          <w:trHeight w:val="202"/>
        </w:trPr>
        <w:tc>
          <w:tcPr>
            <w:tcW w:w="36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Joshua Easterly</w:t>
            </w:r>
          </w:p>
        </w:tc>
      </w:tr>
      <w:tr>
        <w:trPr>
          <w:trHeight w:val="222"/>
        </w:trPr>
        <w:tc>
          <w:tcPr>
            <w:tcW w:w="36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Co-Chief Executive Officer</w:t>
            </w:r>
          </w:p>
        </w:tc>
      </w:tr>
      <w:tr>
        <w:trPr>
          <w:trHeight w:val="433"/>
        </w:trPr>
        <w:tc>
          <w:tcPr>
            <w:tcW w:w="3680" w:type="dxa"/>
            <w:vAlign w:val="bottom"/>
          </w:tcPr>
          <w:p>
            <w:pPr>
              <w:spacing w:after="0"/>
              <w:rPr>
                <w:sz w:val="20"/>
                <w:szCs w:val="20"/>
                <w:color w:val="auto"/>
              </w:rPr>
            </w:pPr>
            <w:r>
              <w:rPr>
                <w:rFonts w:ascii="Arial" w:cs="Arial" w:eastAsia="Arial" w:hAnsi="Arial"/>
                <w:sz w:val="18"/>
                <w:szCs w:val="18"/>
                <w:color w:val="auto"/>
              </w:rPr>
              <w:t>Date: November 3, 2014</w:t>
            </w:r>
          </w:p>
        </w:tc>
        <w:tc>
          <w:tcPr>
            <w:tcW w:w="7740" w:type="dxa"/>
            <w:vAlign w:val="bottom"/>
            <w:gridSpan w:val="2"/>
          </w:tcPr>
          <w:p>
            <w:pPr>
              <w:ind w:left="2240"/>
              <w:spacing w:after="0"/>
              <w:rPr>
                <w:sz w:val="20"/>
                <w:szCs w:val="20"/>
                <w:color w:val="auto"/>
              </w:rPr>
            </w:pPr>
            <w:r>
              <w:rPr>
                <w:rFonts w:ascii="Arial" w:cs="Arial" w:eastAsia="Arial" w:hAnsi="Arial"/>
                <w:sz w:val="18"/>
                <w:szCs w:val="18"/>
                <w:color w:val="auto"/>
              </w:rPr>
              <w:t>By: /s/ Michael Fishman</w:t>
            </w:r>
          </w:p>
        </w:tc>
      </w:tr>
      <w:tr>
        <w:trPr>
          <w:trHeight w:val="202"/>
        </w:trPr>
        <w:tc>
          <w:tcPr>
            <w:tcW w:w="36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Michael Fishman</w:t>
            </w:r>
          </w:p>
        </w:tc>
      </w:tr>
      <w:tr>
        <w:trPr>
          <w:trHeight w:val="222"/>
        </w:trPr>
        <w:tc>
          <w:tcPr>
            <w:tcW w:w="36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Co-Chief Executive Officer</w:t>
            </w:r>
          </w:p>
        </w:tc>
      </w:tr>
      <w:tr>
        <w:trPr>
          <w:trHeight w:val="433"/>
        </w:trPr>
        <w:tc>
          <w:tcPr>
            <w:tcW w:w="3680" w:type="dxa"/>
            <w:vAlign w:val="bottom"/>
          </w:tcPr>
          <w:p>
            <w:pPr>
              <w:spacing w:after="0"/>
              <w:rPr>
                <w:sz w:val="20"/>
                <w:szCs w:val="20"/>
                <w:color w:val="auto"/>
              </w:rPr>
            </w:pPr>
            <w:r>
              <w:rPr>
                <w:rFonts w:ascii="Arial" w:cs="Arial" w:eastAsia="Arial" w:hAnsi="Arial"/>
                <w:sz w:val="18"/>
                <w:szCs w:val="18"/>
                <w:color w:val="auto"/>
              </w:rPr>
              <w:t>Date: November 3, 2014</w:t>
            </w:r>
          </w:p>
        </w:tc>
        <w:tc>
          <w:tcPr>
            <w:tcW w:w="7740" w:type="dxa"/>
            <w:vAlign w:val="bottom"/>
            <w:gridSpan w:val="2"/>
          </w:tcPr>
          <w:p>
            <w:pPr>
              <w:ind w:left="2240"/>
              <w:spacing w:after="0"/>
              <w:rPr>
                <w:sz w:val="20"/>
                <w:szCs w:val="20"/>
                <w:color w:val="auto"/>
              </w:rPr>
            </w:pPr>
            <w:r>
              <w:rPr>
                <w:rFonts w:ascii="Arial" w:cs="Arial" w:eastAsia="Arial" w:hAnsi="Arial"/>
                <w:sz w:val="18"/>
                <w:szCs w:val="18"/>
                <w:color w:val="auto"/>
              </w:rPr>
              <w:t>By: /s/ Alan Kirshenbaum</w:t>
            </w:r>
          </w:p>
        </w:tc>
      </w:tr>
      <w:tr>
        <w:trPr>
          <w:trHeight w:val="202"/>
        </w:trPr>
        <w:tc>
          <w:tcPr>
            <w:tcW w:w="36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Alan Kirshenbaum</w:t>
            </w:r>
          </w:p>
        </w:tc>
      </w:tr>
      <w:tr>
        <w:trPr>
          <w:trHeight w:val="222"/>
        </w:trPr>
        <w:tc>
          <w:tcPr>
            <w:tcW w:w="36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365"/>
        </w:trPr>
        <w:tc>
          <w:tcPr>
            <w:tcW w:w="3680" w:type="dxa"/>
            <w:vAlign w:val="bottom"/>
          </w:tcPr>
          <w:p>
            <w:pPr>
              <w:spacing w:after="0"/>
              <w:rPr>
                <w:sz w:val="24"/>
                <w:szCs w:val="24"/>
                <w:color w:val="auto"/>
              </w:rPr>
            </w:pPr>
          </w:p>
        </w:tc>
        <w:tc>
          <w:tcPr>
            <w:tcW w:w="2500" w:type="dxa"/>
            <w:vAlign w:val="bottom"/>
          </w:tcPr>
          <w:p>
            <w:pPr>
              <w:ind w:left="1940"/>
              <w:spacing w:after="0"/>
              <w:rPr>
                <w:sz w:val="20"/>
                <w:szCs w:val="20"/>
                <w:color w:val="auto"/>
              </w:rPr>
            </w:pPr>
            <w:r>
              <w:rPr>
                <w:rFonts w:ascii="Arial" w:cs="Arial" w:eastAsia="Arial" w:hAnsi="Arial"/>
                <w:sz w:val="18"/>
                <w:szCs w:val="18"/>
                <w:color w:val="auto"/>
              </w:rPr>
              <w:t>58</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AMENDMENT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SECOND AMENDED AND RESTATED SENIOR SECURED REVOLVING CREDIT AGREEMENT</w:t>
      </w:r>
    </w:p>
    <w:p>
      <w:pPr>
        <w:spacing w:after="0" w:line="21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THIS THIRD AMENDMENT TO SECOND AMENDED AND RESTATED SENIOR SECURED REVOLVING CREDIT AGREEMENT, dated as of October 17, 2014 (this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to the Existing Credit Agreement (capitalized terms used herein and not otherwise defined shall have the meanings given to such terms in </w:t>
      </w:r>
      <w:r>
        <w:rPr>
          <w:rFonts w:ascii="Arial" w:cs="Arial" w:eastAsia="Arial" w:hAnsi="Arial"/>
          <w:sz w:val="18"/>
          <w:szCs w:val="18"/>
          <w:u w:val="single" w:color="auto"/>
          <w:color w:val="auto"/>
        </w:rPr>
        <w:t>Article I</w:t>
      </w:r>
      <w:r>
        <w:rPr>
          <w:rFonts w:ascii="Arial" w:cs="Arial" w:eastAsia="Arial" w:hAnsi="Arial"/>
          <w:sz w:val="18"/>
          <w:szCs w:val="18"/>
          <w:color w:val="auto"/>
        </w:rPr>
        <w:t>) is among TPG SPECIALTY LENDING,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party hereto and SUNTRUST BANK, as Administrative Agent.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225"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WHEREAS, the Borrower, the Lenders and the Administrative Agent are parties to the Second Amended and Restated Senior Secured Revolving Credit Agreement, dated as of February 27, 2014 (as amended by the First Amendment to Second Amended and Restated Senior Secured Revolving Credit Agreement, dated as of June 3, 2014 and by the Second Amendment to Second Amended and Restated Senior Secured Revolving Credit Agreement, dated as of June 27, 2014 (the “</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and by this Amendment and as the same may be further amended, supplemented, amended and restated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and</w:t>
      </w:r>
    </w:p>
    <w:p>
      <w:pPr>
        <w:spacing w:after="0" w:line="18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WHEREAS, the Borrower has requested that the Lenders agree to amend the Existing Credit Agreement, and the Lenders are willing, on the terms and subject to the conditions hereinafter set forth, to agree to the amendment set forth below and the other terms hereof;</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the parties hereto hereby covenant and agree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The following terms when used in this Amendment shall have the following meanings (such meanings to be equally applicable to the singular and plural forms thereof):</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first recital</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first recital</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Bank Prepayment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ectPr>
          <w:pgSz w:w="11900" w:h="16838" w:orient="portrait"/>
          <w:cols w:equalWidth="0" w:num="1">
            <w:col w:w="11420"/>
          </w:cols>
          <w:pgMar w:left="240" w:top="121" w:right="239" w:bottom="1440" w:gutter="0" w:footer="0" w:header="0"/>
        </w:sectPr>
      </w:pPr>
    </w:p>
    <w:bookmarkStart w:id="62" w:name="page63"/>
    <w:bookmarkEnd w:id="6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Third Amendment Effective Date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Other Definitions</w:t>
      </w:r>
      <w:r>
        <w:rPr>
          <w:rFonts w:ascii="Arial" w:cs="Arial" w:eastAsia="Arial" w:hAnsi="Arial"/>
          <w:sz w:val="18"/>
          <w:szCs w:val="18"/>
          <w:color w:val="auto"/>
        </w:rPr>
        <w:t>. Capitalized terms for which meanings are provided in the Existing Credit Agreement are, unless otherwise defined herein or the context otherwise requires, used in this Amendment with such meanings.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AMENDMENT TO EXISTING CREDIT AGREEMENT</w:t>
      </w:r>
    </w:p>
    <w:p>
      <w:pPr>
        <w:spacing w:after="0" w:line="22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 xml:space="preserve">Subject to the occurrence of the Third Amendment Effective Date (as hereinafter defined), the Existing Credit Agreement is amended in accordance with this </w:t>
      </w:r>
      <w:r>
        <w:rPr>
          <w:rFonts w:ascii="Arial" w:cs="Arial" w:eastAsia="Arial" w:hAnsi="Arial"/>
          <w:sz w:val="18"/>
          <w:szCs w:val="18"/>
          <w:u w:val="single" w:color="auto"/>
          <w:color w:val="auto"/>
        </w:rPr>
        <w:t>Article II</w:t>
      </w:r>
      <w:r>
        <w:rPr>
          <w:rFonts w:ascii="Arial" w:cs="Arial" w:eastAsia="Arial" w:hAnsi="Arial"/>
          <w:sz w:val="18"/>
          <w:szCs w:val="18"/>
          <w:color w:val="auto"/>
        </w:rPr>
        <w: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Existing Credit Agreement is hereby amended in its entirety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CONDITIONS TO EFFECTIVENESS</w:t>
      </w:r>
    </w:p>
    <w:p>
      <w:pPr>
        <w:spacing w:after="0" w:line="22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Effective Date</w:t>
      </w:r>
      <w:r>
        <w:rPr>
          <w:rFonts w:ascii="Arial" w:cs="Arial" w:eastAsia="Arial" w:hAnsi="Arial"/>
          <w:sz w:val="16"/>
          <w:szCs w:val="16"/>
          <w:color w:val="auto"/>
        </w:rPr>
        <w:t>. This Amendment shall become effective on the date (the “</w:t>
      </w:r>
      <w:r>
        <w:rPr>
          <w:rFonts w:ascii="Arial" w:cs="Arial" w:eastAsia="Arial" w:hAnsi="Arial"/>
          <w:sz w:val="16"/>
          <w:szCs w:val="16"/>
          <w:u w:val="single" w:color="auto"/>
          <w:color w:val="auto"/>
        </w:rPr>
        <w:t>Third Amendment Effective Date</w:t>
      </w:r>
      <w:r>
        <w:rPr>
          <w:rFonts w:ascii="Arial" w:cs="Arial" w:eastAsia="Arial" w:hAnsi="Arial"/>
          <w:sz w:val="16"/>
          <w:szCs w:val="16"/>
          <w:color w:val="auto"/>
        </w:rPr>
        <w:t>”) when (a) the Administrative Agent shall have received (i) counterparts of this Amendment duly executed and delivered on behalf of the Borrower and each of the Lenders party hereto, (ii) a favorable written opinion (addressed to the Administrative Agent and the Lenders and dated as of the date hereof) of (A) Cleary Gottlieb Steen &amp; Hamilton LLP, New York counsel for the Borrower, and (B) Young Conaway Stargatt &amp; Taylor, LLP, Delaware counsel for the Borrower, in each case, in form and substance reasonably acceptable to the Administrative Agent (and the Borrower hereby instructs such counsel to deliver such opinions to the Lenders and the Administrative Agent), (iii) such documents and certificates as the Administrative Agent or its counsel may reasonably request relating to the organization, existence and good standing of the Borrower, the authorization of this Amendment and any other legal matters relating to the Borrower, this Amendment, all in form and substance satisfactory to the Administrative Agent and its counsel and (iv) for the benefit of Administrative Agent and each of the Lenders, as applicable, fees and expenses owing by the Borrower in connection with this Amendment as of the date hereof and (b) Patriot Bank, in its capacity as a Lender under the Existing Credit Agreement, shall have received payment in full of its Revolving Credit Exposure, along with any interest and fees on its Revolving Credit Exposure or Commitment, as applicable, in each case accrued and unpaid as of the date hereof (the “</w:t>
      </w:r>
      <w:r>
        <w:rPr>
          <w:rFonts w:ascii="Arial" w:cs="Arial" w:eastAsia="Arial" w:hAnsi="Arial"/>
          <w:sz w:val="16"/>
          <w:szCs w:val="16"/>
          <w:u w:val="single" w:color="auto"/>
          <w:color w:val="auto"/>
        </w:rPr>
        <w:t>Patriot Bank Prepayment</w:t>
      </w:r>
      <w:r>
        <w:rPr>
          <w:rFonts w:ascii="Arial" w:cs="Arial" w:eastAsia="Arial" w:hAnsi="Arial"/>
          <w:sz w:val="16"/>
          <w:szCs w:val="16"/>
          <w:color w:val="auto"/>
        </w:rPr>
        <w:t>”).</w:t>
      </w:r>
    </w:p>
    <w:p>
      <w:pPr>
        <w:sectPr>
          <w:pgSz w:w="11900" w:h="16838" w:orient="portrait"/>
          <w:cols w:equalWidth="0" w:num="1">
            <w:col w:w="11380"/>
          </w:cols>
          <w:pgMar w:left="240" w:top="274" w:right="27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Representations</w:t>
      </w:r>
      <w:r>
        <w:rPr>
          <w:rFonts w:ascii="Arial" w:cs="Arial" w:eastAsia="Arial" w:hAnsi="Arial"/>
          <w:sz w:val="17"/>
          <w:szCs w:val="17"/>
          <w:color w:val="auto"/>
        </w:rPr>
        <w:t>. The Borrower hereby represents and warrants that (i) this Amendment constitutes a legal, valid and binding obligation of it, enforceable against it in accordance with its terms, (ii) upon the effectiveness of this Amendment, no Event of Default shall exist and (iii) its representations and warranties as set forth in the Loan Documents, as applicable, are true and correct in all material respects (except those representations and warranties qualified by materiality or by reference to a material adverse effect, which are true and correct in all respects) on and as of the date hereof as though made on and as of the date hereof (unless such representations and warranties specifically refer to a previous day, in which case, they shall be complete and correct in all material respects (or, with respect to such representations or warranties qualified by materiality or by reference to a material adverse effect, complete and correct in all respects) on and as of such previous day).</w:t>
      </w:r>
    </w:p>
    <w:p>
      <w:pPr>
        <w:spacing w:after="0" w:line="178" w:lineRule="exact"/>
        <w:rPr>
          <w:sz w:val="20"/>
          <w:szCs w:val="20"/>
          <w:color w:val="auto"/>
        </w:rPr>
      </w:pPr>
    </w:p>
    <w:p>
      <w:pPr>
        <w:jc w:val="both"/>
        <w:ind w:right="40" w:firstLine="456"/>
        <w:spacing w:after="0" w:line="277"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Cross-References</w:t>
      </w:r>
      <w:r>
        <w:rPr>
          <w:rFonts w:ascii="Arial" w:cs="Arial" w:eastAsia="Arial" w:hAnsi="Arial"/>
          <w:sz w:val="18"/>
          <w:szCs w:val="18"/>
          <w:color w:val="auto"/>
        </w:rPr>
        <w:t>. References in this Amendment to any Article or Section are, unless otherwise specified, to such Article or Section of this Amendment.</w:t>
      </w:r>
    </w:p>
    <w:p>
      <w:pPr>
        <w:spacing w:after="0" w:line="170"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Loan Document Pursuant to Existing Credit Agreement</w:t>
      </w:r>
      <w:r>
        <w:rPr>
          <w:rFonts w:ascii="Arial" w:cs="Arial" w:eastAsia="Arial" w:hAnsi="Arial"/>
          <w:sz w:val="18"/>
          <w:szCs w:val="18"/>
          <w:color w:val="auto"/>
        </w:rPr>
        <w:t>. This Amendment is a Loan Document executed pursuant to the Existing Credit Agreement and shall (unless otherwise expressly indicated therein) be construed, administered and applied in accordance with all of the terms and provisions of the Existing Credit Agreement, as amended hereby, including Article IX thereof.</w:t>
      </w:r>
    </w:p>
    <w:p>
      <w:pPr>
        <w:spacing w:after="0" w:line="181" w:lineRule="exact"/>
        <w:rPr>
          <w:sz w:val="20"/>
          <w:szCs w:val="20"/>
          <w:color w:val="auto"/>
        </w:rPr>
      </w:pPr>
    </w:p>
    <w:p>
      <w:pPr>
        <w:jc w:val="both"/>
        <w:ind w:right="40" w:firstLine="456"/>
        <w:spacing w:after="0" w:line="277"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provisions of this Amendment shall be binding upon and inure to the benefit of the parties hereto and their respective successors and assigns.</w:t>
      </w:r>
    </w:p>
    <w:p>
      <w:pPr>
        <w:spacing w:after="0" w:line="170"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 xml:space="preserve">SECTION 4.5. </w:t>
      </w:r>
      <w:r>
        <w:rPr>
          <w:rFonts w:ascii="Arial" w:cs="Arial" w:eastAsia="Arial" w:hAnsi="Arial"/>
          <w:sz w:val="16"/>
          <w:szCs w:val="16"/>
          <w:u w:val="single" w:color="auto"/>
          <w:color w:val="auto"/>
        </w:rPr>
        <w:t>Counterparts</w:t>
      </w:r>
      <w:r>
        <w:rPr>
          <w:rFonts w:ascii="Arial" w:cs="Arial" w:eastAsia="Arial" w:hAnsi="Arial"/>
          <w:sz w:val="16"/>
          <w:szCs w:val="16"/>
          <w:color w:val="auto"/>
        </w:rPr>
        <w:t>. This Amendment may be executed in counterparts (and by different parties hereto on different counterparts), each of which shall constitute an original, but all of which when taken together shall constitute a single contract. Delivery of an executed counterpart of a signature page of this Amendment by telecopy or electronically (e.g. pdf) shall be effective as delivery of a manually executed counterpart of this Amendment.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4.6.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Amendment shall be governed by and construed in accordance with the laws of the State of New York.</w:t>
      </w:r>
    </w:p>
    <w:p>
      <w:pPr>
        <w:spacing w:after="0" w:line="23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4.7. </w:t>
      </w:r>
      <w:r>
        <w:rPr>
          <w:rFonts w:ascii="Arial" w:cs="Arial" w:eastAsia="Arial" w:hAnsi="Arial"/>
          <w:sz w:val="16"/>
          <w:szCs w:val="16"/>
          <w:u w:val="single" w:color="auto"/>
          <w:color w:val="auto"/>
        </w:rPr>
        <w:t>Full Force and Effect; Limited Amendment</w:t>
      </w:r>
      <w:r>
        <w:rPr>
          <w:rFonts w:ascii="Arial" w:cs="Arial" w:eastAsia="Arial" w:hAnsi="Arial"/>
          <w:sz w:val="16"/>
          <w:szCs w:val="16"/>
          <w:color w:val="auto"/>
        </w:rPr>
        <w:t>. Except as expressly amended hereby, all of the representations, warranties, terms, covenants, conditions and other provisions of the Existing Credit Agreement and the other Loan Documents shall remain unchanged and shall continue to be, and shall remain, in full force and effect in accordance with their respective terms. The amendment set forth herein shall be limited precisely as provided for herein to the provisions expressly amended herein and shall not be deemed to be an amendment to, waiver of, consent to or modification of any other terms or provisions of the Existing Credit Agreement or any other Loan Document or of any transaction or further or future action on the part of the Borrower. Upon and after the execution of this Amendment by each of the parties hereto, each reference in the Credit Agreement to “this Agreement”, “hereunder”, “hereof” or words of like import referring to the Credit Agreement, and each reference in the other Loan Documents to “the Credit Agreement”, “thereunder”, “thereof” or words of like import referring to the Credit Agreement, shall mean and be a reference to the Credit Agreement as modified hereby.</w:t>
      </w:r>
    </w:p>
    <w:p>
      <w:pPr>
        <w:sectPr>
          <w:pgSz w:w="11900" w:h="16838" w:orient="portrait"/>
          <w:cols w:equalWidth="0" w:num="1">
            <w:col w:w="11400"/>
          </w:cols>
          <w:pgMar w:left="240" w:top="274" w:right="259" w:bottom="1440" w:gutter="0" w:footer="0" w:header="0"/>
        </w:sectPr>
      </w:pPr>
    </w:p>
    <w:bookmarkStart w:id="64" w:name="page65"/>
    <w:bookmarkEnd w:id="64"/>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4.8. </w:t>
      </w:r>
      <w:r>
        <w:rPr>
          <w:rFonts w:ascii="Arial" w:cs="Arial" w:eastAsia="Arial" w:hAnsi="Arial"/>
          <w:sz w:val="18"/>
          <w:szCs w:val="18"/>
          <w:u w:val="single" w:color="auto"/>
          <w:color w:val="auto"/>
        </w:rPr>
        <w:t>Reaffirmation</w:t>
      </w:r>
      <w:r>
        <w:rPr>
          <w:rFonts w:ascii="Arial" w:cs="Arial" w:eastAsia="Arial" w:hAnsi="Arial"/>
          <w:sz w:val="18"/>
          <w:szCs w:val="18"/>
          <w:color w:val="auto"/>
        </w:rPr>
        <w:t>. Each of TSL MR, LLC and TC Lending, LLC hereby consents to the terms of this Amendment, confirms that its Guarantee under the Guarantee and Security Agreement remains unaltered and in full force and effect and hereby reaffirms, ratifies and confirms the terms and conditions of the Guarantee and Security Agreement.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4.9. </w:t>
      </w:r>
      <w:r>
        <w:rPr>
          <w:rFonts w:ascii="Arial" w:cs="Arial" w:eastAsia="Arial" w:hAnsi="Arial"/>
          <w:sz w:val="18"/>
          <w:szCs w:val="18"/>
          <w:u w:val="single" w:color="auto"/>
          <w:color w:val="auto"/>
        </w:rPr>
        <w:t>Consent</w:t>
      </w:r>
      <w:r>
        <w:rPr>
          <w:rFonts w:ascii="Arial" w:cs="Arial" w:eastAsia="Arial" w:hAnsi="Arial"/>
          <w:sz w:val="18"/>
          <w:szCs w:val="18"/>
          <w:color w:val="auto"/>
        </w:rPr>
        <w:t>. Each of the Administrative Agent and each Lender hereby consents to the Patriot Bank Prepayment.</w:t>
      </w:r>
    </w:p>
    <w:p>
      <w:pPr>
        <w:sectPr>
          <w:pgSz w:w="11900" w:h="16838" w:orient="portrait"/>
          <w:cols w:equalWidth="0" w:num="1">
            <w:col w:w="11160"/>
          </w:cols>
          <w:pgMar w:left="240" w:top="274" w:right="499" w:bottom="1440" w:gutter="0" w:footer="0" w:header="0"/>
        </w:sectPr>
      </w:pPr>
    </w:p>
    <w:bookmarkStart w:id="65" w:name="page66"/>
    <w:bookmarkEnd w:id="6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executed and delivered this Amendment as of the date first above written.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gridSpan w:val="2"/>
          </w:tcPr>
          <w:p>
            <w:pPr>
              <w:spacing w:after="0"/>
              <w:rPr>
                <w:sz w:val="20"/>
                <w:szCs w:val="20"/>
                <w:color w:val="auto"/>
              </w:rPr>
            </w:pPr>
            <w:r>
              <w:rPr>
                <w:rFonts w:ascii="Arial" w:cs="Arial" w:eastAsia="Arial" w:hAnsi="Arial"/>
                <w:sz w:val="18"/>
                <w:szCs w:val="18"/>
                <w:color w:val="auto"/>
              </w:rPr>
              <w:t>BORROWER:</w:t>
            </w:r>
          </w:p>
        </w:tc>
        <w:tc>
          <w:tcPr>
            <w:tcW w:w="7980" w:type="dxa"/>
            <w:vAlign w:val="bottom"/>
            <w:gridSpan w:val="2"/>
          </w:tcPr>
          <w:p>
            <w:pPr>
              <w:ind w:left="2380"/>
              <w:spacing w:after="0"/>
              <w:rPr>
                <w:sz w:val="20"/>
                <w:szCs w:val="20"/>
                <w:color w:val="auto"/>
              </w:rPr>
            </w:pPr>
            <w:r>
              <w:rPr>
                <w:rFonts w:ascii="Arial" w:cs="Arial" w:eastAsia="Arial" w:hAnsi="Arial"/>
                <w:sz w:val="18"/>
                <w:szCs w:val="18"/>
                <w:b w:val="1"/>
                <w:bCs w:val="1"/>
                <w:color w:val="auto"/>
              </w:rPr>
              <w:t>TPG SPECIALTY LENDING, INC.</w:t>
            </w:r>
          </w:p>
        </w:tc>
      </w:tr>
      <w:tr>
        <w:trPr>
          <w:trHeight w:val="453"/>
        </w:trPr>
        <w:tc>
          <w:tcPr>
            <w:tcW w:w="1080" w:type="dxa"/>
            <w:vAlign w:val="bottom"/>
            <w:tcBorders>
              <w:top w:val="single" w:sz="8" w:color="auto"/>
            </w:tcBorders>
          </w:tcPr>
          <w:p>
            <w:pPr>
              <w:spacing w:after="0"/>
              <w:rPr>
                <w:sz w:val="24"/>
                <w:szCs w:val="24"/>
                <w:color w:val="auto"/>
              </w:rPr>
            </w:pPr>
          </w:p>
        </w:tc>
        <w:tc>
          <w:tcPr>
            <w:tcW w:w="2360" w:type="dxa"/>
            <w:vAlign w:val="bottom"/>
          </w:tcPr>
          <w:p>
            <w:pPr>
              <w:spacing w:after="0"/>
              <w:rPr>
                <w:sz w:val="24"/>
                <w:szCs w:val="24"/>
                <w:color w:val="auto"/>
              </w:rPr>
            </w:pPr>
          </w:p>
        </w:tc>
        <w:tc>
          <w:tcPr>
            <w:tcW w:w="2960" w:type="dxa"/>
            <w:vAlign w:val="bottom"/>
          </w:tcPr>
          <w:p>
            <w:pPr>
              <w:ind w:left="238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Alan Kirshenbaum</w:t>
            </w:r>
          </w:p>
        </w:tc>
      </w:tr>
      <w:tr>
        <w:trPr>
          <w:trHeight w:val="209"/>
        </w:trPr>
        <w:tc>
          <w:tcPr>
            <w:tcW w:w="10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960" w:type="dxa"/>
            <w:vAlign w:val="bottom"/>
          </w:tcPr>
          <w:p>
            <w:pPr>
              <w:ind w:left="238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Alan Kirshenbaum</w:t>
            </w:r>
          </w:p>
        </w:tc>
      </w:tr>
      <w:tr>
        <w:trPr>
          <w:trHeight w:val="230"/>
        </w:trPr>
        <w:tc>
          <w:tcPr>
            <w:tcW w:w="10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960" w:type="dxa"/>
            <w:vAlign w:val="bottom"/>
          </w:tcPr>
          <w:p>
            <w:pPr>
              <w:ind w:left="238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34" w:lineRule="exact"/>
        <w:rPr>
          <w:sz w:val="20"/>
          <w:szCs w:val="20"/>
          <w:color w:val="auto"/>
        </w:rPr>
      </w:pPr>
    </w:p>
    <w:p>
      <w:pPr>
        <w:ind w:left="7480"/>
        <w:spacing w:after="0"/>
        <w:rPr>
          <w:sz w:val="20"/>
          <w:szCs w:val="20"/>
          <w:color w:val="auto"/>
        </w:rPr>
      </w:pPr>
      <w:r>
        <w:rPr>
          <w:rFonts w:ascii="Arial" w:cs="Arial" w:eastAsia="Arial" w:hAnsi="Arial"/>
          <w:sz w:val="16"/>
          <w:szCs w:val="16"/>
          <w:i w:val="1"/>
          <w:iCs w:val="1"/>
          <w:color w:val="auto"/>
        </w:rPr>
        <w:t>SIGNATURE PAGE TO THIRD AMENDMENT – TPG</w:t>
      </w:r>
    </w:p>
    <w:p>
      <w:pPr>
        <w:sectPr>
          <w:pgSz w:w="11900" w:h="16838" w:orient="portrait"/>
          <w:cols w:equalWidth="0" w:num="1">
            <w:col w:w="11420"/>
          </w:cols>
          <w:pgMar w:left="240" w:top="274"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07"/>
        </w:trPr>
        <w:tc>
          <w:tcPr>
            <w:tcW w:w="3340" w:type="dxa"/>
            <w:vAlign w:val="bottom"/>
            <w:gridSpan w:val="2"/>
          </w:tcPr>
          <w:p>
            <w:pPr>
              <w:spacing w:after="0"/>
              <w:rPr>
                <w:sz w:val="20"/>
                <w:szCs w:val="20"/>
                <w:color w:val="auto"/>
              </w:rPr>
            </w:pPr>
            <w:r>
              <w:rPr>
                <w:rFonts w:ascii="Arial" w:cs="Arial" w:eastAsia="Arial" w:hAnsi="Arial"/>
                <w:sz w:val="18"/>
                <w:szCs w:val="18"/>
                <w:color w:val="auto"/>
              </w:rPr>
              <w:t>LENDERS:</w:t>
            </w:r>
          </w:p>
        </w:tc>
        <w:tc>
          <w:tcPr>
            <w:tcW w:w="8080" w:type="dxa"/>
            <w:vAlign w:val="bottom"/>
            <w:gridSpan w:val="2"/>
          </w:tcPr>
          <w:p>
            <w:pPr>
              <w:ind w:left="2480"/>
              <w:spacing w:after="0"/>
              <w:rPr>
                <w:sz w:val="20"/>
                <w:szCs w:val="20"/>
                <w:color w:val="auto"/>
              </w:rPr>
            </w:pPr>
            <w:r>
              <w:rPr>
                <w:rFonts w:ascii="Arial" w:cs="Arial" w:eastAsia="Arial" w:hAnsi="Arial"/>
                <w:sz w:val="18"/>
                <w:szCs w:val="18"/>
                <w:b w:val="1"/>
                <w:bCs w:val="1"/>
                <w:color w:val="auto"/>
              </w:rPr>
              <w:t>SUNTRUST BANK</w:t>
            </w:r>
          </w:p>
        </w:tc>
      </w:tr>
      <w:tr>
        <w:trPr>
          <w:trHeight w:val="237"/>
        </w:trPr>
        <w:tc>
          <w:tcPr>
            <w:tcW w:w="860" w:type="dxa"/>
            <w:vAlign w:val="bottom"/>
            <w:tcBorders>
              <w:top w:val="single" w:sz="8" w:color="auto"/>
            </w:tcBorders>
          </w:tcPr>
          <w:p>
            <w:pPr>
              <w:spacing w:after="0"/>
              <w:rPr>
                <w:sz w:val="20"/>
                <w:szCs w:val="20"/>
                <w:color w:val="auto"/>
              </w:rPr>
            </w:pPr>
          </w:p>
        </w:tc>
        <w:tc>
          <w:tcPr>
            <w:tcW w:w="2480" w:type="dxa"/>
            <w:vAlign w:val="bottom"/>
          </w:tcPr>
          <w:p>
            <w:pPr>
              <w:spacing w:after="0"/>
              <w:rPr>
                <w:sz w:val="20"/>
                <w:szCs w:val="20"/>
                <w:color w:val="auto"/>
              </w:rPr>
            </w:pPr>
          </w:p>
        </w:tc>
        <w:tc>
          <w:tcPr>
            <w:tcW w:w="8080" w:type="dxa"/>
            <w:vAlign w:val="bottom"/>
            <w:gridSpan w:val="2"/>
          </w:tcPr>
          <w:p>
            <w:pPr>
              <w:ind w:left="2480"/>
              <w:spacing w:after="0"/>
              <w:rPr>
                <w:sz w:val="20"/>
                <w:szCs w:val="20"/>
                <w:color w:val="auto"/>
              </w:rPr>
            </w:pPr>
            <w:r>
              <w:rPr>
                <w:rFonts w:ascii="Arial" w:cs="Arial" w:eastAsia="Arial" w:hAnsi="Arial"/>
                <w:sz w:val="18"/>
                <w:szCs w:val="18"/>
                <w:color w:val="auto"/>
                <w:w w:val="95"/>
              </w:rPr>
              <w:t>as Administrative Agent, Swingline Lender, Issuing Bank and as a Lender</w:t>
            </w:r>
          </w:p>
        </w:tc>
      </w:tr>
      <w:tr>
        <w:trPr>
          <w:trHeight w:val="446"/>
        </w:trPr>
        <w:tc>
          <w:tcPr>
            <w:tcW w:w="8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060" w:type="dxa"/>
            <w:vAlign w:val="bottom"/>
          </w:tcPr>
          <w:p>
            <w:pPr>
              <w:ind w:left="248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 Kennedy</w:t>
            </w:r>
          </w:p>
        </w:tc>
      </w:tr>
      <w:tr>
        <w:trPr>
          <w:trHeight w:val="209"/>
        </w:trPr>
        <w:tc>
          <w:tcPr>
            <w:tcW w:w="8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060" w:type="dxa"/>
            <w:vAlign w:val="bottom"/>
          </w:tcPr>
          <w:p>
            <w:pPr>
              <w:ind w:left="248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Doug Kennedy</w:t>
            </w:r>
          </w:p>
        </w:tc>
      </w:tr>
      <w:tr>
        <w:trPr>
          <w:trHeight w:val="230"/>
        </w:trPr>
        <w:tc>
          <w:tcPr>
            <w:tcW w:w="8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060" w:type="dxa"/>
            <w:vAlign w:val="bottom"/>
          </w:tcPr>
          <w:p>
            <w:pPr>
              <w:ind w:left="248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7480"/>
        <w:spacing w:after="0"/>
        <w:rPr>
          <w:sz w:val="20"/>
          <w:szCs w:val="20"/>
          <w:color w:val="auto"/>
        </w:rPr>
      </w:pPr>
      <w:r>
        <w:rPr>
          <w:rFonts w:ascii="Arial" w:cs="Arial" w:eastAsia="Arial" w:hAnsi="Arial"/>
          <w:sz w:val="16"/>
          <w:szCs w:val="16"/>
          <w:i w:val="1"/>
          <w:iCs w:val="1"/>
          <w:color w:val="auto"/>
        </w:rPr>
        <w:t>SIGNATURE PAGE TO THIRD AMENDMENT – TPG</w:t>
      </w:r>
    </w:p>
    <w:p>
      <w:pPr>
        <w:sectPr>
          <w:pgSz w:w="11900" w:h="16838" w:orient="portrait"/>
          <w:cols w:equalWidth="0" w:num="1">
            <w:col w:w="11420"/>
          </w:cols>
          <w:pgMar w:left="240" w:top="257" w:right="239" w:bottom="1440" w:gutter="0" w:footer="0" w:header="0"/>
        </w:sectPr>
      </w:pPr>
    </w:p>
    <w:bookmarkStart w:id="67" w:name="page68"/>
    <w:bookmarkEnd w:id="67"/>
    <w:p>
      <w:pPr>
        <w:ind w:left="4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JPMORGAN CHASE BANK, N.A., </w:t>
      </w:r>
      <w:r>
        <w:rPr>
          <w:rFonts w:ascii="Arial" w:cs="Arial" w:eastAsia="Arial" w:hAnsi="Arial"/>
          <w:sz w:val="18"/>
          <w:szCs w:val="18"/>
          <w:color w:val="auto"/>
        </w:rPr>
        <w:t>as a Lender</w:t>
      </w:r>
    </w:p>
    <w:p>
      <w:pPr>
        <w:spacing w:after="0" w:line="229" w:lineRule="exact"/>
        <w:rPr>
          <w:sz w:val="20"/>
          <w:szCs w:val="20"/>
          <w:color w:val="auto"/>
        </w:rPr>
      </w:pPr>
    </w:p>
    <w:p>
      <w:pPr>
        <w:ind w:left="4620"/>
        <w:spacing w:after="0"/>
        <w:tabs>
          <w:tab w:leader="none" w:pos="5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Kusner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14605</wp:posOffset>
            </wp:positionV>
            <wp:extent cx="318135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 Michael Kusner</w:t>
      </w:r>
    </w:p>
    <w:p>
      <w:pPr>
        <w:spacing w:after="0" w:line="23" w:lineRule="exact"/>
        <w:rPr>
          <w:sz w:val="20"/>
          <w:szCs w:val="20"/>
          <w:color w:val="auto"/>
        </w:rPr>
      </w:pPr>
    </w:p>
    <w:p>
      <w:pPr>
        <w:ind w:left="4620"/>
        <w:spacing w:after="0"/>
        <w:tabs>
          <w:tab w:leader="none" w:pos="518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SIGNATURE PAGE TO THIRD AMENDMENT – TPG</w:t>
      </w:r>
    </w:p>
    <w:p>
      <w:pPr>
        <w:sectPr>
          <w:pgSz w:w="11900" w:h="16838" w:orient="portrait"/>
          <w:cols w:equalWidth="0" w:num="1">
            <w:col w:w="10220"/>
          </w:cols>
          <w:pgMar w:left="1440" w:top="270" w:right="239" w:bottom="1440" w:gutter="0" w:footer="0" w:header="0"/>
        </w:sectPr>
      </w:pPr>
    </w:p>
    <w:bookmarkStart w:id="68" w:name="page69"/>
    <w:bookmarkEnd w:id="68"/>
    <w:p>
      <w:pPr>
        <w:ind w:left="4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 STREET BANK AND TRUST</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COMPANY</w:t>
      </w:r>
      <w:r>
        <w:rPr>
          <w:rFonts w:ascii="Arial" w:cs="Arial" w:eastAsia="Arial" w:hAnsi="Arial"/>
          <w:sz w:val="18"/>
          <w:szCs w:val="18"/>
          <w:color w:val="auto"/>
        </w:rPr>
        <w:t>, as a Lender</w:t>
      </w:r>
    </w:p>
    <w:p>
      <w:pPr>
        <w:spacing w:after="0" w:line="224" w:lineRule="exact"/>
        <w:rPr>
          <w:sz w:val="20"/>
          <w:szCs w:val="20"/>
          <w:color w:val="auto"/>
        </w:rPr>
      </w:pPr>
    </w:p>
    <w:p>
      <w:pPr>
        <w:ind w:left="4620"/>
        <w:spacing w:after="0"/>
        <w:tabs>
          <w:tab w:leader="none" w:pos="5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Mary H. Carey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14605</wp:posOffset>
            </wp:positionV>
            <wp:extent cx="318135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 Mary H. Carey</w:t>
      </w:r>
    </w:p>
    <w:p>
      <w:pPr>
        <w:spacing w:after="0" w:line="23" w:lineRule="exact"/>
        <w:rPr>
          <w:sz w:val="20"/>
          <w:szCs w:val="20"/>
          <w:color w:val="auto"/>
        </w:rPr>
      </w:pPr>
    </w:p>
    <w:p>
      <w:pPr>
        <w:ind w:left="4620"/>
        <w:spacing w:after="0"/>
        <w:tabs>
          <w:tab w:leader="none" w:pos="518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SIGNATURE PAGE TO THIRD AMENDMENT – TPG</w:t>
      </w:r>
    </w:p>
    <w:p>
      <w:pPr>
        <w:sectPr>
          <w:pgSz w:w="11900" w:h="16838" w:orient="portrait"/>
          <w:cols w:equalWidth="0" w:num="1">
            <w:col w:w="10220"/>
          </w:cols>
          <w:pgMar w:left="1440" w:top="270" w:right="239" w:bottom="1440" w:gutter="0" w:footer="0" w:header="0"/>
        </w:sectPr>
      </w:pPr>
    </w:p>
    <w:bookmarkStart w:id="69" w:name="page70"/>
    <w:bookmarkEnd w:id="69"/>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BANK OF AMERICA N.A., </w:t>
      </w:r>
      <w:r>
        <w:rPr>
          <w:rFonts w:ascii="Arial" w:cs="Arial" w:eastAsia="Arial" w:hAnsi="Arial"/>
          <w:sz w:val="18"/>
          <w:szCs w:val="18"/>
          <w:color w:val="auto"/>
        </w:rPr>
        <w:t>as a Lender</w:t>
      </w:r>
    </w:p>
    <w:p>
      <w:pPr>
        <w:spacing w:after="0" w:line="22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Jacob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Jacob Garcia</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SIGNATURE PAGE TO THIRD AMENDMENT – TPG</w:t>
      </w:r>
    </w:p>
    <w:p>
      <w:pPr>
        <w:sectPr>
          <w:pgSz w:w="11900" w:h="16838" w:orient="portrait"/>
          <w:cols w:equalWidth="0" w:num="1">
            <w:col w:w="10220"/>
          </w:cols>
          <w:pgMar w:left="1440" w:top="270" w:right="239" w:bottom="1440" w:gutter="0" w:footer="0" w:header="0"/>
        </w:sectPr>
      </w:pPr>
    </w:p>
    <w:bookmarkStart w:id="70" w:name="page71"/>
    <w:bookmarkEnd w:id="70"/>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HSBC BANK USA, NATIONAL</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 xml:space="preserve">ASSOCIATION, </w:t>
      </w:r>
      <w:r>
        <w:rPr>
          <w:rFonts w:ascii="Arial" w:cs="Arial" w:eastAsia="Arial" w:hAnsi="Arial"/>
          <w:sz w:val="18"/>
          <w:szCs w:val="18"/>
          <w:color w:val="auto"/>
        </w:rPr>
        <w:t>as a Lender</w:t>
      </w:r>
    </w:p>
    <w:p>
      <w:pPr>
        <w:spacing w:after="0" w:line="224"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Edwin Soogrim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Edwin Soogrim</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SIGNATURE PAGE TO THIRD AMENDMENT – TPG</w:t>
      </w:r>
    </w:p>
    <w:p>
      <w:pPr>
        <w:sectPr>
          <w:pgSz w:w="11900" w:h="16838" w:orient="portrait"/>
          <w:cols w:equalWidth="0" w:num="1">
            <w:col w:w="10220"/>
          </w:cols>
          <w:pgMar w:left="1440" w:top="270" w:right="239" w:bottom="1440" w:gutter="0" w:footer="0" w:header="0"/>
        </w:sectPr>
      </w:pPr>
    </w:p>
    <w:bookmarkStart w:id="71" w:name="page72"/>
    <w:bookmarkEnd w:id="71"/>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BARCLAYS BANK PLC, </w:t>
      </w:r>
      <w:r>
        <w:rPr>
          <w:rFonts w:ascii="Arial" w:cs="Arial" w:eastAsia="Arial" w:hAnsi="Arial"/>
          <w:sz w:val="18"/>
          <w:szCs w:val="18"/>
          <w:color w:val="auto"/>
        </w:rPr>
        <w:t>as a Lender</w:t>
      </w:r>
    </w:p>
    <w:p>
      <w:pPr>
        <w:spacing w:after="0" w:line="22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Alicia Borys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Alicia Borys</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SIGNATURE PAGE TO THIRD AMENDMENT – TPG</w:t>
      </w:r>
    </w:p>
    <w:p>
      <w:pPr>
        <w:sectPr>
          <w:pgSz w:w="11900" w:h="16838" w:orient="portrait"/>
          <w:cols w:equalWidth="0" w:num="1">
            <w:col w:w="10220"/>
          </w:cols>
          <w:pgMar w:left="1440" w:top="270" w:right="239" w:bottom="1440" w:gutter="0" w:footer="0" w:header="0"/>
        </w:sectPr>
      </w:pPr>
    </w:p>
    <w:bookmarkStart w:id="72" w:name="page73"/>
    <w:bookmarkEnd w:id="72"/>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CITIBANK, N.A., </w:t>
      </w:r>
      <w:r>
        <w:rPr>
          <w:rFonts w:ascii="Arial" w:cs="Arial" w:eastAsia="Arial" w:hAnsi="Arial"/>
          <w:sz w:val="18"/>
          <w:szCs w:val="18"/>
          <w:color w:val="auto"/>
        </w:rPr>
        <w:t>as a Lender</w:t>
      </w:r>
    </w:p>
    <w:p>
      <w:pPr>
        <w:spacing w:after="0" w:line="22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Eros Marshall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Eros Marshall</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SIGNATURE PAGE TO THIRD AMENDMENT – TPG</w:t>
      </w:r>
    </w:p>
    <w:p>
      <w:pPr>
        <w:sectPr>
          <w:pgSz w:w="11900" w:h="16838" w:orient="portrait"/>
          <w:cols w:equalWidth="0" w:num="1">
            <w:col w:w="10220"/>
          </w:cols>
          <w:pgMar w:left="1440" w:top="270" w:right="239" w:bottom="1440" w:gutter="0" w:footer="0" w:header="0"/>
        </w:sectPr>
      </w:pPr>
    </w:p>
    <w:bookmarkStart w:id="73" w:name="page74"/>
    <w:bookmarkEnd w:id="73"/>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GOLDMAN SACHS BANK USA, </w:t>
      </w:r>
      <w:r>
        <w:rPr>
          <w:rFonts w:ascii="Arial" w:cs="Arial" w:eastAsia="Arial" w:hAnsi="Arial"/>
          <w:sz w:val="18"/>
          <w:szCs w:val="18"/>
          <w:color w:val="auto"/>
        </w:rPr>
        <w:t>as a Lender</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Rebecca Kratz</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Rebecca Kratz</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365"/>
        </w:trPr>
        <w:tc>
          <w:tcPr>
            <w:tcW w:w="580" w:type="dxa"/>
            <w:vAlign w:val="bottom"/>
          </w:tcPr>
          <w:p>
            <w:pPr>
              <w:spacing w:after="0"/>
              <w:rPr>
                <w:sz w:val="24"/>
                <w:szCs w:val="24"/>
                <w:color w:val="auto"/>
              </w:rPr>
            </w:pPr>
          </w:p>
        </w:tc>
        <w:tc>
          <w:tcPr>
            <w:tcW w:w="3980" w:type="dxa"/>
            <w:vAlign w:val="bottom"/>
          </w:tcPr>
          <w:p>
            <w:pPr>
              <w:ind w:left="40"/>
              <w:spacing w:after="0"/>
              <w:rPr>
                <w:sz w:val="20"/>
                <w:szCs w:val="20"/>
                <w:color w:val="auto"/>
              </w:rPr>
            </w:pPr>
            <w:r>
              <w:rPr>
                <w:rFonts w:ascii="Arial" w:cs="Arial" w:eastAsia="Arial" w:hAnsi="Arial"/>
                <w:sz w:val="18"/>
                <w:szCs w:val="18"/>
                <w:i w:val="1"/>
                <w:iCs w:val="1"/>
                <w:color w:val="auto"/>
                <w:w w:val="91"/>
              </w:rPr>
              <w:t>SIGNATURE PAGE TO THIRD AMENDMENT – TPG</w:t>
            </w:r>
          </w:p>
        </w:tc>
      </w:tr>
    </w:tbl>
    <w:p>
      <w:pPr>
        <w:sectPr>
          <w:pgSz w:w="11900" w:h="16838" w:orient="portrait"/>
          <w:cols w:equalWidth="0" w:num="1">
            <w:col w:w="10220"/>
          </w:cols>
          <w:pgMar w:left="1440" w:top="270" w:right="239" w:bottom="1440" w:gutter="0" w:footer="0" w:header="0"/>
        </w:sectPr>
      </w:pPr>
    </w:p>
    <w:bookmarkStart w:id="74" w:name="page75"/>
    <w:bookmarkEnd w:id="74"/>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MIZUHO BANK, LTD., </w:t>
      </w:r>
      <w:r>
        <w:rPr>
          <w:rFonts w:ascii="Arial" w:cs="Arial" w:eastAsia="Arial" w:hAnsi="Arial"/>
          <w:sz w:val="18"/>
          <w:szCs w:val="18"/>
          <w:color w:val="auto"/>
        </w:rPr>
        <w:t>as a Lender</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Fayen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James Fayen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Deputy General Manager</w:t>
            </w:r>
          </w:p>
        </w:tc>
      </w:tr>
      <w:tr>
        <w:trPr>
          <w:trHeight w:val="365"/>
        </w:trPr>
        <w:tc>
          <w:tcPr>
            <w:tcW w:w="580" w:type="dxa"/>
            <w:vAlign w:val="bottom"/>
          </w:tcPr>
          <w:p>
            <w:pPr>
              <w:spacing w:after="0"/>
              <w:rPr>
                <w:sz w:val="24"/>
                <w:szCs w:val="24"/>
                <w:color w:val="auto"/>
              </w:rPr>
            </w:pPr>
          </w:p>
        </w:tc>
        <w:tc>
          <w:tcPr>
            <w:tcW w:w="3980" w:type="dxa"/>
            <w:vAlign w:val="bottom"/>
          </w:tcPr>
          <w:p>
            <w:pPr>
              <w:ind w:left="40"/>
              <w:spacing w:after="0"/>
              <w:rPr>
                <w:sz w:val="20"/>
                <w:szCs w:val="20"/>
                <w:color w:val="auto"/>
              </w:rPr>
            </w:pPr>
            <w:r>
              <w:rPr>
                <w:rFonts w:ascii="Arial" w:cs="Arial" w:eastAsia="Arial" w:hAnsi="Arial"/>
                <w:sz w:val="18"/>
                <w:szCs w:val="18"/>
                <w:i w:val="1"/>
                <w:iCs w:val="1"/>
                <w:color w:val="auto"/>
                <w:w w:val="91"/>
              </w:rPr>
              <w:t>SIGNATURE PAGE TO THIRD AMENDMENT – TPG</w:t>
            </w:r>
          </w:p>
        </w:tc>
      </w:tr>
    </w:tbl>
    <w:p>
      <w:pPr>
        <w:sectPr>
          <w:pgSz w:w="11900" w:h="16838" w:orient="portrait"/>
          <w:cols w:equalWidth="0" w:num="1">
            <w:col w:w="10220"/>
          </w:cols>
          <w:pgMar w:left="1440" w:top="270" w:right="239" w:bottom="1440" w:gutter="0" w:footer="0" w:header="0"/>
        </w:sectPr>
      </w:pPr>
    </w:p>
    <w:bookmarkStart w:id="75" w:name="page76"/>
    <w:bookmarkEnd w:id="75"/>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LLOYDS BANK PLC, </w:t>
      </w:r>
      <w:r>
        <w:rPr>
          <w:rFonts w:ascii="Arial" w:cs="Arial" w:eastAsia="Arial" w:hAnsi="Arial"/>
          <w:sz w:val="18"/>
          <w:szCs w:val="18"/>
          <w:color w:val="auto"/>
        </w:rPr>
        <w:t>as a Lender</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Giacolone</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Stephen Giacolone G011</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Assistant Vice President</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Joel Slomko</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Joel Slomko S088</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Assistant Vice President</w:t>
            </w:r>
          </w:p>
        </w:tc>
      </w:tr>
      <w:tr>
        <w:trPr>
          <w:trHeight w:val="365"/>
        </w:trPr>
        <w:tc>
          <w:tcPr>
            <w:tcW w:w="580" w:type="dxa"/>
            <w:vAlign w:val="bottom"/>
          </w:tcPr>
          <w:p>
            <w:pPr>
              <w:spacing w:after="0"/>
              <w:rPr>
                <w:sz w:val="24"/>
                <w:szCs w:val="24"/>
                <w:color w:val="auto"/>
              </w:rPr>
            </w:pPr>
          </w:p>
        </w:tc>
        <w:tc>
          <w:tcPr>
            <w:tcW w:w="3980" w:type="dxa"/>
            <w:vAlign w:val="bottom"/>
          </w:tcPr>
          <w:p>
            <w:pPr>
              <w:ind w:left="40"/>
              <w:spacing w:after="0"/>
              <w:rPr>
                <w:sz w:val="20"/>
                <w:szCs w:val="20"/>
                <w:color w:val="auto"/>
              </w:rPr>
            </w:pPr>
            <w:r>
              <w:rPr>
                <w:rFonts w:ascii="Arial" w:cs="Arial" w:eastAsia="Arial" w:hAnsi="Arial"/>
                <w:sz w:val="18"/>
                <w:szCs w:val="18"/>
                <w:i w:val="1"/>
                <w:iCs w:val="1"/>
                <w:color w:val="auto"/>
                <w:w w:val="91"/>
              </w:rPr>
              <w:t>SIGNATURE PAGE TO THIRD AMENDMENT – TPG</w:t>
            </w:r>
          </w:p>
        </w:tc>
      </w:tr>
    </w:tbl>
    <w:p>
      <w:pPr>
        <w:sectPr>
          <w:pgSz w:w="11900" w:h="16838" w:orient="portrait"/>
          <w:cols w:equalWidth="0" w:num="1">
            <w:col w:w="10220"/>
          </w:cols>
          <w:pgMar w:left="1440" w:top="270" w:right="239" w:bottom="1440" w:gutter="0" w:footer="0" w:header="0"/>
        </w:sectPr>
      </w:pPr>
    </w:p>
    <w:bookmarkStart w:id="76" w:name="page77"/>
    <w:bookmarkEnd w:id="76"/>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MORGAN STANLEY BANK, N.A., </w:t>
      </w:r>
      <w:r>
        <w:rPr>
          <w:rFonts w:ascii="Arial" w:cs="Arial" w:eastAsia="Arial" w:hAnsi="Arial"/>
          <w:sz w:val="18"/>
          <w:szCs w:val="18"/>
          <w:color w:val="auto"/>
        </w:rPr>
        <w:t>as a Lender</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King</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Michael King</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365"/>
        </w:trPr>
        <w:tc>
          <w:tcPr>
            <w:tcW w:w="580" w:type="dxa"/>
            <w:vAlign w:val="bottom"/>
          </w:tcPr>
          <w:p>
            <w:pPr>
              <w:spacing w:after="0"/>
              <w:rPr>
                <w:sz w:val="24"/>
                <w:szCs w:val="24"/>
                <w:color w:val="auto"/>
              </w:rPr>
            </w:pPr>
          </w:p>
        </w:tc>
        <w:tc>
          <w:tcPr>
            <w:tcW w:w="3980" w:type="dxa"/>
            <w:vAlign w:val="bottom"/>
          </w:tcPr>
          <w:p>
            <w:pPr>
              <w:ind w:left="40"/>
              <w:spacing w:after="0"/>
              <w:rPr>
                <w:sz w:val="20"/>
                <w:szCs w:val="20"/>
                <w:color w:val="auto"/>
              </w:rPr>
            </w:pPr>
            <w:r>
              <w:rPr>
                <w:rFonts w:ascii="Arial" w:cs="Arial" w:eastAsia="Arial" w:hAnsi="Arial"/>
                <w:sz w:val="18"/>
                <w:szCs w:val="18"/>
                <w:i w:val="1"/>
                <w:iCs w:val="1"/>
                <w:color w:val="auto"/>
                <w:w w:val="91"/>
              </w:rPr>
              <w:t>SIGNATURE PAGE TO THIRD AMENDMENT – TPG</w:t>
            </w:r>
          </w:p>
        </w:tc>
      </w:tr>
    </w:tbl>
    <w:p>
      <w:pPr>
        <w:sectPr>
          <w:pgSz w:w="11900" w:h="16838" w:orient="portrait"/>
          <w:cols w:equalWidth="0" w:num="1">
            <w:col w:w="10220"/>
          </w:cols>
          <w:pgMar w:left="1440" w:top="270" w:right="239" w:bottom="1440" w:gutter="0" w:footer="0" w:header="0"/>
        </w:sectPr>
      </w:pPr>
    </w:p>
    <w:bookmarkStart w:id="77" w:name="page78"/>
    <w:bookmarkEnd w:id="77"/>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SANTANDER BANK, N.A.</w:t>
      </w:r>
      <w:r>
        <w:rPr>
          <w:rFonts w:ascii="Arial" w:cs="Arial" w:eastAsia="Arial" w:hAnsi="Arial"/>
          <w:sz w:val="18"/>
          <w:szCs w:val="18"/>
          <w:color w:val="auto"/>
        </w:rPr>
        <w:t>, as a Lender</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Gilbert Torres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Gilbert Torres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365"/>
        </w:trPr>
        <w:tc>
          <w:tcPr>
            <w:tcW w:w="580" w:type="dxa"/>
            <w:vAlign w:val="bottom"/>
          </w:tcPr>
          <w:p>
            <w:pPr>
              <w:spacing w:after="0"/>
              <w:rPr>
                <w:sz w:val="24"/>
                <w:szCs w:val="24"/>
                <w:color w:val="auto"/>
              </w:rPr>
            </w:pPr>
          </w:p>
        </w:tc>
        <w:tc>
          <w:tcPr>
            <w:tcW w:w="3980" w:type="dxa"/>
            <w:vAlign w:val="bottom"/>
          </w:tcPr>
          <w:p>
            <w:pPr>
              <w:ind w:left="40"/>
              <w:spacing w:after="0"/>
              <w:rPr>
                <w:sz w:val="20"/>
                <w:szCs w:val="20"/>
                <w:color w:val="auto"/>
              </w:rPr>
            </w:pPr>
            <w:r>
              <w:rPr>
                <w:rFonts w:ascii="Arial" w:cs="Arial" w:eastAsia="Arial" w:hAnsi="Arial"/>
                <w:sz w:val="18"/>
                <w:szCs w:val="18"/>
                <w:i w:val="1"/>
                <w:iCs w:val="1"/>
                <w:color w:val="auto"/>
                <w:w w:val="91"/>
              </w:rPr>
              <w:t>SIGNATURE PAGE TO THIRD AMENDMENT – TPG</w:t>
            </w:r>
          </w:p>
        </w:tc>
      </w:tr>
    </w:tbl>
    <w:p>
      <w:pPr>
        <w:sectPr>
          <w:pgSz w:w="11900" w:h="16838" w:orient="portrait"/>
          <w:cols w:equalWidth="0" w:num="1">
            <w:col w:w="10220"/>
          </w:cols>
          <w:pgMar w:left="1440" w:top="270" w:right="239" w:bottom="1440" w:gutter="0" w:footer="0" w:header="0"/>
        </w:sectPr>
      </w:pPr>
    </w:p>
    <w:bookmarkStart w:id="78" w:name="page79"/>
    <w:bookmarkEnd w:id="78"/>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CIT FINANCE LLC</w:t>
      </w:r>
      <w:r>
        <w:rPr>
          <w:rFonts w:ascii="Arial" w:cs="Arial" w:eastAsia="Arial" w:hAnsi="Arial"/>
          <w:sz w:val="18"/>
          <w:szCs w:val="18"/>
          <w:color w:val="auto"/>
        </w:rPr>
        <w:t>, as a Lender</w:t>
      </w:r>
    </w:p>
    <w:p>
      <w:pPr>
        <w:spacing w:after="0" w:line="22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L.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Robert L. Klein</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SIGNATURE PAGE TO THIRD AMENDMENT – TPG</w:t>
      </w:r>
    </w:p>
    <w:p>
      <w:pPr>
        <w:sectPr>
          <w:pgSz w:w="11900" w:h="16838" w:orient="portrait"/>
          <w:cols w:equalWidth="0" w:num="1">
            <w:col w:w="10220"/>
          </w:cols>
          <w:pgMar w:left="1440" w:top="270" w:right="239" w:bottom="1440" w:gutter="0" w:footer="0" w:header="0"/>
        </w:sectPr>
      </w:pPr>
    </w:p>
    <w:bookmarkStart w:id="79" w:name="page80"/>
    <w:bookmarkEnd w:id="79"/>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CITY NATIONAL BANK, NA</w:t>
      </w:r>
      <w:r>
        <w:rPr>
          <w:rFonts w:ascii="Arial" w:cs="Arial" w:eastAsia="Arial" w:hAnsi="Arial"/>
          <w:sz w:val="18"/>
          <w:szCs w:val="18"/>
          <w:color w:val="auto"/>
        </w:rPr>
        <w:t>, as a Lender</w:t>
      </w:r>
    </w:p>
    <w:p>
      <w:pPr>
        <w:spacing w:after="0" w:line="22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Brandon L. Feitelson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Brandon L. Feitelson, C.F.A.</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Senior Vice President</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SIGNATURE PAGE TO THIRD AMENDMENT – TPG</w:t>
      </w:r>
    </w:p>
    <w:p>
      <w:pPr>
        <w:sectPr>
          <w:pgSz w:w="11900" w:h="16838" w:orient="portrait"/>
          <w:cols w:equalWidth="0" w:num="1">
            <w:col w:w="10220"/>
          </w:cols>
          <w:pgMar w:left="1440" w:top="270" w:right="239" w:bottom="1440" w:gutter="0" w:footer="0" w:header="0"/>
        </w:sectPr>
      </w:pPr>
    </w:p>
    <w:bookmarkStart w:id="80" w:name="page81"/>
    <w:bookmarkEnd w:id="80"/>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COMERICA BANK</w:t>
      </w:r>
      <w:r>
        <w:rPr>
          <w:rFonts w:ascii="Arial" w:cs="Arial" w:eastAsia="Arial" w:hAnsi="Arial"/>
          <w:sz w:val="18"/>
          <w:szCs w:val="18"/>
          <w:color w:val="auto"/>
        </w:rPr>
        <w:t>, as a Lender</w:t>
      </w:r>
    </w:p>
    <w:p>
      <w:pPr>
        <w:spacing w:after="0" w:line="22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Timothy O’Rourke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Timothy O’Rourke</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SIGNATURE PAGE TO THIRD AMENDMENT – TPG</w:t>
      </w:r>
    </w:p>
    <w:p>
      <w:pPr>
        <w:sectPr>
          <w:pgSz w:w="11900" w:h="16838" w:orient="portrait"/>
          <w:cols w:equalWidth="0" w:num="1">
            <w:col w:w="10220"/>
          </w:cols>
          <w:pgMar w:left="1440" w:top="270" w:right="239" w:bottom="1440" w:gutter="0" w:footer="0" w:header="0"/>
        </w:sectPr>
      </w:pPr>
    </w:p>
    <w:bookmarkStart w:id="81" w:name="page82"/>
    <w:bookmarkEnd w:id="81"/>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Agreed and acknowledged solely with respect to </w:t>
      </w:r>
      <w:r>
        <w:rPr>
          <w:rFonts w:ascii="Arial" w:cs="Arial" w:eastAsia="Arial" w:hAnsi="Arial"/>
          <w:sz w:val="17"/>
          <w:szCs w:val="17"/>
          <w:u w:val="single" w:color="auto"/>
          <w:color w:val="auto"/>
        </w:rPr>
        <w:t>Section 4.8</w:t>
      </w:r>
    </w:p>
    <w:p>
      <w:pPr>
        <w:spacing w:after="0" w:line="23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TC Lending, LLC</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Alan Kirshenbaum</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Alan Kirshenbaum</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4"/>
              </w:rPr>
              <w:t>Vice President, Chief Financial Officer and Treasurer</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TSL MR, LLC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Alan Kirshenbaum</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Alan Kirshenbaum</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34" w:lineRule="exact"/>
        <w:rPr>
          <w:sz w:val="20"/>
          <w:szCs w:val="20"/>
          <w:color w:val="auto"/>
        </w:rPr>
      </w:pPr>
    </w:p>
    <w:p>
      <w:pPr>
        <w:ind w:left="6280"/>
        <w:spacing w:after="0"/>
        <w:rPr>
          <w:sz w:val="20"/>
          <w:szCs w:val="20"/>
          <w:color w:val="auto"/>
        </w:rPr>
      </w:pPr>
      <w:r>
        <w:rPr>
          <w:rFonts w:ascii="Arial" w:cs="Arial" w:eastAsia="Arial" w:hAnsi="Arial"/>
          <w:sz w:val="16"/>
          <w:szCs w:val="16"/>
          <w:i w:val="1"/>
          <w:iCs w:val="1"/>
          <w:color w:val="auto"/>
        </w:rPr>
        <w:t>SIGNATURE PAGE TO THIRD AMENDMENT – TPG</w:t>
      </w:r>
    </w:p>
    <w:p>
      <w:pPr>
        <w:sectPr>
          <w:pgSz w:w="11900" w:h="16838" w:orient="portrait"/>
          <w:cols w:equalWidth="0" w:num="1">
            <w:col w:w="10220"/>
          </w:cols>
          <w:pgMar w:left="1440" w:top="274"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180340</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223520</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SECOND AMENDED AND RESTATED</w:t>
      </w:r>
    </w:p>
    <w:p>
      <w:pPr>
        <w:spacing w:after="0" w:line="2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SENIOR SECURED</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REVOLVING CREDIT AGREEMENT</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dated as of</w:t>
      </w:r>
    </w:p>
    <w:p>
      <w:pPr>
        <w:spacing w:after="0" w:line="21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February 27, 2014</w:t>
      </w:r>
    </w:p>
    <w:p>
      <w:pPr>
        <w:spacing w:after="0" w:line="225" w:lineRule="exact"/>
        <w:rPr>
          <w:sz w:val="20"/>
          <w:szCs w:val="20"/>
          <w:color w:val="auto"/>
        </w:rPr>
      </w:pPr>
    </w:p>
    <w:p>
      <w:pPr>
        <w:jc w:val="center"/>
        <w:ind w:right="180"/>
        <w:spacing w:after="0" w:line="264" w:lineRule="auto"/>
        <w:rPr>
          <w:sz w:val="20"/>
          <w:szCs w:val="20"/>
          <w:color w:val="auto"/>
        </w:rPr>
      </w:pPr>
      <w:r>
        <w:rPr>
          <w:rFonts w:ascii="Arial" w:cs="Arial" w:eastAsia="Arial" w:hAnsi="Arial"/>
          <w:sz w:val="18"/>
          <w:szCs w:val="18"/>
          <w:color w:val="auto"/>
        </w:rPr>
        <w:t>as amended by the First Amendment to Second Amended and Restated Senior Secured Revolving Credit Agreement dated as of June 3, 2014, the Second Amendment to Second Amended and Restated Senior Secured Revolving Credit Agreement dated as of June 27, 2014 and Third Amendment to Second Amended and Restated Senior Secured Revolving Credit Agreement dated as of October 17, 2014</w:t>
      </w:r>
    </w:p>
    <w:p>
      <w:pPr>
        <w:spacing w:after="0" w:line="18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as Borrower</w:t>
      </w:r>
    </w:p>
    <w:p>
      <w:pPr>
        <w:spacing w:after="0" w:line="21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The LENDERS Party Hereto</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SUNTRUST BANK</w:t>
      </w:r>
    </w:p>
    <w:p>
      <w:pPr>
        <w:spacing w:after="0" w:line="2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as Syndication Agent</w:t>
      </w:r>
    </w:p>
    <w:p>
      <w:pPr>
        <w:spacing w:after="0" w:line="21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$766,250,000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2755265</wp:posOffset>
            </wp:positionH>
            <wp:positionV relativeFrom="paragraph">
              <wp:posOffset>238125</wp:posOffset>
            </wp:positionV>
            <wp:extent cx="151765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SUNTRUST ROBINSON HUMPHREY, INC.</w:t>
      </w:r>
    </w:p>
    <w:p>
      <w:pPr>
        <w:spacing w:after="0" w:line="2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as Joint Lead Arrangers and Joint Book 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168910</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211455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420" w:top="270" w:right="239" w:bottom="1440" w:gutter="0" w:footer="0" w:header="0"/>
        </w:sectPr>
      </w:pPr>
    </w:p>
    <w:bookmarkStart w:id="83" w:name="page84"/>
    <w:bookmarkEnd w:id="83"/>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21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9220" w:type="dxa"/>
            <w:vAlign w:val="bottom"/>
            <w:gridSpan w:val="2"/>
          </w:tcPr>
          <w:p>
            <w:pPr>
              <w:spacing w:after="0"/>
              <w:rPr>
                <w:sz w:val="20"/>
                <w:szCs w:val="20"/>
                <w:color w:val="auto"/>
              </w:rPr>
            </w:pPr>
            <w:r>
              <w:rPr>
                <w:rFonts w:ascii="Arial" w:cs="Arial" w:eastAsia="Arial" w:hAnsi="Arial"/>
                <w:sz w:val="18"/>
                <w:szCs w:val="18"/>
                <w:color w:val="auto"/>
              </w:rPr>
              <w:t>ARTICLE I DEFINITIONS</w:t>
            </w:r>
          </w:p>
        </w:tc>
        <w:tc>
          <w:tcPr>
            <w:tcW w:w="2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1.01.</w:t>
            </w:r>
          </w:p>
        </w:tc>
        <w:tc>
          <w:tcPr>
            <w:tcW w:w="7480" w:type="dxa"/>
            <w:vAlign w:val="bottom"/>
          </w:tcPr>
          <w:p>
            <w:pPr>
              <w:ind w:left="220"/>
              <w:spacing w:after="0"/>
              <w:rPr>
                <w:sz w:val="20"/>
                <w:szCs w:val="20"/>
                <w:color w:val="auto"/>
              </w:rPr>
            </w:pPr>
            <w:r>
              <w:rPr>
                <w:rFonts w:ascii="Arial" w:cs="Arial" w:eastAsia="Arial" w:hAnsi="Arial"/>
                <w:sz w:val="18"/>
                <w:szCs w:val="18"/>
                <w:color w:val="auto"/>
              </w:rPr>
              <w:t>Defined Terms</w:t>
            </w:r>
          </w:p>
        </w:tc>
        <w:tc>
          <w:tcPr>
            <w:tcW w:w="2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1.02.</w:t>
            </w:r>
          </w:p>
        </w:tc>
        <w:tc>
          <w:tcPr>
            <w:tcW w:w="7480" w:type="dxa"/>
            <w:vAlign w:val="bottom"/>
          </w:tcPr>
          <w:p>
            <w:pPr>
              <w:ind w:left="220"/>
              <w:spacing w:after="0"/>
              <w:rPr>
                <w:sz w:val="20"/>
                <w:szCs w:val="20"/>
                <w:color w:val="auto"/>
              </w:rPr>
            </w:pPr>
            <w:r>
              <w:rPr>
                <w:rFonts w:ascii="Arial" w:cs="Arial" w:eastAsia="Arial" w:hAnsi="Arial"/>
                <w:sz w:val="18"/>
                <w:szCs w:val="18"/>
                <w:color w:val="auto"/>
              </w:rPr>
              <w:t>Classification of Loans and Borrowings</w:t>
            </w:r>
          </w:p>
        </w:tc>
        <w:tc>
          <w:tcPr>
            <w:tcW w:w="21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1.03.</w:t>
            </w:r>
          </w:p>
        </w:tc>
        <w:tc>
          <w:tcPr>
            <w:tcW w:w="7480" w:type="dxa"/>
            <w:vAlign w:val="bottom"/>
          </w:tcPr>
          <w:p>
            <w:pPr>
              <w:ind w:left="220"/>
              <w:spacing w:after="0"/>
              <w:rPr>
                <w:sz w:val="20"/>
                <w:szCs w:val="20"/>
                <w:color w:val="auto"/>
              </w:rPr>
            </w:pPr>
            <w:r>
              <w:rPr>
                <w:rFonts w:ascii="Arial" w:cs="Arial" w:eastAsia="Arial" w:hAnsi="Arial"/>
                <w:sz w:val="18"/>
                <w:szCs w:val="18"/>
                <w:color w:val="auto"/>
              </w:rPr>
              <w:t>Terms Generally</w:t>
            </w:r>
          </w:p>
        </w:tc>
        <w:tc>
          <w:tcPr>
            <w:tcW w:w="21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1.04.</w:t>
            </w:r>
          </w:p>
        </w:tc>
        <w:tc>
          <w:tcPr>
            <w:tcW w:w="7480" w:type="dxa"/>
            <w:vAlign w:val="bottom"/>
          </w:tcPr>
          <w:p>
            <w:pPr>
              <w:ind w:left="220"/>
              <w:spacing w:after="0"/>
              <w:rPr>
                <w:sz w:val="20"/>
                <w:szCs w:val="20"/>
                <w:color w:val="auto"/>
              </w:rPr>
            </w:pPr>
            <w:r>
              <w:rPr>
                <w:rFonts w:ascii="Arial" w:cs="Arial" w:eastAsia="Arial" w:hAnsi="Arial"/>
                <w:sz w:val="18"/>
                <w:szCs w:val="18"/>
                <w:color w:val="auto"/>
              </w:rPr>
              <w:t>Accounting Terms; GAAP</w:t>
            </w:r>
          </w:p>
        </w:tc>
        <w:tc>
          <w:tcPr>
            <w:tcW w:w="21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1740" w:type="dxa"/>
            <w:vAlign w:val="bottom"/>
          </w:tcPr>
          <w:p>
            <w:pPr>
              <w:ind w:left="360"/>
              <w:spacing w:after="0"/>
              <w:rPr>
                <w:sz w:val="20"/>
                <w:szCs w:val="20"/>
                <w:color w:val="auto"/>
              </w:rPr>
            </w:pPr>
            <w:r>
              <w:rPr>
                <w:rFonts w:ascii="Arial" w:cs="Arial" w:eastAsia="Arial" w:hAnsi="Arial"/>
                <w:sz w:val="18"/>
                <w:szCs w:val="18"/>
                <w:color w:val="auto"/>
              </w:rPr>
              <w:t>SECTION 1.05.</w:t>
            </w:r>
          </w:p>
        </w:tc>
        <w:tc>
          <w:tcPr>
            <w:tcW w:w="7480" w:type="dxa"/>
            <w:vAlign w:val="bottom"/>
          </w:tcPr>
          <w:p>
            <w:pPr>
              <w:ind w:left="220"/>
              <w:spacing w:after="0"/>
              <w:rPr>
                <w:sz w:val="20"/>
                <w:szCs w:val="20"/>
                <w:color w:val="auto"/>
              </w:rPr>
            </w:pPr>
            <w:r>
              <w:rPr>
                <w:rFonts w:ascii="Arial" w:cs="Arial" w:eastAsia="Arial" w:hAnsi="Arial"/>
                <w:sz w:val="18"/>
                <w:szCs w:val="18"/>
                <w:color w:val="auto"/>
              </w:rPr>
              <w:t>Currencies; Currency Equivalents</w:t>
            </w:r>
          </w:p>
        </w:tc>
        <w:tc>
          <w:tcPr>
            <w:tcW w:w="21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9220" w:type="dxa"/>
            <w:vAlign w:val="bottom"/>
            <w:gridSpan w:val="2"/>
          </w:tcPr>
          <w:p>
            <w:pPr>
              <w:spacing w:after="0"/>
              <w:rPr>
                <w:sz w:val="20"/>
                <w:szCs w:val="20"/>
                <w:color w:val="auto"/>
              </w:rPr>
            </w:pPr>
            <w:r>
              <w:rPr>
                <w:rFonts w:ascii="Arial" w:cs="Arial" w:eastAsia="Arial" w:hAnsi="Arial"/>
                <w:sz w:val="18"/>
                <w:szCs w:val="18"/>
                <w:color w:val="auto"/>
              </w:rPr>
              <w:t>ARTICLE II THE CREDITS</w:t>
            </w:r>
          </w:p>
        </w:tc>
        <w:tc>
          <w:tcPr>
            <w:tcW w:w="21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0"/>
        </w:trPr>
        <w:tc>
          <w:tcPr>
            <w:tcW w:w="1740" w:type="dxa"/>
            <w:vAlign w:val="bottom"/>
          </w:tcPr>
          <w:p>
            <w:pPr>
              <w:ind w:left="360"/>
              <w:spacing w:after="0"/>
              <w:rPr>
                <w:sz w:val="20"/>
                <w:szCs w:val="20"/>
                <w:color w:val="auto"/>
              </w:rPr>
            </w:pPr>
            <w:r>
              <w:rPr>
                <w:rFonts w:ascii="Arial" w:cs="Arial" w:eastAsia="Arial" w:hAnsi="Arial"/>
                <w:sz w:val="18"/>
                <w:szCs w:val="18"/>
                <w:color w:val="auto"/>
              </w:rPr>
              <w:t>SECTION 2.01.</w:t>
            </w:r>
          </w:p>
        </w:tc>
        <w:tc>
          <w:tcPr>
            <w:tcW w:w="7480" w:type="dxa"/>
            <w:vAlign w:val="bottom"/>
          </w:tcPr>
          <w:p>
            <w:pPr>
              <w:ind w:left="220"/>
              <w:spacing w:after="0"/>
              <w:rPr>
                <w:sz w:val="20"/>
                <w:szCs w:val="20"/>
                <w:color w:val="auto"/>
              </w:rPr>
            </w:pPr>
            <w:r>
              <w:rPr>
                <w:rFonts w:ascii="Arial" w:cs="Arial" w:eastAsia="Arial" w:hAnsi="Arial"/>
                <w:sz w:val="18"/>
                <w:szCs w:val="18"/>
                <w:color w:val="auto"/>
              </w:rPr>
              <w:t>The Commitments</w:t>
            </w:r>
          </w:p>
        </w:tc>
        <w:tc>
          <w:tcPr>
            <w:tcW w:w="21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2.02.</w:t>
            </w:r>
          </w:p>
        </w:tc>
        <w:tc>
          <w:tcPr>
            <w:tcW w:w="7480" w:type="dxa"/>
            <w:vAlign w:val="bottom"/>
          </w:tcPr>
          <w:p>
            <w:pPr>
              <w:ind w:left="220"/>
              <w:spacing w:after="0"/>
              <w:rPr>
                <w:sz w:val="20"/>
                <w:szCs w:val="20"/>
                <w:color w:val="auto"/>
              </w:rPr>
            </w:pPr>
            <w:r>
              <w:rPr>
                <w:rFonts w:ascii="Arial" w:cs="Arial" w:eastAsia="Arial" w:hAnsi="Arial"/>
                <w:sz w:val="18"/>
                <w:szCs w:val="18"/>
                <w:color w:val="auto"/>
              </w:rPr>
              <w:t>Loans and Borrowings</w:t>
            </w:r>
          </w:p>
        </w:tc>
        <w:tc>
          <w:tcPr>
            <w:tcW w:w="21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2.03.</w:t>
            </w:r>
          </w:p>
        </w:tc>
        <w:tc>
          <w:tcPr>
            <w:tcW w:w="7480" w:type="dxa"/>
            <w:vAlign w:val="bottom"/>
          </w:tcPr>
          <w:p>
            <w:pPr>
              <w:ind w:left="220"/>
              <w:spacing w:after="0"/>
              <w:rPr>
                <w:sz w:val="20"/>
                <w:szCs w:val="20"/>
                <w:color w:val="auto"/>
              </w:rPr>
            </w:pPr>
            <w:r>
              <w:rPr>
                <w:rFonts w:ascii="Arial" w:cs="Arial" w:eastAsia="Arial" w:hAnsi="Arial"/>
                <w:sz w:val="18"/>
                <w:szCs w:val="18"/>
                <w:color w:val="auto"/>
              </w:rPr>
              <w:t>Requests for Syndicated Borrowings</w:t>
            </w:r>
          </w:p>
        </w:tc>
        <w:tc>
          <w:tcPr>
            <w:tcW w:w="21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2.04.</w:t>
            </w:r>
          </w:p>
        </w:tc>
        <w:tc>
          <w:tcPr>
            <w:tcW w:w="7480" w:type="dxa"/>
            <w:vAlign w:val="bottom"/>
          </w:tcPr>
          <w:p>
            <w:pPr>
              <w:ind w:left="220"/>
              <w:spacing w:after="0"/>
              <w:rPr>
                <w:sz w:val="20"/>
                <w:szCs w:val="20"/>
                <w:color w:val="auto"/>
              </w:rPr>
            </w:pPr>
            <w:r>
              <w:rPr>
                <w:rFonts w:ascii="Arial" w:cs="Arial" w:eastAsia="Arial" w:hAnsi="Arial"/>
                <w:sz w:val="18"/>
                <w:szCs w:val="18"/>
                <w:color w:val="auto"/>
              </w:rPr>
              <w:t>Swingline Loans</w:t>
            </w:r>
          </w:p>
        </w:tc>
        <w:tc>
          <w:tcPr>
            <w:tcW w:w="21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2.05.</w:t>
            </w:r>
          </w:p>
        </w:tc>
        <w:tc>
          <w:tcPr>
            <w:tcW w:w="7480" w:type="dxa"/>
            <w:vAlign w:val="bottom"/>
          </w:tcPr>
          <w:p>
            <w:pPr>
              <w:ind w:left="220"/>
              <w:spacing w:after="0"/>
              <w:rPr>
                <w:sz w:val="20"/>
                <w:szCs w:val="20"/>
                <w:color w:val="auto"/>
              </w:rPr>
            </w:pPr>
            <w:r>
              <w:rPr>
                <w:rFonts w:ascii="Arial" w:cs="Arial" w:eastAsia="Arial" w:hAnsi="Arial"/>
                <w:sz w:val="18"/>
                <w:szCs w:val="18"/>
                <w:color w:val="auto"/>
              </w:rPr>
              <w:t>Letters of Credit</w:t>
            </w:r>
          </w:p>
        </w:tc>
        <w:tc>
          <w:tcPr>
            <w:tcW w:w="21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2.06.</w:t>
            </w:r>
          </w:p>
        </w:tc>
        <w:tc>
          <w:tcPr>
            <w:tcW w:w="7480" w:type="dxa"/>
            <w:vAlign w:val="bottom"/>
          </w:tcPr>
          <w:p>
            <w:pPr>
              <w:ind w:left="220"/>
              <w:spacing w:after="0"/>
              <w:rPr>
                <w:sz w:val="20"/>
                <w:szCs w:val="20"/>
                <w:color w:val="auto"/>
              </w:rPr>
            </w:pPr>
            <w:r>
              <w:rPr>
                <w:rFonts w:ascii="Arial" w:cs="Arial" w:eastAsia="Arial" w:hAnsi="Arial"/>
                <w:sz w:val="18"/>
                <w:szCs w:val="18"/>
                <w:color w:val="auto"/>
              </w:rPr>
              <w:t>Funding of Borrowings</w:t>
            </w:r>
          </w:p>
        </w:tc>
        <w:tc>
          <w:tcPr>
            <w:tcW w:w="21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2.07.</w:t>
            </w:r>
          </w:p>
        </w:tc>
        <w:tc>
          <w:tcPr>
            <w:tcW w:w="7480" w:type="dxa"/>
            <w:vAlign w:val="bottom"/>
          </w:tcPr>
          <w:p>
            <w:pPr>
              <w:ind w:left="220"/>
              <w:spacing w:after="0"/>
              <w:rPr>
                <w:sz w:val="20"/>
                <w:szCs w:val="20"/>
                <w:color w:val="auto"/>
              </w:rPr>
            </w:pPr>
            <w:r>
              <w:rPr>
                <w:rFonts w:ascii="Arial" w:cs="Arial" w:eastAsia="Arial" w:hAnsi="Arial"/>
                <w:sz w:val="18"/>
                <w:szCs w:val="18"/>
                <w:color w:val="auto"/>
              </w:rPr>
              <w:t>Interest Elections</w:t>
            </w:r>
          </w:p>
        </w:tc>
        <w:tc>
          <w:tcPr>
            <w:tcW w:w="21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2.08.</w:t>
            </w:r>
          </w:p>
        </w:tc>
        <w:tc>
          <w:tcPr>
            <w:tcW w:w="7480" w:type="dxa"/>
            <w:vAlign w:val="bottom"/>
          </w:tcPr>
          <w:p>
            <w:pPr>
              <w:ind w:left="220"/>
              <w:spacing w:after="0"/>
              <w:rPr>
                <w:sz w:val="20"/>
                <w:szCs w:val="20"/>
                <w:color w:val="auto"/>
              </w:rPr>
            </w:pPr>
            <w:r>
              <w:rPr>
                <w:rFonts w:ascii="Arial" w:cs="Arial" w:eastAsia="Arial" w:hAnsi="Arial"/>
                <w:sz w:val="18"/>
                <w:szCs w:val="18"/>
                <w:color w:val="auto"/>
              </w:rPr>
              <w:t>Termination, Reduction or Increase of the Commitments</w:t>
            </w:r>
          </w:p>
        </w:tc>
        <w:tc>
          <w:tcPr>
            <w:tcW w:w="21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2.09.</w:t>
            </w:r>
          </w:p>
        </w:tc>
        <w:tc>
          <w:tcPr>
            <w:tcW w:w="7480" w:type="dxa"/>
            <w:vAlign w:val="bottom"/>
          </w:tcPr>
          <w:p>
            <w:pPr>
              <w:ind w:left="220"/>
              <w:spacing w:after="0"/>
              <w:rPr>
                <w:sz w:val="20"/>
                <w:szCs w:val="20"/>
                <w:color w:val="auto"/>
              </w:rPr>
            </w:pPr>
            <w:r>
              <w:rPr>
                <w:rFonts w:ascii="Arial" w:cs="Arial" w:eastAsia="Arial" w:hAnsi="Arial"/>
                <w:sz w:val="18"/>
                <w:szCs w:val="18"/>
                <w:color w:val="auto"/>
              </w:rPr>
              <w:t>Repayment of Loans; Evidence of Debt</w:t>
            </w:r>
          </w:p>
        </w:tc>
        <w:tc>
          <w:tcPr>
            <w:tcW w:w="21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2.10.</w:t>
            </w:r>
          </w:p>
        </w:tc>
        <w:tc>
          <w:tcPr>
            <w:tcW w:w="7480" w:type="dxa"/>
            <w:vAlign w:val="bottom"/>
          </w:tcPr>
          <w:p>
            <w:pPr>
              <w:ind w:left="220"/>
              <w:spacing w:after="0"/>
              <w:rPr>
                <w:sz w:val="20"/>
                <w:szCs w:val="20"/>
                <w:color w:val="auto"/>
              </w:rPr>
            </w:pPr>
            <w:r>
              <w:rPr>
                <w:rFonts w:ascii="Arial" w:cs="Arial" w:eastAsia="Arial" w:hAnsi="Arial"/>
                <w:sz w:val="18"/>
                <w:szCs w:val="18"/>
                <w:color w:val="auto"/>
              </w:rPr>
              <w:t>Prepayment of Loans</w:t>
            </w:r>
          </w:p>
        </w:tc>
        <w:tc>
          <w:tcPr>
            <w:tcW w:w="21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2.11.</w:t>
            </w:r>
          </w:p>
        </w:tc>
        <w:tc>
          <w:tcPr>
            <w:tcW w:w="7480" w:type="dxa"/>
            <w:vAlign w:val="bottom"/>
          </w:tcPr>
          <w:p>
            <w:pPr>
              <w:ind w:left="220"/>
              <w:spacing w:after="0"/>
              <w:rPr>
                <w:sz w:val="20"/>
                <w:szCs w:val="20"/>
                <w:color w:val="auto"/>
              </w:rPr>
            </w:pPr>
            <w:r>
              <w:rPr>
                <w:rFonts w:ascii="Arial" w:cs="Arial" w:eastAsia="Arial" w:hAnsi="Arial"/>
                <w:sz w:val="18"/>
                <w:szCs w:val="18"/>
                <w:color w:val="auto"/>
              </w:rPr>
              <w:t>Fees</w:t>
            </w:r>
          </w:p>
        </w:tc>
        <w:tc>
          <w:tcPr>
            <w:tcW w:w="21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2.12.</w:t>
            </w:r>
          </w:p>
        </w:tc>
        <w:tc>
          <w:tcPr>
            <w:tcW w:w="7480" w:type="dxa"/>
            <w:vAlign w:val="bottom"/>
          </w:tcPr>
          <w:p>
            <w:pPr>
              <w:ind w:left="220"/>
              <w:spacing w:after="0"/>
              <w:rPr>
                <w:sz w:val="20"/>
                <w:szCs w:val="20"/>
                <w:color w:val="auto"/>
              </w:rPr>
            </w:pPr>
            <w:r>
              <w:rPr>
                <w:rFonts w:ascii="Arial" w:cs="Arial" w:eastAsia="Arial" w:hAnsi="Arial"/>
                <w:sz w:val="18"/>
                <w:szCs w:val="18"/>
                <w:color w:val="auto"/>
              </w:rPr>
              <w:t>Interest</w:t>
            </w:r>
          </w:p>
        </w:tc>
        <w:tc>
          <w:tcPr>
            <w:tcW w:w="21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2.13.</w:t>
            </w:r>
          </w:p>
        </w:tc>
        <w:tc>
          <w:tcPr>
            <w:tcW w:w="7480" w:type="dxa"/>
            <w:vAlign w:val="bottom"/>
          </w:tcPr>
          <w:p>
            <w:pPr>
              <w:ind w:left="220"/>
              <w:spacing w:after="0"/>
              <w:rPr>
                <w:sz w:val="20"/>
                <w:szCs w:val="20"/>
                <w:color w:val="auto"/>
              </w:rPr>
            </w:pPr>
            <w:r>
              <w:rPr>
                <w:rFonts w:ascii="Arial" w:cs="Arial" w:eastAsia="Arial" w:hAnsi="Arial"/>
                <w:sz w:val="18"/>
                <w:szCs w:val="18"/>
                <w:color w:val="auto"/>
              </w:rPr>
              <w:t>Alternate Rate of Interest</w:t>
            </w:r>
          </w:p>
        </w:tc>
        <w:tc>
          <w:tcPr>
            <w:tcW w:w="21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2.14.</w:t>
            </w:r>
          </w:p>
        </w:tc>
        <w:tc>
          <w:tcPr>
            <w:tcW w:w="7480" w:type="dxa"/>
            <w:vAlign w:val="bottom"/>
          </w:tcPr>
          <w:p>
            <w:pPr>
              <w:ind w:left="220"/>
              <w:spacing w:after="0"/>
              <w:rPr>
                <w:sz w:val="20"/>
                <w:szCs w:val="20"/>
                <w:color w:val="auto"/>
              </w:rPr>
            </w:pPr>
            <w:r>
              <w:rPr>
                <w:rFonts w:ascii="Arial" w:cs="Arial" w:eastAsia="Arial" w:hAnsi="Arial"/>
                <w:sz w:val="18"/>
                <w:szCs w:val="18"/>
                <w:color w:val="auto"/>
              </w:rPr>
              <w:t>Increased Costs</w:t>
            </w:r>
          </w:p>
        </w:tc>
        <w:tc>
          <w:tcPr>
            <w:tcW w:w="21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2.15.</w:t>
            </w:r>
          </w:p>
        </w:tc>
        <w:tc>
          <w:tcPr>
            <w:tcW w:w="7480" w:type="dxa"/>
            <w:vAlign w:val="bottom"/>
          </w:tcPr>
          <w:p>
            <w:pPr>
              <w:ind w:left="220"/>
              <w:spacing w:after="0"/>
              <w:rPr>
                <w:sz w:val="20"/>
                <w:szCs w:val="20"/>
                <w:color w:val="auto"/>
              </w:rPr>
            </w:pPr>
            <w:r>
              <w:rPr>
                <w:rFonts w:ascii="Arial" w:cs="Arial" w:eastAsia="Arial" w:hAnsi="Arial"/>
                <w:sz w:val="18"/>
                <w:szCs w:val="18"/>
                <w:color w:val="auto"/>
              </w:rPr>
              <w:t>Break Funding Payments</w:t>
            </w:r>
          </w:p>
        </w:tc>
        <w:tc>
          <w:tcPr>
            <w:tcW w:w="21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2.16.</w:t>
            </w:r>
          </w:p>
        </w:tc>
        <w:tc>
          <w:tcPr>
            <w:tcW w:w="7480" w:type="dxa"/>
            <w:vAlign w:val="bottom"/>
          </w:tcPr>
          <w:p>
            <w:pPr>
              <w:ind w:left="220"/>
              <w:spacing w:after="0"/>
              <w:rPr>
                <w:sz w:val="20"/>
                <w:szCs w:val="20"/>
                <w:color w:val="auto"/>
              </w:rPr>
            </w:pPr>
            <w:r>
              <w:rPr>
                <w:rFonts w:ascii="Arial" w:cs="Arial" w:eastAsia="Arial" w:hAnsi="Arial"/>
                <w:sz w:val="18"/>
                <w:szCs w:val="18"/>
                <w:color w:val="auto"/>
              </w:rPr>
              <w:t>Taxes</w:t>
            </w:r>
          </w:p>
        </w:tc>
        <w:tc>
          <w:tcPr>
            <w:tcW w:w="21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2.17.</w:t>
            </w:r>
          </w:p>
        </w:tc>
        <w:tc>
          <w:tcPr>
            <w:tcW w:w="7480" w:type="dxa"/>
            <w:vAlign w:val="bottom"/>
          </w:tcPr>
          <w:p>
            <w:pPr>
              <w:ind w:left="220"/>
              <w:spacing w:after="0"/>
              <w:rPr>
                <w:sz w:val="20"/>
                <w:szCs w:val="20"/>
                <w:color w:val="auto"/>
              </w:rPr>
            </w:pPr>
            <w:r>
              <w:rPr>
                <w:rFonts w:ascii="Arial" w:cs="Arial" w:eastAsia="Arial" w:hAnsi="Arial"/>
                <w:sz w:val="18"/>
                <w:szCs w:val="18"/>
                <w:color w:val="auto"/>
              </w:rPr>
              <w:t>Payments Generally; Pro Rata Treatment: Sharing of Set-offs</w:t>
            </w:r>
          </w:p>
        </w:tc>
        <w:tc>
          <w:tcPr>
            <w:tcW w:w="21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2.18.</w:t>
            </w:r>
          </w:p>
        </w:tc>
        <w:tc>
          <w:tcPr>
            <w:tcW w:w="7480" w:type="dxa"/>
            <w:vAlign w:val="bottom"/>
          </w:tcPr>
          <w:p>
            <w:pPr>
              <w:ind w:left="220"/>
              <w:spacing w:after="0"/>
              <w:rPr>
                <w:sz w:val="20"/>
                <w:szCs w:val="20"/>
                <w:color w:val="auto"/>
              </w:rPr>
            </w:pPr>
            <w:r>
              <w:rPr>
                <w:rFonts w:ascii="Arial" w:cs="Arial" w:eastAsia="Arial" w:hAnsi="Arial"/>
                <w:sz w:val="18"/>
                <w:szCs w:val="18"/>
                <w:color w:val="auto"/>
              </w:rPr>
              <w:t>Mitigation Obligations; Replacement of Lenders</w:t>
            </w:r>
          </w:p>
        </w:tc>
        <w:tc>
          <w:tcPr>
            <w:tcW w:w="21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2.19.</w:t>
            </w:r>
          </w:p>
        </w:tc>
        <w:tc>
          <w:tcPr>
            <w:tcW w:w="7480" w:type="dxa"/>
            <w:vAlign w:val="bottom"/>
          </w:tcPr>
          <w:p>
            <w:pPr>
              <w:ind w:left="220"/>
              <w:spacing w:after="0"/>
              <w:rPr>
                <w:sz w:val="20"/>
                <w:szCs w:val="20"/>
                <w:color w:val="auto"/>
              </w:rPr>
            </w:pPr>
            <w:r>
              <w:rPr>
                <w:rFonts w:ascii="Arial" w:cs="Arial" w:eastAsia="Arial" w:hAnsi="Arial"/>
                <w:sz w:val="18"/>
                <w:szCs w:val="18"/>
                <w:color w:val="auto"/>
              </w:rPr>
              <w:t>Defaulting Lenders</w:t>
            </w:r>
          </w:p>
        </w:tc>
        <w:tc>
          <w:tcPr>
            <w:tcW w:w="21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1740" w:type="dxa"/>
            <w:vAlign w:val="bottom"/>
          </w:tcPr>
          <w:p>
            <w:pPr>
              <w:ind w:left="360"/>
              <w:spacing w:after="0"/>
              <w:rPr>
                <w:sz w:val="20"/>
                <w:szCs w:val="20"/>
                <w:color w:val="auto"/>
              </w:rPr>
            </w:pPr>
            <w:r>
              <w:rPr>
                <w:rFonts w:ascii="Arial" w:cs="Arial" w:eastAsia="Arial" w:hAnsi="Arial"/>
                <w:sz w:val="18"/>
                <w:szCs w:val="18"/>
                <w:color w:val="auto"/>
              </w:rPr>
              <w:t>SECTION 2.20.</w:t>
            </w:r>
          </w:p>
        </w:tc>
        <w:tc>
          <w:tcPr>
            <w:tcW w:w="7480" w:type="dxa"/>
            <w:vAlign w:val="bottom"/>
          </w:tcPr>
          <w:p>
            <w:pPr>
              <w:ind w:left="220"/>
              <w:spacing w:after="0"/>
              <w:rPr>
                <w:sz w:val="20"/>
                <w:szCs w:val="20"/>
                <w:color w:val="auto"/>
              </w:rPr>
            </w:pPr>
            <w:r>
              <w:rPr>
                <w:rFonts w:ascii="Arial" w:cs="Arial" w:eastAsia="Arial" w:hAnsi="Arial"/>
                <w:sz w:val="18"/>
                <w:szCs w:val="18"/>
                <w:color w:val="auto"/>
              </w:rPr>
              <w:t>Assignment and Reallocation of Existing Commitments and Existing Loans</w:t>
            </w:r>
          </w:p>
        </w:tc>
        <w:tc>
          <w:tcPr>
            <w:tcW w:w="21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9220" w:type="dxa"/>
            <w:vAlign w:val="bottom"/>
            <w:gridSpan w:val="2"/>
          </w:tcPr>
          <w:p>
            <w:pPr>
              <w:spacing w:after="0"/>
              <w:rPr>
                <w:sz w:val="20"/>
                <w:szCs w:val="20"/>
                <w:color w:val="auto"/>
              </w:rPr>
            </w:pPr>
            <w:r>
              <w:rPr>
                <w:rFonts w:ascii="Arial" w:cs="Arial" w:eastAsia="Arial" w:hAnsi="Arial"/>
                <w:sz w:val="18"/>
                <w:szCs w:val="18"/>
                <w:color w:val="auto"/>
              </w:rPr>
              <w:t>ARTICLE III REPRESENTATIONS AND WARRANTIES</w:t>
            </w:r>
          </w:p>
        </w:tc>
        <w:tc>
          <w:tcPr>
            <w:tcW w:w="21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10"/>
        </w:trPr>
        <w:tc>
          <w:tcPr>
            <w:tcW w:w="1740" w:type="dxa"/>
            <w:vAlign w:val="bottom"/>
          </w:tcPr>
          <w:p>
            <w:pPr>
              <w:ind w:left="360"/>
              <w:spacing w:after="0"/>
              <w:rPr>
                <w:sz w:val="20"/>
                <w:szCs w:val="20"/>
                <w:color w:val="auto"/>
              </w:rPr>
            </w:pPr>
            <w:r>
              <w:rPr>
                <w:rFonts w:ascii="Arial" w:cs="Arial" w:eastAsia="Arial" w:hAnsi="Arial"/>
                <w:sz w:val="18"/>
                <w:szCs w:val="18"/>
                <w:color w:val="auto"/>
              </w:rPr>
              <w:t>SECTION 3.01.</w:t>
            </w:r>
          </w:p>
        </w:tc>
        <w:tc>
          <w:tcPr>
            <w:tcW w:w="7480" w:type="dxa"/>
            <w:vAlign w:val="bottom"/>
          </w:tcPr>
          <w:p>
            <w:pPr>
              <w:ind w:left="220"/>
              <w:spacing w:after="0"/>
              <w:rPr>
                <w:sz w:val="20"/>
                <w:szCs w:val="20"/>
                <w:color w:val="auto"/>
              </w:rPr>
            </w:pPr>
            <w:r>
              <w:rPr>
                <w:rFonts w:ascii="Arial" w:cs="Arial" w:eastAsia="Arial" w:hAnsi="Arial"/>
                <w:sz w:val="18"/>
                <w:szCs w:val="18"/>
                <w:color w:val="auto"/>
              </w:rPr>
              <w:t>Organization; Powers</w:t>
            </w:r>
          </w:p>
        </w:tc>
        <w:tc>
          <w:tcPr>
            <w:tcW w:w="21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3.02.</w:t>
            </w:r>
          </w:p>
        </w:tc>
        <w:tc>
          <w:tcPr>
            <w:tcW w:w="7480" w:type="dxa"/>
            <w:vAlign w:val="bottom"/>
          </w:tcPr>
          <w:p>
            <w:pPr>
              <w:ind w:left="220"/>
              <w:spacing w:after="0"/>
              <w:rPr>
                <w:sz w:val="20"/>
                <w:szCs w:val="20"/>
                <w:color w:val="auto"/>
              </w:rPr>
            </w:pPr>
            <w:r>
              <w:rPr>
                <w:rFonts w:ascii="Arial" w:cs="Arial" w:eastAsia="Arial" w:hAnsi="Arial"/>
                <w:sz w:val="18"/>
                <w:szCs w:val="18"/>
                <w:color w:val="auto"/>
              </w:rPr>
              <w:t>Authorization; Enforceability</w:t>
            </w:r>
          </w:p>
        </w:tc>
        <w:tc>
          <w:tcPr>
            <w:tcW w:w="21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3.03.</w:t>
            </w:r>
          </w:p>
        </w:tc>
        <w:tc>
          <w:tcPr>
            <w:tcW w:w="7480" w:type="dxa"/>
            <w:vAlign w:val="bottom"/>
          </w:tcPr>
          <w:p>
            <w:pPr>
              <w:ind w:left="220"/>
              <w:spacing w:after="0"/>
              <w:rPr>
                <w:sz w:val="20"/>
                <w:szCs w:val="20"/>
                <w:color w:val="auto"/>
              </w:rPr>
            </w:pPr>
            <w:r>
              <w:rPr>
                <w:rFonts w:ascii="Arial" w:cs="Arial" w:eastAsia="Arial" w:hAnsi="Arial"/>
                <w:sz w:val="18"/>
                <w:szCs w:val="18"/>
                <w:color w:val="auto"/>
              </w:rPr>
              <w:t>Governmental Approvals; No Conflicts</w:t>
            </w:r>
          </w:p>
        </w:tc>
        <w:tc>
          <w:tcPr>
            <w:tcW w:w="21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3.04.</w:t>
            </w:r>
          </w:p>
        </w:tc>
        <w:tc>
          <w:tcPr>
            <w:tcW w:w="7480" w:type="dxa"/>
            <w:vAlign w:val="bottom"/>
          </w:tcPr>
          <w:p>
            <w:pPr>
              <w:ind w:left="220"/>
              <w:spacing w:after="0"/>
              <w:rPr>
                <w:sz w:val="20"/>
                <w:szCs w:val="20"/>
                <w:color w:val="auto"/>
              </w:rPr>
            </w:pPr>
            <w:r>
              <w:rPr>
                <w:rFonts w:ascii="Arial" w:cs="Arial" w:eastAsia="Arial" w:hAnsi="Arial"/>
                <w:sz w:val="18"/>
                <w:szCs w:val="18"/>
                <w:color w:val="auto"/>
              </w:rPr>
              <w:t>Financial Condition; No Material Adverse Change</w:t>
            </w:r>
          </w:p>
        </w:tc>
        <w:tc>
          <w:tcPr>
            <w:tcW w:w="21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3.05.</w:t>
            </w:r>
          </w:p>
        </w:tc>
        <w:tc>
          <w:tcPr>
            <w:tcW w:w="7480" w:type="dxa"/>
            <w:vAlign w:val="bottom"/>
          </w:tcPr>
          <w:p>
            <w:pPr>
              <w:ind w:left="220"/>
              <w:spacing w:after="0"/>
              <w:rPr>
                <w:sz w:val="20"/>
                <w:szCs w:val="20"/>
                <w:color w:val="auto"/>
              </w:rPr>
            </w:pPr>
            <w:r>
              <w:rPr>
                <w:rFonts w:ascii="Arial" w:cs="Arial" w:eastAsia="Arial" w:hAnsi="Arial"/>
                <w:sz w:val="18"/>
                <w:szCs w:val="18"/>
                <w:color w:val="auto"/>
              </w:rPr>
              <w:t>Litigation</w:t>
            </w:r>
          </w:p>
        </w:tc>
        <w:tc>
          <w:tcPr>
            <w:tcW w:w="21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3.06.</w:t>
            </w:r>
          </w:p>
        </w:tc>
        <w:tc>
          <w:tcPr>
            <w:tcW w:w="7480" w:type="dxa"/>
            <w:vAlign w:val="bottom"/>
          </w:tcPr>
          <w:p>
            <w:pPr>
              <w:ind w:left="220"/>
              <w:spacing w:after="0"/>
              <w:rPr>
                <w:sz w:val="20"/>
                <w:szCs w:val="20"/>
                <w:color w:val="auto"/>
              </w:rPr>
            </w:pPr>
            <w:r>
              <w:rPr>
                <w:rFonts w:ascii="Arial" w:cs="Arial" w:eastAsia="Arial" w:hAnsi="Arial"/>
                <w:sz w:val="18"/>
                <w:szCs w:val="18"/>
                <w:color w:val="auto"/>
              </w:rPr>
              <w:t>Compliance with Laws and Agreements</w:t>
            </w:r>
          </w:p>
        </w:tc>
        <w:tc>
          <w:tcPr>
            <w:tcW w:w="21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3.07.</w:t>
            </w:r>
          </w:p>
        </w:tc>
        <w:tc>
          <w:tcPr>
            <w:tcW w:w="7480" w:type="dxa"/>
            <w:vAlign w:val="bottom"/>
          </w:tcPr>
          <w:p>
            <w:pPr>
              <w:ind w:left="220"/>
              <w:spacing w:after="0"/>
              <w:rPr>
                <w:sz w:val="20"/>
                <w:szCs w:val="20"/>
                <w:color w:val="auto"/>
              </w:rPr>
            </w:pPr>
            <w:r>
              <w:rPr>
                <w:rFonts w:ascii="Arial" w:cs="Arial" w:eastAsia="Arial" w:hAnsi="Arial"/>
                <w:sz w:val="18"/>
                <w:szCs w:val="18"/>
                <w:color w:val="auto"/>
              </w:rPr>
              <w:t>Taxes</w:t>
            </w:r>
          </w:p>
        </w:tc>
        <w:tc>
          <w:tcPr>
            <w:tcW w:w="21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3.08.</w:t>
            </w:r>
          </w:p>
        </w:tc>
        <w:tc>
          <w:tcPr>
            <w:tcW w:w="7480" w:type="dxa"/>
            <w:vAlign w:val="bottom"/>
          </w:tcPr>
          <w:p>
            <w:pPr>
              <w:ind w:left="220"/>
              <w:spacing w:after="0"/>
              <w:rPr>
                <w:sz w:val="20"/>
                <w:szCs w:val="20"/>
                <w:color w:val="auto"/>
              </w:rPr>
            </w:pPr>
            <w:r>
              <w:rPr>
                <w:rFonts w:ascii="Arial" w:cs="Arial" w:eastAsia="Arial" w:hAnsi="Arial"/>
                <w:sz w:val="18"/>
                <w:szCs w:val="18"/>
                <w:color w:val="auto"/>
              </w:rPr>
              <w:t>ERISA</w:t>
            </w:r>
          </w:p>
        </w:tc>
        <w:tc>
          <w:tcPr>
            <w:tcW w:w="21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3.09.</w:t>
            </w:r>
          </w:p>
        </w:tc>
        <w:tc>
          <w:tcPr>
            <w:tcW w:w="7480" w:type="dxa"/>
            <w:vAlign w:val="bottom"/>
          </w:tcPr>
          <w:p>
            <w:pPr>
              <w:ind w:left="220"/>
              <w:spacing w:after="0"/>
              <w:rPr>
                <w:sz w:val="20"/>
                <w:szCs w:val="20"/>
                <w:color w:val="auto"/>
              </w:rPr>
            </w:pPr>
            <w:r>
              <w:rPr>
                <w:rFonts w:ascii="Arial" w:cs="Arial" w:eastAsia="Arial" w:hAnsi="Arial"/>
                <w:sz w:val="18"/>
                <w:szCs w:val="18"/>
                <w:color w:val="auto"/>
              </w:rPr>
              <w:t>Disclosure</w:t>
            </w:r>
          </w:p>
        </w:tc>
        <w:tc>
          <w:tcPr>
            <w:tcW w:w="21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3.10.</w:t>
            </w:r>
          </w:p>
        </w:tc>
        <w:tc>
          <w:tcPr>
            <w:tcW w:w="7480" w:type="dxa"/>
            <w:vAlign w:val="bottom"/>
          </w:tcPr>
          <w:p>
            <w:pPr>
              <w:ind w:left="220"/>
              <w:spacing w:after="0"/>
              <w:rPr>
                <w:sz w:val="20"/>
                <w:szCs w:val="20"/>
                <w:color w:val="auto"/>
              </w:rPr>
            </w:pPr>
            <w:r>
              <w:rPr>
                <w:rFonts w:ascii="Arial" w:cs="Arial" w:eastAsia="Arial" w:hAnsi="Arial"/>
                <w:sz w:val="18"/>
                <w:szCs w:val="18"/>
                <w:color w:val="auto"/>
              </w:rPr>
              <w:t>Investment Company Act; Margin Regulations</w:t>
            </w:r>
          </w:p>
        </w:tc>
        <w:tc>
          <w:tcPr>
            <w:tcW w:w="21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1740" w:type="dxa"/>
            <w:vAlign w:val="bottom"/>
          </w:tcPr>
          <w:p>
            <w:pPr>
              <w:ind w:left="360"/>
              <w:spacing w:after="0"/>
              <w:rPr>
                <w:sz w:val="20"/>
                <w:szCs w:val="20"/>
                <w:color w:val="auto"/>
              </w:rPr>
            </w:pPr>
            <w:r>
              <w:rPr>
                <w:rFonts w:ascii="Arial" w:cs="Arial" w:eastAsia="Arial" w:hAnsi="Arial"/>
                <w:sz w:val="18"/>
                <w:szCs w:val="18"/>
                <w:color w:val="auto"/>
              </w:rPr>
              <w:t>SECTION 3.11.</w:t>
            </w:r>
          </w:p>
        </w:tc>
        <w:tc>
          <w:tcPr>
            <w:tcW w:w="7480" w:type="dxa"/>
            <w:vAlign w:val="bottom"/>
          </w:tcPr>
          <w:p>
            <w:pPr>
              <w:ind w:left="220"/>
              <w:spacing w:after="0"/>
              <w:rPr>
                <w:sz w:val="20"/>
                <w:szCs w:val="20"/>
                <w:color w:val="auto"/>
              </w:rPr>
            </w:pPr>
            <w:r>
              <w:rPr>
                <w:rFonts w:ascii="Arial" w:cs="Arial" w:eastAsia="Arial" w:hAnsi="Arial"/>
                <w:sz w:val="18"/>
                <w:szCs w:val="18"/>
                <w:color w:val="auto"/>
              </w:rPr>
              <w:t>Material Agreements and Liens</w:t>
            </w:r>
          </w:p>
        </w:tc>
        <w:tc>
          <w:tcPr>
            <w:tcW w:w="2100" w:type="dxa"/>
            <w:vAlign w:val="bottom"/>
          </w:tcPr>
          <w:p>
            <w:pPr>
              <w:jc w:val="right"/>
              <w:spacing w:after="0"/>
              <w:rPr>
                <w:sz w:val="20"/>
                <w:szCs w:val="20"/>
                <w:color w:val="auto"/>
              </w:rPr>
            </w:pPr>
            <w:r>
              <w:rPr>
                <w:rFonts w:ascii="Arial" w:cs="Arial" w:eastAsia="Arial" w:hAnsi="Arial"/>
                <w:sz w:val="18"/>
                <w:szCs w:val="18"/>
                <w:color w:val="auto"/>
              </w:rPr>
              <w:t>71</w:t>
            </w: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0"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20"/>
        </w:trPr>
        <w:tc>
          <w:tcPr>
            <w:tcW w:w="1740" w:type="dxa"/>
            <w:vAlign w:val="bottom"/>
          </w:tcPr>
          <w:p>
            <w:pPr>
              <w:spacing w:after="0"/>
              <w:rPr>
                <w:sz w:val="19"/>
                <w:szCs w:val="19"/>
                <w:color w:val="auto"/>
              </w:rPr>
            </w:pPr>
          </w:p>
        </w:tc>
        <w:tc>
          <w:tcPr>
            <w:tcW w:w="7220" w:type="dxa"/>
            <w:vAlign w:val="bottom"/>
          </w:tcPr>
          <w:p>
            <w:pPr>
              <w:ind w:left="3020"/>
              <w:spacing w:after="0"/>
              <w:rPr>
                <w:sz w:val="20"/>
                <w:szCs w:val="20"/>
                <w:color w:val="auto"/>
              </w:rPr>
            </w:pPr>
            <w:r>
              <w:rPr>
                <w:rFonts w:ascii="Arial" w:cs="Arial" w:eastAsia="Arial" w:hAnsi="Arial"/>
                <w:sz w:val="18"/>
                <w:szCs w:val="18"/>
                <w:b w:val="1"/>
                <w:bCs w:val="1"/>
                <w:color w:val="auto"/>
              </w:rPr>
              <w:t>TABLE OF CONTENTS</w:t>
            </w:r>
          </w:p>
        </w:tc>
        <w:tc>
          <w:tcPr>
            <w:tcW w:w="2360" w:type="dxa"/>
            <w:vAlign w:val="bottom"/>
          </w:tcPr>
          <w:p>
            <w:pPr>
              <w:spacing w:after="0"/>
              <w:rPr>
                <w:sz w:val="19"/>
                <w:szCs w:val="19"/>
                <w:color w:val="auto"/>
              </w:rPr>
            </w:pPr>
          </w:p>
        </w:tc>
      </w:tr>
      <w:tr>
        <w:trPr>
          <w:trHeight w:val="230"/>
        </w:trPr>
        <w:tc>
          <w:tcPr>
            <w:tcW w:w="1740" w:type="dxa"/>
            <w:vAlign w:val="bottom"/>
          </w:tcPr>
          <w:p>
            <w:pPr>
              <w:spacing w:after="0"/>
              <w:rPr>
                <w:sz w:val="20"/>
                <w:szCs w:val="20"/>
                <w:color w:val="auto"/>
              </w:rPr>
            </w:pPr>
          </w:p>
        </w:tc>
        <w:tc>
          <w:tcPr>
            <w:tcW w:w="7220" w:type="dxa"/>
            <w:vAlign w:val="bottom"/>
          </w:tcPr>
          <w:p>
            <w:pPr>
              <w:ind w:left="3560"/>
              <w:spacing w:after="0"/>
              <w:rPr>
                <w:sz w:val="20"/>
                <w:szCs w:val="20"/>
                <w:color w:val="auto"/>
              </w:rPr>
            </w:pPr>
            <w:r>
              <w:rPr>
                <w:rFonts w:ascii="Arial" w:cs="Arial" w:eastAsia="Arial" w:hAnsi="Arial"/>
                <w:sz w:val="18"/>
                <w:szCs w:val="18"/>
                <w:color w:val="auto"/>
              </w:rPr>
              <w:t>(continued)</w:t>
            </w:r>
          </w:p>
        </w:tc>
        <w:tc>
          <w:tcPr>
            <w:tcW w:w="2360" w:type="dxa"/>
            <w:vAlign w:val="bottom"/>
          </w:tcPr>
          <w:p>
            <w:pPr>
              <w:spacing w:after="0"/>
              <w:rPr>
                <w:sz w:val="20"/>
                <w:szCs w:val="20"/>
                <w:color w:val="auto"/>
              </w:rPr>
            </w:pPr>
          </w:p>
        </w:tc>
      </w:tr>
      <w:tr>
        <w:trPr>
          <w:trHeight w:val="283"/>
        </w:trPr>
        <w:tc>
          <w:tcPr>
            <w:tcW w:w="174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3.12.</w:t>
            </w:r>
          </w:p>
        </w:tc>
        <w:tc>
          <w:tcPr>
            <w:tcW w:w="7220" w:type="dxa"/>
            <w:vAlign w:val="bottom"/>
          </w:tcPr>
          <w:p>
            <w:pPr>
              <w:ind w:left="220"/>
              <w:spacing w:after="0"/>
              <w:rPr>
                <w:sz w:val="20"/>
                <w:szCs w:val="20"/>
                <w:color w:val="auto"/>
              </w:rPr>
            </w:pPr>
            <w:r>
              <w:rPr>
                <w:rFonts w:ascii="Arial" w:cs="Arial" w:eastAsia="Arial" w:hAnsi="Arial"/>
                <w:sz w:val="18"/>
                <w:szCs w:val="18"/>
                <w:color w:val="auto"/>
              </w:rPr>
              <w:t>Subsidiaries and Investments</w:t>
            </w:r>
          </w:p>
        </w:tc>
        <w:tc>
          <w:tcPr>
            <w:tcW w:w="23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3.13.</w:t>
            </w:r>
          </w:p>
        </w:tc>
        <w:tc>
          <w:tcPr>
            <w:tcW w:w="7220" w:type="dxa"/>
            <w:vAlign w:val="bottom"/>
          </w:tcPr>
          <w:p>
            <w:pPr>
              <w:ind w:left="220"/>
              <w:spacing w:after="0"/>
              <w:rPr>
                <w:sz w:val="20"/>
                <w:szCs w:val="20"/>
                <w:color w:val="auto"/>
              </w:rPr>
            </w:pPr>
            <w:r>
              <w:rPr>
                <w:rFonts w:ascii="Arial" w:cs="Arial" w:eastAsia="Arial" w:hAnsi="Arial"/>
                <w:sz w:val="18"/>
                <w:szCs w:val="18"/>
                <w:color w:val="auto"/>
              </w:rPr>
              <w:t>Properties</w:t>
            </w:r>
          </w:p>
        </w:tc>
        <w:tc>
          <w:tcPr>
            <w:tcW w:w="23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3.14.</w:t>
            </w:r>
          </w:p>
        </w:tc>
        <w:tc>
          <w:tcPr>
            <w:tcW w:w="7220" w:type="dxa"/>
            <w:vAlign w:val="bottom"/>
          </w:tcPr>
          <w:p>
            <w:pPr>
              <w:ind w:left="220"/>
              <w:spacing w:after="0"/>
              <w:rPr>
                <w:sz w:val="20"/>
                <w:szCs w:val="20"/>
                <w:color w:val="auto"/>
              </w:rPr>
            </w:pPr>
            <w:r>
              <w:rPr>
                <w:rFonts w:ascii="Arial" w:cs="Arial" w:eastAsia="Arial" w:hAnsi="Arial"/>
                <w:sz w:val="18"/>
                <w:szCs w:val="18"/>
                <w:color w:val="auto"/>
              </w:rPr>
              <w:t>Affiliate Agreements</w:t>
            </w:r>
          </w:p>
        </w:tc>
        <w:tc>
          <w:tcPr>
            <w:tcW w:w="23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3.15.</w:t>
            </w:r>
          </w:p>
        </w:tc>
        <w:tc>
          <w:tcPr>
            <w:tcW w:w="7220" w:type="dxa"/>
            <w:vAlign w:val="bottom"/>
          </w:tcPr>
          <w:p>
            <w:pPr>
              <w:ind w:left="220"/>
              <w:spacing w:after="0"/>
              <w:rPr>
                <w:sz w:val="20"/>
                <w:szCs w:val="20"/>
                <w:color w:val="auto"/>
              </w:rPr>
            </w:pPr>
            <w:r>
              <w:rPr>
                <w:rFonts w:ascii="Arial" w:cs="Arial" w:eastAsia="Arial" w:hAnsi="Arial"/>
                <w:sz w:val="18"/>
                <w:szCs w:val="18"/>
                <w:color w:val="auto"/>
              </w:rPr>
              <w:t>Sanctions</w:t>
            </w:r>
          </w:p>
        </w:tc>
        <w:tc>
          <w:tcPr>
            <w:tcW w:w="23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3.16.</w:t>
            </w:r>
          </w:p>
        </w:tc>
        <w:tc>
          <w:tcPr>
            <w:tcW w:w="7220" w:type="dxa"/>
            <w:vAlign w:val="bottom"/>
          </w:tcPr>
          <w:p>
            <w:pPr>
              <w:ind w:left="220"/>
              <w:spacing w:after="0"/>
              <w:rPr>
                <w:sz w:val="20"/>
                <w:szCs w:val="20"/>
                <w:color w:val="auto"/>
              </w:rPr>
            </w:pPr>
            <w:r>
              <w:rPr>
                <w:rFonts w:ascii="Arial" w:cs="Arial" w:eastAsia="Arial" w:hAnsi="Arial"/>
                <w:sz w:val="18"/>
                <w:szCs w:val="18"/>
                <w:color w:val="auto"/>
              </w:rPr>
              <w:t>Patriot Act</w:t>
            </w:r>
          </w:p>
        </w:tc>
        <w:tc>
          <w:tcPr>
            <w:tcW w:w="23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1740" w:type="dxa"/>
            <w:vAlign w:val="bottom"/>
          </w:tcPr>
          <w:p>
            <w:pPr>
              <w:ind w:left="360"/>
              <w:spacing w:after="0"/>
              <w:rPr>
                <w:sz w:val="20"/>
                <w:szCs w:val="20"/>
                <w:color w:val="auto"/>
              </w:rPr>
            </w:pPr>
            <w:r>
              <w:rPr>
                <w:rFonts w:ascii="Arial" w:cs="Arial" w:eastAsia="Arial" w:hAnsi="Arial"/>
                <w:sz w:val="18"/>
                <w:szCs w:val="18"/>
                <w:color w:val="auto"/>
              </w:rPr>
              <w:t>SECTION 3.17.</w:t>
            </w:r>
          </w:p>
        </w:tc>
        <w:tc>
          <w:tcPr>
            <w:tcW w:w="7220" w:type="dxa"/>
            <w:vAlign w:val="bottom"/>
          </w:tcPr>
          <w:p>
            <w:pPr>
              <w:ind w:left="220"/>
              <w:spacing w:after="0"/>
              <w:rPr>
                <w:sz w:val="20"/>
                <w:szCs w:val="20"/>
                <w:color w:val="auto"/>
              </w:rPr>
            </w:pPr>
            <w:r>
              <w:rPr>
                <w:rFonts w:ascii="Arial" w:cs="Arial" w:eastAsia="Arial" w:hAnsi="Arial"/>
                <w:sz w:val="18"/>
                <w:szCs w:val="18"/>
                <w:color w:val="auto"/>
              </w:rPr>
              <w:t>Collateral Documents</w:t>
            </w:r>
          </w:p>
        </w:tc>
        <w:tc>
          <w:tcPr>
            <w:tcW w:w="23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24"/>
        </w:trPr>
        <w:tc>
          <w:tcPr>
            <w:tcW w:w="8960" w:type="dxa"/>
            <w:vAlign w:val="bottom"/>
            <w:gridSpan w:val="2"/>
          </w:tcPr>
          <w:p>
            <w:pPr>
              <w:spacing w:after="0"/>
              <w:rPr>
                <w:sz w:val="20"/>
                <w:szCs w:val="20"/>
                <w:color w:val="auto"/>
              </w:rPr>
            </w:pPr>
            <w:r>
              <w:rPr>
                <w:rFonts w:ascii="Arial" w:cs="Arial" w:eastAsia="Arial" w:hAnsi="Arial"/>
                <w:sz w:val="18"/>
                <w:szCs w:val="18"/>
                <w:color w:val="auto"/>
              </w:rPr>
              <w:t>ARTICLE IV CONDITIONS</w:t>
            </w:r>
          </w:p>
        </w:tc>
        <w:tc>
          <w:tcPr>
            <w:tcW w:w="23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10"/>
        </w:trPr>
        <w:tc>
          <w:tcPr>
            <w:tcW w:w="1740" w:type="dxa"/>
            <w:vAlign w:val="bottom"/>
          </w:tcPr>
          <w:p>
            <w:pPr>
              <w:ind w:left="360"/>
              <w:spacing w:after="0"/>
              <w:rPr>
                <w:sz w:val="20"/>
                <w:szCs w:val="20"/>
                <w:color w:val="auto"/>
              </w:rPr>
            </w:pPr>
            <w:r>
              <w:rPr>
                <w:rFonts w:ascii="Arial" w:cs="Arial" w:eastAsia="Arial" w:hAnsi="Arial"/>
                <w:sz w:val="18"/>
                <w:szCs w:val="18"/>
                <w:color w:val="auto"/>
              </w:rPr>
              <w:t>SECTION 4.01.</w:t>
            </w:r>
          </w:p>
        </w:tc>
        <w:tc>
          <w:tcPr>
            <w:tcW w:w="7220" w:type="dxa"/>
            <w:vAlign w:val="bottom"/>
          </w:tcPr>
          <w:p>
            <w:pPr>
              <w:ind w:left="220"/>
              <w:spacing w:after="0"/>
              <w:rPr>
                <w:sz w:val="20"/>
                <w:szCs w:val="20"/>
                <w:color w:val="auto"/>
              </w:rPr>
            </w:pPr>
            <w:r>
              <w:rPr>
                <w:rFonts w:ascii="Arial" w:cs="Arial" w:eastAsia="Arial" w:hAnsi="Arial"/>
                <w:sz w:val="18"/>
                <w:szCs w:val="18"/>
                <w:color w:val="auto"/>
              </w:rPr>
              <w:t>Effective Date</w:t>
            </w:r>
          </w:p>
        </w:tc>
        <w:tc>
          <w:tcPr>
            <w:tcW w:w="23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1740" w:type="dxa"/>
            <w:vAlign w:val="bottom"/>
          </w:tcPr>
          <w:p>
            <w:pPr>
              <w:ind w:left="360"/>
              <w:spacing w:after="0"/>
              <w:rPr>
                <w:sz w:val="20"/>
                <w:szCs w:val="20"/>
                <w:color w:val="auto"/>
              </w:rPr>
            </w:pPr>
            <w:r>
              <w:rPr>
                <w:rFonts w:ascii="Arial" w:cs="Arial" w:eastAsia="Arial" w:hAnsi="Arial"/>
                <w:sz w:val="18"/>
                <w:szCs w:val="18"/>
                <w:color w:val="auto"/>
              </w:rPr>
              <w:t>SECTION 4.02.</w:t>
            </w:r>
          </w:p>
        </w:tc>
        <w:tc>
          <w:tcPr>
            <w:tcW w:w="7220" w:type="dxa"/>
            <w:vAlign w:val="bottom"/>
          </w:tcPr>
          <w:p>
            <w:pPr>
              <w:ind w:left="220"/>
              <w:spacing w:after="0"/>
              <w:rPr>
                <w:sz w:val="20"/>
                <w:szCs w:val="20"/>
                <w:color w:val="auto"/>
              </w:rPr>
            </w:pPr>
            <w:r>
              <w:rPr>
                <w:rFonts w:ascii="Arial" w:cs="Arial" w:eastAsia="Arial" w:hAnsi="Arial"/>
                <w:sz w:val="18"/>
                <w:szCs w:val="18"/>
                <w:color w:val="auto"/>
              </w:rPr>
              <w:t>Each Credit Event</w:t>
            </w:r>
          </w:p>
        </w:tc>
        <w:tc>
          <w:tcPr>
            <w:tcW w:w="23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24"/>
        </w:trPr>
        <w:tc>
          <w:tcPr>
            <w:tcW w:w="8960" w:type="dxa"/>
            <w:vAlign w:val="bottom"/>
            <w:gridSpan w:val="2"/>
          </w:tcPr>
          <w:p>
            <w:pPr>
              <w:spacing w:after="0"/>
              <w:rPr>
                <w:sz w:val="20"/>
                <w:szCs w:val="20"/>
                <w:color w:val="auto"/>
              </w:rPr>
            </w:pPr>
            <w:r>
              <w:rPr>
                <w:rFonts w:ascii="Arial" w:cs="Arial" w:eastAsia="Arial" w:hAnsi="Arial"/>
                <w:sz w:val="18"/>
                <w:szCs w:val="18"/>
                <w:color w:val="auto"/>
              </w:rPr>
              <w:t>ARTICLE V AFFIRMATIVE COVENANTS</w:t>
            </w:r>
          </w:p>
        </w:tc>
        <w:tc>
          <w:tcPr>
            <w:tcW w:w="23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10"/>
        </w:trPr>
        <w:tc>
          <w:tcPr>
            <w:tcW w:w="1740" w:type="dxa"/>
            <w:vAlign w:val="bottom"/>
          </w:tcPr>
          <w:p>
            <w:pPr>
              <w:ind w:left="360"/>
              <w:spacing w:after="0"/>
              <w:rPr>
                <w:sz w:val="20"/>
                <w:szCs w:val="20"/>
                <w:color w:val="auto"/>
              </w:rPr>
            </w:pPr>
            <w:r>
              <w:rPr>
                <w:rFonts w:ascii="Arial" w:cs="Arial" w:eastAsia="Arial" w:hAnsi="Arial"/>
                <w:sz w:val="18"/>
                <w:szCs w:val="18"/>
                <w:color w:val="auto"/>
              </w:rPr>
              <w:t>SECTION 5.01.</w:t>
            </w:r>
          </w:p>
        </w:tc>
        <w:tc>
          <w:tcPr>
            <w:tcW w:w="7220" w:type="dxa"/>
            <w:vAlign w:val="bottom"/>
          </w:tcPr>
          <w:p>
            <w:pPr>
              <w:ind w:left="220"/>
              <w:spacing w:after="0"/>
              <w:rPr>
                <w:sz w:val="20"/>
                <w:szCs w:val="20"/>
                <w:color w:val="auto"/>
              </w:rPr>
            </w:pPr>
            <w:r>
              <w:rPr>
                <w:rFonts w:ascii="Arial" w:cs="Arial" w:eastAsia="Arial" w:hAnsi="Arial"/>
                <w:sz w:val="18"/>
                <w:szCs w:val="18"/>
                <w:color w:val="auto"/>
              </w:rPr>
              <w:t>Financial Statements and Other Information</w:t>
            </w:r>
          </w:p>
        </w:tc>
        <w:tc>
          <w:tcPr>
            <w:tcW w:w="23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5.02.</w:t>
            </w:r>
          </w:p>
        </w:tc>
        <w:tc>
          <w:tcPr>
            <w:tcW w:w="7220" w:type="dxa"/>
            <w:vAlign w:val="bottom"/>
          </w:tcPr>
          <w:p>
            <w:pPr>
              <w:ind w:left="220"/>
              <w:spacing w:after="0"/>
              <w:rPr>
                <w:sz w:val="20"/>
                <w:szCs w:val="20"/>
                <w:color w:val="auto"/>
              </w:rPr>
            </w:pPr>
            <w:r>
              <w:rPr>
                <w:rFonts w:ascii="Arial" w:cs="Arial" w:eastAsia="Arial" w:hAnsi="Arial"/>
                <w:sz w:val="18"/>
                <w:szCs w:val="18"/>
                <w:color w:val="auto"/>
              </w:rPr>
              <w:t>Notices of Material Events</w:t>
            </w:r>
          </w:p>
        </w:tc>
        <w:tc>
          <w:tcPr>
            <w:tcW w:w="23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5.03.</w:t>
            </w:r>
          </w:p>
        </w:tc>
        <w:tc>
          <w:tcPr>
            <w:tcW w:w="7220" w:type="dxa"/>
            <w:vAlign w:val="bottom"/>
          </w:tcPr>
          <w:p>
            <w:pPr>
              <w:ind w:left="220"/>
              <w:spacing w:after="0"/>
              <w:rPr>
                <w:sz w:val="20"/>
                <w:szCs w:val="20"/>
                <w:color w:val="auto"/>
              </w:rPr>
            </w:pPr>
            <w:r>
              <w:rPr>
                <w:rFonts w:ascii="Arial" w:cs="Arial" w:eastAsia="Arial" w:hAnsi="Arial"/>
                <w:sz w:val="18"/>
                <w:szCs w:val="18"/>
                <w:color w:val="auto"/>
              </w:rPr>
              <w:t>Existence: Conduct of Business</w:t>
            </w:r>
          </w:p>
        </w:tc>
        <w:tc>
          <w:tcPr>
            <w:tcW w:w="23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5.04.</w:t>
            </w:r>
          </w:p>
        </w:tc>
        <w:tc>
          <w:tcPr>
            <w:tcW w:w="7220" w:type="dxa"/>
            <w:vAlign w:val="bottom"/>
          </w:tcPr>
          <w:p>
            <w:pPr>
              <w:ind w:left="220"/>
              <w:spacing w:after="0"/>
              <w:rPr>
                <w:sz w:val="20"/>
                <w:szCs w:val="20"/>
                <w:color w:val="auto"/>
              </w:rPr>
            </w:pPr>
            <w:r>
              <w:rPr>
                <w:rFonts w:ascii="Arial" w:cs="Arial" w:eastAsia="Arial" w:hAnsi="Arial"/>
                <w:sz w:val="18"/>
                <w:szCs w:val="18"/>
                <w:color w:val="auto"/>
              </w:rPr>
              <w:t>Payment of Obligations</w:t>
            </w:r>
          </w:p>
        </w:tc>
        <w:tc>
          <w:tcPr>
            <w:tcW w:w="23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5.05.</w:t>
            </w:r>
          </w:p>
        </w:tc>
        <w:tc>
          <w:tcPr>
            <w:tcW w:w="7220" w:type="dxa"/>
            <w:vAlign w:val="bottom"/>
          </w:tcPr>
          <w:p>
            <w:pPr>
              <w:ind w:left="220"/>
              <w:spacing w:after="0"/>
              <w:rPr>
                <w:sz w:val="20"/>
                <w:szCs w:val="20"/>
                <w:color w:val="auto"/>
              </w:rPr>
            </w:pPr>
            <w:r>
              <w:rPr>
                <w:rFonts w:ascii="Arial" w:cs="Arial" w:eastAsia="Arial" w:hAnsi="Arial"/>
                <w:sz w:val="18"/>
                <w:szCs w:val="18"/>
                <w:color w:val="auto"/>
              </w:rPr>
              <w:t>Maintenance of Properties; Insurance</w:t>
            </w:r>
          </w:p>
        </w:tc>
        <w:tc>
          <w:tcPr>
            <w:tcW w:w="23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5.06.</w:t>
            </w:r>
          </w:p>
        </w:tc>
        <w:tc>
          <w:tcPr>
            <w:tcW w:w="7220" w:type="dxa"/>
            <w:vAlign w:val="bottom"/>
          </w:tcPr>
          <w:p>
            <w:pPr>
              <w:ind w:left="220"/>
              <w:spacing w:after="0"/>
              <w:rPr>
                <w:sz w:val="20"/>
                <w:szCs w:val="20"/>
                <w:color w:val="auto"/>
              </w:rPr>
            </w:pPr>
            <w:r>
              <w:rPr>
                <w:rFonts w:ascii="Arial" w:cs="Arial" w:eastAsia="Arial" w:hAnsi="Arial"/>
                <w:sz w:val="18"/>
                <w:szCs w:val="18"/>
                <w:color w:val="auto"/>
              </w:rPr>
              <w:t>Books and Records; Inspection and Audit Rights</w:t>
            </w:r>
          </w:p>
        </w:tc>
        <w:tc>
          <w:tcPr>
            <w:tcW w:w="23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5.07.</w:t>
            </w:r>
          </w:p>
        </w:tc>
        <w:tc>
          <w:tcPr>
            <w:tcW w:w="7220" w:type="dxa"/>
            <w:vAlign w:val="bottom"/>
          </w:tcPr>
          <w:p>
            <w:pPr>
              <w:ind w:left="220"/>
              <w:spacing w:after="0"/>
              <w:rPr>
                <w:sz w:val="20"/>
                <w:szCs w:val="20"/>
                <w:color w:val="auto"/>
              </w:rPr>
            </w:pPr>
            <w:r>
              <w:rPr>
                <w:rFonts w:ascii="Arial" w:cs="Arial" w:eastAsia="Arial" w:hAnsi="Arial"/>
                <w:sz w:val="18"/>
                <w:szCs w:val="18"/>
                <w:color w:val="auto"/>
              </w:rPr>
              <w:t>Compliance with Laws</w:t>
            </w:r>
          </w:p>
        </w:tc>
        <w:tc>
          <w:tcPr>
            <w:tcW w:w="23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5.08.</w:t>
            </w:r>
          </w:p>
        </w:tc>
        <w:tc>
          <w:tcPr>
            <w:tcW w:w="7220" w:type="dxa"/>
            <w:vAlign w:val="bottom"/>
          </w:tcPr>
          <w:p>
            <w:pPr>
              <w:ind w:left="220"/>
              <w:spacing w:after="0"/>
              <w:rPr>
                <w:sz w:val="20"/>
                <w:szCs w:val="20"/>
                <w:color w:val="auto"/>
              </w:rPr>
            </w:pPr>
            <w:r>
              <w:rPr>
                <w:rFonts w:ascii="Arial" w:cs="Arial" w:eastAsia="Arial" w:hAnsi="Arial"/>
                <w:sz w:val="18"/>
                <w:szCs w:val="18"/>
                <w:color w:val="auto"/>
              </w:rPr>
              <w:t>Certain Obligations Respecting Subsidiaries; Further Assurances</w:t>
            </w:r>
          </w:p>
        </w:tc>
        <w:tc>
          <w:tcPr>
            <w:tcW w:w="23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5.09.</w:t>
            </w:r>
          </w:p>
        </w:tc>
        <w:tc>
          <w:tcPr>
            <w:tcW w:w="7220" w:type="dxa"/>
            <w:vAlign w:val="bottom"/>
          </w:tcPr>
          <w:p>
            <w:pPr>
              <w:ind w:left="220"/>
              <w:spacing w:after="0"/>
              <w:rPr>
                <w:sz w:val="20"/>
                <w:szCs w:val="20"/>
                <w:color w:val="auto"/>
              </w:rPr>
            </w:pPr>
            <w:r>
              <w:rPr>
                <w:rFonts w:ascii="Arial" w:cs="Arial" w:eastAsia="Arial" w:hAnsi="Arial"/>
                <w:sz w:val="18"/>
                <w:szCs w:val="18"/>
                <w:color w:val="auto"/>
              </w:rPr>
              <w:t>Use of Proceeds</w:t>
            </w:r>
          </w:p>
        </w:tc>
        <w:tc>
          <w:tcPr>
            <w:tcW w:w="23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5.10.</w:t>
            </w:r>
          </w:p>
        </w:tc>
        <w:tc>
          <w:tcPr>
            <w:tcW w:w="7220" w:type="dxa"/>
            <w:vAlign w:val="bottom"/>
          </w:tcPr>
          <w:p>
            <w:pPr>
              <w:ind w:left="220"/>
              <w:spacing w:after="0"/>
              <w:rPr>
                <w:sz w:val="20"/>
                <w:szCs w:val="20"/>
                <w:color w:val="auto"/>
              </w:rPr>
            </w:pPr>
            <w:r>
              <w:rPr>
                <w:rFonts w:ascii="Arial" w:cs="Arial" w:eastAsia="Arial" w:hAnsi="Arial"/>
                <w:sz w:val="18"/>
                <w:szCs w:val="18"/>
                <w:color w:val="auto"/>
              </w:rPr>
              <w:t>Status of RIC and BDC</w:t>
            </w:r>
          </w:p>
        </w:tc>
        <w:tc>
          <w:tcPr>
            <w:tcW w:w="23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5.11.</w:t>
            </w:r>
          </w:p>
        </w:tc>
        <w:tc>
          <w:tcPr>
            <w:tcW w:w="7220" w:type="dxa"/>
            <w:vAlign w:val="bottom"/>
          </w:tcPr>
          <w:p>
            <w:pPr>
              <w:ind w:left="220"/>
              <w:spacing w:after="0"/>
              <w:rPr>
                <w:sz w:val="20"/>
                <w:szCs w:val="20"/>
                <w:color w:val="auto"/>
              </w:rPr>
            </w:pPr>
            <w:r>
              <w:rPr>
                <w:rFonts w:ascii="Arial" w:cs="Arial" w:eastAsia="Arial" w:hAnsi="Arial"/>
                <w:sz w:val="18"/>
                <w:szCs w:val="18"/>
                <w:color w:val="auto"/>
              </w:rPr>
              <w:t>Investment Policies</w:t>
            </w:r>
          </w:p>
        </w:tc>
        <w:tc>
          <w:tcPr>
            <w:tcW w:w="23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5.12.</w:t>
            </w:r>
          </w:p>
        </w:tc>
        <w:tc>
          <w:tcPr>
            <w:tcW w:w="7220" w:type="dxa"/>
            <w:vAlign w:val="bottom"/>
          </w:tcPr>
          <w:p>
            <w:pPr>
              <w:ind w:left="220"/>
              <w:spacing w:after="0"/>
              <w:rPr>
                <w:sz w:val="20"/>
                <w:szCs w:val="20"/>
                <w:color w:val="auto"/>
              </w:rPr>
            </w:pPr>
            <w:r>
              <w:rPr>
                <w:rFonts w:ascii="Arial" w:cs="Arial" w:eastAsia="Arial" w:hAnsi="Arial"/>
                <w:sz w:val="18"/>
                <w:szCs w:val="18"/>
                <w:color w:val="auto"/>
              </w:rPr>
              <w:t>Portfolio Valuation and Diversification Etc</w:t>
            </w:r>
          </w:p>
        </w:tc>
        <w:tc>
          <w:tcPr>
            <w:tcW w:w="23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1740" w:type="dxa"/>
            <w:vAlign w:val="bottom"/>
          </w:tcPr>
          <w:p>
            <w:pPr>
              <w:ind w:left="360"/>
              <w:spacing w:after="0"/>
              <w:rPr>
                <w:sz w:val="20"/>
                <w:szCs w:val="20"/>
                <w:color w:val="auto"/>
              </w:rPr>
            </w:pPr>
            <w:r>
              <w:rPr>
                <w:rFonts w:ascii="Arial" w:cs="Arial" w:eastAsia="Arial" w:hAnsi="Arial"/>
                <w:sz w:val="18"/>
                <w:szCs w:val="18"/>
                <w:color w:val="auto"/>
              </w:rPr>
              <w:t>SECTION 5.13.</w:t>
            </w:r>
          </w:p>
        </w:tc>
        <w:tc>
          <w:tcPr>
            <w:tcW w:w="7220" w:type="dxa"/>
            <w:vAlign w:val="bottom"/>
          </w:tcPr>
          <w:p>
            <w:pPr>
              <w:ind w:left="220"/>
              <w:spacing w:after="0"/>
              <w:rPr>
                <w:sz w:val="20"/>
                <w:szCs w:val="20"/>
                <w:color w:val="auto"/>
              </w:rPr>
            </w:pPr>
            <w:r>
              <w:rPr>
                <w:rFonts w:ascii="Arial" w:cs="Arial" w:eastAsia="Arial" w:hAnsi="Arial"/>
                <w:sz w:val="18"/>
                <w:szCs w:val="18"/>
                <w:color w:val="auto"/>
              </w:rPr>
              <w:t>Calculation of Borrowing Base</w:t>
            </w:r>
          </w:p>
        </w:tc>
        <w:tc>
          <w:tcPr>
            <w:tcW w:w="23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24"/>
        </w:trPr>
        <w:tc>
          <w:tcPr>
            <w:tcW w:w="8960" w:type="dxa"/>
            <w:vAlign w:val="bottom"/>
            <w:gridSpan w:val="2"/>
          </w:tcPr>
          <w:p>
            <w:pPr>
              <w:spacing w:after="0"/>
              <w:rPr>
                <w:sz w:val="20"/>
                <w:szCs w:val="20"/>
                <w:color w:val="auto"/>
              </w:rPr>
            </w:pPr>
            <w:r>
              <w:rPr>
                <w:rFonts w:ascii="Arial" w:cs="Arial" w:eastAsia="Arial" w:hAnsi="Arial"/>
                <w:sz w:val="18"/>
                <w:szCs w:val="18"/>
                <w:color w:val="auto"/>
              </w:rPr>
              <w:t>ARTICLE VI NEGATIVE COVENANTS</w:t>
            </w:r>
          </w:p>
        </w:tc>
        <w:tc>
          <w:tcPr>
            <w:tcW w:w="23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10"/>
        </w:trPr>
        <w:tc>
          <w:tcPr>
            <w:tcW w:w="1740" w:type="dxa"/>
            <w:vAlign w:val="bottom"/>
          </w:tcPr>
          <w:p>
            <w:pPr>
              <w:ind w:left="360"/>
              <w:spacing w:after="0"/>
              <w:rPr>
                <w:sz w:val="20"/>
                <w:szCs w:val="20"/>
                <w:color w:val="auto"/>
              </w:rPr>
            </w:pPr>
            <w:r>
              <w:rPr>
                <w:rFonts w:ascii="Arial" w:cs="Arial" w:eastAsia="Arial" w:hAnsi="Arial"/>
                <w:sz w:val="18"/>
                <w:szCs w:val="18"/>
                <w:color w:val="auto"/>
              </w:rPr>
              <w:t>SECTION 6.01.</w:t>
            </w:r>
          </w:p>
        </w:tc>
        <w:tc>
          <w:tcPr>
            <w:tcW w:w="7220" w:type="dxa"/>
            <w:vAlign w:val="bottom"/>
          </w:tcPr>
          <w:p>
            <w:pPr>
              <w:ind w:left="220"/>
              <w:spacing w:after="0"/>
              <w:rPr>
                <w:sz w:val="20"/>
                <w:szCs w:val="20"/>
                <w:color w:val="auto"/>
              </w:rPr>
            </w:pPr>
            <w:r>
              <w:rPr>
                <w:rFonts w:ascii="Arial" w:cs="Arial" w:eastAsia="Arial" w:hAnsi="Arial"/>
                <w:sz w:val="18"/>
                <w:szCs w:val="18"/>
                <w:color w:val="auto"/>
              </w:rPr>
              <w:t>Indebtedness</w:t>
            </w:r>
          </w:p>
        </w:tc>
        <w:tc>
          <w:tcPr>
            <w:tcW w:w="23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6.02.</w:t>
            </w:r>
          </w:p>
        </w:tc>
        <w:tc>
          <w:tcPr>
            <w:tcW w:w="7220" w:type="dxa"/>
            <w:vAlign w:val="bottom"/>
          </w:tcPr>
          <w:p>
            <w:pPr>
              <w:ind w:left="220"/>
              <w:spacing w:after="0"/>
              <w:rPr>
                <w:sz w:val="20"/>
                <w:szCs w:val="20"/>
                <w:color w:val="auto"/>
              </w:rPr>
            </w:pPr>
            <w:r>
              <w:rPr>
                <w:rFonts w:ascii="Arial" w:cs="Arial" w:eastAsia="Arial" w:hAnsi="Arial"/>
                <w:sz w:val="18"/>
                <w:szCs w:val="18"/>
                <w:color w:val="auto"/>
              </w:rPr>
              <w:t>Liens</w:t>
            </w:r>
          </w:p>
        </w:tc>
        <w:tc>
          <w:tcPr>
            <w:tcW w:w="23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6.03.</w:t>
            </w:r>
          </w:p>
        </w:tc>
        <w:tc>
          <w:tcPr>
            <w:tcW w:w="7220" w:type="dxa"/>
            <w:vAlign w:val="bottom"/>
          </w:tcPr>
          <w:p>
            <w:pPr>
              <w:ind w:left="220"/>
              <w:spacing w:after="0"/>
              <w:rPr>
                <w:sz w:val="20"/>
                <w:szCs w:val="20"/>
                <w:color w:val="auto"/>
              </w:rPr>
            </w:pPr>
            <w:r>
              <w:rPr>
                <w:rFonts w:ascii="Arial" w:cs="Arial" w:eastAsia="Arial" w:hAnsi="Arial"/>
                <w:sz w:val="18"/>
                <w:szCs w:val="18"/>
                <w:color w:val="auto"/>
              </w:rPr>
              <w:t>Fundamental Changes</w:t>
            </w:r>
          </w:p>
        </w:tc>
        <w:tc>
          <w:tcPr>
            <w:tcW w:w="23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6.04.</w:t>
            </w:r>
          </w:p>
        </w:tc>
        <w:tc>
          <w:tcPr>
            <w:tcW w:w="7220" w:type="dxa"/>
            <w:vAlign w:val="bottom"/>
          </w:tcPr>
          <w:p>
            <w:pPr>
              <w:ind w:left="220"/>
              <w:spacing w:after="0"/>
              <w:rPr>
                <w:sz w:val="20"/>
                <w:szCs w:val="20"/>
                <w:color w:val="auto"/>
              </w:rPr>
            </w:pPr>
            <w:r>
              <w:rPr>
                <w:rFonts w:ascii="Arial" w:cs="Arial" w:eastAsia="Arial" w:hAnsi="Arial"/>
                <w:sz w:val="18"/>
                <w:szCs w:val="18"/>
                <w:color w:val="auto"/>
              </w:rPr>
              <w:t>Investments</w:t>
            </w:r>
          </w:p>
        </w:tc>
        <w:tc>
          <w:tcPr>
            <w:tcW w:w="23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6.05.</w:t>
            </w:r>
          </w:p>
        </w:tc>
        <w:tc>
          <w:tcPr>
            <w:tcW w:w="7220" w:type="dxa"/>
            <w:vAlign w:val="bottom"/>
          </w:tcPr>
          <w:p>
            <w:pPr>
              <w:ind w:left="220"/>
              <w:spacing w:after="0"/>
              <w:rPr>
                <w:sz w:val="20"/>
                <w:szCs w:val="20"/>
                <w:color w:val="auto"/>
              </w:rPr>
            </w:pPr>
            <w:r>
              <w:rPr>
                <w:rFonts w:ascii="Arial" w:cs="Arial" w:eastAsia="Arial" w:hAnsi="Arial"/>
                <w:sz w:val="18"/>
                <w:szCs w:val="18"/>
                <w:color w:val="auto"/>
              </w:rPr>
              <w:t>Restricted Payments</w:t>
            </w:r>
          </w:p>
        </w:tc>
        <w:tc>
          <w:tcPr>
            <w:tcW w:w="23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6.06.</w:t>
            </w:r>
          </w:p>
        </w:tc>
        <w:tc>
          <w:tcPr>
            <w:tcW w:w="7220" w:type="dxa"/>
            <w:vAlign w:val="bottom"/>
          </w:tcPr>
          <w:p>
            <w:pPr>
              <w:ind w:left="220"/>
              <w:spacing w:after="0"/>
              <w:rPr>
                <w:sz w:val="20"/>
                <w:szCs w:val="20"/>
                <w:color w:val="auto"/>
              </w:rPr>
            </w:pPr>
            <w:r>
              <w:rPr>
                <w:rFonts w:ascii="Arial" w:cs="Arial" w:eastAsia="Arial" w:hAnsi="Arial"/>
                <w:sz w:val="18"/>
                <w:szCs w:val="18"/>
                <w:color w:val="auto"/>
              </w:rPr>
              <w:t>Certain Restrictions on Subsidiaries</w:t>
            </w:r>
          </w:p>
        </w:tc>
        <w:tc>
          <w:tcPr>
            <w:tcW w:w="23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6.07.</w:t>
            </w:r>
          </w:p>
        </w:tc>
        <w:tc>
          <w:tcPr>
            <w:tcW w:w="7220" w:type="dxa"/>
            <w:vAlign w:val="bottom"/>
          </w:tcPr>
          <w:p>
            <w:pPr>
              <w:ind w:left="220"/>
              <w:spacing w:after="0"/>
              <w:rPr>
                <w:sz w:val="20"/>
                <w:szCs w:val="20"/>
                <w:color w:val="auto"/>
              </w:rPr>
            </w:pPr>
            <w:r>
              <w:rPr>
                <w:rFonts w:ascii="Arial" w:cs="Arial" w:eastAsia="Arial" w:hAnsi="Arial"/>
                <w:sz w:val="18"/>
                <w:szCs w:val="18"/>
                <w:color w:val="auto"/>
              </w:rPr>
              <w:t>Certain Financial Covenants</w:t>
            </w:r>
          </w:p>
        </w:tc>
        <w:tc>
          <w:tcPr>
            <w:tcW w:w="23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6.08.</w:t>
            </w:r>
          </w:p>
        </w:tc>
        <w:tc>
          <w:tcPr>
            <w:tcW w:w="7220" w:type="dxa"/>
            <w:vAlign w:val="bottom"/>
          </w:tcPr>
          <w:p>
            <w:pPr>
              <w:ind w:left="220"/>
              <w:spacing w:after="0"/>
              <w:rPr>
                <w:sz w:val="20"/>
                <w:szCs w:val="20"/>
                <w:color w:val="auto"/>
              </w:rPr>
            </w:pPr>
            <w:r>
              <w:rPr>
                <w:rFonts w:ascii="Arial" w:cs="Arial" w:eastAsia="Arial" w:hAnsi="Arial"/>
                <w:sz w:val="18"/>
                <w:szCs w:val="18"/>
                <w:color w:val="auto"/>
              </w:rPr>
              <w:t>Transactions with Affiliates</w:t>
            </w:r>
          </w:p>
        </w:tc>
        <w:tc>
          <w:tcPr>
            <w:tcW w:w="23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6.09.</w:t>
            </w:r>
          </w:p>
        </w:tc>
        <w:tc>
          <w:tcPr>
            <w:tcW w:w="7220" w:type="dxa"/>
            <w:vAlign w:val="bottom"/>
          </w:tcPr>
          <w:p>
            <w:pPr>
              <w:ind w:left="220"/>
              <w:spacing w:after="0"/>
              <w:rPr>
                <w:sz w:val="20"/>
                <w:szCs w:val="20"/>
                <w:color w:val="auto"/>
              </w:rPr>
            </w:pPr>
            <w:r>
              <w:rPr>
                <w:rFonts w:ascii="Arial" w:cs="Arial" w:eastAsia="Arial" w:hAnsi="Arial"/>
                <w:sz w:val="18"/>
                <w:szCs w:val="18"/>
                <w:color w:val="auto"/>
              </w:rPr>
              <w:t>Lines of Business</w:t>
            </w:r>
          </w:p>
        </w:tc>
        <w:tc>
          <w:tcPr>
            <w:tcW w:w="23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6.10.</w:t>
            </w:r>
          </w:p>
        </w:tc>
        <w:tc>
          <w:tcPr>
            <w:tcW w:w="7220" w:type="dxa"/>
            <w:vAlign w:val="bottom"/>
          </w:tcPr>
          <w:p>
            <w:pPr>
              <w:ind w:left="220"/>
              <w:spacing w:after="0"/>
              <w:rPr>
                <w:sz w:val="20"/>
                <w:szCs w:val="20"/>
                <w:color w:val="auto"/>
              </w:rPr>
            </w:pPr>
            <w:r>
              <w:rPr>
                <w:rFonts w:ascii="Arial" w:cs="Arial" w:eastAsia="Arial" w:hAnsi="Arial"/>
                <w:sz w:val="18"/>
                <w:szCs w:val="18"/>
                <w:color w:val="auto"/>
              </w:rPr>
              <w:t>No Further Negative Pledge</w:t>
            </w:r>
          </w:p>
        </w:tc>
        <w:tc>
          <w:tcPr>
            <w:tcW w:w="23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6.11.</w:t>
            </w:r>
          </w:p>
        </w:tc>
        <w:tc>
          <w:tcPr>
            <w:tcW w:w="7220" w:type="dxa"/>
            <w:vAlign w:val="bottom"/>
          </w:tcPr>
          <w:p>
            <w:pPr>
              <w:ind w:left="220"/>
              <w:spacing w:after="0"/>
              <w:rPr>
                <w:sz w:val="20"/>
                <w:szCs w:val="20"/>
                <w:color w:val="auto"/>
              </w:rPr>
            </w:pPr>
            <w:r>
              <w:rPr>
                <w:rFonts w:ascii="Arial" w:cs="Arial" w:eastAsia="Arial" w:hAnsi="Arial"/>
                <w:sz w:val="18"/>
                <w:szCs w:val="18"/>
                <w:color w:val="auto"/>
              </w:rPr>
              <w:t>Modifications of Longer-Term Indebtedness Documents</w:t>
            </w:r>
          </w:p>
        </w:tc>
        <w:tc>
          <w:tcPr>
            <w:tcW w:w="23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6.12.</w:t>
            </w:r>
          </w:p>
        </w:tc>
        <w:tc>
          <w:tcPr>
            <w:tcW w:w="7220" w:type="dxa"/>
            <w:vAlign w:val="bottom"/>
          </w:tcPr>
          <w:p>
            <w:pPr>
              <w:ind w:left="220"/>
              <w:spacing w:after="0"/>
              <w:rPr>
                <w:sz w:val="20"/>
                <w:szCs w:val="20"/>
                <w:color w:val="auto"/>
              </w:rPr>
            </w:pPr>
            <w:r>
              <w:rPr>
                <w:rFonts w:ascii="Arial" w:cs="Arial" w:eastAsia="Arial" w:hAnsi="Arial"/>
                <w:sz w:val="18"/>
                <w:szCs w:val="18"/>
                <w:color w:val="auto"/>
              </w:rPr>
              <w:t>Payments of Longer-Term Indebtedness and 2019 Convertible Notes</w:t>
            </w:r>
          </w:p>
        </w:tc>
        <w:tc>
          <w:tcPr>
            <w:tcW w:w="23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740" w:type="dxa"/>
            <w:vAlign w:val="bottom"/>
          </w:tcPr>
          <w:p>
            <w:pPr>
              <w:ind w:left="360"/>
              <w:spacing w:after="0"/>
              <w:rPr>
                <w:sz w:val="20"/>
                <w:szCs w:val="20"/>
                <w:color w:val="auto"/>
              </w:rPr>
            </w:pPr>
            <w:r>
              <w:rPr>
                <w:rFonts w:ascii="Arial" w:cs="Arial" w:eastAsia="Arial" w:hAnsi="Arial"/>
                <w:sz w:val="18"/>
                <w:szCs w:val="18"/>
                <w:color w:val="auto"/>
              </w:rPr>
              <w:t>SECTION 6.13.</w:t>
            </w:r>
          </w:p>
        </w:tc>
        <w:tc>
          <w:tcPr>
            <w:tcW w:w="7220" w:type="dxa"/>
            <w:vAlign w:val="bottom"/>
          </w:tcPr>
          <w:p>
            <w:pPr>
              <w:ind w:left="220"/>
              <w:spacing w:after="0"/>
              <w:rPr>
                <w:sz w:val="20"/>
                <w:szCs w:val="20"/>
                <w:color w:val="auto"/>
              </w:rPr>
            </w:pPr>
            <w:r>
              <w:rPr>
                <w:rFonts w:ascii="Arial" w:cs="Arial" w:eastAsia="Arial" w:hAnsi="Arial"/>
                <w:sz w:val="18"/>
                <w:szCs w:val="18"/>
                <w:color w:val="auto"/>
              </w:rPr>
              <w:t>Accounting Changes</w:t>
            </w:r>
          </w:p>
        </w:tc>
        <w:tc>
          <w:tcPr>
            <w:tcW w:w="23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1740" w:type="dxa"/>
            <w:vAlign w:val="bottom"/>
          </w:tcPr>
          <w:p>
            <w:pPr>
              <w:ind w:left="360"/>
              <w:spacing w:after="0"/>
              <w:rPr>
                <w:sz w:val="20"/>
                <w:szCs w:val="20"/>
                <w:color w:val="auto"/>
              </w:rPr>
            </w:pPr>
            <w:r>
              <w:rPr>
                <w:rFonts w:ascii="Arial" w:cs="Arial" w:eastAsia="Arial" w:hAnsi="Arial"/>
                <w:sz w:val="18"/>
                <w:szCs w:val="18"/>
                <w:color w:val="auto"/>
              </w:rPr>
              <w:t>SECTION 6.14.</w:t>
            </w:r>
          </w:p>
        </w:tc>
        <w:tc>
          <w:tcPr>
            <w:tcW w:w="7220" w:type="dxa"/>
            <w:vAlign w:val="bottom"/>
          </w:tcPr>
          <w:p>
            <w:pPr>
              <w:ind w:left="220"/>
              <w:spacing w:after="0"/>
              <w:rPr>
                <w:sz w:val="20"/>
                <w:szCs w:val="20"/>
                <w:color w:val="auto"/>
              </w:rPr>
            </w:pPr>
            <w:r>
              <w:rPr>
                <w:rFonts w:ascii="Arial" w:cs="Arial" w:eastAsia="Arial" w:hAnsi="Arial"/>
                <w:sz w:val="18"/>
                <w:szCs w:val="18"/>
                <w:color w:val="auto"/>
              </w:rPr>
              <w:t>SBIC Guarantee</w:t>
            </w:r>
          </w:p>
        </w:tc>
        <w:tc>
          <w:tcPr>
            <w:tcW w:w="2360" w:type="dxa"/>
            <w:vAlign w:val="bottom"/>
          </w:tcPr>
          <w:p>
            <w:pPr>
              <w:jc w:val="right"/>
              <w:spacing w:after="0"/>
              <w:rPr>
                <w:sz w:val="20"/>
                <w:szCs w:val="20"/>
                <w:color w:val="auto"/>
              </w:rPr>
            </w:pPr>
            <w:r>
              <w:rPr>
                <w:rFonts w:ascii="Arial" w:cs="Arial" w:eastAsia="Arial" w:hAnsi="Arial"/>
                <w:sz w:val="18"/>
                <w:szCs w:val="18"/>
                <w:color w:val="auto"/>
              </w:rPr>
              <w:t>96</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70" w:right="339" w:bottom="1440" w:gutter="0" w:footer="0" w:header="0"/>
        </w:sectPr>
      </w:pPr>
    </w:p>
    <w:bookmarkStart w:id="85" w:name="page86"/>
    <w:bookmarkEnd w:id="85"/>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(continued)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22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9060" w:type="dxa"/>
            <w:vAlign w:val="bottom"/>
            <w:gridSpan w:val="2"/>
          </w:tcPr>
          <w:p>
            <w:pPr>
              <w:spacing w:after="0"/>
              <w:rPr>
                <w:sz w:val="20"/>
                <w:szCs w:val="20"/>
                <w:color w:val="auto"/>
              </w:rPr>
            </w:pPr>
            <w:r>
              <w:rPr>
                <w:rFonts w:ascii="Arial" w:cs="Arial" w:eastAsia="Arial" w:hAnsi="Arial"/>
                <w:sz w:val="18"/>
                <w:szCs w:val="18"/>
                <w:color w:val="auto"/>
              </w:rPr>
              <w:t>ARTICLE VII EVENTS OF DEFAULT</w:t>
            </w:r>
          </w:p>
        </w:tc>
        <w:tc>
          <w:tcPr>
            <w:tcW w:w="22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9060" w:type="dxa"/>
            <w:vAlign w:val="bottom"/>
            <w:gridSpan w:val="2"/>
          </w:tcPr>
          <w:p>
            <w:pPr>
              <w:spacing w:after="0"/>
              <w:rPr>
                <w:sz w:val="20"/>
                <w:szCs w:val="20"/>
                <w:color w:val="auto"/>
              </w:rPr>
            </w:pPr>
            <w:r>
              <w:rPr>
                <w:rFonts w:ascii="Arial" w:cs="Arial" w:eastAsia="Arial" w:hAnsi="Arial"/>
                <w:sz w:val="18"/>
                <w:szCs w:val="18"/>
                <w:color w:val="auto"/>
              </w:rPr>
              <w:t>ARTICLE VIII THE ADMINISTRATIVE AGENT</w:t>
            </w:r>
          </w:p>
        </w:tc>
        <w:tc>
          <w:tcPr>
            <w:tcW w:w="22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310"/>
        </w:trPr>
        <w:tc>
          <w:tcPr>
            <w:tcW w:w="9060" w:type="dxa"/>
            <w:vAlign w:val="bottom"/>
            <w:gridSpan w:val="2"/>
          </w:tcPr>
          <w:p>
            <w:pPr>
              <w:ind w:left="360"/>
              <w:spacing w:after="0"/>
              <w:rPr>
                <w:sz w:val="20"/>
                <w:szCs w:val="20"/>
                <w:color w:val="auto"/>
              </w:rPr>
            </w:pPr>
            <w:r>
              <w:rPr>
                <w:rFonts w:ascii="Arial" w:cs="Arial" w:eastAsia="Arial" w:hAnsi="Arial"/>
                <w:sz w:val="18"/>
                <w:szCs w:val="18"/>
                <w:color w:val="auto"/>
              </w:rPr>
              <w:t>SECTION 8.01.    Appointment of the Administrative Agent</w:t>
            </w:r>
          </w:p>
        </w:tc>
        <w:tc>
          <w:tcPr>
            <w:tcW w:w="22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8.02.</w:t>
            </w:r>
          </w:p>
        </w:tc>
        <w:tc>
          <w:tcPr>
            <w:tcW w:w="7360" w:type="dxa"/>
            <w:vAlign w:val="bottom"/>
          </w:tcPr>
          <w:p>
            <w:pPr>
              <w:ind w:left="160"/>
              <w:spacing w:after="0"/>
              <w:rPr>
                <w:sz w:val="20"/>
                <w:szCs w:val="20"/>
                <w:color w:val="auto"/>
              </w:rPr>
            </w:pPr>
            <w:r>
              <w:rPr>
                <w:rFonts w:ascii="Arial" w:cs="Arial" w:eastAsia="Arial" w:hAnsi="Arial"/>
                <w:sz w:val="18"/>
                <w:szCs w:val="18"/>
                <w:color w:val="auto"/>
              </w:rPr>
              <w:t>Capacity as Lender</w:t>
            </w:r>
          </w:p>
        </w:tc>
        <w:tc>
          <w:tcPr>
            <w:tcW w:w="22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9060" w:type="dxa"/>
            <w:vAlign w:val="bottom"/>
            <w:gridSpan w:val="2"/>
          </w:tcPr>
          <w:p>
            <w:pPr>
              <w:ind w:left="360"/>
              <w:spacing w:after="0"/>
              <w:rPr>
                <w:sz w:val="20"/>
                <w:szCs w:val="20"/>
                <w:color w:val="auto"/>
              </w:rPr>
            </w:pPr>
            <w:r>
              <w:rPr>
                <w:rFonts w:ascii="Arial" w:cs="Arial" w:eastAsia="Arial" w:hAnsi="Arial"/>
                <w:sz w:val="18"/>
                <w:szCs w:val="18"/>
                <w:color w:val="auto"/>
              </w:rPr>
              <w:t>SECTION 8.03.    Limitation of Duties; Exculpation</w:t>
            </w:r>
          </w:p>
        </w:tc>
        <w:tc>
          <w:tcPr>
            <w:tcW w:w="22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8.04.</w:t>
            </w:r>
          </w:p>
        </w:tc>
        <w:tc>
          <w:tcPr>
            <w:tcW w:w="7360" w:type="dxa"/>
            <w:vAlign w:val="bottom"/>
          </w:tcPr>
          <w:p>
            <w:pPr>
              <w:ind w:left="160"/>
              <w:spacing w:after="0"/>
              <w:rPr>
                <w:sz w:val="20"/>
                <w:szCs w:val="20"/>
                <w:color w:val="auto"/>
              </w:rPr>
            </w:pPr>
            <w:r>
              <w:rPr>
                <w:rFonts w:ascii="Arial" w:cs="Arial" w:eastAsia="Arial" w:hAnsi="Arial"/>
                <w:sz w:val="18"/>
                <w:szCs w:val="18"/>
                <w:color w:val="auto"/>
              </w:rPr>
              <w:t>Reliance</w:t>
            </w:r>
          </w:p>
        </w:tc>
        <w:tc>
          <w:tcPr>
            <w:tcW w:w="22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8.05.</w:t>
            </w:r>
          </w:p>
        </w:tc>
        <w:tc>
          <w:tcPr>
            <w:tcW w:w="7360" w:type="dxa"/>
            <w:vAlign w:val="bottom"/>
          </w:tcPr>
          <w:p>
            <w:pPr>
              <w:ind w:left="160"/>
              <w:spacing w:after="0"/>
              <w:rPr>
                <w:sz w:val="20"/>
                <w:szCs w:val="20"/>
                <w:color w:val="auto"/>
              </w:rPr>
            </w:pPr>
            <w:r>
              <w:rPr>
                <w:rFonts w:ascii="Arial" w:cs="Arial" w:eastAsia="Arial" w:hAnsi="Arial"/>
                <w:sz w:val="18"/>
                <w:szCs w:val="18"/>
                <w:color w:val="auto"/>
              </w:rPr>
              <w:t>Sub-Agents</w:t>
            </w:r>
          </w:p>
        </w:tc>
        <w:tc>
          <w:tcPr>
            <w:tcW w:w="22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9060" w:type="dxa"/>
            <w:vAlign w:val="bottom"/>
            <w:gridSpan w:val="2"/>
          </w:tcPr>
          <w:p>
            <w:pPr>
              <w:ind w:left="360"/>
              <w:spacing w:after="0"/>
              <w:rPr>
                <w:sz w:val="20"/>
                <w:szCs w:val="20"/>
                <w:color w:val="auto"/>
              </w:rPr>
            </w:pPr>
            <w:r>
              <w:rPr>
                <w:rFonts w:ascii="Arial" w:cs="Arial" w:eastAsia="Arial" w:hAnsi="Arial"/>
                <w:sz w:val="18"/>
                <w:szCs w:val="18"/>
                <w:color w:val="auto"/>
              </w:rPr>
              <w:t>SECTION 8.06.    Resignation; Successor Administrative Agent</w:t>
            </w:r>
          </w:p>
        </w:tc>
        <w:tc>
          <w:tcPr>
            <w:tcW w:w="22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8.07.</w:t>
            </w:r>
          </w:p>
        </w:tc>
        <w:tc>
          <w:tcPr>
            <w:tcW w:w="7360" w:type="dxa"/>
            <w:vAlign w:val="bottom"/>
          </w:tcPr>
          <w:p>
            <w:pPr>
              <w:ind w:left="160"/>
              <w:spacing w:after="0"/>
              <w:rPr>
                <w:sz w:val="20"/>
                <w:szCs w:val="20"/>
                <w:color w:val="auto"/>
              </w:rPr>
            </w:pPr>
            <w:r>
              <w:rPr>
                <w:rFonts w:ascii="Arial" w:cs="Arial" w:eastAsia="Arial" w:hAnsi="Arial"/>
                <w:sz w:val="18"/>
                <w:szCs w:val="18"/>
                <w:color w:val="auto"/>
              </w:rPr>
              <w:t>Reliance by Lenders</w:t>
            </w:r>
          </w:p>
        </w:tc>
        <w:tc>
          <w:tcPr>
            <w:tcW w:w="22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9060" w:type="dxa"/>
            <w:vAlign w:val="bottom"/>
            <w:gridSpan w:val="2"/>
          </w:tcPr>
          <w:p>
            <w:pPr>
              <w:ind w:left="360"/>
              <w:spacing w:after="0"/>
              <w:rPr>
                <w:sz w:val="20"/>
                <w:szCs w:val="20"/>
                <w:color w:val="auto"/>
              </w:rPr>
            </w:pPr>
            <w:r>
              <w:rPr>
                <w:rFonts w:ascii="Arial" w:cs="Arial" w:eastAsia="Arial" w:hAnsi="Arial"/>
                <w:sz w:val="18"/>
                <w:szCs w:val="18"/>
                <w:color w:val="auto"/>
              </w:rPr>
              <w:t>SECTION 8.08.    Modifications to Loan Documents</w:t>
            </w:r>
          </w:p>
        </w:tc>
        <w:tc>
          <w:tcPr>
            <w:tcW w:w="22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324"/>
        </w:trPr>
        <w:tc>
          <w:tcPr>
            <w:tcW w:w="9060" w:type="dxa"/>
            <w:vAlign w:val="bottom"/>
            <w:gridSpan w:val="2"/>
          </w:tcPr>
          <w:p>
            <w:pPr>
              <w:spacing w:after="0"/>
              <w:rPr>
                <w:sz w:val="20"/>
                <w:szCs w:val="20"/>
                <w:color w:val="auto"/>
              </w:rPr>
            </w:pPr>
            <w:r>
              <w:rPr>
                <w:rFonts w:ascii="Arial" w:cs="Arial" w:eastAsia="Arial" w:hAnsi="Arial"/>
                <w:sz w:val="18"/>
                <w:szCs w:val="18"/>
                <w:color w:val="auto"/>
              </w:rPr>
              <w:t>ARTICLE IX MISCELLANEOUS</w:t>
            </w:r>
          </w:p>
        </w:tc>
        <w:tc>
          <w:tcPr>
            <w:tcW w:w="22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310"/>
        </w:trPr>
        <w:tc>
          <w:tcPr>
            <w:tcW w:w="9060" w:type="dxa"/>
            <w:vAlign w:val="bottom"/>
            <w:gridSpan w:val="2"/>
          </w:tcPr>
          <w:p>
            <w:pPr>
              <w:ind w:left="360"/>
              <w:spacing w:after="0"/>
              <w:rPr>
                <w:sz w:val="20"/>
                <w:szCs w:val="20"/>
                <w:color w:val="auto"/>
              </w:rPr>
            </w:pPr>
            <w:r>
              <w:rPr>
                <w:rFonts w:ascii="Arial" w:cs="Arial" w:eastAsia="Arial" w:hAnsi="Arial"/>
                <w:sz w:val="18"/>
                <w:szCs w:val="18"/>
                <w:color w:val="auto"/>
              </w:rPr>
              <w:t>SECTION 9.01.    Notices; Electronic Communications</w:t>
            </w:r>
          </w:p>
        </w:tc>
        <w:tc>
          <w:tcPr>
            <w:tcW w:w="22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9.02.</w:t>
            </w:r>
          </w:p>
        </w:tc>
        <w:tc>
          <w:tcPr>
            <w:tcW w:w="7360" w:type="dxa"/>
            <w:vAlign w:val="bottom"/>
          </w:tcPr>
          <w:p>
            <w:pPr>
              <w:ind w:left="160"/>
              <w:spacing w:after="0"/>
              <w:rPr>
                <w:sz w:val="20"/>
                <w:szCs w:val="20"/>
                <w:color w:val="auto"/>
              </w:rPr>
            </w:pPr>
            <w:r>
              <w:rPr>
                <w:rFonts w:ascii="Arial" w:cs="Arial" w:eastAsia="Arial" w:hAnsi="Arial"/>
                <w:sz w:val="18"/>
                <w:szCs w:val="18"/>
                <w:color w:val="auto"/>
              </w:rPr>
              <w:t>Waivers; Amendments</w:t>
            </w:r>
          </w:p>
        </w:tc>
        <w:tc>
          <w:tcPr>
            <w:tcW w:w="22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9060" w:type="dxa"/>
            <w:vAlign w:val="bottom"/>
            <w:gridSpan w:val="2"/>
          </w:tcPr>
          <w:p>
            <w:pPr>
              <w:ind w:left="360"/>
              <w:spacing w:after="0"/>
              <w:rPr>
                <w:sz w:val="20"/>
                <w:szCs w:val="20"/>
                <w:color w:val="auto"/>
              </w:rPr>
            </w:pPr>
            <w:r>
              <w:rPr>
                <w:rFonts w:ascii="Arial" w:cs="Arial" w:eastAsia="Arial" w:hAnsi="Arial"/>
                <w:sz w:val="18"/>
                <w:szCs w:val="18"/>
                <w:color w:val="auto"/>
              </w:rPr>
              <w:t>SECTION 9.03.    Expenses; Indemnity; Damage Waiver</w:t>
            </w:r>
          </w:p>
        </w:tc>
        <w:tc>
          <w:tcPr>
            <w:tcW w:w="226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9060" w:type="dxa"/>
            <w:vAlign w:val="bottom"/>
            <w:gridSpan w:val="2"/>
          </w:tcPr>
          <w:p>
            <w:pPr>
              <w:ind w:left="360"/>
              <w:spacing w:after="0"/>
              <w:rPr>
                <w:sz w:val="20"/>
                <w:szCs w:val="20"/>
                <w:color w:val="auto"/>
              </w:rPr>
            </w:pPr>
            <w:r>
              <w:rPr>
                <w:rFonts w:ascii="Arial" w:cs="Arial" w:eastAsia="Arial" w:hAnsi="Arial"/>
                <w:sz w:val="18"/>
                <w:szCs w:val="18"/>
                <w:color w:val="auto"/>
              </w:rPr>
              <w:t>SECTION 9.04.    Successors and Assigns</w:t>
            </w:r>
          </w:p>
        </w:tc>
        <w:tc>
          <w:tcPr>
            <w:tcW w:w="22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9.05.</w:t>
            </w:r>
          </w:p>
        </w:tc>
        <w:tc>
          <w:tcPr>
            <w:tcW w:w="7360" w:type="dxa"/>
            <w:vAlign w:val="bottom"/>
          </w:tcPr>
          <w:p>
            <w:pPr>
              <w:ind w:left="160"/>
              <w:spacing w:after="0"/>
              <w:rPr>
                <w:sz w:val="20"/>
                <w:szCs w:val="20"/>
                <w:color w:val="auto"/>
              </w:rPr>
            </w:pPr>
            <w:r>
              <w:rPr>
                <w:rFonts w:ascii="Arial" w:cs="Arial" w:eastAsia="Arial" w:hAnsi="Arial"/>
                <w:sz w:val="18"/>
                <w:szCs w:val="18"/>
                <w:color w:val="auto"/>
              </w:rPr>
              <w:t>Survival</w:t>
            </w:r>
          </w:p>
        </w:tc>
        <w:tc>
          <w:tcPr>
            <w:tcW w:w="22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9060" w:type="dxa"/>
            <w:vAlign w:val="bottom"/>
            <w:gridSpan w:val="2"/>
          </w:tcPr>
          <w:p>
            <w:pPr>
              <w:ind w:left="360"/>
              <w:spacing w:after="0"/>
              <w:rPr>
                <w:sz w:val="20"/>
                <w:szCs w:val="20"/>
                <w:color w:val="auto"/>
              </w:rPr>
            </w:pPr>
            <w:r>
              <w:rPr>
                <w:rFonts w:ascii="Arial" w:cs="Arial" w:eastAsia="Arial" w:hAnsi="Arial"/>
                <w:sz w:val="18"/>
                <w:szCs w:val="18"/>
                <w:color w:val="auto"/>
              </w:rPr>
              <w:t>SECTION 9.06.    Counterparts; Integration; Effectiveness; Electronic Execution</w:t>
            </w:r>
          </w:p>
        </w:tc>
        <w:tc>
          <w:tcPr>
            <w:tcW w:w="22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9.07.</w:t>
            </w:r>
          </w:p>
        </w:tc>
        <w:tc>
          <w:tcPr>
            <w:tcW w:w="7360" w:type="dxa"/>
            <w:vAlign w:val="bottom"/>
          </w:tcPr>
          <w:p>
            <w:pPr>
              <w:ind w:left="160"/>
              <w:spacing w:after="0"/>
              <w:rPr>
                <w:sz w:val="20"/>
                <w:szCs w:val="20"/>
                <w:color w:val="auto"/>
              </w:rPr>
            </w:pPr>
            <w:r>
              <w:rPr>
                <w:rFonts w:ascii="Arial" w:cs="Arial" w:eastAsia="Arial" w:hAnsi="Arial"/>
                <w:sz w:val="18"/>
                <w:szCs w:val="18"/>
                <w:color w:val="auto"/>
              </w:rPr>
              <w:t>Severability</w:t>
            </w:r>
          </w:p>
        </w:tc>
        <w:tc>
          <w:tcPr>
            <w:tcW w:w="22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9.08.</w:t>
            </w:r>
          </w:p>
        </w:tc>
        <w:tc>
          <w:tcPr>
            <w:tcW w:w="7360" w:type="dxa"/>
            <w:vAlign w:val="bottom"/>
          </w:tcPr>
          <w:p>
            <w:pPr>
              <w:ind w:left="160"/>
              <w:spacing w:after="0"/>
              <w:rPr>
                <w:sz w:val="20"/>
                <w:szCs w:val="20"/>
                <w:color w:val="auto"/>
              </w:rPr>
            </w:pPr>
            <w:r>
              <w:rPr>
                <w:rFonts w:ascii="Arial" w:cs="Arial" w:eastAsia="Arial" w:hAnsi="Arial"/>
                <w:sz w:val="18"/>
                <w:szCs w:val="18"/>
                <w:color w:val="auto"/>
              </w:rPr>
              <w:t>Right of Setoff</w:t>
            </w:r>
          </w:p>
        </w:tc>
        <w:tc>
          <w:tcPr>
            <w:tcW w:w="22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9060" w:type="dxa"/>
            <w:vAlign w:val="bottom"/>
            <w:gridSpan w:val="2"/>
          </w:tcPr>
          <w:p>
            <w:pPr>
              <w:ind w:left="360"/>
              <w:spacing w:after="0"/>
              <w:rPr>
                <w:sz w:val="20"/>
                <w:szCs w:val="20"/>
                <w:color w:val="auto"/>
              </w:rPr>
            </w:pPr>
            <w:r>
              <w:rPr>
                <w:rFonts w:ascii="Arial" w:cs="Arial" w:eastAsia="Arial" w:hAnsi="Arial"/>
                <w:sz w:val="18"/>
                <w:szCs w:val="18"/>
                <w:color w:val="auto"/>
              </w:rPr>
              <w:t>SECTION 9.09.    Governing Law; Jurisdiction; Etc</w:t>
            </w:r>
          </w:p>
        </w:tc>
        <w:tc>
          <w:tcPr>
            <w:tcW w:w="22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9060" w:type="dxa"/>
            <w:vAlign w:val="bottom"/>
            <w:gridSpan w:val="2"/>
          </w:tcPr>
          <w:p>
            <w:pPr>
              <w:ind w:left="360"/>
              <w:spacing w:after="0"/>
              <w:rPr>
                <w:sz w:val="20"/>
                <w:szCs w:val="20"/>
                <w:color w:val="auto"/>
              </w:rPr>
            </w:pPr>
            <w:r>
              <w:rPr>
                <w:rFonts w:ascii="Arial" w:cs="Arial" w:eastAsia="Arial" w:hAnsi="Arial"/>
                <w:sz w:val="18"/>
                <w:szCs w:val="18"/>
                <w:color w:val="auto"/>
              </w:rPr>
              <w:t>SECTION 9.10.    WAIVER OF JURY TRIAL</w:t>
            </w:r>
          </w:p>
        </w:tc>
        <w:tc>
          <w:tcPr>
            <w:tcW w:w="226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9.11.</w:t>
            </w:r>
          </w:p>
        </w:tc>
        <w:tc>
          <w:tcPr>
            <w:tcW w:w="7360" w:type="dxa"/>
            <w:vAlign w:val="bottom"/>
          </w:tcPr>
          <w:p>
            <w:pPr>
              <w:ind w:left="160"/>
              <w:spacing w:after="0"/>
              <w:rPr>
                <w:sz w:val="20"/>
                <w:szCs w:val="20"/>
                <w:color w:val="auto"/>
              </w:rPr>
            </w:pPr>
            <w:r>
              <w:rPr>
                <w:rFonts w:ascii="Arial" w:cs="Arial" w:eastAsia="Arial" w:hAnsi="Arial"/>
                <w:sz w:val="18"/>
                <w:szCs w:val="18"/>
                <w:color w:val="auto"/>
              </w:rPr>
              <w:t>Judgment Currency</w:t>
            </w:r>
          </w:p>
        </w:tc>
        <w:tc>
          <w:tcPr>
            <w:tcW w:w="226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9.12.</w:t>
            </w:r>
          </w:p>
        </w:tc>
        <w:tc>
          <w:tcPr>
            <w:tcW w:w="7360" w:type="dxa"/>
            <w:vAlign w:val="bottom"/>
          </w:tcPr>
          <w:p>
            <w:pPr>
              <w:ind w:left="160"/>
              <w:spacing w:after="0"/>
              <w:rPr>
                <w:sz w:val="20"/>
                <w:szCs w:val="20"/>
                <w:color w:val="auto"/>
              </w:rPr>
            </w:pPr>
            <w:r>
              <w:rPr>
                <w:rFonts w:ascii="Arial" w:cs="Arial" w:eastAsia="Arial" w:hAnsi="Arial"/>
                <w:sz w:val="18"/>
                <w:szCs w:val="18"/>
                <w:color w:val="auto"/>
              </w:rPr>
              <w:t>Headings</w:t>
            </w:r>
          </w:p>
        </w:tc>
        <w:tc>
          <w:tcPr>
            <w:tcW w:w="226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9060" w:type="dxa"/>
            <w:vAlign w:val="bottom"/>
            <w:gridSpan w:val="2"/>
          </w:tcPr>
          <w:p>
            <w:pPr>
              <w:ind w:left="360"/>
              <w:spacing w:after="0"/>
              <w:rPr>
                <w:sz w:val="20"/>
                <w:szCs w:val="20"/>
                <w:color w:val="auto"/>
              </w:rPr>
            </w:pPr>
            <w:r>
              <w:rPr>
                <w:rFonts w:ascii="Arial" w:cs="Arial" w:eastAsia="Arial" w:hAnsi="Arial"/>
                <w:sz w:val="18"/>
                <w:szCs w:val="18"/>
                <w:color w:val="auto"/>
              </w:rPr>
              <w:t>SECTION 9.13.    Treatment of Certain Information; No Fiduciary Duty; Confidentiality</w:t>
            </w:r>
          </w:p>
        </w:tc>
        <w:tc>
          <w:tcPr>
            <w:tcW w:w="226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9.14.</w:t>
            </w:r>
          </w:p>
        </w:tc>
        <w:tc>
          <w:tcPr>
            <w:tcW w:w="7360" w:type="dxa"/>
            <w:vAlign w:val="bottom"/>
          </w:tcPr>
          <w:p>
            <w:pPr>
              <w:ind w:left="160"/>
              <w:spacing w:after="0"/>
              <w:rPr>
                <w:sz w:val="20"/>
                <w:szCs w:val="20"/>
                <w:color w:val="auto"/>
              </w:rPr>
            </w:pPr>
            <w:r>
              <w:rPr>
                <w:rFonts w:ascii="Arial" w:cs="Arial" w:eastAsia="Arial" w:hAnsi="Arial"/>
                <w:sz w:val="18"/>
                <w:szCs w:val="18"/>
                <w:color w:val="auto"/>
              </w:rPr>
              <w:t>USA PATRIOT Act</w:t>
            </w:r>
          </w:p>
        </w:tc>
        <w:tc>
          <w:tcPr>
            <w:tcW w:w="226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9060" w:type="dxa"/>
            <w:vAlign w:val="bottom"/>
            <w:gridSpan w:val="2"/>
          </w:tcPr>
          <w:p>
            <w:pPr>
              <w:ind w:left="360"/>
              <w:spacing w:after="0"/>
              <w:rPr>
                <w:sz w:val="20"/>
                <w:szCs w:val="20"/>
                <w:color w:val="auto"/>
              </w:rPr>
            </w:pPr>
            <w:r>
              <w:rPr>
                <w:rFonts w:ascii="Arial" w:cs="Arial" w:eastAsia="Arial" w:hAnsi="Arial"/>
                <w:sz w:val="18"/>
                <w:szCs w:val="18"/>
                <w:color w:val="auto"/>
              </w:rPr>
              <w:t>SECTION 9.15.    Effect of Amendment and Restatement of the Existing Credit Agreement</w:t>
            </w:r>
          </w:p>
        </w:tc>
        <w:tc>
          <w:tcPr>
            <w:tcW w:w="226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30"/>
        </w:trPr>
        <w:tc>
          <w:tcPr>
            <w:tcW w:w="9060" w:type="dxa"/>
            <w:vAlign w:val="bottom"/>
            <w:gridSpan w:val="2"/>
          </w:tcPr>
          <w:p>
            <w:pPr>
              <w:ind w:left="360"/>
              <w:spacing w:after="0"/>
              <w:rPr>
                <w:sz w:val="20"/>
                <w:szCs w:val="20"/>
                <w:color w:val="auto"/>
              </w:rPr>
            </w:pPr>
            <w:r>
              <w:rPr>
                <w:rFonts w:ascii="Arial" w:cs="Arial" w:eastAsia="Arial" w:hAnsi="Arial"/>
                <w:sz w:val="18"/>
                <w:szCs w:val="18"/>
                <w:color w:val="auto"/>
              </w:rPr>
              <w:t>SECTION 9.16.    Reaffirmation of Guarantee and Security Agreement</w:t>
            </w:r>
          </w:p>
        </w:tc>
        <w:tc>
          <w:tcPr>
            <w:tcW w:w="2260" w:type="dxa"/>
            <w:vAlign w:val="bottom"/>
          </w:tcPr>
          <w:p>
            <w:pPr>
              <w:jc w:val="right"/>
              <w:spacing w:after="0"/>
              <w:rPr>
                <w:sz w:val="20"/>
                <w:szCs w:val="20"/>
                <w:color w:val="auto"/>
              </w:rPr>
            </w:pPr>
            <w:r>
              <w:rPr>
                <w:rFonts w:ascii="Arial" w:cs="Arial" w:eastAsia="Arial" w:hAnsi="Arial"/>
                <w:sz w:val="18"/>
                <w:szCs w:val="18"/>
                <w:color w:val="auto"/>
              </w:rPr>
              <w:t>120</w:t>
            </w: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70"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SCHEDULE 1.01(a)</w:t>
            </w:r>
          </w:p>
        </w:tc>
        <w:tc>
          <w:tcPr>
            <w:tcW w:w="4340" w:type="dxa"/>
            <w:vAlign w:val="bottom"/>
            <w:gridSpan w:val="2"/>
          </w:tcPr>
          <w:p>
            <w:pPr>
              <w:ind w:left="260"/>
              <w:spacing w:after="0"/>
              <w:rPr>
                <w:sz w:val="20"/>
                <w:szCs w:val="20"/>
                <w:color w:val="auto"/>
              </w:rPr>
            </w:pPr>
            <w:r>
              <w:rPr>
                <w:rFonts w:ascii="Arial" w:cs="Arial" w:eastAsia="Arial" w:hAnsi="Arial"/>
                <w:sz w:val="18"/>
                <w:szCs w:val="18"/>
                <w:color w:val="auto"/>
                <w:w w:val="94"/>
              </w:rPr>
              <w:t>—   Approved Dealers and Approved Pricing Services</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SCHEDULE 1.01(b)</w:t>
            </w:r>
          </w:p>
        </w:tc>
        <w:tc>
          <w:tcPr>
            <w:tcW w:w="580" w:type="dxa"/>
            <w:vAlign w:val="bottom"/>
          </w:tcPr>
          <w:p>
            <w:pPr>
              <w:ind w:left="260"/>
              <w:spacing w:after="0"/>
              <w:rPr>
                <w:sz w:val="20"/>
                <w:szCs w:val="20"/>
                <w:color w:val="auto"/>
              </w:rPr>
            </w:pPr>
            <w:r>
              <w:rPr>
                <w:rFonts w:ascii="Arial" w:cs="Arial" w:eastAsia="Arial" w:hAnsi="Arial"/>
                <w:sz w:val="18"/>
                <w:szCs w:val="18"/>
                <w:color w:val="auto"/>
              </w:rPr>
              <w:t>—</w:t>
            </w:r>
          </w:p>
        </w:tc>
        <w:tc>
          <w:tcPr>
            <w:tcW w:w="3760" w:type="dxa"/>
            <w:vAlign w:val="bottom"/>
          </w:tcPr>
          <w:p>
            <w:pPr>
              <w:ind w:left="160"/>
              <w:spacing w:after="0"/>
              <w:rPr>
                <w:sz w:val="20"/>
                <w:szCs w:val="20"/>
                <w:color w:val="auto"/>
              </w:rPr>
            </w:pPr>
            <w:r>
              <w:rPr>
                <w:rFonts w:ascii="Arial" w:cs="Arial" w:eastAsia="Arial" w:hAnsi="Arial"/>
                <w:sz w:val="18"/>
                <w:szCs w:val="18"/>
                <w:color w:val="auto"/>
              </w:rPr>
              <w:t>Commitments</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SCHEDULE 1.01(c)</w:t>
            </w:r>
          </w:p>
        </w:tc>
        <w:tc>
          <w:tcPr>
            <w:tcW w:w="4340" w:type="dxa"/>
            <w:vAlign w:val="bottom"/>
            <w:gridSpan w:val="2"/>
          </w:tcPr>
          <w:p>
            <w:pPr>
              <w:ind w:left="260"/>
              <w:spacing w:after="0"/>
              <w:rPr>
                <w:sz w:val="20"/>
                <w:szCs w:val="20"/>
                <w:color w:val="auto"/>
              </w:rPr>
            </w:pPr>
            <w:r>
              <w:rPr>
                <w:rFonts w:ascii="Arial" w:cs="Arial" w:eastAsia="Arial" w:hAnsi="Arial"/>
                <w:sz w:val="18"/>
                <w:szCs w:val="18"/>
                <w:color w:val="auto"/>
              </w:rPr>
              <w:t>—   Industry Classification Group List</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SCHEDULE 3.11</w:t>
            </w:r>
          </w:p>
        </w:tc>
        <w:tc>
          <w:tcPr>
            <w:tcW w:w="4340" w:type="dxa"/>
            <w:vAlign w:val="bottom"/>
            <w:gridSpan w:val="2"/>
          </w:tcPr>
          <w:p>
            <w:pPr>
              <w:ind w:left="260"/>
              <w:spacing w:after="0"/>
              <w:rPr>
                <w:sz w:val="20"/>
                <w:szCs w:val="20"/>
                <w:color w:val="auto"/>
              </w:rPr>
            </w:pPr>
            <w:r>
              <w:rPr>
                <w:rFonts w:ascii="Arial" w:cs="Arial" w:eastAsia="Arial" w:hAnsi="Arial"/>
                <w:sz w:val="18"/>
                <w:szCs w:val="18"/>
                <w:color w:val="auto"/>
              </w:rPr>
              <w:t>—   Material Agreements and Liens</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SCHEDULE 3.12(a)</w:t>
            </w:r>
          </w:p>
        </w:tc>
        <w:tc>
          <w:tcPr>
            <w:tcW w:w="580" w:type="dxa"/>
            <w:vAlign w:val="bottom"/>
          </w:tcPr>
          <w:p>
            <w:pPr>
              <w:ind w:left="260"/>
              <w:spacing w:after="0"/>
              <w:rPr>
                <w:sz w:val="20"/>
                <w:szCs w:val="20"/>
                <w:color w:val="auto"/>
              </w:rPr>
            </w:pPr>
            <w:r>
              <w:rPr>
                <w:rFonts w:ascii="Arial" w:cs="Arial" w:eastAsia="Arial" w:hAnsi="Arial"/>
                <w:sz w:val="18"/>
                <w:szCs w:val="18"/>
                <w:color w:val="auto"/>
              </w:rPr>
              <w:t>—</w:t>
            </w:r>
          </w:p>
        </w:tc>
        <w:tc>
          <w:tcPr>
            <w:tcW w:w="3760" w:type="dxa"/>
            <w:vAlign w:val="bottom"/>
          </w:tcPr>
          <w:p>
            <w:pPr>
              <w:ind w:left="160"/>
              <w:spacing w:after="0"/>
              <w:rPr>
                <w:sz w:val="20"/>
                <w:szCs w:val="20"/>
                <w:color w:val="auto"/>
              </w:rPr>
            </w:pPr>
            <w:r>
              <w:rPr>
                <w:rFonts w:ascii="Arial" w:cs="Arial" w:eastAsia="Arial" w:hAnsi="Arial"/>
                <w:sz w:val="18"/>
                <w:szCs w:val="18"/>
                <w:color w:val="auto"/>
              </w:rPr>
              <w:t>Subsidiaries</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SCHEDULE 3.12(b)</w:t>
            </w:r>
          </w:p>
        </w:tc>
        <w:tc>
          <w:tcPr>
            <w:tcW w:w="580" w:type="dxa"/>
            <w:vAlign w:val="bottom"/>
          </w:tcPr>
          <w:p>
            <w:pPr>
              <w:ind w:left="260"/>
              <w:spacing w:after="0"/>
              <w:rPr>
                <w:sz w:val="20"/>
                <w:szCs w:val="20"/>
                <w:color w:val="auto"/>
              </w:rPr>
            </w:pPr>
            <w:r>
              <w:rPr>
                <w:rFonts w:ascii="Arial" w:cs="Arial" w:eastAsia="Arial" w:hAnsi="Arial"/>
                <w:sz w:val="18"/>
                <w:szCs w:val="18"/>
                <w:color w:val="auto"/>
              </w:rPr>
              <w:t>—</w:t>
            </w:r>
          </w:p>
        </w:tc>
        <w:tc>
          <w:tcPr>
            <w:tcW w:w="3760" w:type="dxa"/>
            <w:vAlign w:val="bottom"/>
          </w:tcPr>
          <w:p>
            <w:pPr>
              <w:ind w:left="160"/>
              <w:spacing w:after="0"/>
              <w:rPr>
                <w:sz w:val="20"/>
                <w:szCs w:val="20"/>
                <w:color w:val="auto"/>
              </w:rPr>
            </w:pPr>
            <w:r>
              <w:rPr>
                <w:rFonts w:ascii="Arial" w:cs="Arial" w:eastAsia="Arial" w:hAnsi="Arial"/>
                <w:sz w:val="18"/>
                <w:szCs w:val="18"/>
                <w:color w:val="auto"/>
              </w:rPr>
              <w:t>Investments</w:t>
            </w: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SCHEDULE 6.08</w:t>
            </w:r>
          </w:p>
        </w:tc>
        <w:tc>
          <w:tcPr>
            <w:tcW w:w="580" w:type="dxa"/>
            <w:vAlign w:val="bottom"/>
          </w:tcPr>
          <w:p>
            <w:pPr>
              <w:ind w:left="260"/>
              <w:spacing w:after="0"/>
              <w:rPr>
                <w:sz w:val="20"/>
                <w:szCs w:val="20"/>
                <w:color w:val="auto"/>
              </w:rPr>
            </w:pPr>
            <w:r>
              <w:rPr>
                <w:rFonts w:ascii="Arial" w:cs="Arial" w:eastAsia="Arial" w:hAnsi="Arial"/>
                <w:sz w:val="18"/>
                <w:szCs w:val="18"/>
                <w:color w:val="auto"/>
              </w:rPr>
              <w:t>—</w:t>
            </w:r>
          </w:p>
        </w:tc>
        <w:tc>
          <w:tcPr>
            <w:tcW w:w="3760" w:type="dxa"/>
            <w:vAlign w:val="bottom"/>
          </w:tcPr>
          <w:p>
            <w:pPr>
              <w:ind w:left="160"/>
              <w:spacing w:after="0"/>
              <w:rPr>
                <w:sz w:val="20"/>
                <w:szCs w:val="20"/>
                <w:color w:val="auto"/>
              </w:rPr>
            </w:pPr>
            <w:r>
              <w:rPr>
                <w:rFonts w:ascii="Arial" w:cs="Arial" w:eastAsia="Arial" w:hAnsi="Arial"/>
                <w:sz w:val="18"/>
                <w:szCs w:val="18"/>
                <w:color w:val="auto"/>
              </w:rPr>
              <w:t>Transactions with Affiliates</w:t>
            </w:r>
          </w:p>
        </w:tc>
      </w:tr>
      <w:tr>
        <w:trPr>
          <w:trHeight w:val="418"/>
        </w:trPr>
        <w:tc>
          <w:tcPr>
            <w:tcW w:w="1780" w:type="dxa"/>
            <w:vAlign w:val="bottom"/>
          </w:tcPr>
          <w:p>
            <w:pPr>
              <w:spacing w:after="0"/>
              <w:rPr>
                <w:sz w:val="20"/>
                <w:szCs w:val="20"/>
                <w:color w:val="auto"/>
              </w:rPr>
            </w:pPr>
            <w:r>
              <w:rPr>
                <w:rFonts w:ascii="Arial" w:cs="Arial" w:eastAsia="Arial" w:hAnsi="Arial"/>
                <w:sz w:val="18"/>
                <w:szCs w:val="18"/>
                <w:color w:val="auto"/>
              </w:rPr>
              <w:t>EXHIBIT A</w:t>
            </w:r>
          </w:p>
        </w:tc>
        <w:tc>
          <w:tcPr>
            <w:tcW w:w="4340" w:type="dxa"/>
            <w:vAlign w:val="bottom"/>
            <w:gridSpan w:val="2"/>
          </w:tcPr>
          <w:p>
            <w:pPr>
              <w:ind w:left="260"/>
              <w:spacing w:after="0"/>
              <w:rPr>
                <w:sz w:val="20"/>
                <w:szCs w:val="20"/>
                <w:color w:val="auto"/>
              </w:rPr>
            </w:pPr>
            <w:r>
              <w:rPr>
                <w:rFonts w:ascii="Arial" w:cs="Arial" w:eastAsia="Arial" w:hAnsi="Arial"/>
                <w:sz w:val="18"/>
                <w:szCs w:val="18"/>
                <w:color w:val="auto"/>
              </w:rPr>
              <w:t>—   Form of Assignment and Assumption</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EXHIBIT B</w:t>
            </w:r>
          </w:p>
        </w:tc>
        <w:tc>
          <w:tcPr>
            <w:tcW w:w="4340" w:type="dxa"/>
            <w:vAlign w:val="bottom"/>
            <w:gridSpan w:val="2"/>
          </w:tcPr>
          <w:p>
            <w:pPr>
              <w:ind w:left="260"/>
              <w:spacing w:after="0"/>
              <w:rPr>
                <w:sz w:val="20"/>
                <w:szCs w:val="20"/>
                <w:color w:val="auto"/>
              </w:rPr>
            </w:pPr>
            <w:r>
              <w:rPr>
                <w:rFonts w:ascii="Arial" w:cs="Arial" w:eastAsia="Arial" w:hAnsi="Arial"/>
                <w:sz w:val="18"/>
                <w:szCs w:val="18"/>
                <w:color w:val="auto"/>
              </w:rPr>
              <w:t>—   Form of Borrowing Base Certificate</w:t>
            </w: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EXHIBIT C</w:t>
            </w:r>
          </w:p>
        </w:tc>
        <w:tc>
          <w:tcPr>
            <w:tcW w:w="4340" w:type="dxa"/>
            <w:vAlign w:val="bottom"/>
            <w:gridSpan w:val="2"/>
          </w:tcPr>
          <w:p>
            <w:pPr>
              <w:ind w:left="260"/>
              <w:spacing w:after="0"/>
              <w:rPr>
                <w:sz w:val="20"/>
                <w:szCs w:val="20"/>
                <w:color w:val="auto"/>
              </w:rPr>
            </w:pPr>
            <w:r>
              <w:rPr>
                <w:rFonts w:ascii="Arial" w:cs="Arial" w:eastAsia="Arial" w:hAnsi="Arial"/>
                <w:sz w:val="18"/>
                <w:szCs w:val="18"/>
                <w:color w:val="auto"/>
              </w:rPr>
              <w:t>—   Form of Borrowing Request</w:t>
            </w:r>
          </w:p>
        </w:tc>
      </w:tr>
    </w:tbl>
    <w:p>
      <w:pPr>
        <w:ind w:left="260"/>
        <w:spacing w:after="0"/>
        <w:rPr>
          <w:sz w:val="20"/>
          <w:szCs w:val="20"/>
          <w:color w:val="auto"/>
        </w:rPr>
        <w:sectPr>
          <w:pgSz w:w="11900" w:h="16838" w:orient="portrait"/>
          <w:cols w:equalWidth="0" w:num="1">
            <w:col w:w="10219"/>
          </w:cols>
          <w:pgMar w:left="2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87" w:name="page88"/>
    <w:bookmarkEnd w:id="87"/>
    <w:p>
      <w:pPr>
        <w:ind w:left="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SECOND AMENDED AND RESTATED SENIOR SECURED REVOLVING CREDIT AGREEMENT dated as of February 27, 2014 (this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among TPG SPECIALTY LENDING, INC., a Delaware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the LENDERS party hereto, and SUNTRUST BANK,</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The original Senior Secured Revolving Credit Agreement was dated as of August 23, 2012 and was amended and restated pursuant to the Amended and Restated Senior Secured Revolving Credit Agreement dated as of July 2, 2013 (as amended, supplemented or otherwise modified prior to the Effective Date, the “</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among the Borrower, the lenders party thereto (collectively, the “</w:t>
      </w:r>
      <w:r>
        <w:rPr>
          <w:rFonts w:ascii="Arial" w:cs="Arial" w:eastAsia="Arial" w:hAnsi="Arial"/>
          <w:sz w:val="18"/>
          <w:szCs w:val="18"/>
          <w:u w:val="single" w:color="auto"/>
          <w:color w:val="auto"/>
        </w:rPr>
        <w:t>Existing Lenders</w:t>
      </w:r>
      <w:r>
        <w:rPr>
          <w:rFonts w:ascii="Arial" w:cs="Arial" w:eastAsia="Arial" w:hAnsi="Arial"/>
          <w:sz w:val="18"/>
          <w:szCs w:val="18"/>
          <w:color w:val="auto"/>
        </w:rPr>
        <w:t>”) and the Administrative Agent, the Existing Lenders agreed to make extensions of credit to the Borrower on the terms and conditions set forth therein, including making loans (the “</w:t>
      </w:r>
      <w:r>
        <w:rPr>
          <w:rFonts w:ascii="Arial" w:cs="Arial" w:eastAsia="Arial" w:hAnsi="Arial"/>
          <w:sz w:val="18"/>
          <w:szCs w:val="18"/>
          <w:u w:val="single" w:color="auto"/>
          <w:color w:val="auto"/>
        </w:rPr>
        <w:t>Existing Loans</w:t>
      </w:r>
      <w:r>
        <w:rPr>
          <w:rFonts w:ascii="Arial" w:cs="Arial" w:eastAsia="Arial" w:hAnsi="Arial"/>
          <w:sz w:val="18"/>
          <w:szCs w:val="18"/>
          <w:color w:val="auto"/>
        </w:rPr>
        <w:t>”) to the Borrower.</w:t>
      </w:r>
    </w:p>
    <w:p>
      <w:pPr>
        <w:spacing w:after="0" w:line="188"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color w:val="auto"/>
        </w:rPr>
        <w:t>The Borrower has requested that the Existing Credit Agreement be amended and restated in its entirety to become effective and binding on the Borrower pursuant to the terms of this Agreement, and the Lenders (including certain of the Existing Lenders) have agreed (subject to the terms of this Agreement) to amend and restate the Existing Credit Agreement in its entirety to read as set forth in this Agreement, and it has been agreed by the parties to the Existing Credit Agreement that (a) the commitments which the Existing Lenders have agreed to extend to the Borrower under the Existing Credit Agreement shall be extended or advanced upon the amended and restated terms and conditions contained in this Agreement; and (b) the Existing Loans and other obligations outstanding under the Existing Credit Agreement shall be governed by and deemed to be outstanding under the amended and restated terms and conditions contained in this Agreement on and after the date hereof, with the intent that the terms of this Agreement shall supersede the terms of the Existing Credit Agreement (each of which shall hereafter have no further effect upon the parties thereto, other than for accrued and unpaid fees and expenses, and indemnification provisions accrued and owing, under the terms of the Existing Credit Agreement on or prior to the Effective Date or arising (in the case of indemnification) under the terms of the Existing Credit Agreement).</w:t>
      </w:r>
    </w:p>
    <w:p>
      <w:pPr>
        <w:spacing w:after="0" w:line="178"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The parties hereto hereby agree to amend and restate the Existing Credit Agreement, and the Existing Credit Agreement is hereby amended and restated in its entirety as follows: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have the meanings specified below:</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2019 Convertible Notes</w:t>
      </w:r>
      <w:r>
        <w:rPr>
          <w:rFonts w:ascii="Arial" w:cs="Arial" w:eastAsia="Arial" w:hAnsi="Arial"/>
          <w:sz w:val="16"/>
          <w:szCs w:val="16"/>
          <w:color w:val="auto"/>
        </w:rPr>
        <w:t>” means the Borrower’s $115,000,000 aggregate principal amount convertible notes due December 2019 issued in June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211" w:lineRule="exact"/>
        <w:rPr>
          <w:sz w:val="20"/>
          <w:szCs w:val="20"/>
          <w:color w:val="auto"/>
        </w:rPr>
      </w:pPr>
    </w:p>
    <w:p>
      <w:pPr>
        <w:ind w:right="8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w:t>
      </w:r>
      <w:r>
        <w:rPr>
          <w:rFonts w:ascii="Arial" w:cs="Arial" w:eastAsia="Arial" w:hAnsi="Arial"/>
          <w:sz w:val="18"/>
          <w:szCs w:val="18"/>
          <w:color w:val="auto"/>
        </w:rPr>
        <w:t>”, when used in reference to any Loan or Borrowing, refers to whether such Loan, or the Loans constituting such Borrowing, are denominated in Dollars and bearing interest at a rate determined by reference to the Alternate Base Rate.</w:t>
      </w:r>
    </w:p>
    <w:p>
      <w:pPr>
        <w:spacing w:after="0" w:line="103" w:lineRule="exact"/>
        <w:rPr>
          <w:sz w:val="20"/>
          <w:szCs w:val="20"/>
          <w:color w:val="auto"/>
        </w:rPr>
      </w:pPr>
    </w:p>
    <w:p>
      <w:pPr>
        <w:jc w:val="both"/>
        <w:ind w:left="5920"/>
        <w:spacing w:after="0"/>
        <w:tabs>
          <w:tab w:leader="none" w:pos="9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88" w:name="page89"/>
    <w:bookmarkEnd w:id="88"/>
    <w:p>
      <w:pPr>
        <w:ind w:right="40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Adjusted Borrowing Base</w:t>
      </w:r>
      <w:r>
        <w:rPr>
          <w:rFonts w:ascii="Arial" w:cs="Arial" w:eastAsia="Arial" w:hAnsi="Arial"/>
          <w:sz w:val="18"/>
          <w:szCs w:val="18"/>
          <w:color w:val="auto"/>
        </w:rPr>
        <w:t xml:space="preserve">” means the Borrowing Base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aggregate amount of Cash and Cash Equivalents included in the Portfolio Investments held by the Obligors (provided that Cash Collateral for outstanding Letters of Credit shall not be treated as a portion of the Portfolio Investments).</w:t>
      </w:r>
    </w:p>
    <w:p>
      <w:pPr>
        <w:spacing w:after="0" w:line="181" w:lineRule="exact"/>
        <w:rPr>
          <w:sz w:val="20"/>
          <w:szCs w:val="20"/>
          <w:color w:val="auto"/>
        </w:rPr>
      </w:pPr>
    </w:p>
    <w:p>
      <w:pPr>
        <w:jc w:val="both"/>
        <w:ind w:right="1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Covered Debt Balance</w:t>
      </w:r>
      <w:r>
        <w:rPr>
          <w:rFonts w:ascii="Arial" w:cs="Arial" w:eastAsia="Arial" w:hAnsi="Arial"/>
          <w:sz w:val="18"/>
          <w:szCs w:val="18"/>
          <w:color w:val="auto"/>
        </w:rPr>
        <w:t xml:space="preserve">” means, on any date, the aggregate Covered Debt Amount on such date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aggregate amount of Cash and Cash Equivalents included in the Portfolio Investments held by the Obligors (provided that Cash Collateral for outstanding Letters of Credit shall not be treated as a portion of the Portfolio Investments).</w:t>
      </w:r>
    </w:p>
    <w:p>
      <w:pPr>
        <w:spacing w:after="0" w:line="181" w:lineRule="exact"/>
        <w:rPr>
          <w:sz w:val="20"/>
          <w:szCs w:val="20"/>
          <w:color w:val="auto"/>
        </w:rPr>
      </w:pPr>
    </w:p>
    <w:p>
      <w:pPr>
        <w:ind w:right="200"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Adjusted LIBO Rate</w:t>
      </w:r>
      <w:r>
        <w:rPr>
          <w:rFonts w:ascii="Arial" w:cs="Arial" w:eastAsia="Arial" w:hAnsi="Arial"/>
          <w:sz w:val="17"/>
          <w:szCs w:val="17"/>
          <w:color w:val="auto"/>
        </w:rPr>
        <w:t xml:space="preserve">” means (a) for the Interest Period for any Eurocurrency Borrowing denominated in a LIBO Quoted Currency, an interest rate per annum (rounded upwards, if necessary, to the next 1/16 of 1%) equal to (i) the LIBO Rate for such Interest Period </w:t>
      </w:r>
      <w:r>
        <w:rPr>
          <w:rFonts w:ascii="Arial" w:cs="Arial" w:eastAsia="Arial" w:hAnsi="Arial"/>
          <w:sz w:val="17"/>
          <w:szCs w:val="17"/>
          <w:u w:val="single" w:color="auto"/>
          <w:color w:val="auto"/>
        </w:rPr>
        <w:t>multiplied by</w:t>
      </w:r>
      <w:r>
        <w:rPr>
          <w:rFonts w:ascii="Arial" w:cs="Arial" w:eastAsia="Arial" w:hAnsi="Arial"/>
          <w:sz w:val="17"/>
          <w:szCs w:val="17"/>
          <w:color w:val="auto"/>
        </w:rPr>
        <w:t xml:space="preserve"> (ii) the Statutory Reserve Rate for such Interest Period and (b) for the Interest Period for any Eurocurrency Borrowing denominated in a Non-LIBO Quoted Currency an interest rate per annum (rounded upwards, if necessary, to the next 1/16 of 1%) equal to the LIBO Rate for such Interest Period.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SunTrust, in its capacity as administrative agent for the Lenders hereunder.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 Appraisal Testing Period</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5.12(b)(ii)(E)(y)</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Account</w:t>
      </w:r>
      <w:r>
        <w:rPr>
          <w:rFonts w:ascii="Arial" w:cs="Arial" w:eastAsia="Arial" w:hAnsi="Arial"/>
          <w:sz w:val="18"/>
          <w:szCs w:val="18"/>
          <w:color w:val="auto"/>
        </w:rPr>
        <w:t>” means, for each Currency, an account in respect of such Currency designated by the Administrative Agent in a notice to the Borrower and the Lenders.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Advance Rate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5.13</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Currency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2.13</w:t>
      </w:r>
      <w:r>
        <w:rPr>
          <w:rFonts w:ascii="Arial" w:cs="Arial" w:eastAsia="Arial" w:hAnsi="Arial"/>
          <w:sz w:val="18"/>
          <w:szCs w:val="18"/>
          <w:color w:val="auto"/>
        </w:rPr>
        <w:t>.</w:t>
      </w:r>
    </w:p>
    <w:p>
      <w:pPr>
        <w:spacing w:after="0" w:line="225"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Person specified. Anything herein to the contrary notwithstanding, the term “Affiliate” shall not include any Person that constitutes an Investment held by any Obligor or Financing Subsidiary in the ordinary course of business; provided that the term “Affiliate” shall include any Financing Subsidiary.</w:t>
      </w:r>
    </w:p>
    <w:p>
      <w:pPr>
        <w:spacing w:after="0" w:line="187" w:lineRule="exact"/>
        <w:rPr>
          <w:sz w:val="20"/>
          <w:szCs w:val="20"/>
          <w:color w:val="auto"/>
        </w:rPr>
      </w:pPr>
    </w:p>
    <w:p>
      <w:pPr>
        <w:ind w:right="2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 Agreements</w:t>
      </w:r>
      <w:r>
        <w:rPr>
          <w:rFonts w:ascii="Arial" w:cs="Arial" w:eastAsia="Arial" w:hAnsi="Arial"/>
          <w:sz w:val="17"/>
          <w:szCs w:val="17"/>
          <w:color w:val="auto"/>
        </w:rPr>
        <w:t>” means collectively, (a) the Administration Agreement dated as of March 15, 2011 between the Borrower and the External Manager, (b) the Amended and Restated Investment Advisory and Management Agreement dated as of December 12, 2011 between the Borrower and the External Manager and (c) the License Agreement dated as of March 14, 2011 between the Borrower and Tarrant Capital IP, LLC.</w:t>
      </w:r>
    </w:p>
    <w:p>
      <w:pPr>
        <w:spacing w:after="0" w:line="98" w:lineRule="exact"/>
        <w:rPr>
          <w:sz w:val="20"/>
          <w:szCs w:val="20"/>
          <w:color w:val="auto"/>
        </w:rPr>
      </w:pPr>
    </w:p>
    <w:p>
      <w:pPr>
        <w:jc w:val="both"/>
        <w:ind w:left="5920"/>
        <w:spacing w:after="0"/>
        <w:tabs>
          <w:tab w:leader="none" w:pos="936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89" w:name="page90"/>
    <w:bookmarkEnd w:id="89"/>
    <w:p>
      <w:pPr>
        <w:ind w:right="20" w:firstLine="913"/>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Agreed Foreign Currency</w:t>
      </w:r>
      <w:r>
        <w:rPr>
          <w:rFonts w:ascii="Arial" w:cs="Arial" w:eastAsia="Arial" w:hAnsi="Arial"/>
          <w:sz w:val="16"/>
          <w:szCs w:val="16"/>
          <w:color w:val="auto"/>
        </w:rPr>
        <w:t>” means, at any time, (i) any of Canadian Dollars, English Pounds Sterling, Euros, Japanese Yen, Australian Dollar, Swiss Franc, Swedish Krona and New Zealand Dollar, and (ii) with the agreement of each Multicurrency Lender, any other Foreign Currency, so long as, in respect of any such specified Foreign Currency or other Foreign Currency, at such time (a) such Foreign Currency is dealt with in the London interbank deposit market, (b) such Foreign Currency is freely transferable and convertible into Dollars in the London foreign exchange market and (c) no central bank or other governmental authorization in the country of issue of such Foreign Currency (including, in the case of the Euro, any authorization by the European Central Bank) is required to permit use of such Foreign Currency by any Multicurrency Lender for making any Loan hereunder and/or to permit the Borrower to borrow and repay the principal thereof and to pay the interest thereon, unless such authorization has been obtained and is in full force and effect.</w:t>
      </w:r>
    </w:p>
    <w:p>
      <w:pPr>
        <w:spacing w:after="0" w:line="16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preamble</w:t>
      </w:r>
      <w:r>
        <w:rPr>
          <w:rFonts w:ascii="Arial" w:cs="Arial" w:eastAsia="Arial" w:hAnsi="Arial"/>
          <w:sz w:val="18"/>
          <w:szCs w:val="18"/>
          <w:color w:val="auto"/>
        </w:rPr>
        <w:t xml:space="preserve"> to this Agreement</w:t>
      </w:r>
    </w:p>
    <w:p>
      <w:pPr>
        <w:spacing w:after="0" w:line="225"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Alternate Base Rate</w:t>
      </w:r>
      <w:r>
        <w:rPr>
          <w:rFonts w:ascii="Arial" w:cs="Arial" w:eastAsia="Arial" w:hAnsi="Arial"/>
          <w:sz w:val="17"/>
          <w:szCs w:val="17"/>
          <w:color w:val="auto"/>
        </w:rPr>
        <w:t xml:space="preserve">” means, for any day, a rate per annum equal to the greatest of (a) the Prime Rate in effect on such day, (b) the Federal Funds Effective Rate for such day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1/2 of 1% and (c) the rate per annum equal to 1%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rate as displayed in the Bloomberg Financial Markets System (or on any successor or substitute page of such service, or any successor to such service, providing rate quotations comparable to those currently provided on such page of such service, as determined by the Administrative Agent in its reasonable discretion from time to time for purposes of providing quotations of interest rates applicable to Dollar deposits in the London interbank market) at approximately 11:00 a.m., London time, on such day (or, if such day is not a Business Day, the immediately preceding Business Day), for Dollar deposits with a term of one month. Any change in the Alternate Base Rate due to a change in the Prime Rate, the Federal Funds Effective Rate or the rate as displayed in the Bloomberg Financial Markets System (or successor therefor) as set forth above shall be effective from and including the effective date of such change in the Prime Rate, the Federal Funds Effective Rate or such rate as displayed in the Bloomberg Financial Markets System (or successor therefor), respectively.</w:t>
      </w:r>
    </w:p>
    <w:p>
      <w:pPr>
        <w:spacing w:after="0" w:line="182" w:lineRule="exact"/>
        <w:rPr>
          <w:sz w:val="20"/>
          <w:szCs w:val="20"/>
          <w:color w:val="auto"/>
        </w:rPr>
      </w:pPr>
    </w:p>
    <w:p>
      <w:pPr>
        <w:jc w:val="both"/>
        <w:ind w:right="2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Dollar Percentage</w:t>
      </w:r>
      <w:r>
        <w:rPr>
          <w:rFonts w:ascii="Arial" w:cs="Arial" w:eastAsia="Arial" w:hAnsi="Arial"/>
          <w:sz w:val="18"/>
          <w:szCs w:val="18"/>
          <w:color w:val="auto"/>
        </w:rPr>
        <w:t>” means, with respect to any Dollar Lender, the percentage of the total Dollar Commitments represented by such Dollar Lender’s Dollar Commitment. If the Dollar Commitments have terminated or expired, the Applicable Dollar Percentages shall be determined based upon the Dollar Commitments most recently in effect, giving effect to any assignments.</w:t>
      </w:r>
    </w:p>
    <w:p>
      <w:pPr>
        <w:spacing w:after="0" w:line="181" w:lineRule="exact"/>
        <w:rPr>
          <w:sz w:val="20"/>
          <w:szCs w:val="20"/>
          <w:color w:val="auto"/>
        </w:rPr>
      </w:pPr>
    </w:p>
    <w:p>
      <w:pPr>
        <w:ind w:right="140"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Financial Statements</w:t>
      </w:r>
      <w:r>
        <w:rPr>
          <w:rFonts w:ascii="Arial" w:cs="Arial" w:eastAsia="Arial" w:hAnsi="Arial"/>
          <w:sz w:val="17"/>
          <w:szCs w:val="17"/>
          <w:color w:val="auto"/>
        </w:rPr>
        <w:t xml:space="preserve">” means, as at any date, the most-recent audited financial statements of the Borrower delivered to the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immediately prior to the delivery to the Lenders of new audited financial statements of the Borrower a Material Adverse Change (the “</w:t>
      </w:r>
      <w:r>
        <w:rPr>
          <w:rFonts w:ascii="Arial" w:cs="Arial" w:eastAsia="Arial" w:hAnsi="Arial"/>
          <w:sz w:val="17"/>
          <w:szCs w:val="17"/>
          <w:u w:val="single" w:color="auto"/>
          <w:color w:val="auto"/>
        </w:rPr>
        <w:t>Pre-existing MAC</w:t>
      </w:r>
      <w:r>
        <w:rPr>
          <w:rFonts w:ascii="Arial" w:cs="Arial" w:eastAsia="Arial" w:hAnsi="Arial"/>
          <w:sz w:val="17"/>
          <w:szCs w:val="17"/>
          <w:color w:val="auto"/>
        </w:rPr>
        <w:t>”) shall exist (regardless of when it occurred), then the “Applicable Financial Statements” as at said date means the Applicable Financial Statements in effect immediately prior to such delivery until such time as the Pre-existing MAC shall no longer exist.</w:t>
      </w:r>
    </w:p>
    <w:p>
      <w:pPr>
        <w:spacing w:after="0" w:line="104" w:lineRule="exact"/>
        <w:rPr>
          <w:sz w:val="20"/>
          <w:szCs w:val="20"/>
          <w:color w:val="auto"/>
        </w:rPr>
      </w:pPr>
    </w:p>
    <w:p>
      <w:pPr>
        <w:jc w:val="both"/>
        <w:ind w:left="5920"/>
        <w:spacing w:after="0"/>
        <w:tabs>
          <w:tab w:leader="none" w:pos="936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90" w:name="page91"/>
    <w:bookmarkEnd w:id="90"/>
    <w:p>
      <w:pPr>
        <w:ind w:left="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u w:val="single" w:color="auto"/>
          <w:color w:val="auto"/>
        </w:rPr>
        <w:t>Applicable Margin</w:t>
      </w:r>
      <w:r>
        <w:rPr>
          <w:rFonts w:ascii="Arial" w:cs="Arial" w:eastAsia="Arial" w:hAnsi="Arial"/>
          <w:sz w:val="17"/>
          <w:szCs w:val="17"/>
          <w:color w:val="auto"/>
        </w:rPr>
        <w:t>” means: (a) with respect to any ABR Loan, 1.00% per annum; and (b) with respect to any Eurocurrency Loan, 2.00% per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annum.</w:t>
      </w:r>
    </w:p>
    <w:p>
      <w:pPr>
        <w:spacing w:after="0" w:line="211"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Multicurrency Percentage</w:t>
      </w:r>
      <w:r>
        <w:rPr>
          <w:rFonts w:ascii="Arial" w:cs="Arial" w:eastAsia="Arial" w:hAnsi="Arial"/>
          <w:sz w:val="18"/>
          <w:szCs w:val="18"/>
          <w:color w:val="auto"/>
        </w:rPr>
        <w:t>” means, with respect to any Multicurrency Lender, the percentage of the total Multicurrency Commitments represented by such Multicurrency Lender’s Multicurrency Commitment. If the Multicurrency Commitments have terminated or expired, the Applicable Multicurrency Percentages shall be determined based upon the Multicurrency Commitments most recently in effect, giving effect to any assignments.</w:t>
      </w:r>
    </w:p>
    <w:p>
      <w:pPr>
        <w:spacing w:after="0" w:line="187"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means, with respect to any Lender, the percentage of the total Commitments represented by such Lender’s Commitment. If the Commitments have terminated or expired, the Applicable Percentages shall be determined based upon the Commitments most recently in effect, giving effect to any assignments.</w:t>
      </w:r>
    </w:p>
    <w:p>
      <w:pPr>
        <w:spacing w:after="0" w:line="181"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Dealer</w:t>
      </w:r>
      <w:r>
        <w:rPr>
          <w:rFonts w:ascii="Arial" w:cs="Arial" w:eastAsia="Arial" w:hAnsi="Arial"/>
          <w:sz w:val="18"/>
          <w:szCs w:val="18"/>
          <w:color w:val="auto"/>
        </w:rPr>
        <w:t xml:space="preserve">” means (a) in the case of any Portfolio Investment that is not a U.S. Government Security, a bank or a broker-dealer registered under the Securities Exchange Act of 1934 of nationally recognized standing or an Affiliate thereof, (b) in the case of a U.S. Government Security, any primary dealer in U.S. Government Securities, and (c) in the case of any foreign Portfolio Investment, any foreign broker-dealer of internationally recognized standing or an Affiliate thereof, in the case of each of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above, as set forth on </w:t>
      </w:r>
      <w:r>
        <w:rPr>
          <w:rFonts w:ascii="Arial" w:cs="Arial" w:eastAsia="Arial" w:hAnsi="Arial"/>
          <w:sz w:val="18"/>
          <w:szCs w:val="18"/>
          <w:u w:val="single" w:color="auto"/>
          <w:color w:val="auto"/>
        </w:rPr>
        <w:t>Schedule 1.01(a)</w:t>
      </w:r>
      <w:r>
        <w:rPr>
          <w:rFonts w:ascii="Arial" w:cs="Arial" w:eastAsia="Arial" w:hAnsi="Arial"/>
          <w:sz w:val="18"/>
          <w:szCs w:val="18"/>
          <w:color w:val="auto"/>
        </w:rPr>
        <w:t xml:space="preserve"> or any other bank or broker-dealer acceptable to the Administrative Agent in its reasonable determination.</w:t>
      </w:r>
    </w:p>
    <w:p>
      <w:pPr>
        <w:spacing w:after="0" w:line="188" w:lineRule="exact"/>
        <w:rPr>
          <w:sz w:val="20"/>
          <w:szCs w:val="20"/>
          <w:color w:val="auto"/>
        </w:rPr>
      </w:pPr>
    </w:p>
    <w:p>
      <w:pPr>
        <w:ind w:right="360"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Approved Pricing Service</w:t>
      </w:r>
      <w:r>
        <w:rPr>
          <w:rFonts w:ascii="Arial" w:cs="Arial" w:eastAsia="Arial" w:hAnsi="Arial"/>
          <w:sz w:val="16"/>
          <w:szCs w:val="16"/>
          <w:color w:val="auto"/>
        </w:rPr>
        <w:t xml:space="preserve">” means a pricing or quotation service as set forth in </w:t>
      </w:r>
      <w:r>
        <w:rPr>
          <w:rFonts w:ascii="Arial" w:cs="Arial" w:eastAsia="Arial" w:hAnsi="Arial"/>
          <w:sz w:val="16"/>
          <w:szCs w:val="16"/>
          <w:u w:val="single" w:color="auto"/>
          <w:color w:val="auto"/>
        </w:rPr>
        <w:t>Schedule 1.01(a)</w:t>
      </w:r>
      <w:r>
        <w:rPr>
          <w:rFonts w:ascii="Arial" w:cs="Arial" w:eastAsia="Arial" w:hAnsi="Arial"/>
          <w:sz w:val="16"/>
          <w:szCs w:val="16"/>
          <w:color w:val="auto"/>
        </w:rPr>
        <w:t xml:space="preserve"> or any other pricing or quotation service approved by the Board of Directors of the Borrower and designated in writing to the Administrative Agent (which designation shall be accompanied by a copy of a resolution of the Board of Directors of the Borrower that such pricing or quotation service has been approved by the Borrower).</w:t>
      </w:r>
    </w:p>
    <w:p>
      <w:pPr>
        <w:spacing w:after="0" w:line="147"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Third-Party Appraiser</w:t>
      </w:r>
      <w:r>
        <w:rPr>
          <w:rFonts w:ascii="Arial" w:cs="Arial" w:eastAsia="Arial" w:hAnsi="Arial"/>
          <w:sz w:val="18"/>
          <w:szCs w:val="18"/>
          <w:color w:val="auto"/>
        </w:rPr>
        <w:t xml:space="preserve">” means any Independent nationally recognized third-party appraisal firm (a) designated by the Borrower in writing to the Administrative Agent (which designation shall be accompanied by a copy of a resolution of the Board of Directors of the Borrower that such firm has been approved by the Borrower for purposes of assisting the Board of Directors of the Borrower in making valuations of portfolio assets to determine the Borrower’s compliance with the applicable provisions of the Investment Company Act) and (b) acceptable to the Administrative Agent. It is understood and agreed that Houlihan Lokey Howard &amp; Zukin Capital, Inc., Duff &amp; Phelps LLC, Murray, Devine and Company, Lincoln International LLC (formerly known as Lincoln Partners LLC) and Valuation Research Corporation are acceptable to the Administrative Agent. As used in </w:t>
      </w:r>
      <w:r>
        <w:rPr>
          <w:rFonts w:ascii="Arial" w:cs="Arial" w:eastAsia="Arial" w:hAnsi="Arial"/>
          <w:sz w:val="18"/>
          <w:szCs w:val="18"/>
          <w:u w:val="single" w:color="auto"/>
          <w:color w:val="auto"/>
        </w:rPr>
        <w:t>Section 5.12</w:t>
      </w:r>
      <w:r>
        <w:rPr>
          <w:rFonts w:ascii="Arial" w:cs="Arial" w:eastAsia="Arial" w:hAnsi="Arial"/>
          <w:sz w:val="18"/>
          <w:szCs w:val="18"/>
          <w:color w:val="auto"/>
        </w:rPr>
        <w:t xml:space="preserve"> hereof, an “Approved Third-Party Appraiser selected by the Administrative Agent” shall mean any of the firms identified in the preceding sentence and any other Independent nationally recognized third-party appraisal firm identified by the Administrative Agent and consented to by the Borrower (such consent not to be unreasonably withheld).</w:t>
      </w:r>
    </w:p>
    <w:p>
      <w:pPr>
        <w:spacing w:after="0" w:line="130" w:lineRule="exact"/>
        <w:rPr>
          <w:sz w:val="20"/>
          <w:szCs w:val="20"/>
          <w:color w:val="auto"/>
        </w:rPr>
      </w:pPr>
    </w:p>
    <w:p>
      <w:pPr>
        <w:ind w:left="5920"/>
        <w:spacing w:after="0"/>
        <w:tabs>
          <w:tab w:leader="none" w:pos="9360" w:val="left"/>
        </w:tabs>
        <w:rPr>
          <w:sz w:val="20"/>
          <w:szCs w:val="20"/>
          <w:color w:val="auto"/>
        </w:rPr>
      </w:pPr>
      <w:r>
        <w:rPr>
          <w:rFonts w:ascii="Arial" w:cs="Arial" w:eastAsia="Arial" w:hAnsi="Arial"/>
          <w:sz w:val="16"/>
          <w:szCs w:val="16"/>
          <w:color w:val="auto"/>
        </w:rPr>
        <w:t>4</w:t>
      </w:r>
      <w:r>
        <w:rPr>
          <w:sz w:val="20"/>
          <w:szCs w:val="20"/>
          <w:color w:val="auto"/>
        </w:rPr>
        <w:tab/>
      </w:r>
      <w:r>
        <w:rPr>
          <w:rFonts w:ascii="Arial" w:cs="Arial" w:eastAsia="Arial" w:hAnsi="Arial"/>
          <w:sz w:val="16"/>
          <w:szCs w:val="16"/>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91" w:name="page92"/>
    <w:bookmarkEnd w:id="91"/>
    <w:p>
      <w:pPr>
        <w:ind w:firstLine="913"/>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Asset Coverage Ratio</w:t>
      </w:r>
      <w:r>
        <w:rPr>
          <w:rFonts w:ascii="Arial" w:cs="Arial" w:eastAsia="Arial" w:hAnsi="Arial"/>
          <w:sz w:val="16"/>
          <w:szCs w:val="16"/>
          <w:color w:val="auto"/>
        </w:rPr>
        <w:t>” means the ratio, determined on a consolidated basis for Borrower and its Subsidiaries, without duplication, (a) the Value of total assets of the Borrower and its Subsidiaries, less all liabilities and indebtedness not represented by senior securities to (b) to the aggregate amount of senior securities representing indebtedness of Borrower and its Subsidiaries (including this Agreement), in each case as determined pursuant to the Investment Company Act and any orders of the Securities and Exchange Commission issued to or with respect to Borrower thereunder, including any exemptive relief granted by the Securities and Exchange Commission with respect to the indebtedness of any SBIC Subsidiary.</w:t>
      </w:r>
    </w:p>
    <w:p>
      <w:pPr>
        <w:spacing w:after="0" w:line="158"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entered into by a Lender and an assignee (with the consent of any party whose consent is required by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and accepted by the Administrative Agent,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(with adjustments thereto to reflect the Classes of Commitments and/or Loans being assigned or outstanding at the time of the respective assignment) or any other form approved by the Administrative Agent.</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Assuming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2.08(e)</w:t>
      </w:r>
      <w:r>
        <w:rPr>
          <w:rFonts w:ascii="Arial" w:cs="Arial" w:eastAsia="Arial" w:hAnsi="Arial"/>
          <w:sz w:val="18"/>
          <w:szCs w:val="18"/>
          <w:color w:val="auto"/>
        </w:rPr>
        <w:t>.</w:t>
      </w:r>
    </w:p>
    <w:p>
      <w:pPr>
        <w:spacing w:after="0" w:line="225"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means the period from and including the Effective Date to but excluding the earlier of the Commitment Termination Date and the date of termination of the Commitments.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Governors of the Federal Reserve System of the United States of America.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assigned to such term in the preamble to this Agreement.</w:t>
      </w:r>
    </w:p>
    <w:p>
      <w:pPr>
        <w:spacing w:after="0" w:line="225"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all Syndicated ABR Loans of the same Class made, converted or continued on the same date, (b) all Eurocurrency Loans of the same Class denominated in the same Currency that have the same Interest Period or (c) a Swingline Loan.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Base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5.13</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Borrowing Base Certificate</w:t>
      </w:r>
      <w:r>
        <w:rPr>
          <w:rFonts w:ascii="Arial" w:cs="Arial" w:eastAsia="Arial" w:hAnsi="Arial"/>
          <w:sz w:val="16"/>
          <w:szCs w:val="16"/>
          <w:color w:val="auto"/>
        </w:rPr>
        <w:t xml:space="preserve">” means a certificate of a Financial Officer of the Borrower, substantially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and appropriately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completed.</w:t>
      </w:r>
    </w:p>
    <w:p>
      <w:pPr>
        <w:spacing w:after="0" w:line="211" w:lineRule="exact"/>
        <w:rPr>
          <w:sz w:val="20"/>
          <w:szCs w:val="20"/>
          <w:color w:val="auto"/>
        </w:rPr>
      </w:pPr>
    </w:p>
    <w:p>
      <w:pPr>
        <w:ind w:right="5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Base Deficiency</w:t>
      </w:r>
      <w:r>
        <w:rPr>
          <w:rFonts w:ascii="Arial" w:cs="Arial" w:eastAsia="Arial" w:hAnsi="Arial"/>
          <w:sz w:val="18"/>
          <w:szCs w:val="18"/>
          <w:color w:val="auto"/>
        </w:rPr>
        <w:t>” means, at any date on which the same is determined, the amount, if any, that (a) the aggregate Covered Debt Amount as of such date exceeds (b) the Borrowing Base as of such date.</w:t>
      </w:r>
    </w:p>
    <w:p>
      <w:pPr>
        <w:spacing w:after="0" w:line="170"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xml:space="preserve">” means a request by the Borrower for a Syndicated Borrowing in accordance with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which, if in writing, shall be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170"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(a) that is not a Saturday, Sunday or other day on which commercial banks in Atlanta, Georgia are authorized or required by law to remain closed, (b) if such day relates to a borrowing of, a payment or prepayment of principal of or interest on, a continuation or conversion of or into, or the Interest Period for, a Eurocurrency Borrowing denominated in Dollars, or to a notice by the Borrower with respect to any such borrowing, payment, prepayment, continuation, conversion, or Interest Period, that is also a day on which</w:t>
      </w:r>
    </w:p>
    <w:p>
      <w:pPr>
        <w:spacing w:after="0" w:line="119" w:lineRule="exact"/>
        <w:rPr>
          <w:sz w:val="20"/>
          <w:szCs w:val="20"/>
          <w:color w:val="auto"/>
        </w:rPr>
      </w:pPr>
    </w:p>
    <w:p>
      <w:pPr>
        <w:jc w:val="both"/>
        <w:ind w:left="5920"/>
        <w:spacing w:after="0"/>
        <w:tabs>
          <w:tab w:leader="none" w:pos="936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92" w:name="page93"/>
    <w:bookmarkEnd w:id="92"/>
    <w:p>
      <w:pPr>
        <w:jc w:val="both"/>
        <w:ind w:right="2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dealings in deposits denominated in Dollars are carried out in the London interbank market and (c) if such day relates to a borrowing or continuation of, a payment or prepayment of principal of or interest on, or the Interest Period for, any Borrowing denominated in any Foreign Currency, or to a notice by the Borrower with respect to any such borrowing, continuation, payment, prepayment or Interest Period, that is also a day on which commercial banks and the London foreign exchange market settle payments in the Principal Financial Center for such Foreign Currency.</w:t>
      </w:r>
    </w:p>
    <w:p>
      <w:pPr>
        <w:spacing w:after="0" w:line="171"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Calculation Amount</w:t>
      </w:r>
      <w:r>
        <w:rPr>
          <w:rFonts w:ascii="Arial" w:cs="Arial" w:eastAsia="Arial" w:hAnsi="Arial"/>
          <w:sz w:val="17"/>
          <w:szCs w:val="17"/>
          <w:color w:val="auto"/>
        </w:rPr>
        <w:t xml:space="preserve">” shall mean, as of the end of any Testing Period, an amount equal to the greater of: (a) (i) 125% of the Adjusted Covered Debt Balance (as of the end of such Testing Period)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(ii) the aggregate Value of all Quoted Investments included in the Borrowing Base (as of the end of such Testing Period) and (b) 10% of the aggregate Value of all Unquoted Investments included in the Borrowing Base (as of the end of such Testing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more than 25% (or, if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applies, 10%, or as near thereto as reasonably practicable) of the aggregate Value of the Unquoted Investments in the Borrowing Base be tested in respect of any applicable Testing Period.</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CAM Exchange</w:t>
      </w:r>
      <w:r>
        <w:rPr>
          <w:rFonts w:ascii="Arial" w:cs="Arial" w:eastAsia="Arial" w:hAnsi="Arial"/>
          <w:sz w:val="18"/>
          <w:szCs w:val="18"/>
          <w:color w:val="auto"/>
        </w:rPr>
        <w:t xml:space="preserve">” means the exchange of the Lenders’ interests provided for in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225" w:lineRule="exact"/>
        <w:rPr>
          <w:sz w:val="20"/>
          <w:szCs w:val="20"/>
          <w:color w:val="auto"/>
        </w:rPr>
      </w:pPr>
    </w:p>
    <w:p>
      <w:pPr>
        <w:ind w:right="8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CAM Exchange Date</w:t>
      </w:r>
      <w:r>
        <w:rPr>
          <w:rFonts w:ascii="Arial" w:cs="Arial" w:eastAsia="Arial" w:hAnsi="Arial"/>
          <w:sz w:val="17"/>
          <w:szCs w:val="17"/>
          <w:color w:val="auto"/>
        </w:rPr>
        <w:t xml:space="preserve">” means the date on which any Event of Default referred to in </w:t>
      </w:r>
      <w:r>
        <w:rPr>
          <w:rFonts w:ascii="Arial" w:cs="Arial" w:eastAsia="Arial" w:hAnsi="Arial"/>
          <w:sz w:val="17"/>
          <w:szCs w:val="17"/>
          <w:u w:val="single" w:color="auto"/>
          <w:color w:val="auto"/>
        </w:rPr>
        <w:t>clause (j)</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shall occur or the date on which the Company receives written notice from the Administrative Agent that any Event of Default referred to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has occurred.</w:t>
      </w:r>
    </w:p>
    <w:p>
      <w:pPr>
        <w:spacing w:after="0" w:line="147" w:lineRule="exact"/>
        <w:rPr>
          <w:sz w:val="20"/>
          <w:szCs w:val="20"/>
          <w:color w:val="auto"/>
        </w:rPr>
      </w:pPr>
    </w:p>
    <w:p>
      <w:pPr>
        <w:ind w:right="2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CAM Percentage</w:t>
      </w:r>
      <w:r>
        <w:rPr>
          <w:rFonts w:ascii="Arial" w:cs="Arial" w:eastAsia="Arial" w:hAnsi="Arial"/>
          <w:sz w:val="18"/>
          <w:szCs w:val="18"/>
          <w:color w:val="auto"/>
        </w:rPr>
        <w:t>” means, as to each Lender, a fraction, expressed as a decimal, of which (a) the numerator shall be the aggregate Dollar Equivalent of the Designated Obligations owed to such Lender (whether or not at the time due and payable) immediately prior to the CAM Exchange Date and (b) the denominator shall be the aggregate Dollar Equivalent amount of the Designated Obligations owed to all the Lenders (whether or not at the time due and payable) immediately prior to the CAM Exchange Date.</w:t>
      </w:r>
    </w:p>
    <w:p>
      <w:pPr>
        <w:spacing w:after="0" w:line="187"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187"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w:t>
      </w:r>
      <w:r>
        <w:rPr>
          <w:rFonts w:ascii="Arial" w:cs="Arial" w:eastAsia="Arial" w:hAnsi="Arial"/>
          <w:sz w:val="18"/>
          <w:szCs w:val="18"/>
          <w:color w:val="auto"/>
        </w:rPr>
        <w:t>” means any immediately available funds in Dollars or in any currency other than Dollars (measured in terms of the Dollar Equivalent thereof) which is a freely convertible currency.</w:t>
      </w:r>
    </w:p>
    <w:p>
      <w:pPr>
        <w:spacing w:after="0" w:line="170" w:lineRule="exact"/>
        <w:rPr>
          <w:sz w:val="20"/>
          <w:szCs w:val="20"/>
          <w:color w:val="auto"/>
        </w:rPr>
      </w:pPr>
    </w:p>
    <w:p>
      <w:pPr>
        <w:ind w:right="340"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Collateralize</w:t>
      </w:r>
      <w:r>
        <w:rPr>
          <w:rFonts w:ascii="Arial" w:cs="Arial" w:eastAsia="Arial" w:hAnsi="Arial"/>
          <w:sz w:val="16"/>
          <w:szCs w:val="16"/>
          <w:color w:val="auto"/>
        </w:rPr>
        <w:t xml:space="preserve">” means, in respect of a Letter of Credit or any obligation hereunder, to provide and pledge cash collateral pursuant to </w:t>
      </w:r>
      <w:r>
        <w:rPr>
          <w:rFonts w:ascii="Arial" w:cs="Arial" w:eastAsia="Arial" w:hAnsi="Arial"/>
          <w:sz w:val="16"/>
          <w:szCs w:val="16"/>
          <w:u w:val="single" w:color="auto"/>
          <w:color w:val="auto"/>
        </w:rPr>
        <w:t>Section 2.05(k)</w:t>
      </w:r>
      <w:r>
        <w:rPr>
          <w:rFonts w:ascii="Arial" w:cs="Arial" w:eastAsia="Arial" w:hAnsi="Arial"/>
          <w:sz w:val="16"/>
          <w:szCs w:val="16"/>
          <w:color w:val="auto"/>
        </w:rPr>
        <w:t>, at a location and pursuant to documentation in form and substance reasonably satisfactory to Administrative Agent and the Issuing Bank. “</w:t>
      </w:r>
      <w:r>
        <w:rPr>
          <w:rFonts w:ascii="Arial" w:cs="Arial" w:eastAsia="Arial" w:hAnsi="Arial"/>
          <w:sz w:val="16"/>
          <w:szCs w:val="16"/>
          <w:u w:val="single" w:color="auto"/>
          <w:color w:val="auto"/>
        </w:rPr>
        <w:t>Cash Collateral</w:t>
      </w:r>
      <w:r>
        <w:rPr>
          <w:rFonts w:ascii="Arial" w:cs="Arial" w:eastAsia="Arial" w:hAnsi="Arial"/>
          <w:sz w:val="16"/>
          <w:szCs w:val="16"/>
          <w:color w:val="auto"/>
        </w:rPr>
        <w:t>” shall have a meaning correlative to the foregoing and shall include the proceeds of such cash collateral and other credit support.</w:t>
      </w:r>
    </w:p>
    <w:p>
      <w:pPr>
        <w:spacing w:after="0" w:line="79" w:lineRule="exact"/>
        <w:rPr>
          <w:sz w:val="20"/>
          <w:szCs w:val="20"/>
          <w:color w:val="auto"/>
        </w:rPr>
      </w:pPr>
    </w:p>
    <w:p>
      <w:pPr>
        <w:jc w:val="both"/>
        <w:ind w:left="5920"/>
        <w:spacing w:after="0"/>
        <w:tabs>
          <w:tab w:leader="none" w:pos="936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93" w:name="page94"/>
    <w:bookmarkEnd w:id="9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 investments (other than Cash) that are one or more of the following obligations:</w:t>
      </w:r>
    </w:p>
    <w:p>
      <w:pPr>
        <w:spacing w:after="0" w:line="117" w:lineRule="exact"/>
        <w:rPr>
          <w:sz w:val="20"/>
          <w:szCs w:val="20"/>
          <w:color w:val="auto"/>
        </w:rPr>
      </w:pPr>
    </w:p>
    <w:p>
      <w:pPr>
        <w:ind w:left="1140" w:hanging="237"/>
        <w:spacing w:after="0"/>
        <w:tabs>
          <w:tab w:leader="none" w:pos="11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U.S. Government Securities, in each case maturing within one year from the date of acquisition thereof;</w:t>
      </w:r>
    </w:p>
    <w:p>
      <w:pPr>
        <w:spacing w:after="0" w:line="117" w:lineRule="exact"/>
        <w:rPr>
          <w:rFonts w:ascii="Arial" w:cs="Arial" w:eastAsia="Arial" w:hAnsi="Arial"/>
          <w:sz w:val="18"/>
          <w:szCs w:val="18"/>
          <w:color w:val="auto"/>
        </w:rPr>
      </w:pPr>
    </w:p>
    <w:p>
      <w:pPr>
        <w:ind w:left="460" w:right="420" w:firstLine="443"/>
        <w:spacing w:after="0" w:line="277" w:lineRule="auto"/>
        <w:tabs>
          <w:tab w:leader="none" w:pos="1153" w:val="left"/>
        </w:tabs>
        <w:numPr>
          <w:ilvl w:val="1"/>
          <w:numId w:val="51"/>
        </w:numPr>
        <w:rPr>
          <w:rFonts w:ascii="Arial" w:cs="Arial" w:eastAsia="Arial" w:hAnsi="Arial"/>
          <w:sz w:val="18"/>
          <w:szCs w:val="18"/>
          <w:color w:val="auto"/>
        </w:rPr>
      </w:pPr>
      <w:r>
        <w:rPr>
          <w:rFonts w:ascii="Arial" w:cs="Arial" w:eastAsia="Arial" w:hAnsi="Arial"/>
          <w:sz w:val="18"/>
          <w:szCs w:val="18"/>
          <w:color w:val="auto"/>
        </w:rPr>
        <w:t>investments in commercial paper maturing within 270 days from the date of acquisition thereof and having, at such date of acquisition, a credit rating of at least A-1 from S&amp;P and at least P-1 from Moody’s;</w:t>
      </w:r>
    </w:p>
    <w:p>
      <w:pPr>
        <w:spacing w:after="0" w:line="62" w:lineRule="exact"/>
        <w:rPr>
          <w:rFonts w:ascii="Arial" w:cs="Arial" w:eastAsia="Arial" w:hAnsi="Arial"/>
          <w:sz w:val="18"/>
          <w:szCs w:val="18"/>
          <w:color w:val="auto"/>
        </w:rPr>
      </w:pPr>
    </w:p>
    <w:p>
      <w:pPr>
        <w:ind w:left="1140" w:hanging="237"/>
        <w:spacing w:after="0"/>
        <w:tabs>
          <w:tab w:leader="none" w:pos="1140" w:val="left"/>
        </w:tabs>
        <w:numPr>
          <w:ilvl w:val="1"/>
          <w:numId w:val="51"/>
        </w:numPr>
        <w:rPr>
          <w:rFonts w:ascii="Arial" w:cs="Arial" w:eastAsia="Arial" w:hAnsi="Arial"/>
          <w:sz w:val="16"/>
          <w:szCs w:val="16"/>
          <w:color w:val="auto"/>
        </w:rPr>
      </w:pPr>
      <w:r>
        <w:rPr>
          <w:rFonts w:ascii="Arial" w:cs="Arial" w:eastAsia="Arial" w:hAnsi="Arial"/>
          <w:sz w:val="16"/>
          <w:szCs w:val="16"/>
          <w:color w:val="auto"/>
        </w:rPr>
        <w:t>investments in certificates of deposit, banker’s acceptances and time deposits maturing within 180 days from the date of acquisition thereof</w:t>
      </w:r>
    </w:p>
    <w:p>
      <w:pPr>
        <w:spacing w:after="0" w:line="46" w:lineRule="exact"/>
        <w:rPr>
          <w:rFonts w:ascii="Arial" w:cs="Arial" w:eastAsia="Arial" w:hAnsi="Arial"/>
          <w:sz w:val="16"/>
          <w:szCs w:val="16"/>
          <w:color w:val="auto"/>
        </w:rPr>
      </w:pPr>
    </w:p>
    <w:p>
      <w:pPr>
        <w:ind w:left="460" w:right="20" w:firstLine="4"/>
        <w:spacing w:after="0" w:line="271" w:lineRule="auto"/>
        <w:tabs>
          <w:tab w:leader="none" w:pos="675"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issued or guaranteed by or placed with, and money market deposit accounts issued or offered by, any domestic office of any commercial bank organized under the laws of the United States of America or any State thereof or under the laws of the jurisdiction or any constituent jurisdiction thereof of any Agreed Foreign Currency;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certificates of deposit, banker’s acceptances and time deposits are held in a securities account (as defined in the Uniform Commercial Code) through which the Collateral Agent can perfect a security interest therein and (ii) having, at such date of acquisition, a credit rating of at least A-1 from S&amp;P and at least P-1 from Moody’s;</w:t>
      </w:r>
    </w:p>
    <w:p>
      <w:pPr>
        <w:spacing w:after="0" w:line="70" w:lineRule="exact"/>
        <w:rPr>
          <w:rFonts w:ascii="Arial" w:cs="Arial" w:eastAsia="Arial" w:hAnsi="Arial"/>
          <w:sz w:val="17"/>
          <w:szCs w:val="17"/>
          <w:color w:val="auto"/>
        </w:rPr>
      </w:pPr>
    </w:p>
    <w:p>
      <w:pPr>
        <w:ind w:left="460" w:right="260" w:firstLine="443"/>
        <w:spacing w:after="0" w:line="259" w:lineRule="auto"/>
        <w:tabs>
          <w:tab w:leader="none" w:pos="1153" w:val="left"/>
        </w:tabs>
        <w:numPr>
          <w:ilvl w:val="1"/>
          <w:numId w:val="52"/>
        </w:numPr>
        <w:rPr>
          <w:rFonts w:ascii="Arial" w:cs="Arial" w:eastAsia="Arial" w:hAnsi="Arial"/>
          <w:sz w:val="18"/>
          <w:szCs w:val="18"/>
          <w:color w:val="auto"/>
        </w:rPr>
      </w:pPr>
      <w:r>
        <w:rPr>
          <w:rFonts w:ascii="Arial" w:cs="Arial" w:eastAsia="Arial" w:hAnsi="Arial"/>
          <w:sz w:val="18"/>
          <w:szCs w:val="18"/>
          <w:color w:val="auto"/>
        </w:rPr>
        <w:t xml:space="preserve">fully collateralized repurchase agreements with a term of not more than 30 days from the date of acquisition thereof for U.S. Government Securities and entered into with (i) a financial institution satisfying the criteria described in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 this definition or (ii) an Approved Dealer having (or being a member of a consolidated group having) at such date of acquisition, a credit rating of at least A-1 from S&amp;P and at least P-1 from Moody’s; and</w:t>
      </w:r>
    </w:p>
    <w:p>
      <w:pPr>
        <w:spacing w:after="0" w:line="78" w:lineRule="exact"/>
        <w:rPr>
          <w:rFonts w:ascii="Arial" w:cs="Arial" w:eastAsia="Arial" w:hAnsi="Arial"/>
          <w:sz w:val="18"/>
          <w:szCs w:val="18"/>
          <w:color w:val="auto"/>
        </w:rPr>
      </w:pPr>
    </w:p>
    <w:p>
      <w:pPr>
        <w:ind w:left="460" w:right="200" w:firstLine="443"/>
        <w:spacing w:after="0" w:line="308" w:lineRule="auto"/>
        <w:tabs>
          <w:tab w:leader="none" w:pos="1143" w:val="left"/>
        </w:tabs>
        <w:numPr>
          <w:ilvl w:val="1"/>
          <w:numId w:val="52"/>
        </w:numPr>
        <w:rPr>
          <w:rFonts w:ascii="Arial" w:cs="Arial" w:eastAsia="Arial" w:hAnsi="Arial"/>
          <w:sz w:val="17"/>
          <w:szCs w:val="17"/>
          <w:color w:val="auto"/>
        </w:rPr>
      </w:pPr>
      <w:r>
        <w:rPr>
          <w:rFonts w:ascii="Arial" w:cs="Arial" w:eastAsia="Arial" w:hAnsi="Arial"/>
          <w:sz w:val="17"/>
          <w:szCs w:val="17"/>
          <w:color w:val="auto"/>
        </w:rPr>
        <w:t xml:space="preserve">investments in money market funds that invest solely, and which are restricted by their respective charters to invest solely, in investments of the type described in the immediately preceding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(d)</w:t>
      </w:r>
      <w:r>
        <w:rPr>
          <w:rFonts w:ascii="Arial" w:cs="Arial" w:eastAsia="Arial" w:hAnsi="Arial"/>
          <w:sz w:val="17"/>
          <w:szCs w:val="17"/>
          <w:color w:val="auto"/>
        </w:rPr>
        <w:t xml:space="preserve"> above (including as to credit quality and maturity).</w:t>
      </w:r>
    </w:p>
    <w:p>
      <w:pPr>
        <w:spacing w:after="0" w:line="147"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 no event shall Cash Equivalents include any obligation that provides for the payment of interest alone (for example, interest-only securities or “IOs”); (ii) if any of Moody’s or S&amp;P changes its rating system, then any ratings included in this definition shall be deemed to be an equivalent rating in a successor rating category of Moody’s or S&amp;P, as the case may be; (iii) Cash Equivalents (other than U.S. Government Securities or repurchase agreements) shall not include any such investment of more than 10% of total assets of the Borrower and its Subsidiaries in any single issuer; and (iv) in no event shall Cash Equivalents include any obligation that is not denominated in Dollars or an Agreed Foreign Currency.</w:t>
      </w:r>
    </w:p>
    <w:p>
      <w:pPr>
        <w:spacing w:after="0" w:line="91" w:lineRule="exact"/>
        <w:rPr>
          <w:sz w:val="20"/>
          <w:szCs w:val="20"/>
          <w:color w:val="auto"/>
        </w:rPr>
      </w:pPr>
    </w:p>
    <w:p>
      <w:pPr>
        <w:jc w:val="both"/>
        <w:ind w:left="5920"/>
        <w:spacing w:after="0"/>
        <w:tabs>
          <w:tab w:leader="none" w:pos="936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94" w:name="page95"/>
    <w:bookmarkEnd w:id="94"/>
    <w:p>
      <w:pPr>
        <w:ind w:right="60"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CDOR Rate</w:t>
      </w:r>
      <w:r>
        <w:rPr>
          <w:rFonts w:ascii="Arial" w:cs="Arial" w:eastAsia="Arial" w:hAnsi="Arial"/>
          <w:sz w:val="18"/>
          <w:szCs w:val="18"/>
          <w:color w:val="auto"/>
        </w:rPr>
        <w:t>” means, the rate per annum, equal to the average of the annual yield rates applicable to Canadian Dollar banker’s acceptances at or about 10:00a.m. (Toronto, Ontario time) on the first day of such Interest Period (or if such day is not a Business Day, then on the immediately preceding Business Day) as reported on the “CDOR Page” (or any display substituted therefor) of Reuters Monitor Money Rates Service (or such other page or commercially available source displaying Canadian interbank bid rates for Canadian Dollar bankers’ acceptances as may be designated by the Administrative Agent from time to time) for a term equivalent to such Interest Period (or if such Interest Period is not equal to a number of months, for a term equivalent to the number of months closest to such Interest Period).</w:t>
      </w:r>
    </w:p>
    <w:p>
      <w:pPr>
        <w:spacing w:after="0" w:line="193" w:lineRule="exact"/>
        <w:rPr>
          <w:sz w:val="20"/>
          <w:szCs w:val="20"/>
          <w:color w:val="auto"/>
        </w:rPr>
      </w:pPr>
    </w:p>
    <w:p>
      <w:pPr>
        <w:jc w:val="both"/>
        <w:ind w:right="1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External Manager ceases to be Controlled by (a) (I) David Bonderman or James Coulter and (II) Alan Waxman, or any of their successors or (b) an Affiliate of TPG Holdings II, L.P. (but, for the avoidance of doubt, excluding Controlled portfolio investment companies of TPG Holdings II, L.P.).</w:t>
      </w:r>
    </w:p>
    <w:p>
      <w:pPr>
        <w:spacing w:after="0" w:line="181"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means the occurrence, after the date of this Agreement, of (a) the adoption of any law, treaty or governmental rule or regulation or any change in any law, treaty or governmental rule or regulation or in the interpretation, administration or application thereof (regardless of whether the underlying law, treaty or governmental rule or regulation was issued or enacted prior to the date hereof), but excluding proposals thereof, or any determination of a court or Governmental Authority, (b) any guideline, request or directive by any Governmental Authority (whether or not having the force of law) or any implementation rules or interpretations of previously issued guidelines, requests or directives, in each case that is issued or made after the date hereof or (c) compliance by any Lender (or its applicable lending office) or any company controlling such Lender with any guideline, request or directive regarding capital adequacy or liquidity (whether or not having the force of law) of any such Governmental Authority, in each case adopted after the date hereof. For the avoidance of doubt, all requests, rules, guidelines or directives concerning liquidity and capital adequacy issued (i) by any United States regulatory authority under or in connection with the implementation of the Dodd-Frank Wall Street Reform and Consumer Protection Act and (ii) by any Governmental Authority in connection with the implementation of the recommendations of the Bank for International Settlements or the Basel Committee on Banking Regulations and Supervisory Practices (or any successor or similar authority), in each case pursuant to Basel III, shall in each case be deemed to be a “Change in Law”, regardless of the date adopted, issued, promulgated or implemented.</w:t>
      </w:r>
    </w:p>
    <w:p>
      <w:pPr>
        <w:spacing w:after="0" w:line="180"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w:t>
      </w:r>
      <w:r>
        <w:rPr>
          <w:rFonts w:ascii="Arial" w:cs="Arial" w:eastAsia="Arial" w:hAnsi="Arial"/>
          <w:sz w:val="18"/>
          <w:szCs w:val="18"/>
          <w:color w:val="auto"/>
        </w:rPr>
        <w:t>”, when used in reference to any Loan or Borrowing, refers to whether such Loan, or the Loans constituting such Borrowing, are Syndicated Dollar Loans, Syndicated Multicurrency Loans or Swingline Loans; when used in reference to any Lender, refers to whether such Lender is a Dollar Lender or a Multicurrency Lender; and, when used in reference to any Commitment, refers to whether such Commitment is a Dollar Commitment or a Multicurrency Commitment. The “</w:t>
      </w:r>
      <w:r>
        <w:rPr>
          <w:rFonts w:ascii="Arial" w:cs="Arial" w:eastAsia="Arial" w:hAnsi="Arial"/>
          <w:sz w:val="18"/>
          <w:szCs w:val="18"/>
          <w:u w:val="single" w:color="auto"/>
          <w:color w:val="auto"/>
        </w:rPr>
        <w:t>Class</w:t>
      </w:r>
      <w:r>
        <w:rPr>
          <w:rFonts w:ascii="Arial" w:cs="Arial" w:eastAsia="Arial" w:hAnsi="Arial"/>
          <w:sz w:val="18"/>
          <w:szCs w:val="18"/>
          <w:color w:val="auto"/>
        </w:rPr>
        <w:t>” of a Letter of Credit refers to whether such Letter of Credit is a Dollar Letter of Credit or a Multicurrency Letter of Credit.</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has the meaning assigned to such term in the Guarantee and Security Agreement.</w:t>
      </w:r>
    </w:p>
    <w:p>
      <w:pPr>
        <w:spacing w:after="0" w:line="225"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Agent</w:t>
      </w:r>
      <w:r>
        <w:rPr>
          <w:rFonts w:ascii="Arial" w:cs="Arial" w:eastAsia="Arial" w:hAnsi="Arial"/>
          <w:sz w:val="18"/>
          <w:szCs w:val="18"/>
          <w:color w:val="auto"/>
        </w:rPr>
        <w:t>” means SunTrust in its capacity as Collateral Agent under the Guarantee and Security Agreement, and includes any successor Collateral Agent thereunder.</w:t>
      </w:r>
    </w:p>
    <w:p>
      <w:pPr>
        <w:spacing w:after="0" w:line="103" w:lineRule="exact"/>
        <w:rPr>
          <w:sz w:val="20"/>
          <w:szCs w:val="20"/>
          <w:color w:val="auto"/>
        </w:rPr>
      </w:pPr>
    </w:p>
    <w:p>
      <w:pPr>
        <w:jc w:val="both"/>
        <w:ind w:left="5920"/>
        <w:spacing w:after="0"/>
        <w:tabs>
          <w:tab w:leader="none" w:pos="936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95" w:name="page96"/>
    <w:bookmarkEnd w:id="95"/>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Commitments</w:t>
      </w:r>
      <w:r>
        <w:rPr>
          <w:rFonts w:ascii="Arial" w:cs="Arial" w:eastAsia="Arial" w:hAnsi="Arial"/>
          <w:sz w:val="18"/>
          <w:szCs w:val="18"/>
          <w:color w:val="auto"/>
        </w:rPr>
        <w:t>” means, collectively, the Dollar Commitments and the Multicurrency Commitments.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Increase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2.08(e)</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Increase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2.08(e)</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Termination Date</w:t>
      </w:r>
      <w:r>
        <w:rPr>
          <w:rFonts w:ascii="Arial" w:cs="Arial" w:eastAsia="Arial" w:hAnsi="Arial"/>
          <w:sz w:val="18"/>
          <w:szCs w:val="18"/>
          <w:color w:val="auto"/>
        </w:rPr>
        <w:t>” means October 17, 2018.</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Group</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5.13(a)</w:t>
      </w:r>
      <w:r>
        <w:rPr>
          <w:rFonts w:ascii="Arial" w:cs="Arial" w:eastAsia="Arial" w:hAnsi="Arial"/>
          <w:sz w:val="18"/>
          <w:szCs w:val="18"/>
          <w:color w:val="auto"/>
        </w:rPr>
        <w:t>.</w:t>
      </w:r>
    </w:p>
    <w:p>
      <w:pPr>
        <w:spacing w:after="0" w:line="225" w:lineRule="exact"/>
        <w:rPr>
          <w:sz w:val="20"/>
          <w:szCs w:val="20"/>
          <w:color w:val="auto"/>
        </w:rPr>
      </w:pPr>
    </w:p>
    <w:p>
      <w:pPr>
        <w:ind w:right="30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6"/>
          <w:szCs w:val="16"/>
          <w:u w:val="single" w:color="auto"/>
          <w:color w:val="auto"/>
        </w:rPr>
        <w:t>Controlling</w:t>
      </w:r>
      <w:r>
        <w:rPr>
          <w:rFonts w:ascii="Arial" w:cs="Arial" w:eastAsia="Arial" w:hAnsi="Arial"/>
          <w:sz w:val="16"/>
          <w:szCs w:val="16"/>
          <w:color w:val="auto"/>
        </w:rPr>
        <w:t>” and “</w:t>
      </w:r>
      <w:r>
        <w:rPr>
          <w:rFonts w:ascii="Arial" w:cs="Arial" w:eastAsia="Arial" w:hAnsi="Arial"/>
          <w:sz w:val="16"/>
          <w:szCs w:val="16"/>
          <w:u w:val="single" w:color="auto"/>
          <w:color w:val="auto"/>
        </w:rPr>
        <w:t>Controlled</w:t>
      </w:r>
      <w:r>
        <w:rPr>
          <w:rFonts w:ascii="Arial" w:cs="Arial" w:eastAsia="Arial" w:hAnsi="Arial"/>
          <w:sz w:val="16"/>
          <w:szCs w:val="16"/>
          <w:color w:val="auto"/>
        </w:rPr>
        <w:t>” have meanings correlative thereto.</w:t>
      </w:r>
    </w:p>
    <w:p>
      <w:pPr>
        <w:spacing w:after="0" w:line="124" w:lineRule="exact"/>
        <w:rPr>
          <w:sz w:val="20"/>
          <w:szCs w:val="20"/>
          <w:color w:val="auto"/>
        </w:rPr>
      </w:pPr>
    </w:p>
    <w:p>
      <w:pPr>
        <w:ind w:right="140" w:firstLine="91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Covered Debt Amount</w:t>
      </w:r>
      <w:r>
        <w:rPr>
          <w:rFonts w:ascii="Arial" w:cs="Arial" w:eastAsia="Arial" w:hAnsi="Arial"/>
          <w:sz w:val="16"/>
          <w:szCs w:val="16"/>
          <w:color w:val="auto"/>
        </w:rPr>
        <w:t xml:space="preserve">” means, on any date, the sum of (x) all of the Revolving Credit Exposures of all Lenders on such date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(y) the aggregate amount of Other Covered Indebtedness, the 2019 Convertible Notes and Unsecured Longer Term Indebtedness on such date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(z) the LC Exposures fully Cash Collateralized on such date pursuant to </w:t>
      </w:r>
      <w:r>
        <w:rPr>
          <w:rFonts w:ascii="Arial" w:cs="Arial" w:eastAsia="Arial" w:hAnsi="Arial"/>
          <w:sz w:val="16"/>
          <w:szCs w:val="16"/>
          <w:u w:val="single" w:color="auto"/>
          <w:color w:val="auto"/>
        </w:rPr>
        <w:t>Section 2.05(k)</w:t>
      </w:r>
      <w:r>
        <w:rPr>
          <w:rFonts w:ascii="Arial" w:cs="Arial" w:eastAsia="Arial" w:hAnsi="Arial"/>
          <w:sz w:val="16"/>
          <w:szCs w:val="16"/>
          <w:color w:val="auto"/>
        </w:rPr>
        <w:t xml:space="preserve"> and the last paragraph of </w:t>
      </w:r>
      <w:r>
        <w:rPr>
          <w:rFonts w:ascii="Arial" w:cs="Arial" w:eastAsia="Arial" w:hAnsi="Arial"/>
          <w:sz w:val="16"/>
          <w:szCs w:val="16"/>
          <w:u w:val="single" w:color="auto"/>
          <w:color w:val="auto"/>
        </w:rPr>
        <w:t>Section 2.09(a)</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2019 Convertible Notes and Unsecured Longer-Term Indebtedness shall be excluded from the calculation of the Covered Debt Amount, in each case, until the date that is nine</w:t>
      </w:r>
    </w:p>
    <w:p>
      <w:pPr>
        <w:spacing w:after="0" w:line="2" w:lineRule="exact"/>
        <w:rPr>
          <w:sz w:val="20"/>
          <w:szCs w:val="20"/>
          <w:color w:val="auto"/>
        </w:rPr>
      </w:pPr>
    </w:p>
    <w:p>
      <w:pPr>
        <w:ind w:right="40" w:firstLine="8"/>
        <w:spacing w:after="0" w:line="288" w:lineRule="auto"/>
        <w:tabs>
          <w:tab w:leader="none" w:pos="255" w:val="left"/>
        </w:tabs>
        <w:numPr>
          <w:ilvl w:val="0"/>
          <w:numId w:val="53"/>
        </w:numPr>
        <w:rPr>
          <w:rFonts w:ascii="Arial" w:cs="Arial" w:eastAsia="Arial" w:hAnsi="Arial"/>
          <w:sz w:val="16"/>
          <w:szCs w:val="16"/>
          <w:color w:val="auto"/>
        </w:rPr>
      </w:pPr>
      <w:r>
        <w:rPr>
          <w:rFonts w:ascii="Arial" w:cs="Arial" w:eastAsia="Arial" w:hAnsi="Arial"/>
          <w:sz w:val="16"/>
          <w:szCs w:val="16"/>
          <w:color w:val="auto"/>
        </w:rPr>
        <w:t>months prior to the scheduled maturity date of the 2019 Convertible Notes or such Unsecured Longer-Term Indebtedness, as applicable (provided that, to the extent, but only to the extent, any portion of the 2019 Convertible Notes or Unsecured Longer-Term Indebtedness is subject to a contractually scheduled amortization payment or other principal payment or mandatory redemption (other than in common stock of the Borrower) earlier than six (6) months after the Final Maturity Date, such portion of such Indebtedness shall be included in the calculation of the Covered Debt Amount beginning upon the date that is the later of (i) nine (9) months prior to such scheduled amortization payment or other principal payment or mandatory redemption and (ii) the date the Borrower becomes aware that such Indebtedness is required to be paid or redeemed). For the avoidance of doubt, for purposes of calculating the Covered Debt Amount, any convertible securities will be included at the then outstanding principal balance thereof.</w:t>
      </w:r>
    </w:p>
    <w:p>
      <w:pPr>
        <w:spacing w:after="0" w:line="16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Currency</w:t>
      </w:r>
      <w:r>
        <w:rPr>
          <w:rFonts w:ascii="Arial" w:cs="Arial" w:eastAsia="Arial" w:hAnsi="Arial"/>
          <w:sz w:val="18"/>
          <w:szCs w:val="18"/>
          <w:color w:val="auto"/>
        </w:rPr>
        <w:t>” means Dollars or any Foreign Currency.</w:t>
      </w:r>
    </w:p>
    <w:p>
      <w:pPr>
        <w:spacing w:after="0" w:line="225"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which constitutes an Event of Default or which upon notice, lapse of time or both would, unless cured or waived, become an Event of Default.</w:t>
      </w:r>
    </w:p>
    <w:p>
      <w:pPr>
        <w:spacing w:after="0" w:line="170" w:lineRule="exact"/>
        <w:rPr>
          <w:sz w:val="20"/>
          <w:szCs w:val="20"/>
          <w:color w:val="auto"/>
        </w:rPr>
      </w:pPr>
    </w:p>
    <w:p>
      <w:pPr>
        <w:jc w:val="both"/>
        <w:ind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xml:space="preserve">” means, subject to </w:t>
      </w:r>
      <w:r>
        <w:rPr>
          <w:rFonts w:ascii="Arial" w:cs="Arial" w:eastAsia="Arial" w:hAnsi="Arial"/>
          <w:sz w:val="16"/>
          <w:szCs w:val="16"/>
          <w:u w:val="single" w:color="auto"/>
          <w:color w:val="auto"/>
        </w:rPr>
        <w:t>Section 2.19(b)</w:t>
      </w:r>
      <w:r>
        <w:rPr>
          <w:rFonts w:ascii="Arial" w:cs="Arial" w:eastAsia="Arial" w:hAnsi="Arial"/>
          <w:sz w:val="16"/>
          <w:szCs w:val="16"/>
          <w:color w:val="auto"/>
        </w:rPr>
        <w:t>, any Lender that (a) has failed to (i) fund all or any portion of its Loans or participations in Letters of Credit within two Business Days of the date such Loans were required to be funded hereunder unless such Lender notifies the Administrative Agent and the Borrower in writing that such failure is the result of such Lender’s reasonable determination that one or more conditions precedent to funding (each</w:t>
      </w:r>
    </w:p>
    <w:p>
      <w:pPr>
        <w:spacing w:after="0" w:line="79" w:lineRule="exact"/>
        <w:rPr>
          <w:sz w:val="20"/>
          <w:szCs w:val="20"/>
          <w:color w:val="auto"/>
        </w:rPr>
      </w:pPr>
    </w:p>
    <w:p>
      <w:pPr>
        <w:jc w:val="both"/>
        <w:ind w:left="5920"/>
        <w:spacing w:after="0"/>
        <w:tabs>
          <w:tab w:leader="none" w:pos="9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96" w:name="page97"/>
    <w:bookmarkEnd w:id="9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which conditions precedent, together with the applicable default, if any, shall be specifically identified in detail in such writing) has not been satisfied, or</w:t>
      </w:r>
    </w:p>
    <w:p>
      <w:pPr>
        <w:spacing w:after="0" w:line="46" w:lineRule="exact"/>
        <w:rPr>
          <w:sz w:val="20"/>
          <w:szCs w:val="20"/>
          <w:color w:val="auto"/>
        </w:rPr>
      </w:pPr>
    </w:p>
    <w:p>
      <w:pPr>
        <w:ind w:firstLine="8"/>
        <w:spacing w:after="0" w:line="284" w:lineRule="auto"/>
        <w:tabs>
          <w:tab w:leader="none" w:pos="265"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pay to the Administrative Agent, Issuing Bank, Swingline Lender or any Lender any other amount required to be paid by it hereunder (including in respect of its participation in Letters of Credit or Swingline Loans) within two Business Days of the date when due, (b) has notified the Borrower, the Administrative Agent, Issuing Bank or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reasonable determination that a condition precedent to funding (which condition precedent, together with the applicable default, if any, shall be specifically identified in detail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(provided that such Lender shall cease to be a Defaulting Lender pursuant to this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upon receipt of such written confirmation by Administrative Agent and Borrower), or (d) Administrative Agent has received notification that such Lender has become, or has a direct or indirect parent company that is, (i) insolvent, or is generally unable to pay its debts as they become due, or admits in writing its inability to pay its debts as they become due, or makes a general assignment for the benefit of its creditors or (ii) other than via an Undisclosed Administration, the subject of a bankruptcy, insolvency, reorganization, liquidation or similar proceeding, or a receiver, trustee, conservator, intervenor or sequestrator or the like has been appointed for such Lender or its direct or indirect parent company, or such Lender or its direct or indirect parent company has taken any action in furtherance of or indicating its consent to or acquiescence in any such proceeding or appointment;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Lender shall not be a Defaulting Lender solely by virtue of the ownership or acquisition of any Equity Interest in that Lender or any direct or indirect parent company thereof by a Governmental Authority or instrumentality so long as such ownership interest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 Any determination by the Administrative Agent that a Lender is a Defaulting Lender under any one or more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(d)</w:t>
      </w:r>
      <w:r>
        <w:rPr>
          <w:rFonts w:ascii="Arial" w:cs="Arial" w:eastAsia="Arial" w:hAnsi="Arial"/>
          <w:sz w:val="16"/>
          <w:szCs w:val="16"/>
          <w:color w:val="auto"/>
        </w:rPr>
        <w:t xml:space="preserve"> above shall be conclusive and binding absent manifest error, and such Lender shall be deemed to be a Defaulting Lender (subject to </w:t>
      </w:r>
      <w:r>
        <w:rPr>
          <w:rFonts w:ascii="Arial" w:cs="Arial" w:eastAsia="Arial" w:hAnsi="Arial"/>
          <w:sz w:val="16"/>
          <w:szCs w:val="16"/>
          <w:u w:val="single" w:color="auto"/>
          <w:color w:val="auto"/>
        </w:rPr>
        <w:t>Section 2.19(b)</w:t>
      </w:r>
      <w:r>
        <w:rPr>
          <w:rFonts w:ascii="Arial" w:cs="Arial" w:eastAsia="Arial" w:hAnsi="Arial"/>
          <w:sz w:val="16"/>
          <w:szCs w:val="16"/>
          <w:color w:val="auto"/>
        </w:rPr>
        <w:t>) upon such determination (and the Administrative Agent shall deliver written notice of such determination to the Borrower, each Issuing Bank and each Lender and the Swingline Lender).</w:t>
      </w:r>
    </w:p>
    <w:p>
      <w:pPr>
        <w:spacing w:after="0" w:line="385"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Obligations</w:t>
      </w:r>
      <w:r>
        <w:rPr>
          <w:rFonts w:ascii="Arial" w:cs="Arial" w:eastAsia="Arial" w:hAnsi="Arial"/>
          <w:sz w:val="18"/>
          <w:szCs w:val="18"/>
          <w:color w:val="auto"/>
        </w:rPr>
        <w:t>” means all obligations of the Borrower with respect to (a) principal of and interest on the Loans and (b) accrued and unpaid fees under the Loan Documents.</w:t>
      </w:r>
    </w:p>
    <w:p>
      <w:pPr>
        <w:spacing w:after="0" w:line="170"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or “</w:t>
      </w:r>
      <w:r>
        <w:rPr>
          <w:rFonts w:ascii="Arial" w:cs="Arial" w:eastAsia="Arial" w:hAnsi="Arial"/>
          <w:sz w:val="18"/>
          <w:szCs w:val="18"/>
          <w:u w:val="single" w:color="auto"/>
          <w:color w:val="auto"/>
        </w:rPr>
        <w:t>Dispose</w:t>
      </w:r>
      <w:r>
        <w:rPr>
          <w:rFonts w:ascii="Arial" w:cs="Arial" w:eastAsia="Arial" w:hAnsi="Arial"/>
          <w:sz w:val="18"/>
          <w:szCs w:val="18"/>
          <w:color w:val="auto"/>
        </w:rPr>
        <w:t xml:space="preserve">” means the sale, transfer, license, lease or other disposition (including any sale and leaseback transaction) of any property by any Person (or the granting of any option or other right to do any of the foregoing), including any sale, assignment, transfer or other disposal, with or without recourse, of any notes or accounts receivable or any rights and claims associated therewith;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“Disposition” or “Dispose” shall not include the disposition of Portfolio Investments originated by the Borrower and immediately transferred to a Financing Subsidiary pursuant to a transaction not prohibited hereunder.</w:t>
      </w:r>
    </w:p>
    <w:p>
      <w:pPr>
        <w:spacing w:after="0" w:line="121"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97" w:name="page98"/>
    <w:bookmarkEnd w:id="97"/>
    <w:p>
      <w:pPr>
        <w:ind w:right="20" w:firstLine="913"/>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Dollar Commitment</w:t>
      </w:r>
      <w:r>
        <w:rPr>
          <w:rFonts w:ascii="Arial" w:cs="Arial" w:eastAsia="Arial" w:hAnsi="Arial"/>
          <w:sz w:val="16"/>
          <w:szCs w:val="16"/>
          <w:color w:val="auto"/>
        </w:rPr>
        <w:t xml:space="preserve">” means, with respect to each Dollar Lender, the commitment of such Dollar Lender to make Syndicated Loans, and to acquire participations in Letters of Credit and Swingline Loans, denominated in Dollars hereunder, expressed as an amount representing the maximum aggregate amount of such Lender’s Revolving Dollar Credit Exposure hereunder, as such commitment may be (a) reduced from time to time pursuant to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and (b) reduced or increased from time to time pursuant to assignments by or to such Lender pursuant to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The amount of each Lender’s Dollar Commitment as of October 17, 2014 is set forth on </w:t>
      </w:r>
      <w:r>
        <w:rPr>
          <w:rFonts w:ascii="Arial" w:cs="Arial" w:eastAsia="Arial" w:hAnsi="Arial"/>
          <w:sz w:val="16"/>
          <w:szCs w:val="16"/>
          <w:u w:val="single" w:color="auto"/>
          <w:color w:val="auto"/>
        </w:rPr>
        <w:t>Schedule 1.01(b)</w:t>
      </w:r>
      <w:r>
        <w:rPr>
          <w:rFonts w:ascii="Arial" w:cs="Arial" w:eastAsia="Arial" w:hAnsi="Arial"/>
          <w:sz w:val="16"/>
          <w:szCs w:val="16"/>
          <w:color w:val="auto"/>
        </w:rPr>
        <w:t>, or in the Assignment and Assumption pursuant to which such Lender shall have assumed its Dollar Commitment, as applicable. The aggregate amount of the Lenders’ Dollar Commitments as of October 17, 2014 is $56,250,000.</w:t>
      </w:r>
    </w:p>
    <w:p>
      <w:pPr>
        <w:spacing w:after="0" w:line="165"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Equivalent</w:t>
      </w:r>
      <w:r>
        <w:rPr>
          <w:rFonts w:ascii="Arial" w:cs="Arial" w:eastAsia="Arial" w:hAnsi="Arial"/>
          <w:sz w:val="18"/>
          <w:szCs w:val="18"/>
          <w:color w:val="auto"/>
        </w:rPr>
        <w:t>” means, on any date of determination, with respect to an amount denominated in any Foreign Currency, the amount of Dollars that would be required to purchase such amount of such Foreign Currency on the date two Business Days prior to such date, based upon the spot selling rate at which the Administrative Agent offers to sell such Foreign Currency for Dollars in the London foreign exchange market at approximately 11:00 a.m., London time, for delivery two Business Days later.</w:t>
      </w:r>
    </w:p>
    <w:p>
      <w:pPr>
        <w:spacing w:after="0" w:line="187" w:lineRule="exact"/>
        <w:rPr>
          <w:sz w:val="20"/>
          <w:szCs w:val="20"/>
          <w:color w:val="auto"/>
        </w:rPr>
      </w:pPr>
    </w:p>
    <w:p>
      <w:pPr>
        <w:jc w:val="both"/>
        <w:ind w:right="100"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Dollar LC Exposure</w:t>
      </w:r>
      <w:r>
        <w:rPr>
          <w:rFonts w:ascii="Arial" w:cs="Arial" w:eastAsia="Arial" w:hAnsi="Arial"/>
          <w:sz w:val="16"/>
          <w:szCs w:val="16"/>
          <w:color w:val="auto"/>
        </w:rPr>
        <w:t xml:space="preserve">” means, at any time, the sum of (a) the aggregate undrawn amount of all outstanding Dollar Letters of Credit at such time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aggregate amount of all LC Disbursements in respect of such Letters of Credit that have not yet been reimbursed by or on behalf of the Borrower at such time. The Dollar LC Exposure of any Lender at any time shall be its Applicable Dollar Percentage of the total Dollar LC Exposure at such time.</w:t>
      </w:r>
    </w:p>
    <w:p>
      <w:pPr>
        <w:spacing w:after="0" w:line="147"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Lender</w:t>
      </w:r>
      <w:r>
        <w:rPr>
          <w:rFonts w:ascii="Arial" w:cs="Arial" w:eastAsia="Arial" w:hAnsi="Arial"/>
          <w:sz w:val="18"/>
          <w:szCs w:val="18"/>
          <w:color w:val="auto"/>
        </w:rPr>
        <w:t xml:space="preserve">” means the Persons listed on </w:t>
      </w:r>
      <w:r>
        <w:rPr>
          <w:rFonts w:ascii="Arial" w:cs="Arial" w:eastAsia="Arial" w:hAnsi="Arial"/>
          <w:sz w:val="18"/>
          <w:szCs w:val="18"/>
          <w:u w:val="single" w:color="auto"/>
          <w:color w:val="auto"/>
        </w:rPr>
        <w:t>Schedule 1.01(b)</w:t>
      </w:r>
      <w:r>
        <w:rPr>
          <w:rFonts w:ascii="Arial" w:cs="Arial" w:eastAsia="Arial" w:hAnsi="Arial"/>
          <w:sz w:val="18"/>
          <w:szCs w:val="18"/>
          <w:color w:val="auto"/>
        </w:rPr>
        <w:t xml:space="preserve"> as having Dollar Commitments and any other Person that shall have become a party hereto pursuant to an Assignment and Assumption that provides for it to assume a Dollar Commitment or to acquire Revolving Dollar Credit Exposure, other than any such Person that ceases to be a party hereto pursuant to an Assignment and Assumption.</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Letters of Credit</w:t>
      </w:r>
      <w:r>
        <w:rPr>
          <w:rFonts w:ascii="Arial" w:cs="Arial" w:eastAsia="Arial" w:hAnsi="Arial"/>
          <w:sz w:val="18"/>
          <w:szCs w:val="18"/>
          <w:color w:val="auto"/>
        </w:rPr>
        <w:t>” means Letters of Credit that utilize the Dollar Commitments.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Loan</w:t>
      </w:r>
      <w:r>
        <w:rPr>
          <w:rFonts w:ascii="Arial" w:cs="Arial" w:eastAsia="Arial" w:hAnsi="Arial"/>
          <w:sz w:val="18"/>
          <w:szCs w:val="18"/>
          <w:color w:val="auto"/>
        </w:rPr>
        <w:t>” means a Loan denominated in Dollars.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refers to lawful money of the United States of America.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Effective Date</w:t>
      </w:r>
      <w:r>
        <w:rPr>
          <w:rFonts w:ascii="Arial" w:cs="Arial" w:eastAsia="Arial" w:hAnsi="Arial"/>
          <w:sz w:val="17"/>
          <w:szCs w:val="17"/>
          <w:color w:val="auto"/>
        </w:rPr>
        <w:t xml:space="preserve">” means the date on which the conditions specified in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are satisfied (or waived in accordance with </w:t>
      </w:r>
      <w:r>
        <w:rPr>
          <w:rFonts w:ascii="Arial" w:cs="Arial" w:eastAsia="Arial" w:hAnsi="Arial"/>
          <w:sz w:val="17"/>
          <w:szCs w:val="17"/>
          <w:u w:val="single" w:color="auto"/>
          <w:color w:val="auto"/>
        </w:rPr>
        <w:t>Section 9.02</w:t>
      </w:r>
      <w:r>
        <w:rPr>
          <w:rFonts w:ascii="Arial" w:cs="Arial" w:eastAsia="Arial" w:hAnsi="Arial"/>
          <w:sz w:val="17"/>
          <w:szCs w:val="17"/>
          <w:color w:val="auto"/>
        </w:rPr>
        <w:t>).</w:t>
      </w:r>
    </w:p>
    <w:p>
      <w:pPr>
        <w:spacing w:after="0" w:line="237" w:lineRule="exact"/>
        <w:rPr>
          <w:sz w:val="20"/>
          <w:szCs w:val="20"/>
          <w:color w:val="auto"/>
        </w:rPr>
      </w:pPr>
    </w:p>
    <w:p>
      <w:pPr>
        <w:ind w:right="10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 Interests</w:t>
      </w:r>
      <w:r>
        <w:rPr>
          <w:rFonts w:ascii="Arial" w:cs="Arial" w:eastAsia="Arial" w:hAnsi="Arial"/>
          <w:sz w:val="17"/>
          <w:szCs w:val="17"/>
          <w:color w:val="auto"/>
        </w:rPr>
        <w:t>” means shares of capital stock, partnership interests, membership interests in a limited liability company, beneficial interests in a trust or other equity ownership interests or equivalents (however designated, including any instrument treated as equity for U.S. federal income tax purposes) in a Person, and any warrants, options or other rights entitling the holder thereof to purchase or acquire any such equity interest.</w:t>
      </w:r>
    </w:p>
    <w:p>
      <w:pPr>
        <w:spacing w:after="0" w:line="98" w:lineRule="exact"/>
        <w:rPr>
          <w:sz w:val="20"/>
          <w:szCs w:val="20"/>
          <w:color w:val="auto"/>
        </w:rPr>
      </w:pPr>
    </w:p>
    <w:p>
      <w:pPr>
        <w:jc w:val="both"/>
        <w:ind w:left="5880"/>
        <w:spacing w:after="0"/>
        <w:tabs>
          <w:tab w:leader="none" w:pos="9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98" w:name="page99"/>
    <w:bookmarkEnd w:id="9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w:t>
      </w:r>
    </w:p>
    <w:p>
      <w:pPr>
        <w:spacing w:after="0" w:line="225" w:lineRule="exact"/>
        <w:rPr>
          <w:sz w:val="20"/>
          <w:szCs w:val="20"/>
          <w:color w:val="auto"/>
        </w:rPr>
      </w:pPr>
    </w:p>
    <w:p>
      <w:pPr>
        <w:ind w:right="2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the Borrower, is treated as a single employer under Section 414(b) or (c) of the Code, or, solely for purposes of Section 302 of ERISA and Section 412 of the Code, is treated as a single employer under Section 414 of the Code.</w:t>
      </w:r>
    </w:p>
    <w:p>
      <w:pPr>
        <w:spacing w:after="0" w:line="181"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Event</w:t>
      </w:r>
      <w:r>
        <w:rPr>
          <w:rFonts w:ascii="Arial" w:cs="Arial" w:eastAsia="Arial" w:hAnsi="Arial"/>
          <w:sz w:val="17"/>
          <w:szCs w:val="17"/>
          <w:color w:val="auto"/>
        </w:rPr>
        <w:t>” means (a) any “reportable event”, as defined in Section 4043 of ERISA or the regulations issued thereunder with respect to a Plan (other than an event for which the 30-day notice period is waived); (b) any failure by any Plan to satisfy the minimum funding standard (within the meaning of Section 412 of the Code or Section 302 of ERISA) applicable to such Plan; (c) the filing pursuant to Section 412(c) of the Code or Section 302(c)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of its ERISA Affiliates of any liability with respect to the withdrawal or partial withdrawal from any Plan or Multiemployer Plan; or (g) the receipt by the Borrower or any ERISA Affiliate of any notice, or the receipt by any Multiemployer Plan from the Borrower or any ERISA Affiliate of any notice, concerning the imposition of Withdrawal Liability or a determination that a Multiemployer Plan is, or is expected to be, insolvent or in reorganization, within the meaning of Title IV of ERISA.</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means a single currency of the Participating Member States.</w:t>
      </w:r>
    </w:p>
    <w:p>
      <w:pPr>
        <w:spacing w:after="0" w:line="225"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w:t>
      </w:r>
      <w:r>
        <w:rPr>
          <w:rFonts w:ascii="Arial" w:cs="Arial" w:eastAsia="Arial" w:hAnsi="Arial"/>
          <w:sz w:val="18"/>
          <w:szCs w:val="18"/>
          <w:color w:val="auto"/>
        </w:rPr>
        <w:t>”, when used in reference to any Loan or Borrowing, refers to whether such Loan, or the Loans constituting such Borrowing, are bearing interest at a rate determined by reference to the Adjusted LIBO Rate.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225" w:lineRule="exact"/>
        <w:rPr>
          <w:sz w:val="20"/>
          <w:szCs w:val="20"/>
          <w:color w:val="auto"/>
        </w:rPr>
      </w:pPr>
    </w:p>
    <w:p>
      <w:pPr>
        <w:ind w:right="120" w:firstLine="913"/>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Taxes</w:t>
      </w:r>
      <w:r>
        <w:rPr>
          <w:rFonts w:ascii="Arial" w:cs="Arial" w:eastAsia="Arial" w:hAnsi="Arial"/>
          <w:sz w:val="17"/>
          <w:szCs w:val="17"/>
          <w:color w:val="auto"/>
        </w:rPr>
        <w:t xml:space="preserve">” means, with respect to the Administrative Agent, any Lender, the Issuing Bank or any other recipient of any payment to be made by or on account of any obligation of the Borrower hereunder, (a) Taxes imposed on (or measured by) its net income (however denominated), net profits, franchise Taxes and branch profits or any similar Taxes, in each case, (i) imposed by the United States of America (or any state or political subdivision thereof), or by the jurisdiction (or any political subdivision thereof) under the laws of which such recipient is organized or in which its principal office is located or, in the case of any Lender, in which its applicable lending office is located or (ii) any Taxes imposed by any jurisdiction by reason of the recipient having any present or former connection with such jurisdiction (other than a connection arising solely from entering into, receiving any payment under or enforcing its rights under this Agreement or any other Loan Document or selling or assigning an interest in any Loan or Loan Document), (b) in the case of a Lender, any Taxes that are U.S. withholding taxes imposed on amounts payable to such Lender (i) at the time such Lender (other than an assignee pursuant to a request by the Borrower under </w:t>
      </w:r>
      <w:r>
        <w:rPr>
          <w:rFonts w:ascii="Arial" w:cs="Arial" w:eastAsia="Arial" w:hAnsi="Arial"/>
          <w:sz w:val="17"/>
          <w:szCs w:val="17"/>
          <w:u w:val="single" w:color="auto"/>
          <w:color w:val="auto"/>
        </w:rPr>
        <w:t>Section 2.18(b)</w:t>
      </w:r>
      <w:r>
        <w:rPr>
          <w:rFonts w:ascii="Arial" w:cs="Arial" w:eastAsia="Arial" w:hAnsi="Arial"/>
          <w:sz w:val="17"/>
          <w:szCs w:val="17"/>
          <w:color w:val="auto"/>
        </w:rPr>
        <w:t>) becomes a party to this</w:t>
      </w:r>
    </w:p>
    <w:p>
      <w:pPr>
        <w:spacing w:after="0" w:line="114"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99" w:name="page100"/>
    <w:bookmarkEnd w:id="99"/>
    <w:p>
      <w:pPr>
        <w:ind w:right="12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Agreement or designates a new lending office, except to the extent that such Lender’s assignor or such Lender was entitled to receive additional amounts from the Borrower with respect to such withholding tax pursuant to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at the time of such assignment or designation (other than to the extent such withholding is as a result of a CAM Exchange), or (ii) that is attributable to such Lender’s failure or inability (other than as a result of a Change in Law occurring after the date such Lender becomes a party to this Agreement) to comply with </w:t>
      </w:r>
      <w:r>
        <w:rPr>
          <w:rFonts w:ascii="Arial" w:cs="Arial" w:eastAsia="Arial" w:hAnsi="Arial"/>
          <w:sz w:val="17"/>
          <w:szCs w:val="17"/>
          <w:u w:val="single" w:color="auto"/>
          <w:color w:val="auto"/>
        </w:rPr>
        <w:t>Section 2.16(f)</w:t>
      </w:r>
      <w:r>
        <w:rPr>
          <w:rFonts w:ascii="Arial" w:cs="Arial" w:eastAsia="Arial" w:hAnsi="Arial"/>
          <w:sz w:val="17"/>
          <w:szCs w:val="17"/>
          <w:color w:val="auto"/>
        </w:rPr>
        <w:t>, (d) any U.S. federal, state or local backup withholding Taxes imposed on payments made under any Loan Document, and (e) any Taxes that are imposed under FATCA.</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recitals</w:t>
      </w:r>
      <w:r>
        <w:rPr>
          <w:rFonts w:ascii="Arial" w:cs="Arial" w:eastAsia="Arial" w:hAnsi="Arial"/>
          <w:sz w:val="18"/>
          <w:szCs w:val="18"/>
          <w:color w:val="auto"/>
        </w:rPr>
        <w:t xml:space="preserve"> to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Lenders</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recitals</w:t>
      </w:r>
      <w:r>
        <w:rPr>
          <w:rFonts w:ascii="Arial" w:cs="Arial" w:eastAsia="Arial" w:hAnsi="Arial"/>
          <w:sz w:val="18"/>
          <w:szCs w:val="18"/>
          <w:color w:val="auto"/>
        </w:rPr>
        <w:t xml:space="preserve"> to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Loans</w:t>
      </w:r>
      <w:r>
        <w:rPr>
          <w:rFonts w:ascii="Arial" w:cs="Arial" w:eastAsia="Arial" w:hAnsi="Arial"/>
          <w:sz w:val="18"/>
          <w:szCs w:val="18"/>
          <w:color w:val="auto"/>
        </w:rPr>
        <w:t xml:space="preserve">” has the meaning assigned to such term in the </w:t>
      </w:r>
      <w:r>
        <w:rPr>
          <w:rFonts w:ascii="Arial" w:cs="Arial" w:eastAsia="Arial" w:hAnsi="Arial"/>
          <w:sz w:val="18"/>
          <w:szCs w:val="18"/>
          <w:u w:val="single" w:color="auto"/>
          <w:color w:val="auto"/>
        </w:rPr>
        <w:t>recitals</w:t>
      </w:r>
      <w:r>
        <w:rPr>
          <w:rFonts w:ascii="Arial" w:cs="Arial" w:eastAsia="Arial" w:hAnsi="Arial"/>
          <w:sz w:val="18"/>
          <w:szCs w:val="18"/>
          <w:color w:val="auto"/>
        </w:rPr>
        <w:t xml:space="preserve"> to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External Manager</w:t>
      </w:r>
      <w:r>
        <w:rPr>
          <w:rFonts w:ascii="Arial" w:cs="Arial" w:eastAsia="Arial" w:hAnsi="Arial"/>
          <w:sz w:val="18"/>
          <w:szCs w:val="18"/>
          <w:color w:val="auto"/>
        </w:rPr>
        <w:t>” means TSL Advisers, LLC.</w:t>
      </w:r>
    </w:p>
    <w:p>
      <w:pPr>
        <w:spacing w:after="0" w:line="225"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Extraordinary Receipts</w:t>
      </w:r>
      <w:r>
        <w:rPr>
          <w:rFonts w:ascii="Arial" w:cs="Arial" w:eastAsia="Arial" w:hAnsi="Arial"/>
          <w:sz w:val="17"/>
          <w:szCs w:val="17"/>
          <w:color w:val="auto"/>
        </w:rPr>
        <w:t xml:space="preserve">” means any cash received by or paid to any Obligor on account of any foreign, United States, state or local tax refunds, pension plan reversions, judgments, proceeds of settlements or other consideration of any kind in connection with any cause of action, condemnation awards (and payments in lieu thereof), indemnity payments received not in the ordinary course of business and any purchase price adjustment received not in the ordinary course of business in connection with any purchase agreement and proceeds of insurance (excluding, however, for the avoidance of doubt, proceeds of any issuance of Equity Interests and issuances of Indebtedness by any Obligor);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Extraordinary Receipts shall not include any (x) amounts that the Borrower receives from the Administrative Agent or any Lender pursuant to </w:t>
      </w:r>
      <w:r>
        <w:rPr>
          <w:rFonts w:ascii="Arial" w:cs="Arial" w:eastAsia="Arial" w:hAnsi="Arial"/>
          <w:sz w:val="17"/>
          <w:szCs w:val="17"/>
          <w:u w:val="single" w:color="auto"/>
          <w:color w:val="auto"/>
        </w:rPr>
        <w:t>Section 2.16(f)</w:t>
      </w:r>
      <w:r>
        <w:rPr>
          <w:rFonts w:ascii="Arial" w:cs="Arial" w:eastAsia="Arial" w:hAnsi="Arial"/>
          <w:sz w:val="17"/>
          <w:szCs w:val="17"/>
          <w:color w:val="auto"/>
        </w:rPr>
        <w:t>, or (y) cash receipts to the extent received from proceeds of insurance, condemnation awards (or payments in lieu thereof), indemnity payments or payments in respect of judgments or settlements of claims, litigation or proceedings to the extent that such proceeds, awards or payments are received by any Person in respect of any unaffiliated third party claim against or loss by such Person and promptly applied to pay (or to reimburse such Person for its prior payment of) such claim or loss and the costs and expenses of such Person with respect thereto.</w:t>
      </w:r>
    </w:p>
    <w:p>
      <w:pPr>
        <w:spacing w:after="0" w:line="178"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 1471 through 1474 of the Code, as of the date of this Agreement (or any amended or successor version that is substantively comparable and not materially more onerous to comply with) and any regulations promulgated thereunder and official interpretations thereof and any foreign legislation implemented to give effect to any intergovernmental agreements entered into thereunder and any agreements entered into pursuant to Section 1471(b)(1) of the Code.</w:t>
      </w:r>
    </w:p>
    <w:p>
      <w:pPr>
        <w:spacing w:after="0" w:line="119"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00" w:name="page101"/>
    <w:bookmarkEnd w:id="100"/>
    <w:p>
      <w:pPr>
        <w:ind w:right="20" w:firstLine="913"/>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means, for any day, the weighted average (rounded upwards, if necessary, to the next 1/100 of 1%) of the rates on overnight Federal funds transactions with members of the Federal Reserve System arranged by Federal funds brokers, as published on the next succeeding Business Day by the Federal Reserve Bank of New York, or, if such rate is not so published for any day that is a Business Day, the average (rounded upwards, if necessary, to the next 1/100 of 1%) of the quotations for such day for such transactions received by the Administrative Agent from three Federal funds brokers of recognized standing selected by it.</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Maturity Date</w:t>
      </w:r>
      <w:r>
        <w:rPr>
          <w:rFonts w:ascii="Arial" w:cs="Arial" w:eastAsia="Arial" w:hAnsi="Arial"/>
          <w:sz w:val="18"/>
          <w:szCs w:val="18"/>
          <w:color w:val="auto"/>
        </w:rPr>
        <w:t>” means October 17, 2019.</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the chief financial officer, principal accounting officer, treasurer or controller of the Borrower.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Financing Subsidiary</w:t>
      </w:r>
      <w:r>
        <w:rPr>
          <w:rFonts w:ascii="Arial" w:cs="Arial" w:eastAsia="Arial" w:hAnsi="Arial"/>
          <w:sz w:val="18"/>
          <w:szCs w:val="18"/>
          <w:color w:val="auto"/>
        </w:rPr>
        <w:t>” means an SPE Subsidiary or an SBIC Subsidiary.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Currency</w:t>
      </w:r>
      <w:r>
        <w:rPr>
          <w:rFonts w:ascii="Arial" w:cs="Arial" w:eastAsia="Arial" w:hAnsi="Arial"/>
          <w:sz w:val="18"/>
          <w:szCs w:val="18"/>
          <w:color w:val="auto"/>
        </w:rPr>
        <w:t>” means at any time any Currency other than Dollars.</w:t>
      </w:r>
    </w:p>
    <w:p>
      <w:pPr>
        <w:spacing w:after="0" w:line="225"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Currency Equivalent</w:t>
      </w:r>
      <w:r>
        <w:rPr>
          <w:rFonts w:ascii="Arial" w:cs="Arial" w:eastAsia="Arial" w:hAnsi="Arial"/>
          <w:sz w:val="18"/>
          <w:szCs w:val="18"/>
          <w:color w:val="auto"/>
        </w:rPr>
        <w:t>” means, with respect to any amount in Dollars, the amount of any Foreign Currency that could be purchased with such amount of Dollars using the reciprocal of the foreign exchange rate(s) specified in the definition of the term “Dollar Equivalent”, as determined by the Administrative Agent.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any Lender that is not a “United States person” as defined under Section 7701(a)(30) of the Code.</w:t>
      </w:r>
    </w:p>
    <w:p>
      <w:pPr>
        <w:spacing w:after="0" w:line="225" w:lineRule="exact"/>
        <w:rPr>
          <w:sz w:val="20"/>
          <w:szCs w:val="20"/>
          <w:color w:val="auto"/>
        </w:rPr>
      </w:pPr>
    </w:p>
    <w:p>
      <w:pPr>
        <w:ind w:right="12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(a) direct or indirect Subsidiary of the Borrower that is organized under the laws of any jurisdiction other than the United States or its territories or possessions and that is treated as a corporation for United States federal income tax purposes, (b) direct or indirect Subsidiary of the Borrower which is a “controlled foreign corporation” within the meaning of the Code or (c) direct or indirect Subsidiary that is disregarded as an entity that is separate from its owner for United States federal income tax purposes and substantially all of its assets consist of the Capital Stock of one or more direct or indirect Foreign Subsidiaries.</w:t>
      </w:r>
    </w:p>
    <w:p>
      <w:pPr>
        <w:spacing w:after="0" w:line="188" w:lineRule="exact"/>
        <w:rPr>
          <w:sz w:val="20"/>
          <w:szCs w:val="20"/>
          <w:color w:val="auto"/>
        </w:rPr>
      </w:pPr>
    </w:p>
    <w:p>
      <w:pPr>
        <w:ind w:right="100" w:firstLine="913"/>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Fronting Exposure</w:t>
      </w:r>
      <w:r>
        <w:rPr>
          <w:rFonts w:ascii="Arial" w:cs="Arial" w:eastAsia="Arial" w:hAnsi="Arial"/>
          <w:sz w:val="16"/>
          <w:szCs w:val="16"/>
          <w:color w:val="auto"/>
        </w:rPr>
        <w:t>” means, at any time there is a Defaulting Lender, with respect to any Issuing Bank, such Defaulting Lender’s (a) Applicable Dollar Percentage of the outstanding Dollar LC Exposure and (b) Applicable Multicurrency Percentage of the outstanding Multicurrency LC Exposure, in each case with respect to Letters of Credit issued by such Issuing Bank other than Dollar LC Exposure or Multicurrency LC Exposure, as the case may be, as to which such Defaulting Lender’s participation obligation has been reallocated to other Lenders or Cash Collateralized in accordance with the terms hereof.</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of America.</w:t>
      </w:r>
    </w:p>
    <w:p>
      <w:pPr>
        <w:spacing w:after="0" w:line="225" w:lineRule="exact"/>
        <w:rPr>
          <w:sz w:val="20"/>
          <w:szCs w:val="20"/>
          <w:color w:val="auto"/>
        </w:rPr>
      </w:pPr>
    </w:p>
    <w:p>
      <w:pPr>
        <w:ind w:right="26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means the government of the United States of America, or of any other nation, or any political subdivision thereof, whether state or local, and any agency, authority, instrumentality, regulatory body, court, central bank, supranational authority or other entity exercising executive, legislative, judicial, taxing, regulatory or administrative powers or functions of or pertaining to government.</w:t>
      </w:r>
    </w:p>
    <w:p>
      <w:pPr>
        <w:spacing w:after="0" w:line="98"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01" w:name="page102"/>
    <w:bookmarkEnd w:id="101"/>
    <w:p>
      <w:pPr>
        <w:ind w:right="60" w:firstLine="913"/>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Guarantee</w:t>
      </w:r>
      <w:r>
        <w:rPr>
          <w:rFonts w:ascii="Arial" w:cs="Arial" w:eastAsia="Arial" w:hAnsi="Arial"/>
          <w:sz w:val="17"/>
          <w:szCs w:val="17"/>
          <w:color w:val="auto"/>
        </w:rPr>
        <w:t>” of or by any Person (the “</w:t>
      </w:r>
      <w:r>
        <w:rPr>
          <w:rFonts w:ascii="Arial" w:cs="Arial" w:eastAsia="Arial" w:hAnsi="Arial"/>
          <w:sz w:val="17"/>
          <w:szCs w:val="17"/>
          <w:u w:val="single" w:color="auto"/>
          <w:color w:val="auto"/>
        </w:rPr>
        <w:t>guarantor</w:t>
      </w:r>
      <w:r>
        <w:rPr>
          <w:rFonts w:ascii="Arial" w:cs="Arial" w:eastAsia="Arial" w:hAnsi="Arial"/>
          <w:sz w:val="17"/>
          <w:szCs w:val="17"/>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7"/>
          <w:szCs w:val="17"/>
          <w:u w:val="single" w:color="auto"/>
          <w:color w:val="auto"/>
        </w:rPr>
        <w:t>primary obligor</w:t>
      </w:r>
      <w:r>
        <w:rPr>
          <w:rFonts w:ascii="Arial" w:cs="Arial" w:eastAsia="Arial" w:hAnsi="Arial"/>
          <w:sz w:val="17"/>
          <w:szCs w:val="17"/>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term Guarantee shall not include (i) endorsements for collection or deposit in the ordinary course of business or (ii) customary indemnification agreements entered into in the ordinary course of business, provided that such indemnification obligations are unsecured, such Person has determined that any liability thereunder is remote and such indemnification obligations are not the functional equivalent of the guaranty of a payment obligation of the primary obligor.</w:t>
      </w:r>
    </w:p>
    <w:p>
      <w:pPr>
        <w:spacing w:after="0" w:line="183"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and Security Agreement</w:t>
      </w:r>
      <w:r>
        <w:rPr>
          <w:rFonts w:ascii="Arial" w:cs="Arial" w:eastAsia="Arial" w:hAnsi="Arial"/>
          <w:sz w:val="18"/>
          <w:szCs w:val="18"/>
          <w:color w:val="auto"/>
        </w:rPr>
        <w:t>” means that certain Amended and Restated Guarantee and Security Agreement dated as of July 2, 2013 among the Borrower, the Administrative Agent, each Subsidiary of the Borrower from time to time party thereto, each holder (or a representative or trustee therefor) from time to time of any Secured Longer-Term Indebtedness or Secured Shorter-Term Indebtedness, and the Collateral Agent, as the same shall be modified and supplemented and in effect from time to time.</w:t>
      </w:r>
    </w:p>
    <w:p>
      <w:pPr>
        <w:spacing w:after="0" w:line="187" w:lineRule="exact"/>
        <w:rPr>
          <w:sz w:val="20"/>
          <w:szCs w:val="20"/>
          <w:color w:val="auto"/>
        </w:rPr>
      </w:pPr>
    </w:p>
    <w:p>
      <w:pPr>
        <w:ind w:right="400"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 Assumption Agreement</w:t>
      </w:r>
      <w:r>
        <w:rPr>
          <w:rFonts w:ascii="Arial" w:cs="Arial" w:eastAsia="Arial" w:hAnsi="Arial"/>
          <w:sz w:val="16"/>
          <w:szCs w:val="16"/>
          <w:color w:val="auto"/>
        </w:rPr>
        <w:t xml:space="preserve">” means a Guarantee Assumption Agreement substantially in the form of Exhibit B to the Guarantee and Security Agreement between the Collateral Agent and an entity that pursuant to </w:t>
      </w:r>
      <w:r>
        <w:rPr>
          <w:rFonts w:ascii="Arial" w:cs="Arial" w:eastAsia="Arial" w:hAnsi="Arial"/>
          <w:sz w:val="16"/>
          <w:szCs w:val="16"/>
          <w:u w:val="single" w:color="auto"/>
          <w:color w:val="auto"/>
        </w:rPr>
        <w:t>Section 5.08</w:t>
      </w:r>
      <w:r>
        <w:rPr>
          <w:rFonts w:ascii="Arial" w:cs="Arial" w:eastAsia="Arial" w:hAnsi="Arial"/>
          <w:sz w:val="16"/>
          <w:szCs w:val="16"/>
          <w:color w:val="auto"/>
        </w:rPr>
        <w:t xml:space="preserve"> is required to become a “Subsidiary Guarantor” under the Guarantee and Security Agreement (with such changes as the Administrative Agent shall request consistent with the requirements of </w:t>
      </w:r>
      <w:r>
        <w:rPr>
          <w:rFonts w:ascii="Arial" w:cs="Arial" w:eastAsia="Arial" w:hAnsi="Arial"/>
          <w:sz w:val="16"/>
          <w:szCs w:val="16"/>
          <w:u w:val="single" w:color="auto"/>
          <w:color w:val="auto"/>
        </w:rPr>
        <w:t>Section 5.08</w:t>
      </w:r>
      <w:r>
        <w:rPr>
          <w:rFonts w:ascii="Arial" w:cs="Arial" w:eastAsia="Arial" w:hAnsi="Arial"/>
          <w:sz w:val="16"/>
          <w:szCs w:val="16"/>
          <w:color w:val="auto"/>
        </w:rPr>
        <w:t>).</w:t>
      </w:r>
    </w:p>
    <w:p>
      <w:pPr>
        <w:spacing w:after="0" w:line="147" w:lineRule="exact"/>
        <w:rPr>
          <w:sz w:val="20"/>
          <w:szCs w:val="20"/>
          <w:color w:val="auto"/>
        </w:rPr>
      </w:pPr>
    </w:p>
    <w:p>
      <w:pPr>
        <w:ind w:right="7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Hedging Agreement</w:t>
      </w:r>
      <w:r>
        <w:rPr>
          <w:rFonts w:ascii="Arial" w:cs="Arial" w:eastAsia="Arial" w:hAnsi="Arial"/>
          <w:sz w:val="18"/>
          <w:szCs w:val="18"/>
          <w:color w:val="auto"/>
        </w:rPr>
        <w:t>” means any interest rate protection agreement, foreign currency exchange protection agreement, commodity price protection agreement or other interest or currency exchange rate or commodity price hedging arrangement.</w:t>
      </w:r>
    </w:p>
    <w:p>
      <w:pPr>
        <w:spacing w:after="0" w:line="170"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Immaterial Subsidiaries</w:t>
      </w:r>
      <w:r>
        <w:rPr>
          <w:rFonts w:ascii="Arial" w:cs="Arial" w:eastAsia="Arial" w:hAnsi="Arial"/>
          <w:sz w:val="18"/>
          <w:szCs w:val="18"/>
          <w:color w:val="auto"/>
        </w:rPr>
        <w:t xml:space="preserve">” means those Subsidiaries of the Borrower that are “designated” as Immaterial Subsidiaries by the Borrower from time to time (it being understood that the Borrower may at any time change any such designation);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designated Immaterial Subsidiaries shall collectively meet all of the following criteria as of the date of the most recent balance sheet required to be delivered pursuant to </w:t>
      </w:r>
      <w:r>
        <w:rPr>
          <w:rFonts w:ascii="Arial" w:cs="Arial" w:eastAsia="Arial" w:hAnsi="Arial"/>
          <w:sz w:val="18"/>
          <w:szCs w:val="18"/>
          <w:u w:val="single" w:color="auto"/>
          <w:color w:val="auto"/>
        </w:rPr>
        <w:t>Section 5.01</w:t>
      </w:r>
      <w:r>
        <w:rPr>
          <w:rFonts w:ascii="Arial" w:cs="Arial" w:eastAsia="Arial" w:hAnsi="Arial"/>
          <w:sz w:val="18"/>
          <w:szCs w:val="18"/>
          <w:color w:val="auto"/>
        </w:rPr>
        <w:t>: (a) the aggregate assets of such Subsidiaries and their Subsidiaries (on a consolidated basis) as of such date do not exceed an amount equal to 3% of the consolidated assets of the Borrower and its Subsidiaries as of such date; and (b) the aggregate revenues of such Subsidiaries and their Subsidiaries (on a consolidated basis) for the fiscal quarter ending on such date do not exceed an amount equal to 3% of the consolidated revenues of the Borrower and its Subsidiaries for such period.</w:t>
      </w:r>
    </w:p>
    <w:p>
      <w:pPr>
        <w:spacing w:after="0" w:line="18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Increasing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2.08(e)</w:t>
      </w:r>
      <w:r>
        <w:rPr>
          <w:rFonts w:ascii="Arial" w:cs="Arial" w:eastAsia="Arial" w:hAnsi="Arial"/>
          <w:sz w:val="18"/>
          <w:szCs w:val="18"/>
          <w:color w:val="auto"/>
        </w:rPr>
        <w:t>.</w:t>
      </w:r>
    </w:p>
    <w:p>
      <w:pPr>
        <w:spacing w:after="0" w:line="158"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02" w:name="page103"/>
    <w:bookmarkEnd w:id="102"/>
    <w:p>
      <w:pPr>
        <w:ind w:right="40" w:firstLine="913"/>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means, without duplication, (a) all obligations of such Person for borrowed money or with respect to deposits or advances of any kind,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accounts payable and accrued expenses incurred in the ordinary course of business), (e) all Indebtedness of others secured by any Lien on property owned or acquired by such Person, whether or not the Indebtedness secured thereby has been assumed (with the value of such debt being the lower of the outstanding amount of such debt and the fair market value of the property subject to such Lien), (f) all Guarantees by such Person of Indebtedness of others, (g) all Capital Lease Obligations of such Person, (h) all obligations, contingent or otherwise, of such Person as an account party in respect of letters of credit and letters of guaranty and (i) all obligations, contingent or otherwise, of such Person in respect of bankers’ acceptances.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Notwithstanding the foregoing, “Indebtedness” shall not include (x) purchase price holdbacks arising in the ordinary course of business in respect of a portion of the purchase price of an asset or Investment to satisfy unperformed obligations of the seller of such asset or Investment or (y) a commitment arising in the ordinary course of business to make a future Portfolio Investment.</w:t>
      </w:r>
    </w:p>
    <w:p>
      <w:pPr>
        <w:spacing w:after="0" w:line="175" w:lineRule="exact"/>
        <w:rPr>
          <w:sz w:val="20"/>
          <w:szCs w:val="20"/>
          <w:color w:val="auto"/>
        </w:rPr>
      </w:pPr>
    </w:p>
    <w:p>
      <w:pPr>
        <w:ind w:right="6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Taxes, other than Excluded Taxes, imposed on or with respect to any payment made by or on account of any obligation of the Borrower under this Agreement.</w:t>
      </w:r>
    </w:p>
    <w:p>
      <w:pPr>
        <w:spacing w:after="0" w:line="170"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w:t>
      </w:r>
      <w:r>
        <w:rPr>
          <w:rFonts w:ascii="Arial" w:cs="Arial" w:eastAsia="Arial" w:hAnsi="Arial"/>
          <w:sz w:val="18"/>
          <w:szCs w:val="18"/>
          <w:color w:val="auto"/>
        </w:rPr>
        <w:t>” when used with respect to any specified Person means that such Person (a) does not have any direct financial interest or any material indirect financial interest in the Borrower or any of its Subsidiaries or Affiliates (including its investment advisor or any Affiliate thereof) and (b) is not connected with the Borrower or of its Subsidiaries or Affiliates (including its investment advisor or any Affiliate thereof) as an officer, employee, promoter, underwriter, trustee, partner, director or Person performing similar functions.</w:t>
      </w:r>
    </w:p>
    <w:p>
      <w:pPr>
        <w:spacing w:after="0" w:line="187"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Industry Classification Group</w:t>
      </w:r>
      <w:r>
        <w:rPr>
          <w:rFonts w:ascii="Arial" w:cs="Arial" w:eastAsia="Arial" w:hAnsi="Arial"/>
          <w:sz w:val="18"/>
          <w:szCs w:val="18"/>
          <w:color w:val="auto"/>
        </w:rPr>
        <w:t xml:space="preserve">” means (a) any of the classification groups set forth in </w:t>
      </w:r>
      <w:r>
        <w:rPr>
          <w:rFonts w:ascii="Arial" w:cs="Arial" w:eastAsia="Arial" w:hAnsi="Arial"/>
          <w:sz w:val="18"/>
          <w:szCs w:val="18"/>
          <w:u w:val="single" w:color="auto"/>
          <w:color w:val="auto"/>
        </w:rPr>
        <w:t>Schedule 1.01(c)</w:t>
      </w:r>
      <w:r>
        <w:rPr>
          <w:rFonts w:ascii="Arial" w:cs="Arial" w:eastAsia="Arial" w:hAnsi="Arial"/>
          <w:sz w:val="18"/>
          <w:szCs w:val="18"/>
          <w:color w:val="auto"/>
        </w:rPr>
        <w:t xml:space="preserve"> hereto, together with any such classification groups that may be subsequently established by Moody’s and provided by the Borrower to the Lenders, and (b) up to three additional industry group classifications established by the Borrower pursuant to </w:t>
      </w:r>
      <w:r>
        <w:rPr>
          <w:rFonts w:ascii="Arial" w:cs="Arial" w:eastAsia="Arial" w:hAnsi="Arial"/>
          <w:sz w:val="18"/>
          <w:szCs w:val="18"/>
          <w:u w:val="single" w:color="auto"/>
          <w:color w:val="auto"/>
        </w:rPr>
        <w:t>Section 5.12</w:t>
      </w:r>
      <w:r>
        <w:rPr>
          <w:rFonts w:ascii="Arial" w:cs="Arial" w:eastAsia="Arial" w:hAnsi="Arial"/>
          <w:sz w:val="18"/>
          <w:szCs w:val="18"/>
          <w:color w:val="auto"/>
        </w:rPr>
        <w: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Election Request</w:t>
      </w:r>
      <w:r>
        <w:rPr>
          <w:rFonts w:ascii="Arial" w:cs="Arial" w:eastAsia="Arial" w:hAnsi="Arial"/>
          <w:sz w:val="16"/>
          <w:szCs w:val="16"/>
          <w:color w:val="auto"/>
        </w:rPr>
        <w:t xml:space="preserve">” means a request by the Borrower to convert or continue a Syndicated Borrowing in accordance with </w:t>
      </w:r>
      <w:r>
        <w:rPr>
          <w:rFonts w:ascii="Arial" w:cs="Arial" w:eastAsia="Arial" w:hAnsi="Arial"/>
          <w:sz w:val="16"/>
          <w:szCs w:val="16"/>
          <w:u w:val="single" w:color="auto"/>
          <w:color w:val="auto"/>
        </w:rPr>
        <w:t>Section 2.07</w:t>
      </w:r>
      <w:r>
        <w:rPr>
          <w:rFonts w:ascii="Arial" w:cs="Arial" w:eastAsia="Arial" w:hAnsi="Arial"/>
          <w:sz w:val="16"/>
          <w:szCs w:val="16"/>
          <w:color w:val="auto"/>
        </w:rPr>
        <w:t>.</w:t>
      </w:r>
    </w:p>
    <w:p>
      <w:pPr>
        <w:spacing w:after="0" w:line="248"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(a) with respect to any Syndicated ABR Loan, each Quarterly Date, (b) with respect to any Eurocurrency Loan, the last day of each Interest Period therefor and, in the case of any Interest Period of more than three months’ duration, each day prior to the last day of such Interest Period that occurs at three-month intervals after the first day of such Interest Period and (c) with respect to any Swingline Loan, the day that such Loan is required to be repaid.</w:t>
      </w:r>
    </w:p>
    <w:p>
      <w:pPr>
        <w:spacing w:after="0" w:line="119"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03" w:name="page104"/>
    <w:bookmarkEnd w:id="103"/>
    <w:p>
      <w:pPr>
        <w:ind w:right="20" w:firstLine="913"/>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means, for any Eurocurrency Loan or Borrowing, the period commencing on the date of such Loan or Borrowing and ending on the numerically corresponding day in the calendar month that is one, two, three or six months thereafter or, with respect to such portion of any Eurocurrency Loan or Borrowing denominated in a Foreign Currency that is scheduled to be repaid on the Final Maturity Date, a period of less than one month’s duration commencing on the date of such Loan or Borrowing and ending on the Final Maturity Date, as specified in the applicable Borrowing Request or Interest Election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(ii) any Interest Period (other than an Interest Period pertaining to a Eurocurrency Borrowing denominated in a Foreign Currency that ends on the Final Maturity Date that is permitted to be of less than one month’s duration as provided in this definition) that commences on the last Business Day of a calendar month (or on a day for which there is no numerically corresponding day in the last calendar month of such Interest</w:t>
      </w:r>
    </w:p>
    <w:p>
      <w:pPr>
        <w:spacing w:after="0" w:line="7"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Period) shall end on the last Business Day of the last calendar month of such Interest Period. For purposes hereof, the date of a Loan initially shall be the date on which such Loan is made and thereafter shall be the effective date of the most recent conversion or continuation of such Loan, and the date of a Syndicated Borrowing comprising Loans that have been converted or continued shall be the effective date of the most recent conversion or continuation of such Loans.</w:t>
      </w:r>
    </w:p>
    <w:p>
      <w:pPr>
        <w:spacing w:after="0" w:line="155" w:lineRule="exact"/>
        <w:rPr>
          <w:sz w:val="20"/>
          <w:szCs w:val="20"/>
          <w:color w:val="auto"/>
        </w:rPr>
      </w:pPr>
    </w:p>
    <w:p>
      <w:pPr>
        <w:ind w:right="18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means, for any Person: (a) Equity Interests, bonds, notes, debentures or other securities of any other Person or any agreement to acquire any Equity Interests, bonds, notes, debentures or other securities of any other Person (and any rights or proceeds in respect of (x) any “short sale” of securities or (y) any sale of any securities at a time when such securities are not owned by such Person); (b) deposits, advances, loans or other extensions of credit made to any other Person (including purchases of property from another Person subject to an understanding or agreement, contingent or otherwise, to resell such property to such Person); or (c) Hedging Agreements.</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means the Investment Company Act of 1940, as amended from time to time.</w:t>
      </w:r>
    </w:p>
    <w:p>
      <w:pPr>
        <w:spacing w:after="0" w:line="225" w:lineRule="exact"/>
        <w:rPr>
          <w:sz w:val="20"/>
          <w:szCs w:val="20"/>
          <w:color w:val="auto"/>
        </w:rPr>
      </w:pPr>
    </w:p>
    <w:p>
      <w:pPr>
        <w:ind w:right="78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 Policies</w:t>
      </w:r>
      <w:r>
        <w:rPr>
          <w:rFonts w:ascii="Arial" w:cs="Arial" w:eastAsia="Arial" w:hAnsi="Arial"/>
          <w:sz w:val="16"/>
          <w:szCs w:val="16"/>
          <w:color w:val="auto"/>
        </w:rPr>
        <w:t>” means the investment objectives, policies, restrictions and limitations set forth in the “BUSINESS” section of its Registration Statement, and as the same may be changed, altered, expanded, amended, modified, terminated or restated from time to time.</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jc w:val="both"/>
        <w:ind w:right="3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Bank</w:t>
      </w:r>
      <w:r>
        <w:rPr>
          <w:rFonts w:ascii="Arial" w:cs="Arial" w:eastAsia="Arial" w:hAnsi="Arial"/>
          <w:sz w:val="18"/>
          <w:szCs w:val="18"/>
          <w:color w:val="auto"/>
        </w:rPr>
        <w:t xml:space="preserve">” means SunTrust, in its capacity as the issuer of Letters of Credit hereunder, and its successors in such capacity as provided in </w:t>
      </w:r>
      <w:r>
        <w:rPr>
          <w:rFonts w:ascii="Arial" w:cs="Arial" w:eastAsia="Arial" w:hAnsi="Arial"/>
          <w:sz w:val="18"/>
          <w:szCs w:val="18"/>
          <w:u w:val="single" w:color="auto"/>
          <w:color w:val="auto"/>
        </w:rPr>
        <w:t>Section 2.05(j)</w:t>
      </w:r>
      <w:r>
        <w:rPr>
          <w:rFonts w:ascii="Arial" w:cs="Arial" w:eastAsia="Arial" w:hAnsi="Arial"/>
          <w:sz w:val="18"/>
          <w:szCs w:val="18"/>
          <w:color w:val="auto"/>
        </w:rPr>
        <w:t>. In the case of any Letter of Credit to be issued in an Agreed Foreign Currency, SunTrust may designate any of its affiliates as the “Issuing Bank” for purposes of such Letter of Credit.</w:t>
      </w:r>
    </w:p>
    <w:p>
      <w:pPr>
        <w:spacing w:after="0" w:line="114"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04" w:name="page105"/>
    <w:bookmarkEnd w:id="104"/>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LC Disbursement</w:t>
      </w:r>
      <w:r>
        <w:rPr>
          <w:rFonts w:ascii="Arial" w:cs="Arial" w:eastAsia="Arial" w:hAnsi="Arial"/>
          <w:sz w:val="18"/>
          <w:szCs w:val="18"/>
          <w:color w:val="auto"/>
        </w:rPr>
        <w:t>” means a payment made by the Issuing Bank pursuant to a Letter of Credit.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Exposure</w:t>
      </w:r>
      <w:r>
        <w:rPr>
          <w:rFonts w:ascii="Arial" w:cs="Arial" w:eastAsia="Arial" w:hAnsi="Arial"/>
          <w:sz w:val="18"/>
          <w:szCs w:val="18"/>
          <w:color w:val="auto"/>
        </w:rPr>
        <w:t>” means, at any time, the sum of the Dollar LC Exposure and the Multicurrency LC Exposure.</w:t>
      </w:r>
    </w:p>
    <w:p>
      <w:pPr>
        <w:spacing w:after="0" w:line="225"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means, collectively, the Dollar Lenders and the Multicurrency Lenders. Unless the context otherwise requires, the term “Lenders” includes the Swingline Lender.</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letter of credit issued pursuant to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Collateral Account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2.05(k)</w:t>
      </w:r>
      <w:r>
        <w:rPr>
          <w:rFonts w:ascii="Arial" w:cs="Arial" w:eastAsia="Arial" w:hAnsi="Arial"/>
          <w:sz w:val="18"/>
          <w:szCs w:val="18"/>
          <w:color w:val="auto"/>
        </w:rPr>
        <w:t>.</w:t>
      </w:r>
    </w:p>
    <w:p>
      <w:pPr>
        <w:spacing w:after="0" w:line="225"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Documents</w:t>
      </w:r>
      <w:r>
        <w:rPr>
          <w:rFonts w:ascii="Arial" w:cs="Arial" w:eastAsia="Arial" w:hAnsi="Arial"/>
          <w:sz w:val="18"/>
          <w:szCs w:val="18"/>
          <w:color w:val="auto"/>
        </w:rPr>
        <w:t>” means, with respect to any Letter of Credit, collectively, any application therefor and any other agreements, instruments, guarantees or other documents (whether general in application or applicable only to such Letter of Credit) governing or providing for (a) the rights and obligations of the parties concerned or at risk with respect to such Letter of Credit or (b) any collateral security for any of such obligations, each as the same may be modified and supplemented and in effect from time to time.</w:t>
      </w:r>
    </w:p>
    <w:p>
      <w:pPr>
        <w:spacing w:after="0" w:line="187"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 Quoted Currency</w:t>
      </w:r>
      <w:r>
        <w:rPr>
          <w:rFonts w:ascii="Arial" w:cs="Arial" w:eastAsia="Arial" w:hAnsi="Arial"/>
          <w:sz w:val="18"/>
          <w:szCs w:val="18"/>
          <w:color w:val="auto"/>
        </w:rPr>
        <w:t>” means each of the following currencies: Dollars; Euro; English Pounds Sterling; Japanese Yen; and Swiss Franc; in each case as long as there is a published LIBO rate with respect thereto.</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 Rate</w:t>
      </w:r>
      <w:r>
        <w:rPr>
          <w:rFonts w:ascii="Arial" w:cs="Arial" w:eastAsia="Arial" w:hAnsi="Arial"/>
          <w:sz w:val="18"/>
          <w:szCs w:val="18"/>
          <w:color w:val="auto"/>
        </w:rPr>
        <w:t>” means, for any Interest Period:</w:t>
      </w:r>
    </w:p>
    <w:p>
      <w:pPr>
        <w:spacing w:after="0" w:line="117" w:lineRule="exact"/>
        <w:rPr>
          <w:sz w:val="20"/>
          <w:szCs w:val="20"/>
          <w:color w:val="auto"/>
        </w:rPr>
      </w:pPr>
    </w:p>
    <w:p>
      <w:pPr>
        <w:ind w:left="460" w:right="60" w:firstLine="443"/>
        <w:spacing w:after="0" w:line="269" w:lineRule="auto"/>
        <w:tabs>
          <w:tab w:leader="none" w:pos="1143"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 the case of Eurocurrency Borrowings denominated in a LIBO Quoted Currency, the ICE Benchmark Administration Limited London interbank offered rate per annum for deposits in the relevant Currency for a period equal to the Interest Period as displayed in the Bloomberg Financial Markets System (or such other page on that service or such other service designated by the ICE Benchmark Administration Limited for the display of such Administration’s London interbank offered rate for deposits in the relevant Currency) as of 11:00 a.m., London time on the day that is two Business Days prior to the first day of the Interest Period (or, solely with respect to Eurocurrency Borrowings in Pounds Sterling, on the first day of the Interest Period); provided that if the Administrative Agent determines that the relevant foregoing sources are unavailable for the relevant Interest Period, LIBO Rate shall mean for any LIBO Quoted Currency, the rate of interest determined by the Administrative Agent to be the average (rounded upward, if necessary, to the nearest 1/100th of 1%) of the rate per annum at which the Administrative Agent could borrow funds if it were to do so by asking for and then accepting interbank offers two (2) business days’ preceding the first day of such Interest Period (or, solely with respect to Eurocurrency Borrowings denominated in Pounds Sterling, on the first day of such Interest Period) in the London interbank market for the relevant Currency as of 11:00 a.m. for delivery on the first day of such Interest Period, for the number of days comprised therein and in an amount comparable to the amount of the Administrative Agent’s portion of the relevant Eurocurrency Borrowing;</w:t>
      </w:r>
    </w:p>
    <w:p>
      <w:pPr>
        <w:spacing w:after="0" w:line="112"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05" w:name="page106"/>
    <w:bookmarkEnd w:id="105"/>
    <w:p>
      <w:pPr>
        <w:ind w:left="1160" w:hanging="257"/>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case of Eurocurrency Borrowings denominated in Canadian Dollars, the CDOR Rate per annum;</w:t>
      </w:r>
    </w:p>
    <w:p>
      <w:pPr>
        <w:spacing w:after="0" w:line="117" w:lineRule="exact"/>
        <w:rPr>
          <w:rFonts w:ascii="Arial" w:cs="Arial" w:eastAsia="Arial" w:hAnsi="Arial"/>
          <w:sz w:val="18"/>
          <w:szCs w:val="18"/>
          <w:color w:val="auto"/>
        </w:rPr>
      </w:pPr>
    </w:p>
    <w:p>
      <w:pPr>
        <w:ind w:left="460" w:right="280" w:firstLine="443"/>
        <w:spacing w:after="0" w:line="276" w:lineRule="auto"/>
        <w:tabs>
          <w:tab w:leader="none" w:pos="1143" w:val="left"/>
        </w:tabs>
        <w:numPr>
          <w:ilvl w:val="0"/>
          <w:numId w:val="56"/>
        </w:numPr>
        <w:rPr>
          <w:rFonts w:ascii="Arial" w:cs="Arial" w:eastAsia="Arial" w:hAnsi="Arial"/>
          <w:sz w:val="17"/>
          <w:szCs w:val="17"/>
          <w:color w:val="auto"/>
        </w:rPr>
      </w:pPr>
      <w:r>
        <w:rPr>
          <w:rFonts w:ascii="Arial" w:cs="Arial" w:eastAsia="Arial" w:hAnsi="Arial"/>
          <w:sz w:val="17"/>
          <w:szCs w:val="17"/>
          <w:color w:val="auto"/>
        </w:rPr>
        <w:t>in the case of Eurocurrency Borrowings denominated in Australian Dollars, the rate per annum equal to the Bank Bill Swap Reference Bid rate or a successor thereto approved by the Administrative Agent (“BBSY”) as published by Reuters (or such other page or commercially available source providing BBSY (Bid) quotations as may be designated by the Administrative Agent from time to time) at or about 10:30 a.m. (Melbourne, Australia time) on the day that is two Business Days prior to the first day of the Interest Period (or if such day is not a Business Day, then on the immediately preceding Business Day) with a term equivalent to such Interest Period;</w:t>
      </w:r>
    </w:p>
    <w:p>
      <w:pPr>
        <w:spacing w:after="0" w:line="64" w:lineRule="exact"/>
        <w:rPr>
          <w:rFonts w:ascii="Arial" w:cs="Arial" w:eastAsia="Arial" w:hAnsi="Arial"/>
          <w:sz w:val="17"/>
          <w:szCs w:val="17"/>
          <w:color w:val="auto"/>
        </w:rPr>
      </w:pPr>
    </w:p>
    <w:p>
      <w:pPr>
        <w:ind w:left="460" w:right="100" w:firstLine="443"/>
        <w:spacing w:after="0" w:line="257" w:lineRule="auto"/>
        <w:tabs>
          <w:tab w:leader="none" w:pos="1153"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the case of Eurocurrency Borrowings denominated in New Zealand Dollars, the rate per annum equal to the Bank Bill Reference Bid Rate or a successor thereto approved by the Administrative Agent (“BKBM”) as published by Reuters (or such other page or commercially available source providing BKBM (Bid) quotations as may be designated by the Administrative Agent from to time time) at or about 10:45 a.m. (Auckland, New Zealand time) on the day that is two Business Days prior to the first day of the Interest Period (or if such day is not a Business Day, then on the immediately preceding Business Day) with a term equivalent to such Interest Period;</w:t>
      </w:r>
    </w:p>
    <w:p>
      <w:pPr>
        <w:spacing w:after="0" w:line="80" w:lineRule="exact"/>
        <w:rPr>
          <w:rFonts w:ascii="Arial" w:cs="Arial" w:eastAsia="Arial" w:hAnsi="Arial"/>
          <w:sz w:val="18"/>
          <w:szCs w:val="18"/>
          <w:color w:val="auto"/>
        </w:rPr>
      </w:pPr>
    </w:p>
    <w:p>
      <w:pPr>
        <w:ind w:left="460" w:firstLine="443"/>
        <w:spacing w:after="0" w:line="257" w:lineRule="auto"/>
        <w:tabs>
          <w:tab w:leader="none" w:pos="1143"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the case of Eurocurrency Borrowings denominated in Swedish Krona, the rate per annum equal to the Stockholm Interbank Offered Rate or a successor thereto approved by the Administrative Agent (“STIBOR”) as published by Reuters (or such other page or commercially available source providing STIBOR quotations as may be designated by the Administrative Agent from time to time) at or about 11:00 a.m. (Stockholm, Sweden time) on the day that is two Business Days prior to the first day of the Interest Period (or if such day is not a Business Day, then on the immediately preceding Business Day) with a term equivalent to such Interest Period; and</w:t>
      </w:r>
    </w:p>
    <w:p>
      <w:pPr>
        <w:spacing w:after="0" w:line="80" w:lineRule="exact"/>
        <w:rPr>
          <w:rFonts w:ascii="Arial" w:cs="Arial" w:eastAsia="Arial" w:hAnsi="Arial"/>
          <w:sz w:val="18"/>
          <w:szCs w:val="18"/>
          <w:color w:val="auto"/>
        </w:rPr>
      </w:pPr>
    </w:p>
    <w:p>
      <w:pPr>
        <w:ind w:left="460" w:right="740" w:firstLine="443"/>
        <w:spacing w:after="0" w:line="277" w:lineRule="auto"/>
        <w:tabs>
          <w:tab w:leader="none" w:pos="1123" w:val="left"/>
        </w:tabs>
        <w:numPr>
          <w:ilvl w:val="0"/>
          <w:numId w:val="56"/>
        </w:numPr>
        <w:rPr>
          <w:rFonts w:ascii="Arial" w:cs="Arial" w:eastAsia="Arial" w:hAnsi="Arial"/>
          <w:sz w:val="18"/>
          <w:szCs w:val="18"/>
          <w:color w:val="auto"/>
        </w:rPr>
      </w:pPr>
      <w:r>
        <w:rPr>
          <w:rFonts w:ascii="Arial" w:cs="Arial" w:eastAsia="Arial" w:hAnsi="Arial"/>
          <w:sz w:val="18"/>
          <w:szCs w:val="18"/>
          <w:color w:val="auto"/>
        </w:rPr>
        <w:t>for all Non-LIBO Quoted Currencies (other than Canadian Dollars, Australian Dollars, New Zealand Dollars or Swedish Krona), the calculation of the applicable reference rate shall be determined in accordance with market practice;</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in each case, if such rate is less than zero, such rate shall be deemed to be zero for purposes of this Agreement.</w:t>
      </w:r>
    </w:p>
    <w:p>
      <w:pPr>
        <w:spacing w:after="0" w:line="225"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 except in favor of the issuer thereof (and in the case of Investments that are securities, excluding customary drag-along, tag-along, right of first refusal and other similar rights in favor of the equity holders of the same issuer).</w:t>
      </w:r>
    </w:p>
    <w:p>
      <w:pPr>
        <w:spacing w:after="0" w:line="91"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06" w:name="page107"/>
    <w:bookmarkEnd w:id="10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collectively, this Agreement, the Letter of Credit Documents and the Security Documents.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loans made by the Lenders to the Borrower pursuant to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means “margin stock” within the meaning of Regulations T, U and X.</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Change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3.04(b)</w:t>
      </w:r>
      <w:r>
        <w:rPr>
          <w:rFonts w:ascii="Arial" w:cs="Arial" w:eastAsia="Arial" w:hAnsi="Arial"/>
          <w:sz w:val="18"/>
          <w:szCs w:val="18"/>
          <w:color w:val="auto"/>
        </w:rPr>
        <w:t>.</w:t>
      </w:r>
    </w:p>
    <w:p>
      <w:pPr>
        <w:spacing w:after="0" w:line="225"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material adverse effect on (a) the business, Portfolio Investments and other assets, liabilities and financial condition of the Borrower or the Borrower and its Subsidiaries (other than Financing Subsidiaries) taken as a whole (excluding in any case a decline in the net asset value of the Borrower or a change in general market conditions or values of the Portfolio Investments), or (b) the validity or enforceability of any of the Loan Documents or the rights or remedies of the Administrative Agent and the Lenders thereunder.</w:t>
      </w:r>
    </w:p>
    <w:p>
      <w:pPr>
        <w:spacing w:after="0" w:line="187"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Indebtedness</w:t>
      </w:r>
      <w:r>
        <w:rPr>
          <w:rFonts w:ascii="Arial" w:cs="Arial" w:eastAsia="Arial" w:hAnsi="Arial"/>
          <w:sz w:val="18"/>
          <w:szCs w:val="18"/>
          <w:color w:val="auto"/>
        </w:rPr>
        <w:t>” means (a) Indebtedness (other than the Loans, Letters of Credit and Hedging Agreements), of any one or more of the Borrower and its Subsidiaries in an aggregate principal amount exceeding $10,000,000 and (b) obligations in respect of one or more Hedging Agreements under which the maximum aggregate amount (giving effect to any netting agreements) that the Borrower and its Subsidiaries would be required to pay if such Hedging Agreement(s) were terminated at such time would exceed $10,000,000.</w:t>
      </w:r>
    </w:p>
    <w:p>
      <w:pPr>
        <w:spacing w:after="0" w:line="187" w:lineRule="exact"/>
        <w:rPr>
          <w:sz w:val="20"/>
          <w:szCs w:val="20"/>
          <w:color w:val="auto"/>
        </w:rPr>
      </w:pPr>
    </w:p>
    <w:p>
      <w:pPr>
        <w:ind w:right="28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Minimum Collateral Amount</w:t>
      </w:r>
      <w:r>
        <w:rPr>
          <w:rFonts w:ascii="Arial" w:cs="Arial" w:eastAsia="Arial" w:hAnsi="Arial"/>
          <w:sz w:val="17"/>
          <w:szCs w:val="17"/>
          <w:color w:val="auto"/>
        </w:rPr>
        <w:t>” means, at any time, with respect to Cash Collateral consisting of Cash or deposit account balances, an amount equal to 100% of the Fronting Exposure of Issuing Bank with respect to Letters of Credit issued and outstanding at such time.</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or any successor thereto.</w:t>
      </w:r>
    </w:p>
    <w:p>
      <w:pPr>
        <w:spacing w:after="0" w:line="225"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Multicurrency Commitment</w:t>
      </w:r>
      <w:r>
        <w:rPr>
          <w:rFonts w:ascii="Arial" w:cs="Arial" w:eastAsia="Arial" w:hAnsi="Arial"/>
          <w:sz w:val="17"/>
          <w:szCs w:val="17"/>
          <w:color w:val="auto"/>
        </w:rPr>
        <w:t xml:space="preserve">” means, with respect to each Multicurrency Lender, the commitment of such Multicurrency Lender to make Syndicated Loans, and to acquire participations in Letters of Credit and Swingline Loans, denominated in Dollars and in Agreed Foreign Currencies hereunder, expressed as an amount representing the maximum aggregate amount of such Lender’s Revolving Multicurrency Credit Exposure hereunder, as such commitment may be (a) reduced from time to time pursuant to </w:t>
      </w:r>
      <w:r>
        <w:rPr>
          <w:rFonts w:ascii="Arial" w:cs="Arial" w:eastAsia="Arial" w:hAnsi="Arial"/>
          <w:sz w:val="17"/>
          <w:szCs w:val="17"/>
          <w:u w:val="single" w:color="auto"/>
          <w:color w:val="auto"/>
        </w:rPr>
        <w:t>Section 2.08</w:t>
      </w:r>
      <w:r>
        <w:rPr>
          <w:rFonts w:ascii="Arial" w:cs="Arial" w:eastAsia="Arial" w:hAnsi="Arial"/>
          <w:sz w:val="17"/>
          <w:szCs w:val="17"/>
          <w:color w:val="auto"/>
        </w:rPr>
        <w:t xml:space="preserve"> and (b) reduced or increased from time to time pursuant to assignments by or to such Lender pursuant to </w:t>
      </w:r>
      <w:r>
        <w:rPr>
          <w:rFonts w:ascii="Arial" w:cs="Arial" w:eastAsia="Arial" w:hAnsi="Arial"/>
          <w:sz w:val="17"/>
          <w:szCs w:val="17"/>
          <w:u w:val="single" w:color="auto"/>
          <w:color w:val="auto"/>
        </w:rPr>
        <w:t>Section 9.04</w:t>
      </w:r>
      <w:r>
        <w:rPr>
          <w:rFonts w:ascii="Arial" w:cs="Arial" w:eastAsia="Arial" w:hAnsi="Arial"/>
          <w:sz w:val="17"/>
          <w:szCs w:val="17"/>
          <w:color w:val="auto"/>
        </w:rPr>
        <w:t xml:space="preserve">. The amount of each Lender’s Multicurrency Commitment as of October 17, 2014 is set forth on </w:t>
      </w:r>
      <w:r>
        <w:rPr>
          <w:rFonts w:ascii="Arial" w:cs="Arial" w:eastAsia="Arial" w:hAnsi="Arial"/>
          <w:sz w:val="17"/>
          <w:szCs w:val="17"/>
          <w:u w:val="single" w:color="auto"/>
          <w:color w:val="auto"/>
        </w:rPr>
        <w:t>Schedule 1.01(b)</w:t>
      </w:r>
      <w:r>
        <w:rPr>
          <w:rFonts w:ascii="Arial" w:cs="Arial" w:eastAsia="Arial" w:hAnsi="Arial"/>
          <w:sz w:val="17"/>
          <w:szCs w:val="17"/>
          <w:color w:val="auto"/>
        </w:rPr>
        <w:t>, or in the Assignment and Assumption pursuant to which such Lender shall have assumed its Multicurrency commitment, as applicable. The aggregate amount of the Lenders’ Multicurrency Commitments as of October 17, 2014 is $710,000,000.</w:t>
      </w:r>
    </w:p>
    <w:p>
      <w:pPr>
        <w:spacing w:after="0" w:line="110"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20</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07" w:name="page108"/>
    <w:bookmarkEnd w:id="107"/>
    <w:p>
      <w:pPr>
        <w:ind w:right="12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Multicurrency LC Exposure</w:t>
      </w:r>
      <w:r>
        <w:rPr>
          <w:rFonts w:ascii="Arial" w:cs="Arial" w:eastAsia="Arial" w:hAnsi="Arial"/>
          <w:sz w:val="18"/>
          <w:szCs w:val="18"/>
          <w:color w:val="auto"/>
        </w:rPr>
        <w:t xml:space="preserve">” means, at any time, the sum of (a) the aggregate undrawn amount of all outstanding Multicurrency Letters of Credit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aggregate amount of all LC Disbursements in respect of such Letters of Credit that have not yet been reimbursed by or on behalf of the Borrower at such time. The Multicurrency LC Exposure of any Lender at any time shall be its Applicable Multicurrency Percentage of the total Multicurrency LC Exposure at such time.</w:t>
      </w:r>
    </w:p>
    <w:p>
      <w:pPr>
        <w:spacing w:after="0" w:line="187" w:lineRule="exact"/>
        <w:rPr>
          <w:sz w:val="20"/>
          <w:szCs w:val="20"/>
          <w:color w:val="auto"/>
        </w:rPr>
      </w:pPr>
    </w:p>
    <w:p>
      <w:pPr>
        <w:ind w:right="160"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Multicurrency Lender</w:t>
      </w:r>
      <w:r>
        <w:rPr>
          <w:rFonts w:ascii="Arial" w:cs="Arial" w:eastAsia="Arial" w:hAnsi="Arial"/>
          <w:sz w:val="16"/>
          <w:szCs w:val="16"/>
          <w:color w:val="auto"/>
        </w:rPr>
        <w:t xml:space="preserve">” means the Persons listed on </w:t>
      </w:r>
      <w:r>
        <w:rPr>
          <w:rFonts w:ascii="Arial" w:cs="Arial" w:eastAsia="Arial" w:hAnsi="Arial"/>
          <w:sz w:val="16"/>
          <w:szCs w:val="16"/>
          <w:u w:val="single" w:color="auto"/>
          <w:color w:val="auto"/>
        </w:rPr>
        <w:t>Schedule 1.01(b)</w:t>
      </w:r>
      <w:r>
        <w:rPr>
          <w:rFonts w:ascii="Arial" w:cs="Arial" w:eastAsia="Arial" w:hAnsi="Arial"/>
          <w:sz w:val="16"/>
          <w:szCs w:val="16"/>
          <w:color w:val="auto"/>
        </w:rPr>
        <w:t xml:space="preserve"> as having Multicurrency Commitments and any other Person that shall have become a party hereto pursuant to an Assignment and Assumption that provides for it to assume a Multicurrency Commitment or to acquire Revolving Multicurrency Credit Exposure, other than any such Person that ceases to be a party hereto pursuant to an Assignment and Assumption.</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Letters of Credit</w:t>
      </w:r>
      <w:r>
        <w:rPr>
          <w:rFonts w:ascii="Arial" w:cs="Arial" w:eastAsia="Arial" w:hAnsi="Arial"/>
          <w:sz w:val="18"/>
          <w:szCs w:val="18"/>
          <w:color w:val="auto"/>
        </w:rPr>
        <w:t>” means Letters of Credit that utilize the Multicurrency Commitments.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Multicurrency Loan</w:t>
      </w:r>
      <w:r>
        <w:rPr>
          <w:rFonts w:ascii="Arial" w:cs="Arial" w:eastAsia="Arial" w:hAnsi="Arial"/>
          <w:sz w:val="18"/>
          <w:szCs w:val="18"/>
          <w:color w:val="auto"/>
        </w:rPr>
        <w:t>” means a Loan denominated in Dollars or an Agreed Foreign Currency.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as defined in Section 4001(a)(3) of ERISA.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National Currency</w:t>
      </w:r>
      <w:r>
        <w:rPr>
          <w:rFonts w:ascii="Arial" w:cs="Arial" w:eastAsia="Arial" w:hAnsi="Arial"/>
          <w:sz w:val="18"/>
          <w:szCs w:val="18"/>
          <w:color w:val="auto"/>
        </w:rPr>
        <w:t>” means the currency, other than the Euro, of a Participating Member State.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Cash Proceeds</w:t>
      </w:r>
      <w:r>
        <w:rPr>
          <w:rFonts w:ascii="Arial" w:cs="Arial" w:eastAsia="Arial" w:hAnsi="Arial"/>
          <w:sz w:val="18"/>
          <w:szCs w:val="18"/>
          <w:color w:val="auto"/>
        </w:rPr>
        <w:t>” means:</w:t>
      </w:r>
    </w:p>
    <w:p>
      <w:pPr>
        <w:spacing w:after="0" w:line="117" w:lineRule="exact"/>
        <w:rPr>
          <w:sz w:val="20"/>
          <w:szCs w:val="20"/>
          <w:color w:val="auto"/>
        </w:rPr>
      </w:pPr>
    </w:p>
    <w:p>
      <w:pPr>
        <w:ind w:firstLine="921"/>
        <w:spacing w:after="0" w:line="287" w:lineRule="auto"/>
        <w:tabs>
          <w:tab w:leader="none" w:pos="1158"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with respect to any Disposition by the Borrower or any of its Subsidiaries (other than Financing Subsidiaries), or any Extraordinary Receipt received or paid to the account of the Borrower or any of its Subsidiaries (other than Financing Subsidiaries) (in each case, which requires a payment of the Loans under </w:t>
      </w:r>
      <w:r>
        <w:rPr>
          <w:rFonts w:ascii="Arial" w:cs="Arial" w:eastAsia="Arial" w:hAnsi="Arial"/>
          <w:sz w:val="16"/>
          <w:szCs w:val="16"/>
          <w:u w:val="single" w:color="auto"/>
          <w:color w:val="auto"/>
        </w:rPr>
        <w:t>Section 2.10(d)</w:t>
      </w:r>
      <w:r>
        <w:rPr>
          <w:rFonts w:ascii="Arial" w:cs="Arial" w:eastAsia="Arial" w:hAnsi="Arial"/>
          <w:sz w:val="16"/>
          <w:szCs w:val="16"/>
          <w:color w:val="auto"/>
        </w:rPr>
        <w:t xml:space="preserve">), an amount equal to (a) the sum of cash and Cash Equivalents received in connection with such transaction (including any cash or Cash Equivalents received by way of deferred payment pursuant to, or by monetization of, a note receivable or otherwise, but only as and when so received)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the sum of (i) the principal amount of any Indebtedness that is secured by the applicable asset and that is required to be repaid in connection with such transaction (other than Indebtedness under the Loan Documents), (ii) the reasonable out-of-pocket fees, costs and expenses incurred by the Borrower or such Subsidiary in connection with such transaction, (iii) the taxes paid or reasonably estimated to be actually payable within two years of the date of the relevant transaction in connection with such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amount of any estimated taxes pursuant to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exceeds the amount of taxes actually required to be paid in cash in respect of such Disposition, the aggregate amount of such excess shall constitute Net Cash Proceeds (as of the date the Borrower determines such excess exists) and (iv) any reasonable costs, fees, commissions, premiums and expenses incurred by the Borrower or any of its Subsidiaries in connection with such Disposition; and</w:t>
      </w:r>
    </w:p>
    <w:p>
      <w:pPr>
        <w:spacing w:after="0" w:line="105"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08" w:name="page109"/>
    <w:bookmarkEnd w:id="108"/>
    <w:p>
      <w:pPr>
        <w:ind w:right="20" w:firstLine="921"/>
        <w:spacing w:after="0" w:line="290" w:lineRule="auto"/>
        <w:tabs>
          <w:tab w:leader="none" w:pos="1168" w:val="left"/>
        </w:tabs>
        <w:numPr>
          <w:ilvl w:val="0"/>
          <w:numId w:val="5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with respect to the sale or issuance of any Equity Interest by the Borrower or any of its Subsidiaries (other than any Financing Subsidiary) (including, for the avoidance of doubt, cash received by the Borrower or any of its Subsidiaries (other than any Financing Subsidiaries) for the sale by the Borrower or such Subsidiary of any Equity Interest of a Financing Subsidiary but specifically excluding any sale of any Equity Interest by a Financing Subsidiary or cash received by a Financing Subsidiary in connection with the sale of any Equity Interest), or the incurrence or issuance of any Indebtedness by the Borrower or any of its Subsidiaries (other than Financing Subsidiaries) (in each case, which requires a payment of the Loans under </w:t>
      </w:r>
      <w:r>
        <w:rPr>
          <w:rFonts w:ascii="Arial" w:cs="Arial" w:eastAsia="Arial" w:hAnsi="Arial"/>
          <w:sz w:val="16"/>
          <w:szCs w:val="16"/>
          <w:u w:val="single" w:color="auto"/>
          <w:color w:val="auto"/>
        </w:rPr>
        <w:t>Section 2.10(d)</w:t>
      </w:r>
      <w:r>
        <w:rPr>
          <w:rFonts w:ascii="Arial" w:cs="Arial" w:eastAsia="Arial" w:hAnsi="Arial"/>
          <w:sz w:val="16"/>
          <w:szCs w:val="16"/>
          <w:color w:val="auto"/>
        </w:rPr>
        <w:t xml:space="preserve">), an amount equal to (i) the sum of the cash and Cash Equivalents received in connection with such transaction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 the sum of (1) reasonable out-of-pocket fees, costs and expenses, incurred by the Borrower or such Subsidiary in connection therewith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(2) any reasonable costs, fees, commissions, premiums, expenses, or underwriting discounts or commissions incurred by the Borrower or any of its Subsidiaries in connection with such sale or issuance.</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means, at any time, a Lender that is not a Defaulting Lender at such time.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Non-LIBO Quoted Currency</w:t>
      </w:r>
      <w:r>
        <w:rPr>
          <w:rFonts w:ascii="Arial" w:cs="Arial" w:eastAsia="Arial" w:hAnsi="Arial"/>
          <w:sz w:val="18"/>
          <w:szCs w:val="18"/>
          <w:color w:val="auto"/>
        </w:rPr>
        <w:t>” means any currency other than a LIBO Quoted Currency.</w:t>
      </w:r>
    </w:p>
    <w:p>
      <w:pPr>
        <w:spacing w:after="0" w:line="225" w:lineRule="exact"/>
        <w:rPr>
          <w:sz w:val="20"/>
          <w:szCs w:val="20"/>
          <w:color w:val="auto"/>
        </w:rPr>
      </w:pPr>
    </w:p>
    <w:p>
      <w:pPr>
        <w:ind w:right="6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Non-Public Information</w:t>
      </w:r>
      <w:r>
        <w:rPr>
          <w:rFonts w:ascii="Arial" w:cs="Arial" w:eastAsia="Arial" w:hAnsi="Arial"/>
          <w:sz w:val="18"/>
          <w:szCs w:val="18"/>
          <w:color w:val="auto"/>
        </w:rPr>
        <w:t>” means material non-public information (within the meaning of United States federal, state or other applicable securities laws) with respect to Borrower or its Affiliates or their Securities.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Obligor</w:t>
      </w:r>
      <w:r>
        <w:rPr>
          <w:rFonts w:ascii="Arial" w:cs="Arial" w:eastAsia="Arial" w:hAnsi="Arial"/>
          <w:sz w:val="18"/>
          <w:szCs w:val="18"/>
          <w:color w:val="auto"/>
        </w:rPr>
        <w:t>” means, collectively, the Borrower and the Subsidiary Guarantors.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Currency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2.17</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Effective Date</w:t>
      </w:r>
      <w:r>
        <w:rPr>
          <w:rFonts w:ascii="Arial" w:cs="Arial" w:eastAsia="Arial" w:hAnsi="Arial"/>
          <w:sz w:val="18"/>
          <w:szCs w:val="18"/>
          <w:color w:val="auto"/>
        </w:rPr>
        <w:t>” means July 3, 2013.</w:t>
      </w:r>
    </w:p>
    <w:p>
      <w:pPr>
        <w:spacing w:after="0" w:line="225" w:lineRule="exact"/>
        <w:rPr>
          <w:sz w:val="20"/>
          <w:szCs w:val="20"/>
          <w:color w:val="auto"/>
        </w:rPr>
      </w:pPr>
    </w:p>
    <w:p>
      <w:pPr>
        <w:jc w:val="both"/>
        <w:ind w:right="4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Covered Indebtedness</w:t>
      </w:r>
      <w:r>
        <w:rPr>
          <w:rFonts w:ascii="Arial" w:cs="Arial" w:eastAsia="Arial" w:hAnsi="Arial"/>
          <w:sz w:val="18"/>
          <w:szCs w:val="18"/>
          <w:color w:val="auto"/>
        </w:rPr>
        <w:t xml:space="preserve">” means, collectively, Secured Longer-Term Indebtedness, Secured Shorter-Term Indebtedness and Unsecured Shorter-Term Indebtedness; provided that “Other Covered Indebtedness” shall not include any Indebtedness secured by a Lien on Portfolio Investments permitted under </w:t>
      </w:r>
      <w:r>
        <w:rPr>
          <w:rFonts w:ascii="Arial" w:cs="Arial" w:eastAsia="Arial" w:hAnsi="Arial"/>
          <w:sz w:val="18"/>
          <w:szCs w:val="18"/>
          <w:u w:val="single" w:color="auto"/>
          <w:color w:val="auto"/>
        </w:rPr>
        <w:t>Section 6.02(e)</w:t>
      </w:r>
      <w:r>
        <w:rPr>
          <w:rFonts w:ascii="Arial" w:cs="Arial" w:eastAsia="Arial" w:hAnsi="Arial"/>
          <w:sz w:val="18"/>
          <w:szCs w:val="18"/>
          <w:color w:val="auto"/>
        </w:rPr>
        <w:t>.</w:t>
      </w:r>
    </w:p>
    <w:p>
      <w:pPr>
        <w:spacing w:after="0" w:line="181"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Permitted Indebtedness</w:t>
      </w:r>
      <w:r>
        <w:rPr>
          <w:rFonts w:ascii="Arial" w:cs="Arial" w:eastAsia="Arial" w:hAnsi="Arial"/>
          <w:sz w:val="17"/>
          <w:szCs w:val="17"/>
          <w:color w:val="auto"/>
        </w:rPr>
        <w:t xml:space="preserve">” means (a) accrued expenses and current trade accounts payable incurred in the ordinary course of the Borrower’s business which are not overdue for a period of more than 90 days or which are being contested in good faith by appropriate proceedings, (b) Indebtedness (other than Indebtedness for borrowed money) arising in connection with transactions in the ordinary course of the Borrower’s business in connection with its purchasing of securities, derivatives transactions, reverse repurchase agreements or dollar rolls to the extent such transactions are permitted under the Investment Company Act and the Borrower’s Investment Policies (after giving effect to any Permitted Policy Amendments), provided that such Indebtedness does not arise in connection with the purchase of Portfolio Investments other than Cash Equivalents and U.S. Government Securities and (c) Indebtedness in respect of judgments or awards that have been in force for less than the applicable period for taking an appeal so long as such judgments or awards do not constitute an Event of Default under </w:t>
      </w:r>
      <w:r>
        <w:rPr>
          <w:rFonts w:ascii="Arial" w:cs="Arial" w:eastAsia="Arial" w:hAnsi="Arial"/>
          <w:sz w:val="17"/>
          <w:szCs w:val="17"/>
          <w:u w:val="single" w:color="auto"/>
          <w:color w:val="auto"/>
        </w:rPr>
        <w:t>clause (l)</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Article VII</w:t>
      </w:r>
      <w:r>
        <w:rPr>
          <w:rFonts w:ascii="Arial" w:cs="Arial" w:eastAsia="Arial" w:hAnsi="Arial"/>
          <w:sz w:val="17"/>
          <w:szCs w:val="17"/>
          <w:color w:val="auto"/>
        </w:rPr>
        <w:t>.</w:t>
      </w:r>
    </w:p>
    <w:p>
      <w:pPr>
        <w:spacing w:after="0" w:line="111"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09" w:name="page110"/>
    <w:bookmarkEnd w:id="109"/>
    <w:p>
      <w:pPr>
        <w:ind w:right="20" w:firstLine="913"/>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u w:val="single" w:color="auto"/>
          <w:color w:val="auto"/>
        </w:rPr>
        <w:t>Other Taxes</w:t>
      </w:r>
      <w:r>
        <w:rPr>
          <w:rFonts w:ascii="Arial" w:cs="Arial" w:eastAsia="Arial" w:hAnsi="Arial"/>
          <w:sz w:val="17"/>
          <w:szCs w:val="17"/>
          <w:color w:val="auto"/>
        </w:rPr>
        <w:t xml:space="preserve">” means any and all present or future stamp or documentary taxes or any other excise or property taxes, charges or similar levies arising from any payment made under any Loan Document or from the execution, delivery or enforcement of, or otherwise with respect to, any Loan Document, excluding (i) any such taxes, charges or similar levies resulting from an assignment by any Lender in accordance with </w:t>
      </w:r>
      <w:r>
        <w:rPr>
          <w:rFonts w:ascii="Arial" w:cs="Arial" w:eastAsia="Arial" w:hAnsi="Arial"/>
          <w:sz w:val="17"/>
          <w:szCs w:val="17"/>
          <w:u w:val="single" w:color="auto"/>
          <w:color w:val="auto"/>
        </w:rPr>
        <w:t>Section 9.04</w:t>
      </w:r>
      <w:r>
        <w:rPr>
          <w:rFonts w:ascii="Arial" w:cs="Arial" w:eastAsia="Arial" w:hAnsi="Arial"/>
          <w:sz w:val="17"/>
          <w:szCs w:val="17"/>
          <w:color w:val="auto"/>
        </w:rPr>
        <w:t xml:space="preserve"> hereof (unless such assignment is made pursuant to </w:t>
      </w:r>
      <w:r>
        <w:rPr>
          <w:rFonts w:ascii="Arial" w:cs="Arial" w:eastAsia="Arial" w:hAnsi="Arial"/>
          <w:sz w:val="17"/>
          <w:szCs w:val="17"/>
          <w:u w:val="single" w:color="auto"/>
          <w:color w:val="auto"/>
        </w:rPr>
        <w:t>Section 2.18(b)</w:t>
      </w:r>
      <w:r>
        <w:rPr>
          <w:rFonts w:ascii="Arial" w:cs="Arial" w:eastAsia="Arial" w:hAnsi="Arial"/>
          <w:sz w:val="17"/>
          <w:szCs w:val="17"/>
          <w:color w:val="auto"/>
        </w:rPr>
        <w:t>) or (ii) any Taxes imposed by any jurisdiction by reason of the recipient of any payment on or account of this Agreement having any present or former connection with such jurisdiction (other than a connection arising solely from entering into, receiving any payment under or enforcing its rights under this Agreement or any other Loan Document).</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9.04</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9.04</w:t>
      </w:r>
      <w:r>
        <w:rPr>
          <w:rFonts w:ascii="Arial" w:cs="Arial" w:eastAsia="Arial" w:hAnsi="Arial"/>
          <w:sz w:val="18"/>
          <w:szCs w:val="18"/>
          <w:color w:val="auto"/>
        </w:rPr>
        <w:t>.</w:t>
      </w:r>
    </w:p>
    <w:p>
      <w:pPr>
        <w:spacing w:after="0" w:line="225"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Member State</w:t>
      </w:r>
      <w:r>
        <w:rPr>
          <w:rFonts w:ascii="Arial" w:cs="Arial" w:eastAsia="Arial" w:hAnsi="Arial"/>
          <w:sz w:val="18"/>
          <w:szCs w:val="18"/>
          <w:color w:val="auto"/>
        </w:rPr>
        <w:t>” means any member state of the European Community that adopts or has adopted the Euro as its lawful currency in accordance with the legislation of the European Union relating to the European Monetary Union.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PBGC</w:t>
      </w:r>
      <w:r>
        <w:rPr>
          <w:rFonts w:ascii="Arial" w:cs="Arial" w:eastAsia="Arial" w:hAnsi="Arial"/>
          <w:sz w:val="17"/>
          <w:szCs w:val="17"/>
          <w:color w:val="auto"/>
        </w:rPr>
        <w:t>” means the Pension Benefit Guaranty Corporation referred to and defined in ERISA and any successor entity performing similar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functions.</w:t>
      </w:r>
    </w:p>
    <w:p>
      <w:pPr>
        <w:spacing w:after="0" w:line="211" w:lineRule="exact"/>
        <w:rPr>
          <w:sz w:val="20"/>
          <w:szCs w:val="20"/>
          <w:color w:val="auto"/>
        </w:rPr>
      </w:pPr>
    </w:p>
    <w:p>
      <w:pPr>
        <w:ind w:right="22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Equity Interests</w:t>
      </w:r>
      <w:r>
        <w:rPr>
          <w:rFonts w:ascii="Arial" w:cs="Arial" w:eastAsia="Arial" w:hAnsi="Arial"/>
          <w:sz w:val="16"/>
          <w:szCs w:val="16"/>
          <w:color w:val="auto"/>
        </w:rPr>
        <w:t>” means common stock of the Borrower that after its issuance is not subject to any agreement between the holder of such common stock and the Borrower where the Borrower is required to purchase, redeem, retire, acquire, cancel or terminate any such common stock.</w:t>
      </w:r>
    </w:p>
    <w:p>
      <w:pPr>
        <w:spacing w:after="0" w:line="124" w:lineRule="exact"/>
        <w:rPr>
          <w:sz w:val="20"/>
          <w:szCs w:val="20"/>
          <w:color w:val="auto"/>
        </w:rPr>
      </w:pPr>
    </w:p>
    <w:p>
      <w:pPr>
        <w:ind w:right="40" w:firstLine="913"/>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Liens</w:t>
      </w:r>
      <w:r>
        <w:rPr>
          <w:rFonts w:ascii="Arial" w:cs="Arial" w:eastAsia="Arial" w:hAnsi="Arial"/>
          <w:sz w:val="17"/>
          <w:szCs w:val="17"/>
          <w:color w:val="auto"/>
        </w:rPr>
        <w:t>” means (a) Liens imposed by any Governmental Authority for taxes, assessments or charges not yet due or that are being contested in good faith and by appropriate proceedings if adequate reserves with respect thereto are maintained on the books of the Borrower in accordance with GAAP; (b) Liens of clearing agencies, broker-dealers and similar Liens incurred in the ordinary course of business, provided that such Liens (i) attach only to the securities (or proceeds) being purchased or sold and (ii) secure only obligations incurred in connection with such purchase or sale, and not any obligation in connection with margin financing; (c) Liens imposed by law, such as materialmen’s, mechanics’, carriers’, workmens’, storage and repairmen’s Liens and other similar Liens arising in the ordinary course of business and securing obligations (other than Indebtedness for borrowed money) not yet due or that are being contested in good faith and by appropriate proceedings if adequate reserves with respect thereto are maintained on the books of the Borrower in accordance with GAAP; (d) Liens incurred or pledges or deposits made to secure obligations incurred in the ordinary course of business under workers’ compensation laws, unemployment insurance or other similar social security legislation (other than in respect of employee benefit plans subject to ERISA) or to secure public or statutory obligations; (e) Liens securing the performance of, or payment in respect of, bids, insurance premiums, deductibles or co-insured amounts, tenders, government or utility contracts (other than for the repayment of borrowed money), surety, stay, customs and appeal bonds and other obligations of a similar nature incurred in the ordinary course of business; (f) Liens arising out of judgments or awards that have been in force for less than the</w:t>
      </w:r>
    </w:p>
    <w:p>
      <w:pPr>
        <w:spacing w:after="0" w:line="120"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10" w:name="page111"/>
    <w:bookmarkEnd w:id="110"/>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applicable period for taking an appeal so long as such judgments or awards do not constitute an Event of Default under </w:t>
      </w:r>
      <w:r>
        <w:rPr>
          <w:rFonts w:ascii="Arial" w:cs="Arial" w:eastAsia="Arial" w:hAnsi="Arial"/>
          <w:sz w:val="16"/>
          <w:szCs w:val="16"/>
          <w:u w:val="single" w:color="auto"/>
          <w:color w:val="auto"/>
        </w:rPr>
        <w:t>clause (l)</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Article VII</w:t>
      </w:r>
      <w:r>
        <w:rPr>
          <w:rFonts w:ascii="Arial" w:cs="Arial" w:eastAsia="Arial" w:hAnsi="Arial"/>
          <w:sz w:val="16"/>
          <w:szCs w:val="16"/>
          <w:color w:val="auto"/>
        </w:rPr>
        <w:t>; (g) customary rights of setoff and liens upon (i) deposits of cash in favor of banks or other depository institutions in which such cash is maintained in the ordinary course of business, (ii) cash and financial assets held in securities accounts in favor of banks and other financial institutions with which such accounts are maintained in the ordinary course of business and (iii) assets held by a custodian in favor of such custodian in the ordinary course of business securing payment of fees, indemnities and other similar obligations; (h) Liens arising solely from precautionary filings of financing statements under the Uniform Commercial Code of the applicable jurisdictions in respect of operating leases entered into by the Borrower or any of its Subsidiaries in the ordinary course of business; and (i) deposits of money securing leases to which Borrower is a party as lessee made in the ordinary course of business.</w:t>
      </w:r>
    </w:p>
    <w:p>
      <w:pPr>
        <w:spacing w:after="0" w:line="167"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Policy Amendment</w:t>
      </w:r>
      <w:r>
        <w:rPr>
          <w:rFonts w:ascii="Arial" w:cs="Arial" w:eastAsia="Arial" w:hAnsi="Arial"/>
          <w:sz w:val="18"/>
          <w:szCs w:val="18"/>
          <w:color w:val="auto"/>
        </w:rPr>
        <w:t>” means any change, alteration, expansion, amendment, modification, termination or restatement of the Investment Policies that is either (a) approved in writing by the Administrative Agent (with the consent of the Required Lenders), (b) required by applicable law, rule, regulation or Governmental Authority, or (c) not material in the reasonable discretion of the Administrative Agent (for the avoidance of doubt, no change, alteration, expansion, amendment, modification, termination or restatement of the Investment Policies shall be deemed “material” if investment size proportionately increases as the size of the Borrower’s capital base changes).</w:t>
      </w:r>
    </w:p>
    <w:p>
      <w:pPr>
        <w:spacing w:after="0" w:line="188"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SBIC Guarantee</w:t>
      </w:r>
      <w:r>
        <w:rPr>
          <w:rFonts w:ascii="Arial" w:cs="Arial" w:eastAsia="Arial" w:hAnsi="Arial"/>
          <w:sz w:val="18"/>
          <w:szCs w:val="18"/>
          <w:color w:val="auto"/>
        </w:rPr>
        <w:t xml:space="preserve">” means a guarantee by the Borrower of Indebtedness of an SBIC Subsidiary on the SBA’s then applicable form, provided that the recourse to the Borrower thereunder is expressly limited only to periods after the occurrence of an event or condition that is an impermissible change in the control of such SBIC Subsidiary (it being understood that, as provided in </w:t>
      </w:r>
      <w:r>
        <w:rPr>
          <w:rFonts w:ascii="Arial" w:cs="Arial" w:eastAsia="Arial" w:hAnsi="Arial"/>
          <w:sz w:val="18"/>
          <w:szCs w:val="18"/>
          <w:u w:val="single" w:color="auto"/>
          <w:color w:val="auto"/>
        </w:rPr>
        <w:t>clause (s)</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Article VII</w:t>
      </w:r>
      <w:r>
        <w:rPr>
          <w:rFonts w:ascii="Arial" w:cs="Arial" w:eastAsia="Arial" w:hAnsi="Arial"/>
          <w:sz w:val="18"/>
          <w:szCs w:val="18"/>
          <w:color w:val="auto"/>
        </w:rPr>
        <w:t>, it shall be an Event of Default hereunder if any such event or condition giving rise to such recourse occurs).</w:t>
      </w:r>
    </w:p>
    <w:p>
      <w:pPr>
        <w:spacing w:after="0" w:line="187"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pension benefit plan (other than a Multiemployer Plan) subject to the provisions of Title IV of ERISA or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Section 412 of the Code or Section 302 of ERISA, and in respect of which the Borrower or any ERISA Affiliate is (or, if such plan were terminated, would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under Section 4069 of ERISA be deemed to be) an “employer” as defined in Section 3(5) of ERISA.</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means has the meaning set forth in </w:t>
      </w:r>
      <w:r>
        <w:rPr>
          <w:rFonts w:ascii="Arial" w:cs="Arial" w:eastAsia="Arial" w:hAnsi="Arial"/>
          <w:sz w:val="18"/>
          <w:szCs w:val="18"/>
          <w:u w:val="single" w:color="auto"/>
          <w:color w:val="auto"/>
        </w:rPr>
        <w:t>Section 5.01(i)</w:t>
      </w:r>
      <w:r>
        <w:rPr>
          <w:rFonts w:ascii="Arial" w:cs="Arial" w:eastAsia="Arial" w:hAnsi="Arial"/>
          <w:sz w:val="18"/>
          <w:szCs w:val="18"/>
          <w:color w:val="auto"/>
        </w:rPr>
        <w:t>.</w:t>
      </w:r>
    </w:p>
    <w:p>
      <w:pPr>
        <w:spacing w:after="0" w:line="225"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Portfolio Investment</w:t>
      </w:r>
      <w:r>
        <w:rPr>
          <w:rFonts w:ascii="Arial" w:cs="Arial" w:eastAsia="Arial" w:hAnsi="Arial"/>
          <w:sz w:val="18"/>
          <w:szCs w:val="18"/>
          <w:color w:val="auto"/>
        </w:rPr>
        <w:t>” means any Investment held by the Obligors in their asset portfolio (and solely for purposes of determining the Borrowing Base, Cash). Without limiting the generality of the foregoing, the following Investments shall not be considered Portfolio Investments under this Agreement or any other Loan Document: (a) any Investment by an Obligor in any Subsidiary or Affiliate of such Obligor or any Financing Subsidiary (including, for the avoidance of doubt, any Investment by an Obligor in an entity constituting a portfolio investment of such Obligor or an Affiliate of such Obligor); (b) any Investment that provides in</w:t>
      </w:r>
    </w:p>
    <w:p>
      <w:pPr>
        <w:spacing w:after="0" w:line="121"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11" w:name="page112"/>
    <w:bookmarkEnd w:id="111"/>
    <w:p>
      <w:pPr>
        <w:ind w:right="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favor of the obligor in respect of such Portfolio Investment an express right of rescission, set-off, counterclaim or any other defenses; (d) any Investment, which if debt, is an obligation (other than a revolving loan or delayed draw term loan) pursuant to which any future advances or payments to the Obligor may be required to be made by the Borrower; (e) any Investment which is made to a bankrupt entity (other than a debtor-in-possession financing and current pay obligations); and (f) any Investment, Cash or account in which a Financing Subsidiary has an interest.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xml:space="preserve">” means the rate which is quoted in the print edition of </w:t>
      </w:r>
      <w:r>
        <w:rPr>
          <w:rFonts w:ascii="Arial" w:cs="Arial" w:eastAsia="Arial" w:hAnsi="Arial"/>
          <w:sz w:val="18"/>
          <w:szCs w:val="18"/>
          <w:i w:val="1"/>
          <w:iCs w:val="1"/>
          <w:color w:val="auto"/>
        </w:rPr>
        <w:t>The Wall Street Journal</w:t>
      </w:r>
      <w:r>
        <w:rPr>
          <w:rFonts w:ascii="Arial" w:cs="Arial" w:eastAsia="Arial" w:hAnsi="Arial"/>
          <w:sz w:val="18"/>
          <w:szCs w:val="18"/>
          <w:color w:val="auto"/>
        </w:rPr>
        <w:t>, Money Rates Section.</w:t>
      </w:r>
    </w:p>
    <w:p>
      <w:pPr>
        <w:spacing w:after="0" w:line="225"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Financial Center</w:t>
      </w:r>
      <w:r>
        <w:rPr>
          <w:rFonts w:ascii="Arial" w:cs="Arial" w:eastAsia="Arial" w:hAnsi="Arial"/>
          <w:sz w:val="18"/>
          <w:szCs w:val="18"/>
          <w:color w:val="auto"/>
        </w:rPr>
        <w:t>” means, in the case of any Currency, the principal financial center where such Currency is cleared and settled, as determined by the Administrative Agent.</w:t>
      </w:r>
    </w:p>
    <w:p>
      <w:pPr>
        <w:spacing w:after="0" w:line="170"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means Lenders that do not wish to receive Non-Public Information with respect to the Borrower or any of its Subsidiaries or their Securities.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Quarterly Dates</w:t>
      </w:r>
      <w:r>
        <w:rPr>
          <w:rFonts w:ascii="Arial" w:cs="Arial" w:eastAsia="Arial" w:hAnsi="Arial"/>
          <w:sz w:val="16"/>
          <w:szCs w:val="16"/>
          <w:color w:val="auto"/>
        </w:rPr>
        <w:t>” means the last Business Day of March, June, September and December in each year, commencing on September 30, 2013.</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Quoted Investments</w:t>
      </w:r>
      <w:r>
        <w:rPr>
          <w:rFonts w:ascii="Arial" w:cs="Arial" w:eastAsia="Arial" w:hAnsi="Arial"/>
          <w:sz w:val="18"/>
          <w:szCs w:val="18"/>
          <w:color w:val="auto"/>
        </w:rPr>
        <w:t xml:space="preserve">” means a Portfolio Investment with a value assigned by the Borrower pursuant to </w:t>
      </w:r>
      <w:r>
        <w:rPr>
          <w:rFonts w:ascii="Arial" w:cs="Arial" w:eastAsia="Arial" w:hAnsi="Arial"/>
          <w:sz w:val="18"/>
          <w:szCs w:val="18"/>
          <w:u w:val="single" w:color="auto"/>
          <w:color w:val="auto"/>
        </w:rPr>
        <w:t>Section 5.12(b)(ii)(A)</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9.04</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means the Registration Statement filed by the Borrower with the Securities and Exchange Commission on March 14,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211"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Regulations D, T, U and X</w:t>
      </w:r>
      <w:r>
        <w:rPr>
          <w:rFonts w:ascii="Arial" w:cs="Arial" w:eastAsia="Arial" w:hAnsi="Arial"/>
          <w:sz w:val="18"/>
          <w:szCs w:val="18"/>
          <w:color w:val="auto"/>
        </w:rPr>
        <w:t>” means, respectively, Regulations D, T, U and X of the Board of Governors of the Federal Reserve System (or any successor), as the same may be modified and supplemented and in effect from time to time.</w:t>
      </w:r>
    </w:p>
    <w:p>
      <w:pPr>
        <w:spacing w:after="0" w:line="170"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specified Person, such Person’s Affiliates and the respective partners, directors, officers, employees, agents and advisors of such Person and such Person’s Affiliates.</w:t>
      </w:r>
    </w:p>
    <w:p>
      <w:pPr>
        <w:spacing w:after="0" w:line="166" w:lineRule="exact"/>
        <w:rPr>
          <w:sz w:val="20"/>
          <w:szCs w:val="20"/>
          <w:color w:val="auto"/>
        </w:rPr>
      </w:pPr>
    </w:p>
    <w:p>
      <w:pPr>
        <w:ind w:right="300" w:firstLine="913"/>
        <w:spacing w:after="0" w:line="266"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u w:val="single" w:color="auto"/>
          <w:color w:val="auto"/>
        </w:rPr>
        <w:t>Relevant Available Funds</w:t>
      </w:r>
      <w:r>
        <w:rPr>
          <w:rFonts w:ascii="Arial" w:cs="Arial" w:eastAsia="Arial" w:hAnsi="Arial"/>
          <w:sz w:val="18"/>
          <w:szCs w:val="18"/>
          <w:color w:val="auto"/>
        </w:rPr>
        <w:t>” means the sum (without duplication) of (a) the aggregate undrawn capital commitments of the Borrower’s equity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holders to the Borrower,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aggregate amount available to be drawn under any committed facilities, including, for the avoidance of doubt, this Agreement, for which all applicable conditions to availability could be satisfied at such time.</w:t>
      </w:r>
    </w:p>
    <w:p>
      <w:pPr>
        <w:spacing w:after="0" w:line="180"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means, at any time, Lenders having Revolving Credit Exposures and unused Commitments representing more than 50% of the sum of the total Revolving Credit Exposures and unused Commitments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Revolving Credit Exposures and unused Commitments of any Defaulting Lender shall be disregarded in the determination of Required Lenders. The Required Lenders of a Class (which shall include the</w:t>
      </w:r>
    </w:p>
    <w:p>
      <w:pPr>
        <w:spacing w:after="0" w:line="119"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12" w:name="page113"/>
    <w:bookmarkEnd w:id="112"/>
    <w:p>
      <w:pPr>
        <w:ind w:right="2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terms “Required Dollar Lenders” and “Required Multicurrency Lenders”) means Lenders having Revolving Credit Exposures and unused Commitments of such Class representing more than 50% of the sum of the total Revolving Credit Exposures and unused Commitments of such Class at such time.</w:t>
      </w:r>
    </w:p>
    <w:p>
      <w:pPr>
        <w:spacing w:after="0" w:line="124"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any dividend or other distribution (whether in cash, securities or other property) with respect to any shares of any class of capital stock of the Borrower or any of its Subsidiaries, or any payment (whether in cash, securities or other property), including any sinking fund or similar deposit, on account of the purchase, redemption, retirement, acquisition, cancellation or termination of any such shares of capital stock of the Borrower or any option, warrant or other right to acquire any such shares of capital stock of the Borrower (it being understood that none of: (w) the conversion features under convertible notes; (x) the triggering and/or settlement thereof; or (y) any cash payment made by the Borrower in respect thereof , shall constitute a Restricted Payment hereunder).</w:t>
      </w:r>
    </w:p>
    <w:p>
      <w:pPr>
        <w:spacing w:after="0" w:line="193"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Return of Capital</w:t>
      </w:r>
      <w:r>
        <w:rPr>
          <w:rFonts w:ascii="Arial" w:cs="Arial" w:eastAsia="Arial" w:hAnsi="Arial"/>
          <w:sz w:val="16"/>
          <w:szCs w:val="16"/>
          <w:color w:val="auto"/>
        </w:rPr>
        <w:t xml:space="preserve">” means (a) any net cash amount received by any Obligor in respect of the outstanding principal of any Portfolio Investment (whether at stated maturity, by acceleration or otherwise), (b) without duplication of amounts received under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any net cash proceeds received by any Obligor from the sale of any property or assets pledged as collateral in respect of any Portfolio Investment to the extent such net cash proceeds are less than or equal to the outstanding principal balance of such Portfolio Investment, (c) any net cash amount received by any Obligor in respect of any Portfolio Investment that is an Equity Interest (x) upon the liquidation or dissolution of the issuer of such Portfolio Investment, (y) as a distribution of capital made on or in respect of such Portfolio Investment, or (z) pursuant to the recapitalization or reclassification of the capital of the issuer of such Portfolio Investment or pursuant to the reorganization of such issuer or (d) any similar return of capital received by any Obligor in cash in respect of any Portfolio Investment (in the case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 net of any fees, costs, expenses and taxes payable with respect thereto).</w:t>
      </w:r>
    </w:p>
    <w:p>
      <w:pPr>
        <w:spacing w:after="0" w:line="166" w:lineRule="exact"/>
        <w:rPr>
          <w:sz w:val="20"/>
          <w:szCs w:val="20"/>
          <w:color w:val="auto"/>
        </w:rPr>
      </w:pPr>
    </w:p>
    <w:p>
      <w:pPr>
        <w:ind w:right="5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Exposure</w:t>
      </w:r>
      <w:r>
        <w:rPr>
          <w:rFonts w:ascii="Arial" w:cs="Arial" w:eastAsia="Arial" w:hAnsi="Arial"/>
          <w:sz w:val="18"/>
          <w:szCs w:val="18"/>
          <w:color w:val="auto"/>
        </w:rPr>
        <w:t>” means, with respect to any Lender at any time, the sum of the outstanding principal amount of such Lender’s Revolving Dollar Credit Exposure and Revolving Multicurrency Credit Exposure at such time.</w:t>
      </w:r>
    </w:p>
    <w:p>
      <w:pPr>
        <w:spacing w:after="0" w:line="170" w:lineRule="exact"/>
        <w:rPr>
          <w:sz w:val="20"/>
          <w:szCs w:val="20"/>
          <w:color w:val="auto"/>
        </w:rPr>
      </w:pPr>
    </w:p>
    <w:p>
      <w:pPr>
        <w:ind w:right="66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Dollar Credit Exposure</w:t>
      </w:r>
      <w:r>
        <w:rPr>
          <w:rFonts w:ascii="Arial" w:cs="Arial" w:eastAsia="Arial" w:hAnsi="Arial"/>
          <w:sz w:val="17"/>
          <w:szCs w:val="17"/>
          <w:color w:val="auto"/>
        </w:rPr>
        <w:t>” means, with respect to any Lender at any time, the sum of the outstanding principal amount of such Lender’s Syndicated Loans, and its LC Exposure and Swingline Exposure, at such time made or incurred under the Dollar Commitments.</w:t>
      </w:r>
    </w:p>
    <w:p>
      <w:pPr>
        <w:spacing w:after="0" w:line="147" w:lineRule="exact"/>
        <w:rPr>
          <w:sz w:val="20"/>
          <w:szCs w:val="20"/>
          <w:color w:val="auto"/>
        </w:rPr>
      </w:pPr>
    </w:p>
    <w:p>
      <w:pPr>
        <w:ind w:right="10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Multicurrency Credit Exposure</w:t>
      </w:r>
      <w:r>
        <w:rPr>
          <w:rFonts w:ascii="Arial" w:cs="Arial" w:eastAsia="Arial" w:hAnsi="Arial"/>
          <w:sz w:val="17"/>
          <w:szCs w:val="17"/>
          <w:color w:val="auto"/>
        </w:rPr>
        <w:t>” means, with respect to any Lender at any time, the sum of the outstanding principal amount of such Lender’s Syndicated Loans, and its LC Exposure and Swingline Exposure, at such time made or incurred under the Multicurrency Commitments.</w:t>
      </w:r>
    </w:p>
    <w:p>
      <w:pPr>
        <w:spacing w:after="0" w:line="147"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Percentage</w:t>
      </w:r>
      <w:r>
        <w:rPr>
          <w:rFonts w:ascii="Arial" w:cs="Arial" w:eastAsia="Arial" w:hAnsi="Arial"/>
          <w:sz w:val="18"/>
          <w:szCs w:val="18"/>
          <w:color w:val="auto"/>
        </w:rPr>
        <w:t>” means, as of any date of determination, the result, expressed as a percentage, of the Revolving Credit Exposure on such date divided by the aggregate outstanding Covered Debt Amount on such date.</w:t>
      </w:r>
    </w:p>
    <w:p>
      <w:pPr>
        <w:spacing w:after="0" w:line="103"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13" w:name="page114"/>
    <w:bookmarkEnd w:id="11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RIC</w:t>
      </w:r>
      <w:r>
        <w:rPr>
          <w:rFonts w:ascii="Arial" w:cs="Arial" w:eastAsia="Arial" w:hAnsi="Arial"/>
          <w:sz w:val="18"/>
          <w:szCs w:val="18"/>
          <w:color w:val="auto"/>
        </w:rPr>
        <w:t>” means a person qualifying for treatment as a “regulated investment company” under the Code.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S&amp;P</w:t>
      </w:r>
      <w:r>
        <w:rPr>
          <w:rFonts w:ascii="Arial" w:cs="Arial" w:eastAsia="Arial" w:hAnsi="Arial"/>
          <w:sz w:val="16"/>
          <w:szCs w:val="16"/>
          <w:color w:val="auto"/>
        </w:rPr>
        <w:t>” means Standard &amp; Poor’s Ratings Services, a division of The McGraw Hill Companies, Inc., a New York corporation, or any successor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11"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means, at any time, a country or territory which is the subject or target of any Sanctions that broadly prohibit dealings with such country or territory (currently Cuba, Iran, North Korea, Sudan and Syria).</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3.15</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SBA</w:t>
      </w:r>
      <w:r>
        <w:rPr>
          <w:rFonts w:ascii="Arial" w:cs="Arial" w:eastAsia="Arial" w:hAnsi="Arial"/>
          <w:sz w:val="18"/>
          <w:szCs w:val="18"/>
          <w:color w:val="auto"/>
        </w:rPr>
        <w:t>” means the United States Small Business Administration.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SBIC Equity Commitment</w:t>
      </w:r>
      <w:r>
        <w:rPr>
          <w:rFonts w:ascii="Arial" w:cs="Arial" w:eastAsia="Arial" w:hAnsi="Arial"/>
          <w:sz w:val="18"/>
          <w:szCs w:val="18"/>
          <w:color w:val="auto"/>
        </w:rPr>
        <w:t>” means a commitment by the Borrower to make one or more capital contributions to an SBIC Subsidiary.</w:t>
      </w:r>
    </w:p>
    <w:p>
      <w:pPr>
        <w:spacing w:after="0" w:line="225" w:lineRule="exact"/>
        <w:rPr>
          <w:sz w:val="20"/>
          <w:szCs w:val="20"/>
          <w:color w:val="auto"/>
        </w:rPr>
      </w:pPr>
    </w:p>
    <w:p>
      <w:pPr>
        <w:ind w:right="60" w:firstLine="913"/>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SBIC Subsidiary</w:t>
      </w:r>
      <w:r>
        <w:rPr>
          <w:rFonts w:ascii="Arial" w:cs="Arial" w:eastAsia="Arial" w:hAnsi="Arial"/>
          <w:sz w:val="16"/>
          <w:szCs w:val="16"/>
          <w:color w:val="auto"/>
        </w:rPr>
        <w:t>” means any direct or indirect Subsidiary (including such Subsidiary’s general partner or managing entity to the extent that the only material asset of such general partner or managing entity is its equity interest in the SBIC Subsidiary) of the Borrower licensed as a small business investment company under the Small Business Investment Act of 1958, as amended, (or that has applied for such a license and is actively pursuing the granting thereof by appropriate proceedings promptly instituted and diligently conducted) and which is designated by the Borrower (as provided below) as an SBIC Subsidiary, so long as (a) no portion of the Indebtedness or any other obligations (contingent or otherwise) of such Subsidiary: (i) is Guaranteed by any Obligor (other than a Permitted SBIC Guarantee), (ii) is recourse to or obligates any Obligor in any way (other than in respect of any SBIC Equity Commitment or Permitted SBIC Guarantee), or (iii) subjects any property of any Obligor, directly or indirectly, contingently or otherwise, to the satisfaction thereof, other than Equity Interests in any SBIC Subsidiary pledged to secure such Indebtedness, and (b) no Obligor has any obligation to maintain or preserve such Subsidiary’s financial condition or cause such entity to achieve certain levels of operating results. Any such designation by the Borrower shall be effected pursuant to a certificate of a Financial Officer delivered to the Administrative Agent, which certificate shall include a statement to the effect that, to the best of such officer’s knowledge, such designation complied with the foregoing conditions.</w:t>
      </w:r>
    </w:p>
    <w:p>
      <w:pPr>
        <w:spacing w:after="0" w:line="173" w:lineRule="exact"/>
        <w:rPr>
          <w:sz w:val="20"/>
          <w:szCs w:val="20"/>
          <w:color w:val="auto"/>
        </w:rPr>
      </w:pPr>
    </w:p>
    <w:p>
      <w:pPr>
        <w:ind w:right="70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Secured Debt Amount</w:t>
      </w:r>
      <w:r>
        <w:rPr>
          <w:rFonts w:ascii="Arial" w:cs="Arial" w:eastAsia="Arial" w:hAnsi="Arial"/>
          <w:sz w:val="16"/>
          <w:szCs w:val="16"/>
          <w:color w:val="auto"/>
        </w:rPr>
        <w:t>” means, on any date, the aggregate amount of all Secured Longer-Term Indebtedness and Secured Shorter-Term Indebtedness on such date (other than the obligations owed under the Loan Documents, including the Revolving Credit Exposure.</w:t>
      </w:r>
    </w:p>
    <w:p>
      <w:pPr>
        <w:spacing w:after="0" w:line="124" w:lineRule="exact"/>
        <w:rPr>
          <w:sz w:val="20"/>
          <w:szCs w:val="20"/>
          <w:color w:val="auto"/>
        </w:rPr>
      </w:pPr>
    </w:p>
    <w:p>
      <w:pPr>
        <w:ind w:right="240" w:firstLine="913"/>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Secured Longer-Term Indebtedness</w:t>
      </w:r>
      <w:r>
        <w:rPr>
          <w:rFonts w:ascii="Arial" w:cs="Arial" w:eastAsia="Arial" w:hAnsi="Arial"/>
          <w:sz w:val="16"/>
          <w:szCs w:val="16"/>
          <w:color w:val="auto"/>
        </w:rPr>
        <w:t xml:space="preserve">” means, as at any date, Indebtedness (other than Indebtedness hereunder) of an Obligor (which may be Guaranteed by Subsidiary Guarantors) that (a) has no scheduled amortization prior to, and a final maturity date not earlier than, six months after the Final Maturity Date (it being understood that none of: (w) the conversion features under convertible notes; (x) the triggering and/or settlement thereof; or (y) any cash payment made in respect thereof , shall constitute “amortization” for purposes of this </w:t>
      </w:r>
      <w:r>
        <w:rPr>
          <w:rFonts w:ascii="Arial" w:cs="Arial" w:eastAsia="Arial" w:hAnsi="Arial"/>
          <w:sz w:val="16"/>
          <w:szCs w:val="16"/>
          <w:u w:val="single" w:color="auto"/>
          <w:color w:val="auto"/>
        </w:rPr>
        <w:t>clause (a)</w:t>
      </w:r>
      <w:r>
        <w:rPr>
          <w:rFonts w:ascii="Arial" w:cs="Arial" w:eastAsia="Arial" w:hAnsi="Arial"/>
          <w:sz w:val="16"/>
          <w:szCs w:val="16"/>
          <w:color w:val="auto"/>
        </w:rPr>
        <w:t>), (b) is incurred pursuant to documentation that is substantially comparable to market terms for substantially similar debt of other similarly situated borrowers as determined by the</w:t>
      </w:r>
    </w:p>
    <w:p>
      <w:pPr>
        <w:spacing w:after="0" w:line="91"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14" w:name="page115"/>
    <w:bookmarkEnd w:id="114"/>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Borrower in its reasonable judgment and (c) is not secured by any assets of any Obligor other than pursuant to this Agreement or the Security Documents and the holders of which have either executed (i) a joinder agreement to the Guarantee and Security Agreement or (ii) such other document or agreement, in a form reasonably satisfactory to the Administrative Agent and the Collateral Agent, pursuant to which the holders of such Secured Longer-Term Indebtedness shall have become a party to the Guarantee and Security Agreement and assumed the obligations of a Financing Agent or Designated Indebtedness Holder (in each case, as defined in the Guarantee and Security Agreement).</w:t>
      </w:r>
    </w:p>
    <w:p>
      <w:pPr>
        <w:spacing w:after="0" w:line="188" w:lineRule="exact"/>
        <w:rPr>
          <w:sz w:val="20"/>
          <w:szCs w:val="20"/>
          <w:color w:val="auto"/>
        </w:rPr>
      </w:pPr>
    </w:p>
    <w:p>
      <w:pPr>
        <w:ind w:right="260"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Secured Shorter-Term Indebtedness</w:t>
      </w:r>
      <w:r>
        <w:rPr>
          <w:rFonts w:ascii="Arial" w:cs="Arial" w:eastAsia="Arial" w:hAnsi="Arial"/>
          <w:sz w:val="16"/>
          <w:szCs w:val="16"/>
          <w:color w:val="auto"/>
        </w:rPr>
        <w:t xml:space="preserve">” means, collectively, (a) any Indebtedness of an Obligor that is secured by any assets of any Obligor and that does not constitute Secured Longer-Term Indebtedness, (b) any Indebtedness of an Obligor that is not secured by any assets of any Obligor other than pursuant to this Agreement or the Security Documents and the holders of which have either executed (i) a joinder agreement to the Guarantee and Security Agreement or (ii) such other document or agreement, in a form reasonably satisfactory to the Administrative Agent and the Collateral Agent, pursuant to which the holders of such Secured Shorter-Term Indebtedness shall have become a party to the Guarantee and Security Agreement and assumed the obligations of a Financing Agent or Designated Indebtedness Holder (in each case, as defined in the Guarantee and Security Agreement). and (c) any Indebtedness that is designated as “Secured Shorter-Term Indebtedness” pursuant to </w:t>
      </w:r>
      <w:r>
        <w:rPr>
          <w:rFonts w:ascii="Arial" w:cs="Arial" w:eastAsia="Arial" w:hAnsi="Arial"/>
          <w:sz w:val="16"/>
          <w:szCs w:val="16"/>
          <w:u w:val="single" w:color="auto"/>
          <w:color w:val="auto"/>
        </w:rPr>
        <w:t>Section 6.11(a)</w:t>
      </w:r>
      <w:r>
        <w:rPr>
          <w:rFonts w:ascii="Arial" w:cs="Arial" w:eastAsia="Arial" w:hAnsi="Arial"/>
          <w:sz w:val="16"/>
          <w:szCs w:val="16"/>
          <w:color w:val="auto"/>
        </w:rPr>
        <w:t>.</w:t>
      </w:r>
    </w:p>
    <w:p>
      <w:pPr>
        <w:spacing w:after="0" w:line="167"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Documents</w:t>
      </w:r>
      <w:r>
        <w:rPr>
          <w:rFonts w:ascii="Arial" w:cs="Arial" w:eastAsia="Arial" w:hAnsi="Arial"/>
          <w:sz w:val="18"/>
          <w:szCs w:val="18"/>
          <w:color w:val="auto"/>
        </w:rPr>
        <w:t>” means, collectively, the Guarantee and Security Agreement, all Uniform Commercial Code financing statements filed with respect to the security interests in personal property created pursuant to the Guarantee and Security Agreement and all other assignments, pledge agreements, security agreements, control agreements and other instruments executed and delivered on or after the date hereof by any of the Obligors pursuant to the Guarantee and Security Agreement or otherwise providing or relating to any collateral security for any of the Secured Obligations under and as defined in the Guarantee and Security Agreement.</w:t>
      </w:r>
    </w:p>
    <w:p>
      <w:pPr>
        <w:spacing w:after="0" w:line="188"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Shareholders’ Equity</w:t>
      </w:r>
      <w:r>
        <w:rPr>
          <w:rFonts w:ascii="Arial" w:cs="Arial" w:eastAsia="Arial" w:hAnsi="Arial"/>
          <w:sz w:val="18"/>
          <w:szCs w:val="18"/>
          <w:color w:val="auto"/>
        </w:rPr>
        <w:t>” means, at any date, the amount determined on a consolidated basis, without duplication, in accordance with GAAP, of shareholders equity for the Borrower and its Subsidiaries at such date.</w:t>
      </w:r>
    </w:p>
    <w:p>
      <w:pPr>
        <w:spacing w:after="0" w:line="170"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 Subsidiary</w:t>
      </w:r>
      <w:r>
        <w:rPr>
          <w:rFonts w:ascii="Arial" w:cs="Arial" w:eastAsia="Arial" w:hAnsi="Arial"/>
          <w:sz w:val="18"/>
          <w:szCs w:val="18"/>
          <w:color w:val="auto"/>
        </w:rPr>
        <w:t>” means a direct or indirect Subsidiary of the Borrower to which any Obligor sells, conveys or otherwise transfers (whether directly or indirectly) Portfolio Investments, which engages in no material activities other than in connection with the purchase or financing of such assets and which is designated by the Borrower (as provided below) as an SPE Subsidiary:</w:t>
      </w:r>
    </w:p>
    <w:p>
      <w:pPr>
        <w:spacing w:after="0" w:line="73" w:lineRule="exact"/>
        <w:rPr>
          <w:sz w:val="20"/>
          <w:szCs w:val="20"/>
          <w:color w:val="auto"/>
        </w:rPr>
      </w:pPr>
    </w:p>
    <w:p>
      <w:pPr>
        <w:ind w:right="340" w:firstLine="921"/>
        <w:spacing w:after="0" w:line="259" w:lineRule="auto"/>
        <w:tabs>
          <w:tab w:leader="none" w:pos="1158"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 portion of the Indebtedness or any other obligations (contingent or otherwise) of which (i) is Guaranteed by any Obligor (other than Guarantees in respect of Standard Securitization Undertakings), (ii) is recourse to or obligates any Obligor in any way other than pursuant to Standard Securitization Undertakings or (iii) subjects any property of any Obligor, directly or indirectly, contingently or otherwise, to the satisfaction thereof, other than pursuant to Standard Securitization Undertakings or any Guarantee thereof,</w:t>
      </w:r>
    </w:p>
    <w:p>
      <w:pPr>
        <w:spacing w:after="0" w:line="119"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15" w:name="page116"/>
    <w:bookmarkEnd w:id="115"/>
    <w:p>
      <w:pPr>
        <w:jc w:val="both"/>
        <w:ind w:right="360" w:firstLine="921"/>
        <w:spacing w:after="0" w:line="264" w:lineRule="auto"/>
        <w:tabs>
          <w:tab w:leader="none" w:pos="1168" w:val="left"/>
        </w:tabs>
        <w:numPr>
          <w:ilvl w:val="0"/>
          <w:numId w:val="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which no Obligor has any material contract, agreement, arrangement or understanding other than on terms no less favorable to such Obligor than those that might be obtained at the time from Persons that are not Affiliates of any Obligor, other than fees payable in the ordinary course of business in connection with servicing receivables, and</w:t>
      </w:r>
    </w:p>
    <w:p>
      <w:pPr>
        <w:spacing w:after="0" w:line="73" w:lineRule="exact"/>
        <w:rPr>
          <w:rFonts w:ascii="Arial" w:cs="Arial" w:eastAsia="Arial" w:hAnsi="Arial"/>
          <w:sz w:val="18"/>
          <w:szCs w:val="18"/>
          <w:color w:val="auto"/>
        </w:rPr>
      </w:pPr>
    </w:p>
    <w:p>
      <w:pPr>
        <w:ind w:right="120" w:firstLine="921"/>
        <w:spacing w:after="0" w:line="277" w:lineRule="auto"/>
        <w:tabs>
          <w:tab w:leader="none" w:pos="1158"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which no Obligor has any obligation to maintain or preserve such entity’s financial condition or cause such entity to achieve certain levels of operating results.</w:t>
      </w:r>
    </w:p>
    <w:p>
      <w:pPr>
        <w:spacing w:after="0" w:line="170" w:lineRule="exact"/>
        <w:rPr>
          <w:sz w:val="20"/>
          <w:szCs w:val="20"/>
          <w:color w:val="auto"/>
        </w:rPr>
      </w:pPr>
    </w:p>
    <w:p>
      <w:pPr>
        <w:ind w:right="60" w:firstLine="913"/>
        <w:spacing w:after="0" w:line="312" w:lineRule="auto"/>
        <w:rPr>
          <w:sz w:val="20"/>
          <w:szCs w:val="20"/>
          <w:color w:val="auto"/>
        </w:rPr>
      </w:pPr>
      <w:r>
        <w:rPr>
          <w:rFonts w:ascii="Arial" w:cs="Arial" w:eastAsia="Arial" w:hAnsi="Arial"/>
          <w:sz w:val="16"/>
          <w:szCs w:val="16"/>
          <w:color w:val="auto"/>
        </w:rPr>
        <w:t>Any such designation by the Borrower shall be effected pursuant to a certificate of a Financial Officer delivered to the Administrative Agent, which certificate shall include a statement to the effect that, to the best of such officer’s knowledge, such designation complied with the foregoing conditions. Each Subsidiary of an SPE Subsidiary shall be deemed to be an SPE Subsidiary and shall comply with the foregoing requirements of this definition.</w:t>
      </w:r>
    </w:p>
    <w:p>
      <w:pPr>
        <w:spacing w:after="0" w:line="147"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Equity Interest</w:t>
      </w:r>
      <w:r>
        <w:rPr>
          <w:rFonts w:ascii="Arial" w:cs="Arial" w:eastAsia="Arial" w:hAnsi="Arial"/>
          <w:sz w:val="18"/>
          <w:szCs w:val="18"/>
          <w:color w:val="auto"/>
        </w:rPr>
        <w:t xml:space="preserve">” means any Equity Interest that is subject to a Lien in favor of creditors of the issuer of such Equity Interest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Lien was created to secure Indebtedness owing by such issuer to such creditors, (b) such Indebtedness was (i) in existence at the time the Obligors acquired such Equity Interest, (ii) incurred or assumed by such issuer substantially contemporaneously with such acquisition or (iii) already subject to a Lien granted to such creditors and (c) unless such Equity Interest is not intended to be included in the Collateral, the documentation creating or governing such Lien does not prohibit the inclusion of such Equity Interest in the Collateral.</w:t>
      </w:r>
    </w:p>
    <w:p>
      <w:pPr>
        <w:spacing w:after="0" w:line="188" w:lineRule="exact"/>
        <w:rPr>
          <w:sz w:val="20"/>
          <w:szCs w:val="20"/>
          <w:color w:val="auto"/>
        </w:rPr>
      </w:pPr>
    </w:p>
    <w:p>
      <w:pPr>
        <w:ind w:right="22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Standard Securitization Undertakings</w:t>
      </w:r>
      <w:r>
        <w:rPr>
          <w:rFonts w:ascii="Arial" w:cs="Arial" w:eastAsia="Arial" w:hAnsi="Arial"/>
          <w:sz w:val="18"/>
          <w:szCs w:val="18"/>
          <w:color w:val="auto"/>
        </w:rPr>
        <w:t>” means, collectively, (a) customary arms-length servicing obligations (together with any related performance guarantees), (b) obligations (together with any related performance guarantees) to refund the purchase price or grant purchase price credits for dilutive events or misrepresentations (in each case unrelated to the collectibility of the assets sold or the creditworthiness of the associated account debtors) and (c) representations, warranties, covenants and indemnities (together with any related performance guarantees) of a type that are reasonably customary in accounts receivable securitizations.</w:t>
      </w:r>
    </w:p>
    <w:p>
      <w:pPr>
        <w:spacing w:after="0" w:line="188" w:lineRule="exact"/>
        <w:rPr>
          <w:sz w:val="20"/>
          <w:szCs w:val="20"/>
          <w:color w:val="auto"/>
        </w:rPr>
      </w:pPr>
    </w:p>
    <w:p>
      <w:pPr>
        <w:ind w:right="40" w:firstLine="91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Statutory Reserve Rate</w:t>
      </w:r>
      <w:r>
        <w:rPr>
          <w:rFonts w:ascii="Arial" w:cs="Arial" w:eastAsia="Arial" w:hAnsi="Arial"/>
          <w:sz w:val="17"/>
          <w:szCs w:val="17"/>
          <w:color w:val="auto"/>
        </w:rPr>
        <w:t xml:space="preserve">” means, for the Interest Period for any Eurocurrency Borrowing, a fraction (expressed as a decimal), the numerator of which is the number one and the denominator of which is the number one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the arithmetic mean, taken over each day in such Interest Period, of the aggregate of the maximum reserve percentages (including any marginal, special, emergency or supplemental reserves) expressed as a decimal established by the Board to which the Administrative Agent is subject for eurocurrency funding (currently referred to as “Eurocurrency liabilities” in Regulation D). Such reserve percentages shall include those imposed pursuant to Regulation D. Eurocurrency Loans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111"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16" w:name="page117"/>
    <w:bookmarkEnd w:id="116"/>
    <w:p>
      <w:pPr>
        <w:jc w:val="both"/>
        <w:ind w:right="60" w:firstLine="913"/>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any Person (the “</w:t>
      </w:r>
      <w:r>
        <w:rPr>
          <w:rFonts w:ascii="Arial" w:cs="Arial" w:eastAsia="Arial" w:hAnsi="Arial"/>
          <w:sz w:val="16"/>
          <w:szCs w:val="16"/>
          <w:u w:val="single" w:color="auto"/>
          <w:color w:val="auto"/>
        </w:rPr>
        <w:t>parent</w:t>
      </w:r>
      <w:r>
        <w:rPr>
          <w:rFonts w:ascii="Arial" w:cs="Arial" w:eastAsia="Arial" w:hAnsi="Arial"/>
          <w:sz w:val="16"/>
          <w:szCs w:val="16"/>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w:t>
      </w:r>
    </w:p>
    <w:p>
      <w:pPr>
        <w:ind w:right="40" w:firstLine="8"/>
        <w:spacing w:after="0" w:line="252" w:lineRule="auto"/>
        <w:tabs>
          <w:tab w:leader="none" w:pos="245" w:val="left"/>
        </w:tabs>
        <w:numPr>
          <w:ilvl w:val="0"/>
          <w:numId w:val="61"/>
        </w:numPr>
        <w:rPr>
          <w:rFonts w:ascii="Arial" w:cs="Arial" w:eastAsia="Arial" w:hAnsi="Arial"/>
          <w:sz w:val="18"/>
          <w:szCs w:val="18"/>
          <w:color w:val="auto"/>
        </w:rPr>
      </w:pPr>
      <w:r>
        <w:rPr>
          <w:rFonts w:ascii="Arial" w:cs="Arial" w:eastAsia="Arial" w:hAnsi="Arial"/>
          <w:sz w:val="18"/>
          <w:szCs w:val="18"/>
          <w:color w:val="auto"/>
        </w:rPr>
        <w:t>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 Anything herein to the contrary notwithstanding, the term “Subsidiary” shall not include any Person that constitutes an Investment held by the Borrower in the ordinary course of business and that is not, under GAAP, consolidated on the financial statements of the Borrower and its Subsidiaries. Unless otherwise specified, “Subsidiary” means a Subsidiary of the Borrower.</w:t>
      </w:r>
    </w:p>
    <w:p>
      <w:pPr>
        <w:spacing w:after="0" w:line="194"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Guarantor</w:t>
      </w:r>
      <w:r>
        <w:rPr>
          <w:rFonts w:ascii="Arial" w:cs="Arial" w:eastAsia="Arial" w:hAnsi="Arial"/>
          <w:sz w:val="18"/>
          <w:szCs w:val="18"/>
          <w:color w:val="auto"/>
        </w:rPr>
        <w:t>” means any Subsidiary that is a Guarantor under the Guarantee and Security Agreement. It is understood and agreed that no Financing Subsidiary, Immaterial Subsidiary or Foreign Subsidiary shall be a Subsidiary Guarantor.</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SunTrust</w:t>
      </w:r>
      <w:r>
        <w:rPr>
          <w:rFonts w:ascii="Arial" w:cs="Arial" w:eastAsia="Arial" w:hAnsi="Arial"/>
          <w:sz w:val="18"/>
          <w:szCs w:val="18"/>
          <w:color w:val="auto"/>
        </w:rPr>
        <w:t>” means SunTrust Bank.</w:t>
      </w:r>
    </w:p>
    <w:p>
      <w:pPr>
        <w:spacing w:after="0" w:line="225" w:lineRule="exact"/>
        <w:rPr>
          <w:sz w:val="20"/>
          <w:szCs w:val="20"/>
          <w:color w:val="auto"/>
        </w:rPr>
      </w:pPr>
    </w:p>
    <w:p>
      <w:pPr>
        <w:ind w:right="80"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Swingline Exposure</w:t>
      </w:r>
      <w:r>
        <w:rPr>
          <w:rFonts w:ascii="Arial" w:cs="Arial" w:eastAsia="Arial" w:hAnsi="Arial"/>
          <w:sz w:val="16"/>
          <w:szCs w:val="16"/>
          <w:color w:val="auto"/>
        </w:rPr>
        <w:t>” means, at any time, the aggregate principal amount of all Swingline Loans outstanding at such time. The Swingline Exposure of any Lender at any time shall be the sum of (i) its Applicable Dollar Percentage of the total Swingline Exposure incurred under the Dollar Commitments and (ii) its Applicable Multicurrency Percentage of the total Swingline Exposure at such time incurred under the Multicurrency Commitments.</w:t>
      </w:r>
    </w:p>
    <w:p>
      <w:pPr>
        <w:spacing w:after="0" w:line="147"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Lender</w:t>
      </w:r>
      <w:r>
        <w:rPr>
          <w:rFonts w:ascii="Arial" w:cs="Arial" w:eastAsia="Arial" w:hAnsi="Arial"/>
          <w:sz w:val="18"/>
          <w:szCs w:val="18"/>
          <w:color w:val="auto"/>
        </w:rPr>
        <w:t xml:space="preserve">” means SunTrust, in its capacity as lender of Swingline Loans hereunder, and its successors in such capacity as provided in </w:t>
      </w:r>
      <w:r>
        <w:rPr>
          <w:rFonts w:ascii="Arial" w:cs="Arial" w:eastAsia="Arial" w:hAnsi="Arial"/>
          <w:sz w:val="18"/>
          <w:szCs w:val="18"/>
          <w:u w:val="single" w:color="auto"/>
          <w:color w:val="auto"/>
        </w:rPr>
        <w:t>Section 2.04(d)</w:t>
      </w:r>
      <w:r>
        <w:rPr>
          <w:rFonts w:ascii="Arial" w:cs="Arial" w:eastAsia="Arial" w:hAnsi="Arial"/>
          <w:sz w:val="18"/>
          <w:szCs w:val="18"/>
          <w:color w:val="auto"/>
        </w:rPr>
        <w: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Loan</w:t>
      </w:r>
      <w:r>
        <w:rPr>
          <w:rFonts w:ascii="Arial" w:cs="Arial" w:eastAsia="Arial" w:hAnsi="Arial"/>
          <w:sz w:val="18"/>
          <w:szCs w:val="18"/>
          <w:color w:val="auto"/>
        </w:rPr>
        <w:t xml:space="preserve">” means a Loan made pursuant to </w:t>
      </w:r>
      <w:r>
        <w:rPr>
          <w:rFonts w:ascii="Arial" w:cs="Arial" w:eastAsia="Arial" w:hAnsi="Arial"/>
          <w:sz w:val="18"/>
          <w:szCs w:val="18"/>
          <w:u w:val="single" w:color="auto"/>
          <w:color w:val="auto"/>
        </w:rPr>
        <w:t>Section 2.04</w:t>
      </w:r>
      <w:r>
        <w:rPr>
          <w:rFonts w:ascii="Arial" w:cs="Arial" w:eastAsia="Arial" w:hAnsi="Arial"/>
          <w:sz w:val="18"/>
          <w:szCs w:val="18"/>
          <w:color w:val="auto"/>
        </w:rPr>
        <w:t>.</w:t>
      </w:r>
    </w:p>
    <w:p>
      <w:pPr>
        <w:spacing w:after="0" w:line="225"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Syndicated</w:t>
      </w:r>
      <w:r>
        <w:rPr>
          <w:rFonts w:ascii="Arial" w:cs="Arial" w:eastAsia="Arial" w:hAnsi="Arial"/>
          <w:sz w:val="18"/>
          <w:szCs w:val="18"/>
          <w:color w:val="auto"/>
        </w:rPr>
        <w:t xml:space="preserve">”, when used in reference to any Loan or Borrowing, refers to whether such Loan, or the Loans constituting such Borrowing, are made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170" w:lineRule="exact"/>
        <w:rPr>
          <w:sz w:val="20"/>
          <w:szCs w:val="20"/>
          <w:color w:val="auto"/>
        </w:rPr>
      </w:pPr>
    </w:p>
    <w:p>
      <w:pPr>
        <w:ind w:right="20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Taxes</w:t>
      </w:r>
      <w:r>
        <w:rPr>
          <w:rFonts w:ascii="Arial" w:cs="Arial" w:eastAsia="Arial" w:hAnsi="Arial"/>
          <w:sz w:val="16"/>
          <w:szCs w:val="16"/>
          <w:color w:val="auto"/>
        </w:rPr>
        <w:t>” means any and all present or future taxes, levies, imposts, duties, deductions, charges or withholdings (including backup withholding), assessments, fees, or other charges imposed by any Governmental Authority, including any interest, additions to tax or penalties applicable thereto.</w:t>
      </w:r>
    </w:p>
    <w:p>
      <w:pPr>
        <w:spacing w:after="0" w:line="124"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means the earliest to occur of (i) the Final Maturity Date, (ii) the date of the termination of the Commitments in full pursuant to </w:t>
      </w:r>
      <w:r>
        <w:rPr>
          <w:rFonts w:ascii="Arial" w:cs="Arial" w:eastAsia="Arial" w:hAnsi="Arial"/>
          <w:sz w:val="18"/>
          <w:szCs w:val="18"/>
          <w:u w:val="single" w:color="auto"/>
          <w:color w:val="auto"/>
        </w:rPr>
        <w:t>Section 2.08(c)</w:t>
      </w:r>
      <w:r>
        <w:rPr>
          <w:rFonts w:ascii="Arial" w:cs="Arial" w:eastAsia="Arial" w:hAnsi="Arial"/>
          <w:sz w:val="18"/>
          <w:szCs w:val="18"/>
          <w:color w:val="auto"/>
        </w:rPr>
        <w:t xml:space="preserve">, or (iii) the date on which the Commitments are terminated pursuant to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Testing Period</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5.12(b)(ii)(E)(x)</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Testing Quarter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5.12(b)(ii)(B)</w:t>
      </w:r>
      <w:r>
        <w:rPr>
          <w:rFonts w:ascii="Arial" w:cs="Arial" w:eastAsia="Arial" w:hAnsi="Arial"/>
          <w:sz w:val="18"/>
          <w:szCs w:val="18"/>
          <w:color w:val="auto"/>
        </w:rPr>
        <w:t>.</w:t>
      </w:r>
    </w:p>
    <w:p>
      <w:pPr>
        <w:spacing w:after="0" w:line="158"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30</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17" w:name="page118"/>
    <w:bookmarkEnd w:id="117"/>
    <w:p>
      <w:pPr>
        <w:ind w:right="4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the execution, delivery and performance by the Borrower of this Agreement and the other Loan Documents, the borrowing of Loans, the use of the proceeds thereof and the issuance of Letters of Credit hereunder.</w:t>
      </w:r>
    </w:p>
    <w:p>
      <w:pPr>
        <w:spacing w:after="0" w:line="170"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when used in reference to any Loan or Borrowing, refers to whether the rate of interest on such Loan, or on the Loans constituting such Borrowing, is determined by reference to the Adjusted LIBO Rate or the Alternate Base Rate.</w:t>
      </w:r>
    </w:p>
    <w:p>
      <w:pPr>
        <w:spacing w:after="0" w:line="170" w:lineRule="exact"/>
        <w:rPr>
          <w:sz w:val="20"/>
          <w:szCs w:val="20"/>
          <w:color w:val="auto"/>
        </w:rPr>
      </w:pPr>
    </w:p>
    <w:p>
      <w:pPr>
        <w:ind w:right="20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Undisclosed Administration</w:t>
      </w:r>
      <w:r>
        <w:rPr>
          <w:rFonts w:ascii="Arial" w:cs="Arial" w:eastAsia="Arial" w:hAnsi="Arial"/>
          <w:sz w:val="17"/>
          <w:szCs w:val="17"/>
          <w:color w:val="auto"/>
        </w:rPr>
        <w:t>” means, in relation to a Lender, the appointment of an administrator, provisional liquidator, conservator, receiver, trustee, custodian or other similar official by a supervisory authority or regulator under or based on the law in the country where such Lender is subject to home jurisdiction supervision if applicable law requires that such appointment is not to be publicly disclosed.</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Uniform Commercial Code</w:t>
      </w:r>
      <w:r>
        <w:rPr>
          <w:rFonts w:ascii="Arial" w:cs="Arial" w:eastAsia="Arial" w:hAnsi="Arial"/>
          <w:sz w:val="18"/>
          <w:szCs w:val="18"/>
          <w:color w:val="auto"/>
        </w:rPr>
        <w:t>” means the Uniform Commercial Code as in effect from time to time in the State of New York.</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Unsecured Longer-Term Indebtedness</w:t>
      </w:r>
      <w:r>
        <w:rPr>
          <w:rFonts w:ascii="Arial" w:cs="Arial" w:eastAsia="Arial" w:hAnsi="Arial"/>
          <w:sz w:val="17"/>
          <w:szCs w:val="17"/>
          <w:color w:val="auto"/>
        </w:rPr>
        <w:t>” means any Indebtedness of an Obligor (which may be Guaranteed by Subsidiary Guarantors) that</w:t>
      </w:r>
    </w:p>
    <w:p>
      <w:pPr>
        <w:spacing w:after="0" w:line="35" w:lineRule="exact"/>
        <w:rPr>
          <w:sz w:val="20"/>
          <w:szCs w:val="20"/>
          <w:color w:val="auto"/>
        </w:rPr>
      </w:pPr>
    </w:p>
    <w:p>
      <w:pPr>
        <w:ind w:right="140" w:firstLine="8"/>
        <w:spacing w:after="0" w:line="253" w:lineRule="auto"/>
        <w:tabs>
          <w:tab w:leader="none" w:pos="245"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has no amortization prior to, and a final maturity date not earlier than, six months after the Final Maturity Date (it being understood that none of : (w) the conversion features under convertible notes; (x) the triggering and/or settlement thereof or (y) any cash payment made in respect thereof, shall constitute “amortization” for purposes of this </w:t>
      </w:r>
      <w:r>
        <w:rPr>
          <w:rFonts w:ascii="Arial" w:cs="Arial" w:eastAsia="Arial" w:hAnsi="Arial"/>
          <w:sz w:val="18"/>
          <w:szCs w:val="18"/>
          <w:u w:val="single" w:color="auto"/>
          <w:color w:val="auto"/>
        </w:rPr>
        <w:t>clause (a)</w:t>
      </w:r>
      <w:r>
        <w:rPr>
          <w:rFonts w:ascii="Arial" w:cs="Arial" w:eastAsia="Arial" w:hAnsi="Arial"/>
          <w:sz w:val="18"/>
          <w:szCs w:val="18"/>
          <w:color w:val="auto"/>
        </w:rPr>
        <w:t>), (b) is incurred pursuant to documentation that is substantially comparable to market terms for substantially similar debt of other similarly situated borrowers as determined by the Borrower in its reasonable judgment and (c) is not secured by any assets of any Obligor.</w:t>
      </w:r>
    </w:p>
    <w:p>
      <w:pPr>
        <w:spacing w:after="0" w:line="191"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Unsecured Shorter-Term Indebtedness</w:t>
      </w:r>
      <w:r>
        <w:rPr>
          <w:rFonts w:ascii="Arial" w:cs="Arial" w:eastAsia="Arial" w:hAnsi="Arial"/>
          <w:sz w:val="18"/>
          <w:szCs w:val="18"/>
          <w:color w:val="auto"/>
        </w:rPr>
        <w:t xml:space="preserve">” means, collectively, (a) any Indebtedness of an Obligor that is not secured by any assets of any Obligor and that does not constitute Unsecured Longer-Term Indebtedness and (b) any Indebtedness that is designated as “Unsecured Shorter-Term Indebtedness” pursuant to </w:t>
      </w:r>
      <w:r>
        <w:rPr>
          <w:rFonts w:ascii="Arial" w:cs="Arial" w:eastAsia="Arial" w:hAnsi="Arial"/>
          <w:sz w:val="18"/>
          <w:szCs w:val="18"/>
          <w:u w:val="single" w:color="auto"/>
          <w:color w:val="auto"/>
        </w:rPr>
        <w:t>Section 6.11(a)</w:t>
      </w:r>
      <w:r>
        <w:rPr>
          <w:rFonts w:ascii="Arial" w:cs="Arial" w:eastAsia="Arial" w:hAnsi="Arial"/>
          <w:sz w:val="18"/>
          <w:szCs w:val="18"/>
          <w:color w:val="auto"/>
        </w:rPr>
        <w: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Unquoted Investments</w:t>
      </w:r>
      <w:r>
        <w:rPr>
          <w:rFonts w:ascii="Arial" w:cs="Arial" w:eastAsia="Arial" w:hAnsi="Arial"/>
          <w:sz w:val="18"/>
          <w:szCs w:val="18"/>
          <w:color w:val="auto"/>
        </w:rPr>
        <w:t xml:space="preserve">” means a Portfolio Investment with a value assigned by the Borrower pursuant to </w:t>
      </w:r>
      <w:r>
        <w:rPr>
          <w:rFonts w:ascii="Arial" w:cs="Arial" w:eastAsia="Arial" w:hAnsi="Arial"/>
          <w:sz w:val="18"/>
          <w:szCs w:val="18"/>
          <w:u w:val="single" w:color="auto"/>
          <w:color w:val="auto"/>
        </w:rPr>
        <w:t>Section 5.12(b)(ii)(B)</w:t>
      </w:r>
      <w:r>
        <w:rPr>
          <w:rFonts w:ascii="Arial" w:cs="Arial" w:eastAsia="Arial" w:hAnsi="Arial"/>
          <w:sz w:val="18"/>
          <w:szCs w:val="18"/>
          <w:color w:val="auto"/>
        </w:rPr>
        <w:t>.</w:t>
      </w:r>
    </w:p>
    <w:p>
      <w:pPr>
        <w:spacing w:after="0" w:line="225"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Government Securities</w:t>
      </w:r>
      <w:r>
        <w:rPr>
          <w:rFonts w:ascii="Arial" w:cs="Arial" w:eastAsia="Arial" w:hAnsi="Arial"/>
          <w:sz w:val="18"/>
          <w:szCs w:val="18"/>
          <w:color w:val="auto"/>
        </w:rPr>
        <w:t>” means securities that are direct obligations of, and obligations the timely payment of principal and interest on which is fully guaranteed by, the United States or any agency or instrumentality of the United States the obligations of which are backed by the full faith and credit of the United States and in the form of conventional bills, bonds, and notes.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“United States Person” as defined in Section 7701(a)(30) of the Code.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Value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5.13</w:t>
      </w:r>
      <w:r>
        <w:rPr>
          <w:rFonts w:ascii="Arial" w:cs="Arial" w:eastAsia="Arial" w:hAnsi="Arial"/>
          <w:sz w:val="18"/>
          <w:szCs w:val="18"/>
          <w:color w:val="auto"/>
        </w:rPr>
        <w:t>.</w:t>
      </w:r>
    </w:p>
    <w:p>
      <w:pPr>
        <w:spacing w:after="0" w:line="158"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18" w:name="page119"/>
    <w:bookmarkEnd w:id="118"/>
    <w:p>
      <w:pPr>
        <w:ind w:right="8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170"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Classification of Loans and Borrowings</w:t>
      </w:r>
      <w:r>
        <w:rPr>
          <w:rFonts w:ascii="Arial" w:cs="Arial" w:eastAsia="Arial" w:hAnsi="Arial"/>
          <w:sz w:val="18"/>
          <w:szCs w:val="18"/>
          <w:color w:val="auto"/>
        </w:rPr>
        <w:t>. For purposes of this Agreement, Loans may be classified and referred to by Class (e.g., a “Syndicated Dollar Loan” or “Syndicated Multicurrency Loan”), by Type (e.g., an “ABR Loan”) or by Class and Type (e.g., a “Syndicated Multicurrency LIBOR Loan”). Borrowings also may be classified and referred to by Class (e.g., a “Dollar Borrowing”, “Multicurrency Borrowing” or “Syndicated Borrowing”), by Type (e.g., an “ABR Borrowing”) or by Class and Type (e.g., a “Syndicated ABR Borrowing” or “Syndicated Multicurrency LIBOR Borrowing”). Loans and Borrowings may also be identified by Currency.</w:t>
      </w:r>
    </w:p>
    <w:p>
      <w:pPr>
        <w:spacing w:after="0" w:line="188"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Terms Generally</w:t>
      </w:r>
      <w:r>
        <w:rPr>
          <w:rFonts w:ascii="Arial" w:cs="Arial" w:eastAsia="Arial" w:hAnsi="Arial"/>
          <w:sz w:val="16"/>
          <w:szCs w:val="16"/>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w:t>
      </w:r>
    </w:p>
    <w:p>
      <w:pPr>
        <w:spacing w:after="0" w:line="169"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u w:val="single" w:color="auto"/>
          <w:color w:val="auto"/>
        </w:rPr>
        <w:t>Accounting Terms; GAAP</w:t>
      </w:r>
      <w:r>
        <w:rPr>
          <w:rFonts w:ascii="Arial" w:cs="Arial" w:eastAsia="Arial" w:hAnsi="Arial"/>
          <w:sz w:val="16"/>
          <w:szCs w:val="16"/>
          <w:color w:val="auto"/>
        </w:rPr>
        <w:t xml:space="preserve">. Except as otherwise expressly provided herein, all terms of an accounting or financial nature shall be construed in accordance with GAAP, as in effect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and (b) all leases that would be treated as operating leases for purposes of GAAP on the date hereof shall continue to be accounted for as operating leases for purposes of all financial definitions and calculations hereunder regardless of any change to GAAP following the date hereof that would otherwise require such leases to be treated as Capital Lease Obligations. The Borrower covenants and agrees with the Lenders that whether or not the Borrower may at any time adopt Financial</w:t>
      </w:r>
    </w:p>
    <w:p>
      <w:pPr>
        <w:spacing w:after="0" w:line="102"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19" w:name="page120"/>
    <w:bookmarkEnd w:id="119"/>
    <w:p>
      <w:pPr>
        <w:ind w:right="6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Accounting Standard No. 159 (or successor standard solely as it relates to fair valuing liabilities) or accounts for liabilities acquired in an acquisition on a fair value basis pursuant to Financial Accounting Standard No. 141(R) (or successor standard solely as it relates to fair valuing liabilities), all determinations of compliance with the terms and conditions of this Agreement shall be made on the basis that the Borrower has not adopted Financial Accounting Standard No. 159 (or such successor standard solely as it relates to fair valuing liabilities) or, in the case of liabilities acquired in an acquisition, Financial Accounting Standard No. 141(R) (or such successor standard solely as it relates to fair valuing liabilities).</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Currencies; Currency Equivalents</w:t>
      </w:r>
      <w:r>
        <w:rPr>
          <w:rFonts w:ascii="Arial" w:cs="Arial" w:eastAsia="Arial" w:hAnsi="Arial"/>
          <w:sz w:val="18"/>
          <w:szCs w:val="18"/>
          <w:color w:val="auto"/>
        </w:rPr>
        <w:t>.</w:t>
      </w:r>
    </w:p>
    <w:p>
      <w:pPr>
        <w:spacing w:after="0" w:line="117" w:lineRule="exact"/>
        <w:rPr>
          <w:sz w:val="20"/>
          <w:szCs w:val="20"/>
          <w:color w:val="auto"/>
        </w:rPr>
      </w:pPr>
    </w:p>
    <w:p>
      <w:pPr>
        <w:ind w:right="20" w:firstLine="921"/>
        <w:spacing w:after="0" w:line="268" w:lineRule="auto"/>
        <w:tabs>
          <w:tab w:leader="none" w:pos="1157"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Currencies Generally</w:t>
      </w:r>
      <w:r>
        <w:rPr>
          <w:rFonts w:ascii="Arial" w:cs="Arial" w:eastAsia="Arial" w:hAnsi="Arial"/>
          <w:sz w:val="17"/>
          <w:szCs w:val="17"/>
          <w:color w:val="auto"/>
        </w:rPr>
        <w:t xml:space="preserve">. At any time, any reference in the definition of the term “Agreed Foreign Currency” or in any other provision of this Agreement to the Currency of any particular nation means the lawful currency of such nation at such time whether or not the name of such Currency is the same as it was on the date hereof. Except as provided in </w:t>
      </w:r>
      <w:r>
        <w:rPr>
          <w:rFonts w:ascii="Arial" w:cs="Arial" w:eastAsia="Arial" w:hAnsi="Arial"/>
          <w:sz w:val="17"/>
          <w:szCs w:val="17"/>
          <w:u w:val="single" w:color="auto"/>
          <w:color w:val="auto"/>
        </w:rPr>
        <w:t>Section 2.10(b)</w:t>
      </w:r>
      <w:r>
        <w:rPr>
          <w:rFonts w:ascii="Arial" w:cs="Arial" w:eastAsia="Arial" w:hAnsi="Arial"/>
          <w:sz w:val="17"/>
          <w:szCs w:val="17"/>
          <w:color w:val="auto"/>
        </w:rPr>
        <w:t xml:space="preserve"> and the last sentence of </w:t>
      </w:r>
      <w:r>
        <w:rPr>
          <w:rFonts w:ascii="Arial" w:cs="Arial" w:eastAsia="Arial" w:hAnsi="Arial"/>
          <w:sz w:val="17"/>
          <w:szCs w:val="17"/>
          <w:u w:val="single" w:color="auto"/>
          <w:color w:val="auto"/>
        </w:rPr>
        <w:t>Section 2.17(a)</w:t>
      </w:r>
      <w:r>
        <w:rPr>
          <w:rFonts w:ascii="Arial" w:cs="Arial" w:eastAsia="Arial" w:hAnsi="Arial"/>
          <w:sz w:val="17"/>
          <w:szCs w:val="17"/>
          <w:color w:val="auto"/>
        </w:rPr>
        <w:t>, for purposes of determining (i) whether the amount of any Borrowing or Letter of Credit under the Multicurrency Commitments, together with all other Borrowings and Letters of Credit under the Multicurrency Commitments then outstanding or to be borrowed at the same time as such Borrowing, would exceed the aggregate amount of the Multicurrency Commitments, (ii) the aggregate unutilized amount of the Multicurrency Commitments, (iii) the Revolving Credit Exposure, (iv) the Multicurrency LC Exposure, (v) the Covered Debt Amount and (vi) the Borrowing Base or the Value or the fair market value of any Portfolio Investment, the outstanding principal amount of any Borrowing or Letter of Credit that is denominated in any Foreign Currency or the Value or the fair market value of any Portfolio Investment that is denominated in any Foreign Currency shall be deemed to be the Dollar Equivalent of the amount of the Foreign Currency of such Borrowing, Letter of Credit or Portfolio Investment, as the case may be, determined as of the date of such Borrowing or Letter of Credit (determined in accordance with the last sentence of the definition of the term “Interest Period”) or the date of valuation of such Portfolio Investment, as the case may be. Wherever in this Agreement in connection with a Borrowing or Loan an amount, such as a required minimum or multiple amount, is expressed in Dollars, but such Borrowing or Loan is denominated in a Foreign Currency, such amount shall be the relevant Foreign Currency Equivalent of such Dollar amount (rounded to the nearest 1,000 units of such Foreign Currency).</w:t>
      </w:r>
    </w:p>
    <w:p>
      <w:pPr>
        <w:spacing w:after="0" w:line="77" w:lineRule="exact"/>
        <w:rPr>
          <w:rFonts w:ascii="Arial" w:cs="Arial" w:eastAsia="Arial" w:hAnsi="Arial"/>
          <w:sz w:val="17"/>
          <w:szCs w:val="17"/>
          <w:color w:val="auto"/>
        </w:rPr>
      </w:pPr>
    </w:p>
    <w:p>
      <w:pPr>
        <w:ind w:right="20" w:firstLine="921"/>
        <w:spacing w:after="0" w:line="290" w:lineRule="auto"/>
        <w:tabs>
          <w:tab w:leader="none" w:pos="1168"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Special Provisions Relating to Euro</w:t>
      </w:r>
      <w:r>
        <w:rPr>
          <w:rFonts w:ascii="Arial" w:cs="Arial" w:eastAsia="Arial" w:hAnsi="Arial"/>
          <w:sz w:val="16"/>
          <w:szCs w:val="16"/>
          <w:color w:val="auto"/>
        </w:rPr>
        <w:t xml:space="preserve">. Each obligation hereunder of any party hereto that is denominated in the National Currency of a state that is not a Participating Member State on the date hereof shall, effective from the date on which such state becomes a Participating Member State, be redenominated in Euro in accordance with the legislation of the European Union applicable to the European Monetary Union;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and to the extent that any such legislation provides that any such obligation of any such party payable within such Participating Member State by crediting an account of the creditor can be paid by the debtor either in Euros or such National Currency, such party shall be entitled to pay or repay such amount either in Euros or in such National Currency. If the basis of accrual of interest or fees expressed in this Agreement with respect to an Agreed Foreign Currency of any country that becomes a Participating Member State after the date on which such currency becomes an Agreed Foreign Currency shall be inconsistent with any convention or practice in the interbank market for the basis of accrual of interest or fees in respect of the Euro, such convention or practice shall</w:t>
      </w:r>
    </w:p>
    <w:p>
      <w:pPr>
        <w:spacing w:after="0" w:line="99"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20" w:name="page121"/>
    <w:bookmarkEnd w:id="120"/>
    <w:p>
      <w:pPr>
        <w:ind w:right="2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replace such expressed basis effective as of and from the date on which such state becomes a Participating Member State;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any Borrowing denominated in such currency that is outstanding immediately prior to such date, such replacement shall take effect at the end of the Interest Period therefor.</w:t>
      </w:r>
    </w:p>
    <w:p>
      <w:pPr>
        <w:spacing w:after="0" w:line="181"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 xml:space="preserve">Without prejudice to the respective liabilities of the Borrower to the Lenders and the Lenders to the Borrower under or pursuant to this Agreement, each provision of this Agreement shall be subject to such reasonable changes of construction as the Administrative Agent may from time to time, in consultation with the Borrower, reasonably specify to be necessary or appropriate to reflect the introduction or changeover to the Euro in any country that becomes a Participating Member State after the date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provide the Borrower and the Lenders with prior notice of the proposed change with an explanation of such change in sufficient time to permit the Borrower and the Lenders an opportunity to respond to such proposed change.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CREDITS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SECTION 2.01. The Commitments. Subject to the terms and conditions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1324610</wp:posOffset>
            </wp:positionH>
            <wp:positionV relativeFrom="paragraph">
              <wp:posOffset>-10160</wp:posOffset>
            </wp:positionV>
            <wp:extent cx="88265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2650" cy="8890"/>
                    </a:xfrm>
                    <a:prstGeom prst="rect">
                      <a:avLst/>
                    </a:prstGeom>
                    <a:noFill/>
                  </pic:spPr>
                </pic:pic>
              </a:graphicData>
            </a:graphic>
          </wp:anchor>
        </w:drawing>
      </w:r>
    </w:p>
    <w:p>
      <w:pPr>
        <w:spacing w:after="0" w:line="97" w:lineRule="exact"/>
        <w:rPr>
          <w:sz w:val="20"/>
          <w:szCs w:val="20"/>
          <w:color w:val="auto"/>
        </w:rPr>
      </w:pPr>
    </w:p>
    <w:p>
      <w:pPr>
        <w:ind w:right="100" w:firstLine="921"/>
        <w:spacing w:after="0" w:line="291" w:lineRule="auto"/>
        <w:tabs>
          <w:tab w:leader="none" w:pos="1158" w:val="left"/>
        </w:tabs>
        <w:numPr>
          <w:ilvl w:val="1"/>
          <w:numId w:val="64"/>
        </w:numPr>
        <w:rPr>
          <w:rFonts w:ascii="Arial" w:cs="Arial" w:eastAsia="Arial" w:hAnsi="Arial"/>
          <w:sz w:val="16"/>
          <w:szCs w:val="16"/>
          <w:color w:val="auto"/>
        </w:rPr>
      </w:pPr>
      <w:r>
        <w:rPr>
          <w:rFonts w:ascii="Arial" w:cs="Arial" w:eastAsia="Arial" w:hAnsi="Arial"/>
          <w:sz w:val="16"/>
          <w:szCs w:val="16"/>
          <w:color w:val="auto"/>
        </w:rPr>
        <w:t>each Dollar Lender severally agrees to make Syndicated Loans in Dollars to the Borrower from time to time during the Availability Period in an aggregate principal amount that will not result in (i) such Lender’s Revolving Dollar Credit Exposure exceeding such Lender’s Dollar Commitment,</w:t>
      </w:r>
    </w:p>
    <w:p>
      <w:pPr>
        <w:ind w:right="120" w:firstLine="8"/>
        <w:spacing w:after="0" w:line="261" w:lineRule="auto"/>
        <w:tabs>
          <w:tab w:leader="none" w:pos="265"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aggregate Revolving Dollar Credit Exposure of all of the Dollar Lenders exceeding the aggregate Dollar Commitments or (iii) the total Covered Debt Amount exceeding the Borrowing Base then in effect; and</w:t>
      </w:r>
    </w:p>
    <w:p>
      <w:pPr>
        <w:spacing w:after="0" w:line="75" w:lineRule="exact"/>
        <w:rPr>
          <w:rFonts w:ascii="Arial" w:cs="Arial" w:eastAsia="Arial" w:hAnsi="Arial"/>
          <w:sz w:val="18"/>
          <w:szCs w:val="18"/>
          <w:color w:val="auto"/>
        </w:rPr>
      </w:pPr>
    </w:p>
    <w:p>
      <w:pPr>
        <w:ind w:right="40" w:firstLine="921"/>
        <w:spacing w:after="0" w:line="279" w:lineRule="auto"/>
        <w:tabs>
          <w:tab w:leader="none" w:pos="1168" w:val="left"/>
        </w:tabs>
        <w:numPr>
          <w:ilvl w:val="1"/>
          <w:numId w:val="65"/>
        </w:numPr>
        <w:rPr>
          <w:rFonts w:ascii="Arial" w:cs="Arial" w:eastAsia="Arial" w:hAnsi="Arial"/>
          <w:sz w:val="17"/>
          <w:szCs w:val="17"/>
          <w:color w:val="auto"/>
        </w:rPr>
      </w:pPr>
      <w:r>
        <w:rPr>
          <w:rFonts w:ascii="Arial" w:cs="Arial" w:eastAsia="Arial" w:hAnsi="Arial"/>
          <w:sz w:val="17"/>
          <w:szCs w:val="17"/>
          <w:color w:val="auto"/>
        </w:rPr>
        <w:t>each Multicurrency Lender severally agrees to make Syndicated Loans in Dollars and in Agreed Foreign Currencies to the Borrower from time to time during the Availability Period in an aggregate principal amount that will not result in (i) such Lender’s Revolving Multicurrency Credit Exposure exceeding such Lender’s Multicurrency Commitment, (ii) the aggregate Revolving Multicurrency Credit Exposure of all of the Multicurrency Lenders exceeding the aggregate Multicurrency Commitments or (iii) the total Covered Debt Amount exceeding the Borrowing Base then in effect.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Within the foregoing limits and subject to the terms and conditions set forth herein, the Borrower may borrow, prepay and reborrow Syndicated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Loans.</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Loans and Borrowings</w:t>
      </w:r>
      <w:r>
        <w:rPr>
          <w:rFonts w:ascii="Arial" w:cs="Arial" w:eastAsia="Arial" w:hAnsi="Arial"/>
          <w:sz w:val="18"/>
          <w:szCs w:val="18"/>
          <w:color w:val="auto"/>
        </w:rPr>
        <w:t>.</w:t>
      </w:r>
    </w:p>
    <w:p>
      <w:pPr>
        <w:spacing w:after="0" w:line="117" w:lineRule="exact"/>
        <w:rPr>
          <w:sz w:val="20"/>
          <w:szCs w:val="20"/>
          <w:color w:val="auto"/>
        </w:rPr>
      </w:pPr>
    </w:p>
    <w:p>
      <w:pPr>
        <w:ind w:right="20" w:firstLine="921"/>
        <w:spacing w:after="0" w:line="259" w:lineRule="auto"/>
        <w:tabs>
          <w:tab w:leader="none" w:pos="1157"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Obligations of Lenders</w:t>
      </w:r>
      <w:r>
        <w:rPr>
          <w:rFonts w:ascii="Arial" w:cs="Arial" w:eastAsia="Arial" w:hAnsi="Arial"/>
          <w:sz w:val="18"/>
          <w:szCs w:val="18"/>
          <w:color w:val="auto"/>
        </w:rPr>
        <w:t xml:space="preserve">. Each Syndicated Loan shall be made as part of a Borrowing consisting of Loans of the same Class, Currency and Type made by the applicable Lenders ratably in accordance with their respective Commitments of the applicable Class. The failure of any Lender to make any Loan required to be made by it shall not relieve any other Lender of its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Commitments of the Lenders are several and no Lender shall be responsible for any other Lender’s failure to make Loans as required.</w:t>
      </w:r>
    </w:p>
    <w:p>
      <w:pPr>
        <w:spacing w:after="0" w:line="119"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21" w:name="page122"/>
    <w:bookmarkEnd w:id="121"/>
    <w:p>
      <w:pPr>
        <w:ind w:firstLine="921"/>
        <w:spacing w:after="0" w:line="302" w:lineRule="auto"/>
        <w:tabs>
          <w:tab w:leader="none" w:pos="1168"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Type of Loans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each Syndicated Borrowing of a Class shall be constituted entirely of ABR Loans or of Eurocurrency Loans of such Class denominated in a single Currency as the Borrower may request in accordance herewith. Each ABR Loan shall be denominated in Dollars. Each Lender at its option may make any Eurocurrency Loan by causing any domestic or foreign branch or Affiliate of such Lender to make such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exercise of such option shall not affect the obligation of the Borrower to repay such Loan in accordance with the terms of this Agreement.</w:t>
      </w:r>
    </w:p>
    <w:p>
      <w:pPr>
        <w:spacing w:after="0" w:line="46" w:lineRule="exact"/>
        <w:rPr>
          <w:rFonts w:ascii="Arial" w:cs="Arial" w:eastAsia="Arial" w:hAnsi="Arial"/>
          <w:sz w:val="16"/>
          <w:szCs w:val="16"/>
          <w:color w:val="auto"/>
        </w:rPr>
      </w:pPr>
    </w:p>
    <w:p>
      <w:pPr>
        <w:jc w:val="both"/>
        <w:ind w:right="200" w:firstLine="921"/>
        <w:spacing w:after="0" w:line="257" w:lineRule="auto"/>
        <w:tabs>
          <w:tab w:leader="none" w:pos="1157"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 xml:space="preserve">. Each Eurocurrency Borrowing shall be in an aggregate amount of $1,000,000 or a larger multiple of $1,000,000, and each ABR Borrowing (whether Syndicated or Swingline) shall be in an aggregate amount of $1,000,000 or a larger multiple of $100,000;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Syndicated ABR Borrowing of a Class may be in an aggregate amount that is equal to the entire unused balance of the total Commitments of such Class or that is required to finance the reimbursement of an LC Disbursement of such Class as contemplated by </w:t>
      </w:r>
      <w:r>
        <w:rPr>
          <w:rFonts w:ascii="Arial" w:cs="Arial" w:eastAsia="Arial" w:hAnsi="Arial"/>
          <w:sz w:val="18"/>
          <w:szCs w:val="18"/>
          <w:u w:val="single" w:color="auto"/>
          <w:color w:val="auto"/>
        </w:rPr>
        <w:t>Section 2.05(f)</w:t>
      </w:r>
      <w:r>
        <w:rPr>
          <w:rFonts w:ascii="Arial" w:cs="Arial" w:eastAsia="Arial" w:hAnsi="Arial"/>
          <w:sz w:val="18"/>
          <w:szCs w:val="18"/>
          <w:color w:val="auto"/>
        </w:rPr>
        <w:t>. Borrowings of more than one Class, Currency and Type may be outstanding at the same time.</w:t>
      </w:r>
    </w:p>
    <w:p>
      <w:pPr>
        <w:spacing w:after="0" w:line="80" w:lineRule="exact"/>
        <w:rPr>
          <w:rFonts w:ascii="Arial" w:cs="Arial" w:eastAsia="Arial" w:hAnsi="Arial"/>
          <w:sz w:val="18"/>
          <w:szCs w:val="18"/>
          <w:color w:val="auto"/>
        </w:rPr>
      </w:pPr>
    </w:p>
    <w:p>
      <w:pPr>
        <w:ind w:right="80" w:firstLine="921"/>
        <w:spacing w:after="0" w:line="342" w:lineRule="auto"/>
        <w:tabs>
          <w:tab w:leader="none" w:pos="1168"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Limitations on Interest Periods</w:t>
      </w:r>
      <w:r>
        <w:rPr>
          <w:rFonts w:ascii="Arial" w:cs="Arial" w:eastAsia="Arial" w:hAnsi="Arial"/>
          <w:sz w:val="16"/>
          <w:szCs w:val="16"/>
          <w:color w:val="auto"/>
        </w:rPr>
        <w:t>. Notwithstanding any other provision of this Agreement, the Borrower shall not be entitled to request (or to elect to convert to or continue as a Eurocurrency Borrowing) any Borrowing if the Interest Period requested therefor would end after the Final Maturity Date.</w:t>
      </w:r>
    </w:p>
    <w:p>
      <w:pPr>
        <w:spacing w:after="0" w:line="15" w:lineRule="exact"/>
        <w:rPr>
          <w:rFonts w:ascii="Arial" w:cs="Arial" w:eastAsia="Arial" w:hAnsi="Arial"/>
          <w:sz w:val="16"/>
          <w:szCs w:val="16"/>
          <w:color w:val="auto"/>
        </w:rPr>
      </w:pPr>
    </w:p>
    <w:p>
      <w:pPr>
        <w:ind w:right="220" w:firstLine="921"/>
        <w:spacing w:after="0" w:line="279" w:lineRule="auto"/>
        <w:tabs>
          <w:tab w:leader="none" w:pos="1157"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Treatment of Classes</w:t>
      </w:r>
      <w:r>
        <w:rPr>
          <w:rFonts w:ascii="Arial" w:cs="Arial" w:eastAsia="Arial" w:hAnsi="Arial"/>
          <w:sz w:val="17"/>
          <w:szCs w:val="17"/>
          <w:color w:val="auto"/>
        </w:rPr>
        <w:t>. Notwithstanding anything to the contrary contained herein, with respect to each Syndicated Loan, Swingline Loan or Letter of Credit designated in Dollars, the Administrative Agent shall deem the Borrower to have requested that such Syndicated Loan, Swingline Loan or Letter of Credit be applied ratably to each of the Dollar Commitments and the Multicurrency Commitments, based upon the percentage of the aggregate Commitments represented by the Dollar Commitments and the Multicurrency Commitments, respectively.</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Requests for Syndicated Borrowings</w:t>
      </w:r>
      <w:r>
        <w:rPr>
          <w:rFonts w:ascii="Arial" w:cs="Arial" w:eastAsia="Arial" w:hAnsi="Arial"/>
          <w:sz w:val="18"/>
          <w:szCs w:val="18"/>
          <w:color w:val="auto"/>
        </w:rPr>
        <w:t>.</w:t>
      </w:r>
    </w:p>
    <w:p>
      <w:pPr>
        <w:spacing w:after="0" w:line="117" w:lineRule="exact"/>
        <w:rPr>
          <w:sz w:val="20"/>
          <w:szCs w:val="20"/>
          <w:color w:val="auto"/>
        </w:rPr>
      </w:pPr>
    </w:p>
    <w:p>
      <w:pPr>
        <w:ind w:left="1160" w:hanging="239"/>
        <w:spacing w:after="0"/>
        <w:tabs>
          <w:tab w:leader="none" w:pos="1160" w:val="left"/>
        </w:tabs>
        <w:numPr>
          <w:ilvl w:val="1"/>
          <w:numId w:val="68"/>
        </w:numPr>
        <w:rPr>
          <w:rFonts w:ascii="Arial" w:cs="Arial" w:eastAsia="Arial" w:hAnsi="Arial"/>
          <w:sz w:val="16"/>
          <w:szCs w:val="16"/>
          <w:color w:val="auto"/>
        </w:rPr>
      </w:pPr>
      <w:r>
        <w:rPr>
          <w:rFonts w:ascii="Arial" w:cs="Arial" w:eastAsia="Arial" w:hAnsi="Arial"/>
          <w:sz w:val="16"/>
          <w:szCs w:val="16"/>
          <w:u w:val="single" w:color="auto"/>
          <w:color w:val="auto"/>
        </w:rPr>
        <w:t>Notice by the Borrower</w:t>
      </w:r>
      <w:r>
        <w:rPr>
          <w:rFonts w:ascii="Arial" w:cs="Arial" w:eastAsia="Arial" w:hAnsi="Arial"/>
          <w:sz w:val="16"/>
          <w:szCs w:val="16"/>
          <w:color w:val="auto"/>
        </w:rPr>
        <w:t>. To request a Syndicated Borrowing, the Borrower shall notify the Administrative Agent of such request by telephone</w:t>
      </w:r>
    </w:p>
    <w:p>
      <w:pPr>
        <w:spacing w:after="0" w:line="46" w:lineRule="exact"/>
        <w:rPr>
          <w:rFonts w:ascii="Arial" w:cs="Arial" w:eastAsia="Arial" w:hAnsi="Arial"/>
          <w:sz w:val="16"/>
          <w:szCs w:val="16"/>
          <w:color w:val="auto"/>
        </w:rPr>
      </w:pPr>
    </w:p>
    <w:p>
      <w:pPr>
        <w:ind w:right="60" w:firstLine="8"/>
        <w:spacing w:after="0" w:line="252" w:lineRule="auto"/>
        <w:tabs>
          <w:tab w:leader="none" w:pos="215"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the case of a Eurocurrency Borrowing denominated in Dollars, not later than 11:00 a.m., Atlanta, Georgia time, three Business Days before the date of the proposed Borrowing, (ii) in the case of a Eurocurrency Borrowing denominated in a Foreign Currency, not later than 11:00 a.m., Atlanta, Georgia time, four Business Days before the date of the proposed Borrowing or (iii) in the case of a Syndicated ABR Borrowing, not later than 11:00 a.m., Atlanta, Georgia time, one Business Day before the date of the proposed Borrowing. Each such telephonic Borrowing Request shall be irrevocable and shall be confirmed promptly by hand delivery or telecopy to the Administrative Agent of a written Borrowing Request in a form approved by the Administrative Agent and signed by the Borrower.</w:t>
      </w:r>
    </w:p>
    <w:p>
      <w:pPr>
        <w:spacing w:after="0" w:line="86" w:lineRule="exact"/>
        <w:rPr>
          <w:rFonts w:ascii="Arial" w:cs="Arial" w:eastAsia="Arial" w:hAnsi="Arial"/>
          <w:sz w:val="18"/>
          <w:szCs w:val="18"/>
          <w:color w:val="auto"/>
        </w:rPr>
      </w:pPr>
    </w:p>
    <w:p>
      <w:pPr>
        <w:ind w:left="1180" w:hanging="259"/>
        <w:spacing w:after="0"/>
        <w:tabs>
          <w:tab w:leader="none" w:pos="1180" w:val="left"/>
        </w:tabs>
        <w:numPr>
          <w:ilvl w:val="1"/>
          <w:numId w:val="69"/>
        </w:numPr>
        <w:rPr>
          <w:rFonts w:ascii="Arial" w:cs="Arial" w:eastAsia="Arial" w:hAnsi="Arial"/>
          <w:sz w:val="16"/>
          <w:szCs w:val="16"/>
          <w:color w:val="auto"/>
        </w:rPr>
      </w:pPr>
      <w:r>
        <w:rPr>
          <w:rFonts w:ascii="Arial" w:cs="Arial" w:eastAsia="Arial" w:hAnsi="Arial"/>
          <w:sz w:val="16"/>
          <w:szCs w:val="16"/>
          <w:u w:val="single" w:color="auto"/>
          <w:color w:val="auto"/>
        </w:rPr>
        <w:t>Content of Borrowing Requests</w:t>
      </w:r>
      <w:r>
        <w:rPr>
          <w:rFonts w:ascii="Arial" w:cs="Arial" w:eastAsia="Arial" w:hAnsi="Arial"/>
          <w:sz w:val="16"/>
          <w:szCs w:val="16"/>
          <w:color w:val="auto"/>
        </w:rPr>
        <w:t>. Each telephonic and written Borrowing Request shall specify the following information in compliance with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143"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22" w:name="page123"/>
    <w:bookmarkEnd w:id="122"/>
    <w:p>
      <w:pPr>
        <w:ind w:left="217" w:hanging="217"/>
        <w:spacing w:after="0"/>
        <w:tabs>
          <w:tab w:leader="none" w:pos="217" w:val="left"/>
        </w:tabs>
        <w:numPr>
          <w:ilvl w:val="0"/>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whether such Borrowing is to be made under the Dollar Commitments or the Multicurrency Commitments;</w:t>
      </w:r>
    </w:p>
    <w:p>
      <w:pPr>
        <w:spacing w:after="0" w:line="117" w:lineRule="exact"/>
        <w:rPr>
          <w:rFonts w:ascii="Arial" w:cs="Arial" w:eastAsia="Arial" w:hAnsi="Arial"/>
          <w:sz w:val="18"/>
          <w:szCs w:val="18"/>
          <w:color w:val="auto"/>
        </w:rPr>
      </w:pPr>
    </w:p>
    <w:p>
      <w:pPr>
        <w:ind w:left="257" w:hanging="257"/>
        <w:spacing w:after="0"/>
        <w:tabs>
          <w:tab w:leader="none" w:pos="257"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aggregate amount and Currency of the requested Borrowing;</w:t>
      </w:r>
    </w:p>
    <w:p>
      <w:pPr>
        <w:spacing w:after="0" w:line="117" w:lineRule="exact"/>
        <w:rPr>
          <w:rFonts w:ascii="Arial" w:cs="Arial" w:eastAsia="Arial" w:hAnsi="Arial"/>
          <w:sz w:val="18"/>
          <w:szCs w:val="18"/>
          <w:color w:val="auto"/>
        </w:rPr>
      </w:pPr>
    </w:p>
    <w:p>
      <w:pPr>
        <w:ind w:left="317" w:hanging="317"/>
        <w:spacing w:after="0"/>
        <w:tabs>
          <w:tab w:leader="none" w:pos="317"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date of such Borrowing, which shall be a Business Day;</w:t>
      </w:r>
    </w:p>
    <w:p>
      <w:pPr>
        <w:spacing w:after="0" w:line="117" w:lineRule="exact"/>
        <w:rPr>
          <w:rFonts w:ascii="Arial" w:cs="Arial" w:eastAsia="Arial" w:hAnsi="Arial"/>
          <w:sz w:val="18"/>
          <w:szCs w:val="18"/>
          <w:color w:val="auto"/>
        </w:rPr>
      </w:pPr>
    </w:p>
    <w:p>
      <w:pPr>
        <w:ind w:left="-443" w:right="500" w:firstLine="443"/>
        <w:spacing w:after="0" w:line="277" w:lineRule="auto"/>
        <w:tabs>
          <w:tab w:leader="none" w:pos="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the case of a Syndicated Borrowing denominated in Dollars, whether such Borrowing is to be an ABR Borrowing or a Eurocurrency Borrowing;</w:t>
      </w:r>
    </w:p>
    <w:p>
      <w:pPr>
        <w:spacing w:after="0" w:line="62" w:lineRule="exact"/>
        <w:rPr>
          <w:rFonts w:ascii="Arial" w:cs="Arial" w:eastAsia="Arial" w:hAnsi="Arial"/>
          <w:sz w:val="18"/>
          <w:szCs w:val="18"/>
          <w:color w:val="auto"/>
        </w:rPr>
      </w:pPr>
    </w:p>
    <w:p>
      <w:pPr>
        <w:ind w:left="-443" w:right="480" w:firstLine="443"/>
        <w:spacing w:after="0" w:line="277" w:lineRule="auto"/>
        <w:tabs>
          <w:tab w:leader="none" w:pos="250"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in the case of a Eurocurrency Borrowing, the Interest Period therefor, which shall be a period contemplated by the definition of the term “Interest Period” and permitted under </w:t>
      </w:r>
      <w:r>
        <w:rPr>
          <w:rFonts w:ascii="Arial" w:cs="Arial" w:eastAsia="Arial" w:hAnsi="Arial"/>
          <w:sz w:val="18"/>
          <w:szCs w:val="18"/>
          <w:u w:val="single" w:color="auto"/>
          <w:color w:val="auto"/>
        </w:rPr>
        <w:t>Section 2.02(d)</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297" w:hanging="297"/>
        <w:spacing w:after="0"/>
        <w:tabs>
          <w:tab w:leader="none" w:pos="297"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location and number of the Borrower’s account to which funds are to be disbursed.</w:t>
      </w:r>
    </w:p>
    <w:p>
      <w:pPr>
        <w:spacing w:after="0" w:line="117" w:lineRule="exact"/>
        <w:rPr>
          <w:rFonts w:ascii="Arial" w:cs="Arial" w:eastAsia="Arial" w:hAnsi="Arial"/>
          <w:sz w:val="18"/>
          <w:szCs w:val="18"/>
          <w:color w:val="auto"/>
        </w:rPr>
      </w:pPr>
    </w:p>
    <w:p>
      <w:pPr>
        <w:ind w:left="-903" w:right="80" w:firstLine="921"/>
        <w:spacing w:after="0" w:line="264" w:lineRule="auto"/>
        <w:tabs>
          <w:tab w:leader="none" w:pos="255"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Notice by the Administrative Agent to the Lenders</w:t>
      </w:r>
      <w:r>
        <w:rPr>
          <w:rFonts w:ascii="Arial" w:cs="Arial" w:eastAsia="Arial" w:hAnsi="Arial"/>
          <w:sz w:val="18"/>
          <w:szCs w:val="18"/>
          <w:color w:val="auto"/>
        </w:rPr>
        <w:t>. Promptly following receipt of a Borrowing Request in accordance with this Section, the Administrative Agent shall advise each applicable Lender of the details thereof and of the amounts of such Lender’s Loan to be made as part of the requested Borrowing.</w:t>
      </w:r>
    </w:p>
    <w:p>
      <w:pPr>
        <w:spacing w:after="0" w:line="73" w:lineRule="exact"/>
        <w:rPr>
          <w:rFonts w:ascii="Arial" w:cs="Arial" w:eastAsia="Arial" w:hAnsi="Arial"/>
          <w:sz w:val="18"/>
          <w:szCs w:val="18"/>
          <w:color w:val="auto"/>
        </w:rPr>
      </w:pPr>
    </w:p>
    <w:p>
      <w:pPr>
        <w:ind w:left="-903" w:right="60" w:firstLine="921"/>
        <w:spacing w:after="0" w:line="290" w:lineRule="auto"/>
        <w:tabs>
          <w:tab w:leader="none" w:pos="265" w:val="left"/>
        </w:tabs>
        <w:numPr>
          <w:ilvl w:val="1"/>
          <w:numId w:val="70"/>
        </w:numPr>
        <w:rPr>
          <w:rFonts w:ascii="Arial" w:cs="Arial" w:eastAsia="Arial" w:hAnsi="Arial"/>
          <w:sz w:val="16"/>
          <w:szCs w:val="16"/>
          <w:color w:val="auto"/>
        </w:rPr>
      </w:pPr>
      <w:r>
        <w:rPr>
          <w:rFonts w:ascii="Arial" w:cs="Arial" w:eastAsia="Arial" w:hAnsi="Arial"/>
          <w:sz w:val="16"/>
          <w:szCs w:val="16"/>
          <w:u w:val="single" w:color="auto"/>
          <w:color w:val="auto"/>
        </w:rPr>
        <w:t>Failure to Elect</w:t>
      </w:r>
      <w:r>
        <w:rPr>
          <w:rFonts w:ascii="Arial" w:cs="Arial" w:eastAsia="Arial" w:hAnsi="Arial"/>
          <w:sz w:val="16"/>
          <w:szCs w:val="16"/>
          <w:color w:val="auto"/>
        </w:rPr>
        <w:t>. If no election as to the Class of a Syndicated Borrowing is specified, then the requested Syndicated Borrowing shall be deemed to be under the Multicurrency Commitments. If no election as to the Currency of a Syndicated Borrowing is specified, then the requested Syndicated Borrowing shall be denominated in Dollars. If no election as to the Type of a Syndicated Borrowing is specified, then the requested Borrowing shall be a Eurocurrency Borrowing having an Interest Period of one month and, if an Agreed Foreign Currency has been specified, the requested Syndicated Borrowing shall be a Eurocurrency Borrowing denominated in such Agreed Foreign Currency and having an Interest Period of one month. If a Eurocurrency Borrowing is requested but no Interest Period is specified, (i) if the Currency specified for such Borrowing is Dollars (or if no Currency has been so specified), the requested Borrowing shall be a Eurocurrency Borrowing denominated in Dollars having an Interest Period of one month’s duration, and (ii) if the Currency specified for such Borrowing is an Agreed Foreign Currency, the Borrower shall be deemed to have selected an Interest Period of one month’s duration.</w:t>
      </w:r>
    </w:p>
    <w:p>
      <w:pPr>
        <w:spacing w:after="0" w:line="166" w:lineRule="exact"/>
        <w:rPr>
          <w:sz w:val="20"/>
          <w:szCs w:val="20"/>
          <w:color w:val="auto"/>
        </w:rPr>
      </w:pPr>
    </w:p>
    <w:p>
      <w:pPr>
        <w:ind w:left="17"/>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Swingline Loans</w:t>
      </w:r>
      <w:r>
        <w:rPr>
          <w:rFonts w:ascii="Arial" w:cs="Arial" w:eastAsia="Arial" w:hAnsi="Arial"/>
          <w:sz w:val="18"/>
          <w:szCs w:val="18"/>
          <w:color w:val="auto"/>
        </w:rPr>
        <w:t>.</w:t>
      </w:r>
    </w:p>
    <w:p>
      <w:pPr>
        <w:spacing w:after="0" w:line="117" w:lineRule="exact"/>
        <w:rPr>
          <w:sz w:val="20"/>
          <w:szCs w:val="20"/>
          <w:color w:val="auto"/>
        </w:rPr>
      </w:pPr>
    </w:p>
    <w:p>
      <w:pPr>
        <w:ind w:left="-903" w:right="160" w:firstLine="921"/>
        <w:spacing w:after="0" w:line="272" w:lineRule="auto"/>
        <w:tabs>
          <w:tab w:leader="none" w:pos="255"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Agreement to Make Swingline Loans.</w:t>
      </w:r>
      <w:r>
        <w:rPr>
          <w:rFonts w:ascii="Arial" w:cs="Arial" w:eastAsia="Arial" w:hAnsi="Arial"/>
          <w:sz w:val="17"/>
          <w:szCs w:val="17"/>
          <w:color w:val="auto"/>
        </w:rPr>
        <w:t xml:space="preserve"> Subject to the terms and conditions set forth herein, the Swingline Lender agrees to make Swingline Loans under each Commitment to the Borrower from time to time during the Availability Period in Dollars, in an aggregate principal amount at any time outstanding that will not result in (i) the aggregate principal amount of outstanding Swingline Loans of both Classes exceeding $100,000,000, (ii) the total Revolving Dollar Credit Exposures exceeding the aggregate Dollar Commitments, (iii) the total Revolving Multicurrency Credit Exposures exceeding the aggregate Multicurrency Commitments or (iv) the total Covered Debt Amount exceeding the Borrowing Base then in effect;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Swingline Lender shall not be required to make a Swingline Loan to refinance an outstanding Swingline Loan. Within the foregoing limits and subject to the terms and conditions set forth herein, the Borrower may borrow, prepay and reborrow Swingline Loans.</w:t>
      </w:r>
    </w:p>
    <w:p>
      <w:pPr>
        <w:spacing w:after="0" w:line="110" w:lineRule="exact"/>
        <w:rPr>
          <w:sz w:val="20"/>
          <w:szCs w:val="20"/>
          <w:color w:val="auto"/>
        </w:rPr>
      </w:pPr>
    </w:p>
    <w:p>
      <w:pPr>
        <w:jc w:val="both"/>
        <w:ind w:left="4957"/>
        <w:spacing w:after="0"/>
        <w:tabs>
          <w:tab w:leader="none" w:pos="8457"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517"/>
          </w:cols>
          <w:pgMar w:left="1143" w:top="274" w:right="239" w:bottom="1440" w:gutter="0" w:footer="0" w:header="0"/>
        </w:sectPr>
      </w:pPr>
    </w:p>
    <w:bookmarkStart w:id="123" w:name="page124"/>
    <w:bookmarkEnd w:id="123"/>
    <w:p>
      <w:pPr>
        <w:ind w:right="20" w:firstLine="921"/>
        <w:spacing w:after="0" w:line="254" w:lineRule="auto"/>
        <w:tabs>
          <w:tab w:leader="none" w:pos="1168"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 of Swingline Loans by the Borrower</w:t>
      </w:r>
      <w:r>
        <w:rPr>
          <w:rFonts w:ascii="Arial" w:cs="Arial" w:eastAsia="Arial" w:hAnsi="Arial"/>
          <w:sz w:val="18"/>
          <w:szCs w:val="18"/>
          <w:color w:val="auto"/>
        </w:rPr>
        <w:t xml:space="preserve">. To request a Swingline Loan, the Borrower shall notify the Administrative Agent of such request by telephone (confirmed by telecopy) not later than 11:00 a.m., Atlanta, Georgia time, on the day of such proposed Swingline Loan. Each such notice shall be irrevocable and shall specify the requested date (which shall be a Business Day), the amount of the requested Swingline Loan and whether such Swingline Loan is to be made under the Dollar Commitments or the Multicurrency Commitments. The Administrative Agent will promptly advise the Swingline Lender of any such notice received from the Borrower. The Swingline Lender shall make each Swingline Loan available to the Borrower by means of a credit to the general deposit account of the Borrower with the Swingline Lender (or, in the case of a Swingline Loan made to finance the reimbursement of an LC Disbursement as provided in </w:t>
      </w:r>
      <w:r>
        <w:rPr>
          <w:rFonts w:ascii="Arial" w:cs="Arial" w:eastAsia="Arial" w:hAnsi="Arial"/>
          <w:sz w:val="18"/>
          <w:szCs w:val="18"/>
          <w:u w:val="single" w:color="auto"/>
          <w:color w:val="auto"/>
        </w:rPr>
        <w:t>Section 2.05(f)</w:t>
      </w:r>
      <w:r>
        <w:rPr>
          <w:rFonts w:ascii="Arial" w:cs="Arial" w:eastAsia="Arial" w:hAnsi="Arial"/>
          <w:sz w:val="18"/>
          <w:szCs w:val="18"/>
          <w:color w:val="auto"/>
        </w:rPr>
        <w:t>, by remittance to the Issuing Bank) by 3:00 p.m., Atlanta, Georgia time, on the requested date of such Swingline Loan.</w:t>
      </w:r>
    </w:p>
    <w:p>
      <w:pPr>
        <w:spacing w:after="0" w:line="84" w:lineRule="exact"/>
        <w:rPr>
          <w:rFonts w:ascii="Arial" w:cs="Arial" w:eastAsia="Arial" w:hAnsi="Arial"/>
          <w:sz w:val="18"/>
          <w:szCs w:val="18"/>
          <w:color w:val="auto"/>
        </w:rPr>
      </w:pPr>
    </w:p>
    <w:p>
      <w:pPr>
        <w:ind w:left="1160" w:hanging="239"/>
        <w:spacing w:after="0"/>
        <w:tabs>
          <w:tab w:leader="none" w:pos="1160"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Participations by Lenders in Swingline Loans</w:t>
      </w:r>
      <w:r>
        <w:rPr>
          <w:rFonts w:ascii="Arial" w:cs="Arial" w:eastAsia="Arial" w:hAnsi="Arial"/>
          <w:sz w:val="16"/>
          <w:szCs w:val="16"/>
          <w:color w:val="auto"/>
        </w:rPr>
        <w:t>. The Swingline Lender may by written notice given to the Administrative Agent not later than</w:t>
      </w:r>
    </w:p>
    <w:p>
      <w:pPr>
        <w:spacing w:after="0" w:line="46" w:lineRule="exact"/>
        <w:rPr>
          <w:rFonts w:ascii="Arial" w:cs="Arial" w:eastAsia="Arial" w:hAnsi="Arial"/>
          <w:sz w:val="16"/>
          <w:szCs w:val="16"/>
          <w:color w:val="auto"/>
        </w:rPr>
      </w:pPr>
    </w:p>
    <w:p>
      <w:pPr>
        <w:ind w:right="20"/>
        <w:spacing w:after="0" w:line="268" w:lineRule="auto"/>
        <w:rPr>
          <w:rFonts w:ascii="Arial" w:cs="Arial" w:eastAsia="Arial" w:hAnsi="Arial"/>
          <w:sz w:val="16"/>
          <w:szCs w:val="16"/>
          <w:color w:val="auto"/>
        </w:rPr>
      </w:pPr>
      <w:r>
        <w:rPr>
          <w:rFonts w:ascii="Arial" w:cs="Arial" w:eastAsia="Arial" w:hAnsi="Arial"/>
          <w:sz w:val="17"/>
          <w:szCs w:val="17"/>
          <w:color w:val="auto"/>
        </w:rPr>
        <w:t xml:space="preserve">10:00 a.m., Atlanta, Georgia time on any Business Day, require the Lenders of the applicable Class to acquire participations on such Business Day in all or a portion of the Swingline Loans of such Class outstanding. Such notice to the Administrative Agent shall specify the aggregate amount of Swingline Loans in which the applicable Lenders will participate. Promptly upon receipt of such notice, the Administrative Agent will give notice thereof to each applicable Lender, specifying in such notice such Lender’s Applicable Dollar Percentage or Applicable Multicurrency Percentage of such Swingline Loan or Loans. Each Lender hereby absolutely and unconditionally agrees, upon receipt of notice as provided above in this paragraph, to pay to the Administrative Agent, for account of the Swingline Lender, such Lender’s Applicable Dollar Percentage or Applicable Multicurrency Percentage, as the case may be, of such Swingline Loan or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Lender shall be required to purchase a participation in a Swingline Loan pursuant to this </w:t>
      </w:r>
      <w:r>
        <w:rPr>
          <w:rFonts w:ascii="Arial" w:cs="Arial" w:eastAsia="Arial" w:hAnsi="Arial"/>
          <w:sz w:val="17"/>
          <w:szCs w:val="17"/>
          <w:u w:val="single" w:color="auto"/>
          <w:color w:val="auto"/>
        </w:rPr>
        <w:t>Section 2.04(c)</w:t>
      </w:r>
      <w:r>
        <w:rPr>
          <w:rFonts w:ascii="Arial" w:cs="Arial" w:eastAsia="Arial" w:hAnsi="Arial"/>
          <w:sz w:val="17"/>
          <w:szCs w:val="17"/>
          <w:color w:val="auto"/>
        </w:rPr>
        <w:t xml:space="preserve"> if (x) the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would not be satisfied in respect of a Borrowing at the time such Swingline Loan was made and (y) the Required Lenders of the respective Class shall have so notified the Swingline Lender in writing and shall not have subsequently determined that the circumstances giving rise to such conditions not being satisfied no longer exist.</w:t>
      </w:r>
    </w:p>
    <w:p>
      <w:pPr>
        <w:spacing w:after="0" w:line="180"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color w:val="auto"/>
        </w:rPr>
        <w:t xml:space="preserve">Subject to the foregoing, each Lender acknowledges and agrees that its obligation to acquire participations in Swingline Loans pursuant to this </w:t>
      </w:r>
      <w:r>
        <w:rPr>
          <w:rFonts w:ascii="Arial" w:cs="Arial" w:eastAsia="Arial" w:hAnsi="Arial"/>
          <w:sz w:val="17"/>
          <w:szCs w:val="17"/>
          <w:u w:val="single" w:color="auto"/>
          <w:color w:val="auto"/>
        </w:rPr>
        <w:t>paragraph (c)</w:t>
      </w:r>
      <w:r>
        <w:rPr>
          <w:rFonts w:ascii="Arial" w:cs="Arial" w:eastAsia="Arial" w:hAnsi="Arial"/>
          <w:sz w:val="17"/>
          <w:szCs w:val="17"/>
          <w:color w:val="auto"/>
        </w:rPr>
        <w:t xml:space="preserve"> is absolute and unconditional and shall not be affected by any circumstance whatsoever, including the occurrence and continuance of a Default or reduction or termination of the Commitments of the respective Class, and that each such payment shall be made without any offset, abatement, withholding or reduction whatsoever. Each Lender shall comply with its obligation under this paragraph by wire transfer of immediately available funds, in the same manner as provided in </w:t>
      </w:r>
      <w:r>
        <w:rPr>
          <w:rFonts w:ascii="Arial" w:cs="Arial" w:eastAsia="Arial" w:hAnsi="Arial"/>
          <w:sz w:val="17"/>
          <w:szCs w:val="17"/>
          <w:u w:val="single" w:color="auto"/>
          <w:color w:val="auto"/>
        </w:rPr>
        <w:t>Section 2.06</w:t>
      </w:r>
      <w:r>
        <w:rPr>
          <w:rFonts w:ascii="Arial" w:cs="Arial" w:eastAsia="Arial" w:hAnsi="Arial"/>
          <w:sz w:val="17"/>
          <w:szCs w:val="17"/>
          <w:color w:val="auto"/>
        </w:rPr>
        <w:t xml:space="preserve"> with respect to Loans made by such Lender (and </w:t>
      </w:r>
      <w:r>
        <w:rPr>
          <w:rFonts w:ascii="Arial" w:cs="Arial" w:eastAsia="Arial" w:hAnsi="Arial"/>
          <w:sz w:val="17"/>
          <w:szCs w:val="17"/>
          <w:u w:val="single" w:color="auto"/>
          <w:color w:val="auto"/>
        </w:rPr>
        <w:t>Section 2.06</w:t>
      </w:r>
      <w:r>
        <w:rPr>
          <w:rFonts w:ascii="Arial" w:cs="Arial" w:eastAsia="Arial" w:hAnsi="Arial"/>
          <w:sz w:val="17"/>
          <w:szCs w:val="17"/>
          <w:color w:val="auto"/>
        </w:rPr>
        <w:t xml:space="preserve"> shall apply, </w:t>
      </w:r>
      <w:r>
        <w:rPr>
          <w:rFonts w:ascii="Arial" w:cs="Arial" w:eastAsia="Arial" w:hAnsi="Arial"/>
          <w:sz w:val="17"/>
          <w:szCs w:val="17"/>
          <w:u w:val="single" w:color="auto"/>
          <w:color w:val="auto"/>
        </w:rPr>
        <w:t>mutatis mutandis</w:t>
      </w:r>
      <w:r>
        <w:rPr>
          <w:rFonts w:ascii="Arial" w:cs="Arial" w:eastAsia="Arial" w:hAnsi="Arial"/>
          <w:sz w:val="17"/>
          <w:szCs w:val="17"/>
          <w:color w:val="auto"/>
        </w:rPr>
        <w:t>, to the payment obligations of the Lenders), and the Administrative Agent shall promptly pay to the Swingline Lender the amounts so received by it from the Lenders. The Administrative Agent shall notify the Borrower of any participations in any Swingline Loan</w:t>
      </w:r>
    </w:p>
    <w:p>
      <w:pPr>
        <w:spacing w:after="0" w:line="110"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24" w:name="page125"/>
    <w:bookmarkEnd w:id="124"/>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acquired pursuant to this paragraph, and thereafter payments in respect of such Swingline Loan shall be made to the Administrative Agent and not to the Swingline Lender. Any amounts received by the Swingline Lender from the Borrower (or other party on behalf of the Borrower)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paragraph and to the Swingline Lender, as their interests may appear. The purchase of participations in a Swingline Loan pursuant to this paragraph shall not relieve the Borrower of any default in the payment thereof.</w:t>
      </w:r>
    </w:p>
    <w:p>
      <w:pPr>
        <w:spacing w:after="0" w:line="85" w:lineRule="exact"/>
        <w:rPr>
          <w:sz w:val="20"/>
          <w:szCs w:val="20"/>
          <w:color w:val="auto"/>
        </w:rPr>
      </w:pPr>
    </w:p>
    <w:p>
      <w:pPr>
        <w:ind w:right="20" w:firstLine="921"/>
        <w:spacing w:after="0" w:line="286" w:lineRule="auto"/>
        <w:tabs>
          <w:tab w:leader="none" w:pos="1168"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Resignation and Replacement of Swingline Lender</w:t>
      </w:r>
      <w:r>
        <w:rPr>
          <w:rFonts w:ascii="Arial" w:cs="Arial" w:eastAsia="Arial" w:hAnsi="Arial"/>
          <w:sz w:val="16"/>
          <w:szCs w:val="16"/>
          <w:color w:val="auto"/>
        </w:rPr>
        <w:t xml:space="preserve">. The Swingline Lender may resign and be replaced at any time by written agreement among the Borrower, the Administrative Agent, the resigning Swingline Lender and the successor Swingline Lender. The Administrative Agent shall notify the Lenders of any such resignation and replacement of the Swingline Lender. In addition to the foregoing, if a Lender becomes, and during the period it remains, a Defaulting Lender, and if any Default has arisen from a failure of the Borrower to comply with </w:t>
      </w:r>
      <w:r>
        <w:rPr>
          <w:rFonts w:ascii="Arial" w:cs="Arial" w:eastAsia="Arial" w:hAnsi="Arial"/>
          <w:sz w:val="16"/>
          <w:szCs w:val="16"/>
          <w:u w:val="single" w:color="auto"/>
          <w:color w:val="auto"/>
        </w:rPr>
        <w:t>Section 2.19(a)</w:t>
      </w:r>
      <w:r>
        <w:rPr>
          <w:rFonts w:ascii="Arial" w:cs="Arial" w:eastAsia="Arial" w:hAnsi="Arial"/>
          <w:sz w:val="16"/>
          <w:szCs w:val="16"/>
          <w:color w:val="auto"/>
        </w:rPr>
        <w:t>, then the Swingline Lender may, upon prior written notice to the Borrower and the Administrative Agent, resign as Swingline Lender, effective at the close of business Atlanta, Georgia time on a date specified in such notice (which date may not be less than five (5) Business Days after the date of such notice). On or after the effective date of any such resignation, the Borrower and the Administrative Agent may, by written agreement, appoint a successor Swingline Lender. The Administrative Agent shall notify the Lenders of any such appointment of a successor Swingline Lender. Upon the effectiveness of any resignation of the Swingline Lender, the Borrower shall repay in full all outstanding Swingline Loans together with all accrued interest thereon. From and after the effective date of the appointment of a successor Swingline Lender, (i) the successor Swingline Lender shall have all the rights and obligations of the replaced Swingline Lender under this Agreement with respect to Swingline Loans to be made thereafter and (ii) references herein to the term “Swingline Lender” shall be deemed to refer to such successor or to any previous Swingline Lender, or to such successor and all previous Swingline Lenders, as the context shall require. After the replacement of the Swingline Lender hereunder, the replaced Swingline Lender shall have no obligation to make additional Swingline Loans.</w:t>
      </w:r>
    </w:p>
    <w:p>
      <w:pPr>
        <w:spacing w:after="0" w:line="17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Letters of Credit</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93" w:lineRule="auto"/>
        <w:tabs>
          <w:tab w:leader="none" w:pos="1157"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Subject to the terms and conditions set forth herein, in addition to the Loans provided for in </w:t>
      </w:r>
      <w:r>
        <w:rPr>
          <w:rFonts w:ascii="Arial" w:cs="Arial" w:eastAsia="Arial" w:hAnsi="Arial"/>
          <w:sz w:val="16"/>
          <w:szCs w:val="16"/>
          <w:u w:val="single" w:color="auto"/>
          <w:color w:val="auto"/>
        </w:rPr>
        <w:t>Section 2.01</w:t>
      </w:r>
      <w:r>
        <w:rPr>
          <w:rFonts w:ascii="Arial" w:cs="Arial" w:eastAsia="Arial" w:hAnsi="Arial"/>
          <w:sz w:val="16"/>
          <w:szCs w:val="16"/>
          <w:color w:val="auto"/>
        </w:rPr>
        <w:t>, the Borrower may request the Issuing Bank to issue, at any time and from time to time during the Availability Period and under either the Dollar Commitments or Multicurrency Commitments, Letters of Credit denominated in Dollars or (in the case of Letters of Credit under the Multicurrency Commitments) in any Agreed Foreign Currency for its own account or the account of its designee (provided that the Obligors shall remain primarily liable to the Lenders hereunder for payment and reimbursement of all amounts payable in respect of the Letters of Credit hereunder) in such form as is acceptable to the Issuing Bank in its reasonable determination. Letters of Credit issued hereunder shall constitute utilization of the Commitments up to the aggregate amount available to be drawn thereunder.</w:t>
      </w:r>
    </w:p>
    <w:p>
      <w:pPr>
        <w:spacing w:after="0" w:line="97"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25" w:name="page126"/>
    <w:bookmarkEnd w:id="125"/>
    <w:p>
      <w:pPr>
        <w:ind w:left="-921" w:firstLine="921"/>
        <w:spacing w:after="0" w:line="287" w:lineRule="auto"/>
        <w:tabs>
          <w:tab w:leader="none" w:pos="247"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 of Issuance, Amendment, Renewal or Extension</w:t>
      </w:r>
      <w:r>
        <w:rPr>
          <w:rFonts w:ascii="Arial" w:cs="Arial" w:eastAsia="Arial" w:hAnsi="Arial"/>
          <w:sz w:val="16"/>
          <w:szCs w:val="16"/>
          <w:color w:val="auto"/>
        </w:rPr>
        <w:t xml:space="preserve">. To request the issuance of a Letter of Credit (or the amendment, renewal or extension of an outstanding Letter of Credit), the Borrower shall hand deliver or telecopy (or transmit by electronic communication, if arrangements for doing so have been approved by the Issuing Bank) to the Issuing Bank and the Administrative Agent (reasonably in advance of the requested date of issuance, amendment, renewal or extension)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w:t>
      </w:r>
      <w:r>
        <w:rPr>
          <w:rFonts w:ascii="Arial" w:cs="Arial" w:eastAsia="Arial" w:hAnsi="Arial"/>
          <w:sz w:val="16"/>
          <w:szCs w:val="16"/>
          <w:u w:val="single" w:color="auto"/>
          <w:color w:val="auto"/>
        </w:rPr>
        <w:t>paragraph (d)</w:t>
      </w:r>
      <w:r>
        <w:rPr>
          <w:rFonts w:ascii="Arial" w:cs="Arial" w:eastAsia="Arial" w:hAnsi="Arial"/>
          <w:sz w:val="16"/>
          <w:szCs w:val="16"/>
          <w:color w:val="auto"/>
        </w:rPr>
        <w:t xml:space="preserve"> of this Section), the amount and Currency of such Letter of Credit, whether such Letter of Credit is to be issued under the Dollar Commitments or the Multicurrency Commitments, the name and address of the beneficiary thereof and such other information as shall be necessary to prepare, amend, renew or extend such Letter of Credit. If requested by the Issuing Bank, the Borrower also shall submit a letter of credit application on the Issuing Bank’s standard form in connection with any request for a Letter of Credit. In the event of any inconsistency between the terms and conditions of this Agreement and the terms and conditions of any form of letter of credit application or other agreement submitted by the Borrower to, or entered into by the Borrower with, the Issuing Bank relating to any Letter of Credit, the terms and conditions of this Agreement shall control.</w:t>
      </w:r>
    </w:p>
    <w:p>
      <w:pPr>
        <w:spacing w:after="0" w:line="64" w:lineRule="exact"/>
        <w:rPr>
          <w:rFonts w:ascii="Arial" w:cs="Arial" w:eastAsia="Arial" w:hAnsi="Arial"/>
          <w:sz w:val="16"/>
          <w:szCs w:val="16"/>
          <w:color w:val="auto"/>
        </w:rPr>
      </w:pPr>
    </w:p>
    <w:p>
      <w:pPr>
        <w:ind w:left="-921" w:right="40" w:firstLine="921"/>
        <w:spacing w:after="0" w:line="273" w:lineRule="auto"/>
        <w:tabs>
          <w:tab w:leader="none" w:pos="236"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Limitations on Amounts</w:t>
      </w:r>
      <w:r>
        <w:rPr>
          <w:rFonts w:ascii="Arial" w:cs="Arial" w:eastAsia="Arial" w:hAnsi="Arial"/>
          <w:sz w:val="17"/>
          <w:szCs w:val="17"/>
          <w:color w:val="auto"/>
        </w:rPr>
        <w:t xml:space="preserve">. A Letter of Credit shall be issued, amended, renewed or extended only if (and upon issuance, amendment, renewal or extension of each Letter of Credit the Borrower shall be deemed to represent and warrant that), after giving effect to such issuance, amendment, renewal or extension (i) the aggregate LC Exposure of the Issuing Bank (determined for these purposes without giving effect to the participations therein of the Lenders pursuant to </w:t>
      </w:r>
      <w:r>
        <w:rPr>
          <w:rFonts w:ascii="Arial" w:cs="Arial" w:eastAsia="Arial" w:hAnsi="Arial"/>
          <w:sz w:val="17"/>
          <w:szCs w:val="17"/>
          <w:u w:val="single" w:color="auto"/>
          <w:color w:val="auto"/>
        </w:rPr>
        <w:t>paragraph (e)</w:t>
      </w:r>
      <w:r>
        <w:rPr>
          <w:rFonts w:ascii="Arial" w:cs="Arial" w:eastAsia="Arial" w:hAnsi="Arial"/>
          <w:sz w:val="17"/>
          <w:szCs w:val="17"/>
          <w:color w:val="auto"/>
        </w:rPr>
        <w:t xml:space="preserve"> of this Section) shall not exceed $100,000,000, (ii) the total Revolving Dollar Credit Exposures shall not exceed the aggregate Dollar Commitments, (iii) the total Revolving Multicurrency Credit Exposures shall not exceed the aggregate Multicurrency Commitments and (iv) the total Covered Debt Amount shall not exceed the Borrowing Base then in effect.</w:t>
      </w:r>
    </w:p>
    <w:p>
      <w:pPr>
        <w:spacing w:after="0" w:line="70" w:lineRule="exact"/>
        <w:rPr>
          <w:rFonts w:ascii="Arial" w:cs="Arial" w:eastAsia="Arial" w:hAnsi="Arial"/>
          <w:sz w:val="17"/>
          <w:szCs w:val="17"/>
          <w:color w:val="auto"/>
        </w:rPr>
      </w:pPr>
    </w:p>
    <w:p>
      <w:pPr>
        <w:ind w:left="-921" w:right="100" w:firstLine="921"/>
        <w:spacing w:after="0" w:line="272" w:lineRule="auto"/>
        <w:tabs>
          <w:tab w:leader="none" w:pos="247"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Expiration Date</w:t>
      </w:r>
      <w:r>
        <w:rPr>
          <w:rFonts w:ascii="Arial" w:cs="Arial" w:eastAsia="Arial" w:hAnsi="Arial"/>
          <w:sz w:val="17"/>
          <w:szCs w:val="17"/>
          <w:color w:val="auto"/>
        </w:rPr>
        <w:t xml:space="preserve">. Each Letter of Credit shall expire at or prior to the close of business on the date twelve months after the date of the issuance of such Letter of Credit (or, in the case of any renewal or extension thereof, twelve months after the then-current expiration date of such Letter of Credit, so long as such renewal or extension occurs within three months of such then-current expiration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Letter of Credit with a one-year term may provide for the renewal thereof for additional one-year periods. No Letter of Credit may be renewed following the earlier to occur of the Commitment Termination Date and the Termination Date, except to the extent that the relevant Letter of Credit is Cash Collateralized no later than five (5) Business Days prior to the Commitment Termination Date or Termination Date, as applicable, or supported by another letter of credit, in each case pursuant to arrangements reasonably satisfactory to the Issuing Bank and the Administrative Agent.</w:t>
      </w:r>
    </w:p>
    <w:p>
      <w:pPr>
        <w:spacing w:after="0" w:line="69" w:lineRule="exact"/>
        <w:rPr>
          <w:rFonts w:ascii="Arial" w:cs="Arial" w:eastAsia="Arial" w:hAnsi="Arial"/>
          <w:sz w:val="17"/>
          <w:szCs w:val="17"/>
          <w:color w:val="auto"/>
        </w:rPr>
      </w:pPr>
    </w:p>
    <w:p>
      <w:pPr>
        <w:ind w:left="-921" w:right="60" w:firstLine="921"/>
        <w:spacing w:after="0" w:line="312" w:lineRule="auto"/>
        <w:tabs>
          <w:tab w:leader="none" w:pos="236"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By the issuance of a Letter of Credit of a Class (or an amendment to a Letter of Credit increasing the amount thereof) by the Issuing Bank, and without any further action on the part of the Issuing Bank or the Lenders, the Issuing Bank hereby grants to each Lender of such Class, and each Lender of such Class hereby acquires from the Issuing Bank, a participation in such Letter of Credit equal to such Lender’s Applicable Dollar</w:t>
      </w:r>
    </w:p>
    <w:p>
      <w:pPr>
        <w:spacing w:after="0" w:line="79" w:lineRule="exact"/>
        <w:rPr>
          <w:sz w:val="20"/>
          <w:szCs w:val="20"/>
          <w:color w:val="auto"/>
        </w:rPr>
      </w:pPr>
    </w:p>
    <w:p>
      <w:pPr>
        <w:jc w:val="both"/>
        <w:ind w:left="4939"/>
        <w:spacing w:after="0"/>
        <w:tabs>
          <w:tab w:leader="none" w:pos="8439"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499"/>
          </w:cols>
          <w:pgMar w:left="1161" w:top="274" w:right="239" w:bottom="1440" w:gutter="0" w:footer="0" w:header="0"/>
        </w:sectPr>
      </w:pPr>
    </w:p>
    <w:bookmarkStart w:id="126" w:name="page127"/>
    <w:bookmarkEnd w:id="126"/>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Percentage or Applicable Multicurrency Percentage, as the case may be, of the aggregate amount available to be drawn under such Letter of Credit.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applicable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be required to purchase a participation in a Letter of Credit pursuant to this </w:t>
      </w:r>
      <w:r>
        <w:rPr>
          <w:rFonts w:ascii="Arial" w:cs="Arial" w:eastAsia="Arial" w:hAnsi="Arial"/>
          <w:sz w:val="16"/>
          <w:szCs w:val="16"/>
          <w:u w:val="single" w:color="auto"/>
          <w:color w:val="auto"/>
        </w:rPr>
        <w:t>Section 2.05(e)</w:t>
      </w:r>
      <w:r>
        <w:rPr>
          <w:rFonts w:ascii="Arial" w:cs="Arial" w:eastAsia="Arial" w:hAnsi="Arial"/>
          <w:sz w:val="16"/>
          <w:szCs w:val="16"/>
          <w:color w:val="auto"/>
        </w:rPr>
        <w:t xml:space="preserve"> if (x)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would not be satisfied in respect of a Borrowing at the time such Letter of Credit was issued and (y) the Required Lenders of the respective Class shall have so notified the Issuing Bank in writing and shall not have subsequently determined that the circumstances giving rise to such conditions not being satisfied no longer exist.</w:t>
      </w:r>
    </w:p>
    <w:p>
      <w:pPr>
        <w:spacing w:after="0" w:line="167"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 xml:space="preserve">In consideration and in furtherance of the foregoing, each Lender of a Class hereby absolutely and unconditionally agrees to pay to the Administrative Agent, for account of the Issuing Bank, such Lender’s Applicable Dollar Percentage or Applicable Multicurrency Percentage, as the case may be, of each LC Disbursement made by the Issuing Bank in respect of Letters of Credit of such Class promptly upon the request of the Issuing Bank at any time from the time of such LC Disbursement until such LC Disbursement is reimbursed by the Borrower or at any time after any reimbursement payment is required to be refunded to the Borrower for any reason. Such payment shall be made without any offset, abatement, withholding or reduction whatsoever. Each such payment shall be made in the same manner as provided in </w:t>
      </w:r>
      <w:r>
        <w:rPr>
          <w:rFonts w:ascii="Arial" w:cs="Arial" w:eastAsia="Arial" w:hAnsi="Arial"/>
          <w:sz w:val="17"/>
          <w:szCs w:val="17"/>
          <w:u w:val="single" w:color="auto"/>
          <w:color w:val="auto"/>
        </w:rPr>
        <w:t>Section 2.06</w:t>
      </w:r>
      <w:r>
        <w:rPr>
          <w:rFonts w:ascii="Arial" w:cs="Arial" w:eastAsia="Arial" w:hAnsi="Arial"/>
          <w:sz w:val="17"/>
          <w:szCs w:val="17"/>
          <w:color w:val="auto"/>
        </w:rPr>
        <w:t xml:space="preserve"> with respect to Loans made by such Lender (and </w:t>
      </w:r>
      <w:r>
        <w:rPr>
          <w:rFonts w:ascii="Arial" w:cs="Arial" w:eastAsia="Arial" w:hAnsi="Arial"/>
          <w:sz w:val="17"/>
          <w:szCs w:val="17"/>
          <w:u w:val="single" w:color="auto"/>
          <w:color w:val="auto"/>
        </w:rPr>
        <w:t>Section 2.06</w:t>
      </w:r>
      <w:r>
        <w:rPr>
          <w:rFonts w:ascii="Arial" w:cs="Arial" w:eastAsia="Arial" w:hAnsi="Arial"/>
          <w:sz w:val="17"/>
          <w:szCs w:val="17"/>
          <w:color w:val="auto"/>
        </w:rPr>
        <w:t xml:space="preserve"> shall apply, </w:t>
      </w:r>
      <w:r>
        <w:rPr>
          <w:rFonts w:ascii="Arial" w:cs="Arial" w:eastAsia="Arial" w:hAnsi="Arial"/>
          <w:sz w:val="17"/>
          <w:szCs w:val="17"/>
          <w:u w:val="single" w:color="auto"/>
          <w:color w:val="auto"/>
        </w:rPr>
        <w:t>mutatis mutandis</w:t>
      </w:r>
      <w:r>
        <w:rPr>
          <w:rFonts w:ascii="Arial" w:cs="Arial" w:eastAsia="Arial" w:hAnsi="Arial"/>
          <w:sz w:val="17"/>
          <w:szCs w:val="17"/>
          <w:color w:val="auto"/>
        </w:rPr>
        <w:t>, to the payment obligations of the Lenders), and the Administrative Agent shall promptly pay to the Issuing Bank the amounts so received by it from the Lenders. Promptly following receipt by the Administrative Agent of any payment from the Borrower pursuant to the next following paragraph, the Administrative Agent shall distribute such payment to the Issuing Bank or, to the extent that the Lenders have made payments pursuant to this paragraph to reimburse the Issuing Bank, then to such Lenders and the Issuing Bank as their interests may appear. Any payment made by a Lender pursuant to this paragraph to reimburse the Issuing Bank for any LC Disbursement shall not constitute a Loan and shall not relieve the Borrower of its obligation to reimburse such LC Disbursement.</w:t>
      </w:r>
    </w:p>
    <w:p>
      <w:pPr>
        <w:spacing w:after="0" w:line="72" w:lineRule="exact"/>
        <w:rPr>
          <w:sz w:val="20"/>
          <w:szCs w:val="20"/>
          <w:color w:val="auto"/>
        </w:rPr>
      </w:pPr>
    </w:p>
    <w:p>
      <w:pPr>
        <w:ind w:right="60" w:firstLine="921"/>
        <w:spacing w:after="0" w:line="271" w:lineRule="auto"/>
        <w:tabs>
          <w:tab w:leader="none" w:pos="1138"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Reimbursement</w:t>
      </w:r>
      <w:r>
        <w:rPr>
          <w:rFonts w:ascii="Arial" w:cs="Arial" w:eastAsia="Arial" w:hAnsi="Arial"/>
          <w:sz w:val="17"/>
          <w:szCs w:val="17"/>
          <w:color w:val="auto"/>
        </w:rPr>
        <w:t xml:space="preserve">. If the Issuing Bank shall make any LC Disbursement in respect of a Letter of Credit, the Borrower shall reimburse the Issuing Bank in respect of such LC Disbursement by paying to the Administrative Agent an amount equal to such LC Disbursement not later than 11:00 a.m., Atlanta, Georgia time, on (i) the Business Day that the Borrower receives notice of such LC Disbursement, if such notice is received prior to 10:00 a.m., Atlanta, Georgia time, or (ii) the Business Day immediately following the day that the Borrower receives such notice, if such notice is not received prior to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LC Disbursement is not less than $1,000,000 and is denominated in Dollars, the Borrower may, subject to the conditions to borrowing set forth herein, request in accordance with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2.04</w:t>
      </w:r>
      <w:r>
        <w:rPr>
          <w:rFonts w:ascii="Arial" w:cs="Arial" w:eastAsia="Arial" w:hAnsi="Arial"/>
          <w:sz w:val="17"/>
          <w:szCs w:val="17"/>
          <w:color w:val="auto"/>
        </w:rPr>
        <w:t xml:space="preserve"> that such payment be financed with a Syndicated ABR Borrowing or a Swingline Loan of the respective Class in an equivalent amount and, to the extent so financed, the Borrower’s obligation to make such payment shall be discharged and replaced by the resulting Syndicated ABR Borrowing or Swingline Loan.</w:t>
      </w:r>
    </w:p>
    <w:p>
      <w:pPr>
        <w:spacing w:after="0" w:line="111"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40</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27" w:name="page128"/>
    <w:bookmarkEnd w:id="127"/>
    <w:p>
      <w:pPr>
        <w:ind w:right="44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Borrower fails to make such payment when due, the Administrative Agent shall notify each applicable Lender of the applicable LC Disbursement, the payment then due from the Borrower in respect thereof and such Lender’s Applicable Dollar Percentage or Applicable Multicurrency Percentage, as the case may be, thereof.</w:t>
      </w:r>
    </w:p>
    <w:p>
      <w:pPr>
        <w:spacing w:after="0" w:line="73" w:lineRule="exact"/>
        <w:rPr>
          <w:sz w:val="20"/>
          <w:szCs w:val="20"/>
          <w:color w:val="auto"/>
        </w:rPr>
      </w:pPr>
    </w:p>
    <w:p>
      <w:pPr>
        <w:ind w:right="80" w:firstLine="921"/>
        <w:spacing w:after="0" w:line="272" w:lineRule="auto"/>
        <w:tabs>
          <w:tab w:leader="none" w:pos="1168"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Obligations Absolute</w:t>
      </w:r>
      <w:r>
        <w:rPr>
          <w:rFonts w:ascii="Arial" w:cs="Arial" w:eastAsia="Arial" w:hAnsi="Arial"/>
          <w:sz w:val="17"/>
          <w:szCs w:val="17"/>
          <w:color w:val="auto"/>
        </w:rPr>
        <w:t xml:space="preserve">. The Borrower’s obligation to reimburse LC Disbursements as provided in </w:t>
      </w:r>
      <w:r>
        <w:rPr>
          <w:rFonts w:ascii="Arial" w:cs="Arial" w:eastAsia="Arial" w:hAnsi="Arial"/>
          <w:sz w:val="17"/>
          <w:szCs w:val="17"/>
          <w:u w:val="single" w:color="auto"/>
          <w:color w:val="auto"/>
        </w:rPr>
        <w:t>paragraph (f)</w:t>
      </w:r>
      <w:r>
        <w:rPr>
          <w:rFonts w:ascii="Arial" w:cs="Arial" w:eastAsia="Arial" w:hAnsi="Arial"/>
          <w:sz w:val="17"/>
          <w:szCs w:val="17"/>
          <w:color w:val="auto"/>
        </w:rPr>
        <w:t xml:space="preserve"> of this Section shall be absolute, unconditional and irrevocable, and shall be performed strictly in accordance with the terms of this Agreement under any and all circumstances whatsoever and irrespective of (i) any lack of validity or enforceability of any Letter of Credit, or any term or provision therein, (ii) any draft or other document presented under a Letter of Credit proving to be forged, fraudulent or invalid in any respect or any statement therein being untrue or inaccurate in any respect, (iii) payment by the Issuing Bank under a Letter of Credit against presentation of a draft or other document that does not comply strictly with the terms of such Letter of Credit, and (iv) any other event or circumstance whatsoever, whether or not similar to any of the foregoing, that might, but for the provisions of this Section, constitute a legal or equitable discharge of the Borrower’s obligations hereunder.</w:t>
      </w:r>
    </w:p>
    <w:p>
      <w:pPr>
        <w:spacing w:after="0" w:line="178"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 xml:space="preserve">Neither the Administrative Agent, the Lenders nor the Issuing Bank, nor any of their Related Parties, shall have any liability or responsibility by reason of or in connection with the issuance or transfer of any Letter of Credit by the Issuing Bank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Issuing Bank;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be construed to excuse the Issuing Bank from liability to the Borrower to the extent of any direct damages (as opposed to consequential damages, claims in respect of which are hereby waived by the Borrower to the extent permitted by applicable law) suffered by the Borrower that are caused by the Issuing Bank’s fraud, gross negligence or willful misconduct when determining whether drafts and other documents presented under a Letter of Credit comply with the terms thereof. The parties hereto expressly agree that:</w:t>
      </w:r>
    </w:p>
    <w:p>
      <w:pPr>
        <w:spacing w:after="0" w:line="74" w:lineRule="exact"/>
        <w:rPr>
          <w:sz w:val="20"/>
          <w:szCs w:val="20"/>
          <w:color w:val="auto"/>
        </w:rPr>
      </w:pPr>
    </w:p>
    <w:p>
      <w:pPr>
        <w:ind w:left="460" w:right="80" w:firstLine="443"/>
        <w:spacing w:after="0" w:line="264" w:lineRule="auto"/>
        <w:tabs>
          <w:tab w:leader="none" w:pos="1113"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Issuing Bank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w:t>
      </w:r>
    </w:p>
    <w:p>
      <w:pPr>
        <w:spacing w:after="0" w:line="73" w:lineRule="exact"/>
        <w:rPr>
          <w:rFonts w:ascii="Arial" w:cs="Arial" w:eastAsia="Arial" w:hAnsi="Arial"/>
          <w:sz w:val="18"/>
          <w:szCs w:val="18"/>
          <w:color w:val="auto"/>
        </w:rPr>
      </w:pPr>
    </w:p>
    <w:p>
      <w:pPr>
        <w:ind w:left="460" w:right="80" w:firstLine="443"/>
        <w:spacing w:after="0" w:line="277" w:lineRule="auto"/>
        <w:tabs>
          <w:tab w:leader="none" w:pos="1163"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Issuing Bank shall have the right, in its sole discretion, to decline to accept such documents and to make such payment if such documents are not in strict compliance with the terms of such Letter of Credit; and</w:t>
      </w:r>
    </w:p>
    <w:p>
      <w:pPr>
        <w:spacing w:after="0" w:line="62" w:lineRule="exact"/>
        <w:rPr>
          <w:rFonts w:ascii="Arial" w:cs="Arial" w:eastAsia="Arial" w:hAnsi="Arial"/>
          <w:sz w:val="18"/>
          <w:szCs w:val="18"/>
          <w:color w:val="auto"/>
        </w:rPr>
      </w:pPr>
    </w:p>
    <w:p>
      <w:pPr>
        <w:ind w:left="460" w:right="180" w:firstLine="443"/>
        <w:spacing w:after="0" w:line="264" w:lineRule="auto"/>
        <w:tabs>
          <w:tab w:leader="none" w:pos="1213"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this sentence shall establish the standard of care to be exercised by the Issuing Bank when determining whether drafts and other documents presented under a Letter of Credit comply with the terms thereof (and the parties hereto hereby waive, to the extent permitted by applicable law, any standard of care inconsistent with the foregoing).</w:t>
      </w:r>
    </w:p>
    <w:p>
      <w:pPr>
        <w:spacing w:after="0" w:line="114"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28" w:name="page129"/>
    <w:bookmarkEnd w:id="128"/>
    <w:p>
      <w:pPr>
        <w:ind w:right="20" w:firstLine="921"/>
        <w:spacing w:after="0" w:line="257" w:lineRule="auto"/>
        <w:tabs>
          <w:tab w:leader="none" w:pos="1168"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Disbursement Procedures</w:t>
      </w:r>
      <w:r>
        <w:rPr>
          <w:rFonts w:ascii="Arial" w:cs="Arial" w:eastAsia="Arial" w:hAnsi="Arial"/>
          <w:sz w:val="18"/>
          <w:szCs w:val="18"/>
          <w:color w:val="auto"/>
        </w:rPr>
        <w:t xml:space="preserve">. The Issuing Bank shall, within a reasonable time following its receipt thereof, examine all documents purporting to represent a demand for payment under a Letter of Credit. The Issuing Bank shall promptly after such examination notify the Administrative Agent and the Borrower by telephone (confirmed by telecopy) of such demand for payment and whether the Issuing Bank has made or will make an LC Disbursement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failure to give or delay in giving such notice shall not relieve the Borrower of its obligation to reimburse the Issuing Bank and the applicable Lenders with respect to any such LC Disbursement.</w:t>
      </w:r>
    </w:p>
    <w:p>
      <w:pPr>
        <w:spacing w:after="0" w:line="80" w:lineRule="exact"/>
        <w:rPr>
          <w:rFonts w:ascii="Arial" w:cs="Arial" w:eastAsia="Arial" w:hAnsi="Arial"/>
          <w:sz w:val="18"/>
          <w:szCs w:val="18"/>
          <w:color w:val="auto"/>
        </w:rPr>
      </w:pPr>
    </w:p>
    <w:p>
      <w:pPr>
        <w:ind w:right="20" w:firstLine="921"/>
        <w:spacing w:after="0" w:line="272" w:lineRule="auto"/>
        <w:tabs>
          <w:tab w:leader="none" w:pos="1128"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Interim Interest</w:t>
      </w:r>
      <w:r>
        <w:rPr>
          <w:rFonts w:ascii="Arial" w:cs="Arial" w:eastAsia="Arial" w:hAnsi="Arial"/>
          <w:sz w:val="17"/>
          <w:szCs w:val="17"/>
          <w:color w:val="auto"/>
        </w:rPr>
        <w:t xml:space="preserve">. If the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Syndicated ABR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Borrower fails to reimburse such LC Disbursement within two Business Days following the date when due pursuant to </w:t>
      </w:r>
      <w:r>
        <w:rPr>
          <w:rFonts w:ascii="Arial" w:cs="Arial" w:eastAsia="Arial" w:hAnsi="Arial"/>
          <w:sz w:val="17"/>
          <w:szCs w:val="17"/>
          <w:u w:val="single" w:color="auto"/>
          <w:color w:val="auto"/>
        </w:rPr>
        <w:t>paragraph (f)</w:t>
      </w:r>
      <w:r>
        <w:rPr>
          <w:rFonts w:ascii="Arial" w:cs="Arial" w:eastAsia="Arial" w:hAnsi="Arial"/>
          <w:sz w:val="17"/>
          <w:szCs w:val="17"/>
          <w:color w:val="auto"/>
        </w:rPr>
        <w:t xml:space="preserve"> of this Section, then the provisions of </w:t>
      </w:r>
      <w:r>
        <w:rPr>
          <w:rFonts w:ascii="Arial" w:cs="Arial" w:eastAsia="Arial" w:hAnsi="Arial"/>
          <w:sz w:val="17"/>
          <w:szCs w:val="17"/>
          <w:u w:val="single" w:color="auto"/>
          <w:color w:val="auto"/>
        </w:rPr>
        <w:t>Section 2.12(c)</w:t>
      </w:r>
      <w:r>
        <w:rPr>
          <w:rFonts w:ascii="Arial" w:cs="Arial" w:eastAsia="Arial" w:hAnsi="Arial"/>
          <w:sz w:val="17"/>
          <w:szCs w:val="17"/>
          <w:color w:val="auto"/>
        </w:rPr>
        <w:t xml:space="preserve"> shall apply. Interest accrued pursuant to this paragraph shall be for account of the Issuing Bank, except that interest accrued on and after the date of payment by any Lender pursuant to </w:t>
      </w:r>
      <w:r>
        <w:rPr>
          <w:rFonts w:ascii="Arial" w:cs="Arial" w:eastAsia="Arial" w:hAnsi="Arial"/>
          <w:sz w:val="17"/>
          <w:szCs w:val="17"/>
          <w:u w:val="single" w:color="auto"/>
          <w:color w:val="auto"/>
        </w:rPr>
        <w:t>paragraph (f)</w:t>
      </w:r>
      <w:r>
        <w:rPr>
          <w:rFonts w:ascii="Arial" w:cs="Arial" w:eastAsia="Arial" w:hAnsi="Arial"/>
          <w:sz w:val="17"/>
          <w:szCs w:val="17"/>
          <w:color w:val="auto"/>
        </w:rPr>
        <w:t xml:space="preserve"> of this Section to reimburse the Issuing Bank shall be for account of such Lender to the extent of such payment.</w:t>
      </w:r>
    </w:p>
    <w:p>
      <w:pPr>
        <w:spacing w:after="0" w:line="69" w:lineRule="exact"/>
        <w:rPr>
          <w:rFonts w:ascii="Arial" w:cs="Arial" w:eastAsia="Arial" w:hAnsi="Arial"/>
          <w:sz w:val="17"/>
          <w:szCs w:val="17"/>
          <w:color w:val="auto"/>
        </w:rPr>
      </w:pPr>
    </w:p>
    <w:p>
      <w:pPr>
        <w:ind w:right="60" w:firstLine="921"/>
        <w:spacing w:after="0" w:line="289" w:lineRule="auto"/>
        <w:tabs>
          <w:tab w:leader="none" w:pos="1128"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Resignation and/or Replacement of Issuing Bank</w:t>
      </w:r>
      <w:r>
        <w:rPr>
          <w:rFonts w:ascii="Arial" w:cs="Arial" w:eastAsia="Arial" w:hAnsi="Arial"/>
          <w:sz w:val="16"/>
          <w:szCs w:val="16"/>
          <w:color w:val="auto"/>
        </w:rPr>
        <w:t xml:space="preserve">. The Issuing Bank may resign and be replaced at any time by written agreement among the Borrower, the Administrative Agent, the resigning Issuing Bank and the successor Issuing Bank. The Administrative Agent shall notify the Lenders of any such resignation and replacement of the Issuing Bank. Upon the effectiveness of any resignation of the Issuing Bank, the Borrower shall pay all unpaid fees accrued for account of the resigning Issuing Bank pursuant to </w:t>
      </w:r>
      <w:r>
        <w:rPr>
          <w:rFonts w:ascii="Arial" w:cs="Arial" w:eastAsia="Arial" w:hAnsi="Arial"/>
          <w:sz w:val="16"/>
          <w:szCs w:val="16"/>
          <w:u w:val="single" w:color="auto"/>
          <w:color w:val="auto"/>
        </w:rPr>
        <w:t>Section 2.11(b)</w:t>
      </w:r>
      <w:r>
        <w:rPr>
          <w:rFonts w:ascii="Arial" w:cs="Arial" w:eastAsia="Arial" w:hAnsi="Arial"/>
          <w:sz w:val="16"/>
          <w:szCs w:val="16"/>
          <w:color w:val="auto"/>
        </w:rPr>
        <w:t>. From and after the effective date of the appointment of a successor Issuing Bank, (i) the successor Issuing Bank shall have all the rights and obligations of the replaced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effective resignation of the Issuing Bank hereunder, the resigning Issuing Bank, as the case may be, shall remain a party hereto and shall continue to have all the rights and obligations of the Issuing Bank under this Agreement with respect to Letters of Credit issued by it prior to such resignation, but shall not be required to issue additional Letters of Credit.</w:t>
      </w:r>
    </w:p>
    <w:p>
      <w:pPr>
        <w:spacing w:after="0" w:line="58" w:lineRule="exact"/>
        <w:rPr>
          <w:rFonts w:ascii="Arial" w:cs="Arial" w:eastAsia="Arial" w:hAnsi="Arial"/>
          <w:sz w:val="16"/>
          <w:szCs w:val="16"/>
          <w:color w:val="auto"/>
        </w:rPr>
      </w:pPr>
    </w:p>
    <w:p>
      <w:pPr>
        <w:ind w:left="1180" w:hanging="259"/>
        <w:spacing w:after="0"/>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Cash Collateralization</w:t>
      </w:r>
      <w:r>
        <w:rPr>
          <w:rFonts w:ascii="Arial" w:cs="Arial" w:eastAsia="Arial" w:hAnsi="Arial"/>
          <w:sz w:val="18"/>
          <w:szCs w:val="18"/>
          <w:color w:val="auto"/>
        </w:rPr>
        <w:t xml:space="preserve">. If the Borrower shall be required to provide Cash Collateral for LC Exposure pursuant to </w:t>
      </w:r>
      <w:r>
        <w:rPr>
          <w:rFonts w:ascii="Arial" w:cs="Arial" w:eastAsia="Arial" w:hAnsi="Arial"/>
          <w:sz w:val="18"/>
          <w:szCs w:val="18"/>
          <w:u w:val="single" w:color="auto"/>
          <w:color w:val="auto"/>
        </w:rPr>
        <w:t>Section 2.05(d)</w:t>
      </w:r>
      <w:r>
        <w:rPr>
          <w:rFonts w:ascii="Arial" w:cs="Arial" w:eastAsia="Arial" w:hAnsi="Arial"/>
          <w:sz w:val="18"/>
          <w:szCs w:val="18"/>
          <w:color w:val="auto"/>
        </w:rPr>
        <w:t>,</w:t>
      </w:r>
    </w:p>
    <w:p>
      <w:pPr>
        <w:spacing w:after="0" w:line="23"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u w:val="single" w:color="auto"/>
          <w:color w:val="auto"/>
        </w:rPr>
        <w:t>Section 2.09(a)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2.10(b)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or the last paragraph of </w:t>
      </w:r>
      <w:r>
        <w:rPr>
          <w:rFonts w:ascii="Arial" w:cs="Arial" w:eastAsia="Arial" w:hAnsi="Arial"/>
          <w:sz w:val="16"/>
          <w:szCs w:val="16"/>
          <w:u w:val="single" w:color="auto"/>
          <w:color w:val="auto"/>
        </w:rPr>
        <w:t>Article VII</w:t>
      </w:r>
      <w:r>
        <w:rPr>
          <w:rFonts w:ascii="Arial" w:cs="Arial" w:eastAsia="Arial" w:hAnsi="Arial"/>
          <w:sz w:val="16"/>
          <w:szCs w:val="16"/>
          <w:color w:val="auto"/>
        </w:rPr>
        <w:t>, the Borrower shall immediately deposit into a segregated collateral account or accounts (herein, collectively, the “</w:t>
      </w:r>
      <w:r>
        <w:rPr>
          <w:rFonts w:ascii="Arial" w:cs="Arial" w:eastAsia="Arial" w:hAnsi="Arial"/>
          <w:sz w:val="16"/>
          <w:szCs w:val="16"/>
          <w:u w:val="single" w:color="auto"/>
          <w:color w:val="auto"/>
        </w:rPr>
        <w:t>Letter of Credit Collateral Account</w:t>
      </w:r>
      <w:r>
        <w:rPr>
          <w:rFonts w:ascii="Arial" w:cs="Arial" w:eastAsia="Arial" w:hAnsi="Arial"/>
          <w:sz w:val="16"/>
          <w:szCs w:val="16"/>
          <w:color w:val="auto"/>
        </w:rPr>
        <w:t xml:space="preserve">”) in the name and under the dominion and control of the Administrative Agent Cash denominated in the Currency of the Letter of Credit under which such LC Exposure arises in an amount equal to the amount required under </w:t>
      </w:r>
      <w:r>
        <w:rPr>
          <w:rFonts w:ascii="Arial" w:cs="Arial" w:eastAsia="Arial" w:hAnsi="Arial"/>
          <w:sz w:val="16"/>
          <w:szCs w:val="16"/>
          <w:u w:val="single" w:color="auto"/>
          <w:color w:val="auto"/>
        </w:rPr>
        <w:t>Section 2.09(a)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2.10(b)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or the last paragraph of </w:t>
      </w:r>
      <w:r>
        <w:rPr>
          <w:rFonts w:ascii="Arial" w:cs="Arial" w:eastAsia="Arial" w:hAnsi="Arial"/>
          <w:sz w:val="16"/>
          <w:szCs w:val="16"/>
          <w:u w:val="single" w:color="auto"/>
          <w:color w:val="auto"/>
        </w:rPr>
        <w:t>Article VII</w:t>
      </w:r>
      <w:r>
        <w:rPr>
          <w:rFonts w:ascii="Arial" w:cs="Arial" w:eastAsia="Arial" w:hAnsi="Arial"/>
          <w:sz w:val="16"/>
          <w:szCs w:val="16"/>
          <w:color w:val="auto"/>
        </w:rPr>
        <w:t>, as applicable. Such deposit shall be held by the Administrative Agent as collateral in the first instance for the LC Exposure under this Agreement and thereafter for the payment of the “Secured Obligations” under and as defined in the Guarantee and Security Agreement, and for these purposes the Borrower hereby grants a security interest to the Administrative Agent for the benefit of the Lenders in the Letter of Credit Collateral Account and in any financial assets (as defined in the Uniform Commercial Code) or other property held therein.</w:t>
      </w:r>
    </w:p>
    <w:p>
      <w:pPr>
        <w:spacing w:after="0" w:line="101"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2.06. </w:t>
      </w:r>
      <w:r>
        <w:rPr>
          <w:rFonts w:ascii="Arial" w:cs="Arial" w:eastAsia="Arial" w:hAnsi="Arial"/>
          <w:sz w:val="18"/>
          <w:szCs w:val="18"/>
          <w:u w:val="single" w:color="auto"/>
          <w:color w:val="auto"/>
        </w:rPr>
        <w:t>Funding of Borrowings</w:t>
      </w:r>
      <w:r>
        <w:rPr>
          <w:rFonts w:ascii="Arial" w:cs="Arial" w:eastAsia="Arial" w:hAnsi="Arial"/>
          <w:sz w:val="18"/>
          <w:szCs w:val="18"/>
          <w:color w:val="auto"/>
        </w:rPr>
        <w:t>.</w:t>
      </w:r>
    </w:p>
    <w:p>
      <w:pPr>
        <w:spacing w:after="0" w:line="117" w:lineRule="exact"/>
        <w:rPr>
          <w:sz w:val="20"/>
          <w:szCs w:val="20"/>
          <w:color w:val="auto"/>
        </w:rPr>
      </w:pPr>
    </w:p>
    <w:p>
      <w:pPr>
        <w:ind w:left="-920" w:right="20" w:firstLine="921"/>
        <w:spacing w:after="0" w:line="273" w:lineRule="auto"/>
        <w:tabs>
          <w:tab w:leader="none" w:pos="237"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Funding by Lenders</w:t>
      </w:r>
      <w:r>
        <w:rPr>
          <w:rFonts w:ascii="Arial" w:cs="Arial" w:eastAsia="Arial" w:hAnsi="Arial"/>
          <w:sz w:val="17"/>
          <w:szCs w:val="17"/>
          <w:color w:val="auto"/>
        </w:rPr>
        <w:t xml:space="preserve">. Each Lender shall make each Loan to be made by it hereunder on the proposed date thereof by wire transfer of immediately available funds by 11:00 a.m., Atlanta, Georgia time, to the account of the Administrative Agent most recently designated by it for such purpose by notice to the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Swingline Loans shall be made as provided in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The Administrative Agent will make such Loans available to the Borrower by promptly crediting the amounts so received, in like funds, to an account of the Borrower designated by the Borrower in the applicable Borrowing Request;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Syndicated ABR Borrowings made to finance the reimbursement of an LC Disbursement as provided in </w:t>
      </w:r>
      <w:r>
        <w:rPr>
          <w:rFonts w:ascii="Arial" w:cs="Arial" w:eastAsia="Arial" w:hAnsi="Arial"/>
          <w:sz w:val="17"/>
          <w:szCs w:val="17"/>
          <w:u w:val="single" w:color="auto"/>
          <w:color w:val="auto"/>
        </w:rPr>
        <w:t>Section 2.05(f)</w:t>
      </w:r>
      <w:r>
        <w:rPr>
          <w:rFonts w:ascii="Arial" w:cs="Arial" w:eastAsia="Arial" w:hAnsi="Arial"/>
          <w:sz w:val="17"/>
          <w:szCs w:val="17"/>
          <w:color w:val="auto"/>
        </w:rPr>
        <w:t xml:space="preserve"> shall be remitted by the Administrative Agent to the Issuing Bank.</w:t>
      </w:r>
    </w:p>
    <w:p>
      <w:pPr>
        <w:spacing w:after="0" w:line="70" w:lineRule="exact"/>
        <w:rPr>
          <w:rFonts w:ascii="Arial" w:cs="Arial" w:eastAsia="Arial" w:hAnsi="Arial"/>
          <w:sz w:val="17"/>
          <w:szCs w:val="17"/>
          <w:color w:val="auto"/>
        </w:rPr>
      </w:pPr>
    </w:p>
    <w:p>
      <w:pPr>
        <w:ind w:left="-920" w:right="100" w:firstLine="921"/>
        <w:spacing w:after="0" w:line="269" w:lineRule="auto"/>
        <w:tabs>
          <w:tab w:leader="none" w:pos="248"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Presumption by the Administrative Agent</w:t>
      </w:r>
      <w:r>
        <w:rPr>
          <w:rFonts w:ascii="Arial" w:cs="Arial" w:eastAsia="Arial" w:hAnsi="Arial"/>
          <w:sz w:val="17"/>
          <w:szCs w:val="17"/>
          <w:color w:val="auto"/>
        </w:rPr>
        <w:t xml:space="preserve">.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7"/>
          <w:szCs w:val="17"/>
          <w:u w:val="single" w:color="auto"/>
          <w:color w:val="auto"/>
        </w:rPr>
        <w:t>paragraph (a)</w:t>
      </w:r>
      <w:r>
        <w:rPr>
          <w:rFonts w:ascii="Arial" w:cs="Arial" w:eastAsia="Arial" w:hAnsi="Arial"/>
          <w:sz w:val="17"/>
          <w:szCs w:val="17"/>
          <w:color w:val="auto"/>
        </w:rPr>
        <w:t xml:space="preserve"> of this Section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Federal Funds Effective Rate or (ii) in the case of the Borrower, the interest rate applicable to ABR Loans. If such Lender pays such amount to the Administrative Agent, then such amount shall constitute such Lender’s Loan included in such Borrowing. Nothing in this paragraph shall relieve any Lender of its obligation to fulfill its commitments hereunder, and this paragraph shall be without prejudice to any claim the Borrower may have against a Lender that shall have failed to make such payment to the Administrative Agent.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Interest Elections</w:t>
      </w:r>
      <w:r>
        <w:rPr>
          <w:rFonts w:ascii="Arial" w:cs="Arial" w:eastAsia="Arial" w:hAnsi="Arial"/>
          <w:sz w:val="18"/>
          <w:szCs w:val="18"/>
          <w:color w:val="auto"/>
        </w:rPr>
        <w:t>.</w:t>
      </w:r>
    </w:p>
    <w:p>
      <w:pPr>
        <w:spacing w:after="0" w:line="117" w:lineRule="exact"/>
        <w:rPr>
          <w:sz w:val="20"/>
          <w:szCs w:val="20"/>
          <w:color w:val="auto"/>
        </w:rPr>
      </w:pPr>
    </w:p>
    <w:p>
      <w:pPr>
        <w:ind w:left="-920" w:right="60" w:firstLine="921"/>
        <w:spacing w:after="0" w:line="272" w:lineRule="auto"/>
        <w:tabs>
          <w:tab w:leader="none" w:pos="237"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Elections by the Borrower for Syndicated Borrowings</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2.03(d)</w:t>
      </w:r>
      <w:r>
        <w:rPr>
          <w:rFonts w:ascii="Arial" w:cs="Arial" w:eastAsia="Arial" w:hAnsi="Arial"/>
          <w:sz w:val="17"/>
          <w:szCs w:val="17"/>
          <w:color w:val="auto"/>
        </w:rPr>
        <w:t xml:space="preserve">, the Loans constituting each Syndicated Borrowing initially shall be of the Type specified in the applicable Borrowing Request and, in the case of a Eurocurrency Borrowing, shall have the Interest Period specified in such Borrowing Request. Thereafter, the Borrower may elect to convert such Borrowing to a Borrowing of a different Type or to continue such Borrowing as a Borrowing of the same Type and, in the case of a Eurocurrency Borrowing, may elect the Interest Period therefor, all as provided in this Section;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a Syndicated Borrowing of a Class may only be continued or converted into a Syndicated Borrowing of the same Class, (ii) a Syndicated Borrowing denominated in one Currency may not be continued as, or converted to, a Syndicated Borrowing in a different Currency, (iii) no Eurocurrency Borrowing denominated in a Foreign Currency may be continued if, after giving</w:t>
      </w:r>
    </w:p>
    <w:p>
      <w:pPr>
        <w:spacing w:after="0" w:line="110" w:lineRule="exact"/>
        <w:rPr>
          <w:sz w:val="20"/>
          <w:szCs w:val="20"/>
          <w:color w:val="auto"/>
        </w:rPr>
      </w:pPr>
    </w:p>
    <w:p>
      <w:pPr>
        <w:jc w:val="both"/>
        <w:ind w:left="4940"/>
        <w:spacing w:after="0"/>
        <w:tabs>
          <w:tab w:leader="none" w:pos="84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500"/>
          </w:cols>
          <w:pgMar w:left="1160" w:top="274" w:right="239" w:bottom="1440" w:gutter="0" w:footer="0" w:header="0"/>
        </w:sectPr>
      </w:pPr>
    </w:p>
    <w:bookmarkStart w:id="130" w:name="page131"/>
    <w:bookmarkEnd w:id="130"/>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effect thereto, the aggregate Revolving Multicurrency Credit Exposures would exceed the aggregate Multicurrency Commitments, and (iv) a Eurocurrency Borrowing denominated in a Foreign Currency may not be converted to a Borrowing of a different Type. The Borrower may elect different options with respect to different portions of the affected Borrowing, in which case each such portion shall be allocated ratably among the Lenders of the respective Class holding the Loans constituting such Borrowing, and the Loans constituting each such portion shall be considered a separate Borrowing. This Section shall not apply to Swingline Borrowings, which may not be converted or continued.</w:t>
      </w:r>
    </w:p>
    <w:p>
      <w:pPr>
        <w:spacing w:after="0" w:line="80" w:lineRule="exact"/>
        <w:rPr>
          <w:sz w:val="20"/>
          <w:szCs w:val="20"/>
          <w:color w:val="auto"/>
        </w:rPr>
      </w:pPr>
    </w:p>
    <w:p>
      <w:pPr>
        <w:ind w:right="40" w:firstLine="921"/>
        <w:spacing w:after="0" w:line="276" w:lineRule="auto"/>
        <w:tabs>
          <w:tab w:leader="none" w:pos="1168" w:val="left"/>
        </w:tabs>
        <w:numPr>
          <w:ilvl w:val="1"/>
          <w:numId w:val="82"/>
        </w:numPr>
        <w:rPr>
          <w:rFonts w:ascii="Arial" w:cs="Arial" w:eastAsia="Arial" w:hAnsi="Arial"/>
          <w:sz w:val="17"/>
          <w:szCs w:val="17"/>
          <w:color w:val="auto"/>
        </w:rPr>
      </w:pPr>
      <w:r>
        <w:rPr>
          <w:rFonts w:ascii="Arial" w:cs="Arial" w:eastAsia="Arial" w:hAnsi="Arial"/>
          <w:sz w:val="17"/>
          <w:szCs w:val="17"/>
          <w:u w:val="single" w:color="auto"/>
          <w:color w:val="auto"/>
        </w:rPr>
        <w:t>Notice of Elections</w:t>
      </w:r>
      <w:r>
        <w:rPr>
          <w:rFonts w:ascii="Arial" w:cs="Arial" w:eastAsia="Arial" w:hAnsi="Arial"/>
          <w:sz w:val="17"/>
          <w:szCs w:val="17"/>
          <w:color w:val="auto"/>
        </w:rPr>
        <w:t xml:space="preserve">. To make an election pursuant to this Section, the Borrower shall notify the Administrative Agent of such election by telephone by the time that a Borrowing Request would be required under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if the Borrower were requesting a Syndicated Borrowing of the Type resulting from such election to be made on the effective date of such election. Each such telephonic Interest Election Request shall be irrevocable and shall be confirmed promptly (but no later than the close of business on the date of such request) by hand delivery or telecopy to the Administrative Agent of a written Interest Election Request in a form approved by the Administrative Agent and signed by the Borrower.</w:t>
      </w:r>
    </w:p>
    <w:p>
      <w:pPr>
        <w:spacing w:after="0" w:line="64" w:lineRule="exact"/>
        <w:rPr>
          <w:rFonts w:ascii="Arial" w:cs="Arial" w:eastAsia="Arial" w:hAnsi="Arial"/>
          <w:sz w:val="17"/>
          <w:szCs w:val="17"/>
          <w:color w:val="auto"/>
        </w:rPr>
      </w:pPr>
    </w:p>
    <w:p>
      <w:pPr>
        <w:ind w:right="560" w:firstLine="921"/>
        <w:spacing w:after="0" w:line="277" w:lineRule="auto"/>
        <w:tabs>
          <w:tab w:leader="none" w:pos="1157"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Content of Interest Election Requests</w:t>
      </w:r>
      <w:r>
        <w:rPr>
          <w:rFonts w:ascii="Arial" w:cs="Arial" w:eastAsia="Arial" w:hAnsi="Arial"/>
          <w:sz w:val="18"/>
          <w:szCs w:val="18"/>
          <w:color w:val="auto"/>
        </w:rPr>
        <w:t xml:space="preserve">. Each telephonic and written Interest Election Request shall specify the following information in compliance with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60" w:right="140" w:firstLine="443"/>
        <w:spacing w:after="0" w:line="264" w:lineRule="auto"/>
        <w:tabs>
          <w:tab w:leader="none" w:pos="1113"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the Borrowing (including the Class)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Arial" w:cs="Arial" w:eastAsia="Arial" w:hAnsi="Arial"/>
          <w:sz w:val="18"/>
          <w:szCs w:val="18"/>
          <w:u w:val="single" w:color="auto"/>
          <w:color w:val="auto"/>
        </w:rPr>
        <w:t>clauses (iii)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of this paragraph shall be specified for each resulting Borrowing);</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effective date of the election made pursuant to such Interest Election Request, which shall be a Business Day;</w:t>
      </w:r>
    </w:p>
    <w:p>
      <w:pPr>
        <w:spacing w:after="0" w:line="117" w:lineRule="exact"/>
        <w:rPr>
          <w:rFonts w:ascii="Arial" w:cs="Arial" w:eastAsia="Arial" w:hAnsi="Arial"/>
          <w:sz w:val="18"/>
          <w:szCs w:val="18"/>
          <w:color w:val="auto"/>
        </w:rPr>
      </w:pPr>
    </w:p>
    <w:p>
      <w:pPr>
        <w:ind w:left="460" w:right="720" w:firstLine="443"/>
        <w:spacing w:after="0" w:line="277" w:lineRule="auto"/>
        <w:tabs>
          <w:tab w:leader="none" w:pos="1213" w:val="left"/>
        </w:tabs>
        <w:numPr>
          <w:ilvl w:val="0"/>
          <w:numId w:val="83"/>
        </w:numPr>
        <w:rPr>
          <w:rFonts w:ascii="Arial" w:cs="Arial" w:eastAsia="Arial" w:hAnsi="Arial"/>
          <w:sz w:val="18"/>
          <w:szCs w:val="18"/>
          <w:color w:val="auto"/>
        </w:rPr>
      </w:pPr>
      <w:r>
        <w:rPr>
          <w:rFonts w:ascii="Arial" w:cs="Arial" w:eastAsia="Arial" w:hAnsi="Arial"/>
          <w:sz w:val="18"/>
          <w:szCs w:val="18"/>
          <w:color w:val="auto"/>
        </w:rPr>
        <w:t>whether, in the case of a Borrowing denominated in Dollars, the resulting Borrowing is to be an ABR Borrowing or a Eurocurrency Borrowing; and</w:t>
      </w:r>
    </w:p>
    <w:p>
      <w:pPr>
        <w:spacing w:after="0" w:line="62" w:lineRule="exact"/>
        <w:rPr>
          <w:rFonts w:ascii="Arial" w:cs="Arial" w:eastAsia="Arial" w:hAnsi="Arial"/>
          <w:sz w:val="18"/>
          <w:szCs w:val="18"/>
          <w:color w:val="auto"/>
        </w:rPr>
      </w:pPr>
    </w:p>
    <w:p>
      <w:pPr>
        <w:ind w:left="460" w:right="420" w:firstLine="443"/>
        <w:spacing w:after="0" w:line="277" w:lineRule="auto"/>
        <w:tabs>
          <w:tab w:leader="none" w:pos="1203"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if the resulting Borrowing is a Eurocurrency Borrowing, the Interest Period therefor after giving effect to such election, which shall be a period contemplated by the definition of the term “Interest Period” and permitted under </w:t>
      </w:r>
      <w:r>
        <w:rPr>
          <w:rFonts w:ascii="Arial" w:cs="Arial" w:eastAsia="Arial" w:hAnsi="Arial"/>
          <w:sz w:val="18"/>
          <w:szCs w:val="18"/>
          <w:u w:val="single" w:color="auto"/>
          <w:color w:val="auto"/>
        </w:rPr>
        <w:t>Section 2.02(d)</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380" w:firstLine="921"/>
        <w:spacing w:after="0" w:line="277" w:lineRule="auto"/>
        <w:tabs>
          <w:tab w:leader="none" w:pos="1168"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Notice by the Administrative Agent to the Lenders</w:t>
      </w:r>
      <w:r>
        <w:rPr>
          <w:rFonts w:ascii="Arial" w:cs="Arial" w:eastAsia="Arial" w:hAnsi="Arial"/>
          <w:sz w:val="18"/>
          <w:szCs w:val="18"/>
          <w:color w:val="auto"/>
        </w:rPr>
        <w:t>. Promptly following receipt of an Interest Election Request, the Administrative Agent shall advise each applicable Lender of the details thereof and of such Lender’s portion of each resulting Borrowing.</w:t>
      </w:r>
    </w:p>
    <w:p>
      <w:pPr>
        <w:spacing w:after="0" w:line="62" w:lineRule="exact"/>
        <w:rPr>
          <w:rFonts w:ascii="Arial" w:cs="Arial" w:eastAsia="Arial" w:hAnsi="Arial"/>
          <w:sz w:val="18"/>
          <w:szCs w:val="18"/>
          <w:color w:val="auto"/>
        </w:rPr>
      </w:pPr>
    </w:p>
    <w:p>
      <w:pPr>
        <w:ind w:right="340" w:firstLine="921"/>
        <w:spacing w:after="0" w:line="279" w:lineRule="auto"/>
        <w:tabs>
          <w:tab w:leader="none" w:pos="1157" w:val="left"/>
        </w:tabs>
        <w:numPr>
          <w:ilvl w:val="1"/>
          <w:numId w:val="83"/>
        </w:numPr>
        <w:rPr>
          <w:rFonts w:ascii="Arial" w:cs="Arial" w:eastAsia="Arial" w:hAnsi="Arial"/>
          <w:sz w:val="17"/>
          <w:szCs w:val="17"/>
          <w:color w:val="auto"/>
        </w:rPr>
      </w:pPr>
      <w:r>
        <w:rPr>
          <w:rFonts w:ascii="Arial" w:cs="Arial" w:eastAsia="Arial" w:hAnsi="Arial"/>
          <w:sz w:val="17"/>
          <w:szCs w:val="17"/>
          <w:u w:val="single" w:color="auto"/>
          <w:color w:val="auto"/>
        </w:rPr>
        <w:t>Failure to Elect; Events of Default</w:t>
      </w:r>
      <w:r>
        <w:rPr>
          <w:rFonts w:ascii="Arial" w:cs="Arial" w:eastAsia="Arial" w:hAnsi="Arial"/>
          <w:sz w:val="17"/>
          <w:szCs w:val="17"/>
          <w:color w:val="auto"/>
        </w:rPr>
        <w:t>. If the Borrower fails to deliver a timely and complete Interest Election Request with respect to a Eurocurrency Borrowing prior to the end of the Interest Period therefor, then, unless such Borrowing is repaid as provided herein, (i) if such Borrowing is denominated in Dollars, at the end of such Interest Period such Borrowing shall be converted to a Syndicated Eurocurrency Borrowing of the same Class having an Interest Period of one month, and (ii) if such Borrowing is denominated in a Foreign</w:t>
      </w:r>
    </w:p>
    <w:p>
      <w:pPr>
        <w:spacing w:after="0" w:line="104"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31" w:name="page132"/>
    <w:bookmarkEnd w:id="131"/>
    <w:p>
      <w:pPr>
        <w:ind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Currency, the Borrower shall be deemed to have selected an Interest Period of one month’s duration. Notwithstanding any contrary provision hereof, if an Event of Default has occurred and is continuing and the Administrative Agent, at the request of the Required Lenders, so notifies the Borrower, (i) any Eurocurrency Borrowing denominated in Dollars shall, at the end of the applicable Interest Period for such Eurocurrency Borrowing, be automatically converted to an ABR Borrowing and (ii) any Eurocurrency Borrowing denominated in a Foreign Currency shall not have an Interest Period of more than one month’s duration.</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Termination, Reduction or Increase of the Commitments</w:t>
      </w:r>
      <w:r>
        <w:rPr>
          <w:rFonts w:ascii="Arial" w:cs="Arial" w:eastAsia="Arial" w:hAnsi="Arial"/>
          <w:sz w:val="18"/>
          <w:szCs w:val="18"/>
          <w:color w:val="auto"/>
        </w:rPr>
        <w:t>.</w:t>
      </w:r>
    </w:p>
    <w:p>
      <w:pPr>
        <w:spacing w:after="0" w:line="117" w:lineRule="exact"/>
        <w:rPr>
          <w:sz w:val="20"/>
          <w:szCs w:val="20"/>
          <w:color w:val="auto"/>
        </w:rPr>
      </w:pPr>
    </w:p>
    <w:p>
      <w:pPr>
        <w:ind w:left="1160" w:hanging="239"/>
        <w:spacing w:after="0"/>
        <w:tabs>
          <w:tab w:leader="none" w:pos="1160" w:val="left"/>
        </w:tabs>
        <w:numPr>
          <w:ilvl w:val="1"/>
          <w:numId w:val="84"/>
        </w:numPr>
        <w:rPr>
          <w:rFonts w:ascii="Arial" w:cs="Arial" w:eastAsia="Arial" w:hAnsi="Arial"/>
          <w:sz w:val="16"/>
          <w:szCs w:val="16"/>
          <w:color w:val="auto"/>
        </w:rPr>
      </w:pPr>
      <w:r>
        <w:rPr>
          <w:rFonts w:ascii="Arial" w:cs="Arial" w:eastAsia="Arial" w:hAnsi="Arial"/>
          <w:sz w:val="16"/>
          <w:szCs w:val="16"/>
          <w:u w:val="single" w:color="auto"/>
          <w:color w:val="auto"/>
        </w:rPr>
        <w:t>Scheduled Termination</w:t>
      </w:r>
      <w:r>
        <w:rPr>
          <w:rFonts w:ascii="Arial" w:cs="Arial" w:eastAsia="Arial" w:hAnsi="Arial"/>
          <w:sz w:val="16"/>
          <w:szCs w:val="16"/>
          <w:color w:val="auto"/>
        </w:rPr>
        <w:t>. Unless previously terminated, the Commitments of each Class shall terminate on the Commitment Termination Date.</w:t>
      </w:r>
    </w:p>
    <w:p>
      <w:pPr>
        <w:spacing w:after="0" w:line="140" w:lineRule="exact"/>
        <w:rPr>
          <w:rFonts w:ascii="Arial" w:cs="Arial" w:eastAsia="Arial" w:hAnsi="Arial"/>
          <w:sz w:val="16"/>
          <w:szCs w:val="16"/>
          <w:color w:val="auto"/>
        </w:rPr>
      </w:pPr>
    </w:p>
    <w:p>
      <w:pPr>
        <w:jc w:val="both"/>
        <w:ind w:right="20" w:firstLine="921"/>
        <w:spacing w:after="0" w:line="255" w:lineRule="auto"/>
        <w:tabs>
          <w:tab w:leader="none" w:pos="1168"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Voluntary Termination or Reduction</w:t>
      </w:r>
      <w:r>
        <w:rPr>
          <w:rFonts w:ascii="Arial" w:cs="Arial" w:eastAsia="Arial" w:hAnsi="Arial"/>
          <w:sz w:val="18"/>
          <w:szCs w:val="18"/>
          <w:color w:val="auto"/>
        </w:rPr>
        <w:t xml:space="preserve">. The Borrower may at any time terminate, or from time to time reduce, the Commitments of either Class;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each reduction of the Commitments of a Class shall be in an amount that is $10,000,000 (or, if less, the entire amount of the Commitments of such Class) or a larger multiple of $5,000,000 in excess thereof and (ii) the Borrower shall not terminate or reduce the Commitments of either Class if, after giving effect to any concurrent prepayment of the Syndicated Loans of such Class in accordance with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the total Revolving Credit Exposures of such Class would exceed the total Commitments of such Class. Any such reduction of the Commitments below the principal amount of the Swingline Loans permitted under </w:t>
      </w:r>
      <w:r>
        <w:rPr>
          <w:rFonts w:ascii="Arial" w:cs="Arial" w:eastAsia="Arial" w:hAnsi="Arial"/>
          <w:sz w:val="18"/>
          <w:szCs w:val="18"/>
          <w:u w:val="single" w:color="auto"/>
          <w:color w:val="auto"/>
        </w:rPr>
        <w:t>Section 2.04(a)(i)</w:t>
      </w:r>
      <w:r>
        <w:rPr>
          <w:rFonts w:ascii="Arial" w:cs="Arial" w:eastAsia="Arial" w:hAnsi="Arial"/>
          <w:sz w:val="18"/>
          <w:szCs w:val="18"/>
          <w:color w:val="auto"/>
        </w:rPr>
        <w:t xml:space="preserve"> and the Letters of Credit permitted under </w:t>
      </w:r>
      <w:r>
        <w:rPr>
          <w:rFonts w:ascii="Arial" w:cs="Arial" w:eastAsia="Arial" w:hAnsi="Arial"/>
          <w:sz w:val="18"/>
          <w:szCs w:val="18"/>
          <w:u w:val="single" w:color="auto"/>
          <w:color w:val="auto"/>
        </w:rPr>
        <w:t>Section 2.05(c)(i)</w:t>
      </w:r>
      <w:r>
        <w:rPr>
          <w:rFonts w:ascii="Arial" w:cs="Arial" w:eastAsia="Arial" w:hAnsi="Arial"/>
          <w:sz w:val="18"/>
          <w:szCs w:val="18"/>
          <w:color w:val="auto"/>
        </w:rPr>
        <w:t xml:space="preserve"> shall result in a dollar-for-dollar reduction of such amounts as applicable.</w:t>
      </w:r>
    </w:p>
    <w:p>
      <w:pPr>
        <w:spacing w:after="0" w:line="81" w:lineRule="exact"/>
        <w:rPr>
          <w:rFonts w:ascii="Arial" w:cs="Arial" w:eastAsia="Arial" w:hAnsi="Arial"/>
          <w:sz w:val="18"/>
          <w:szCs w:val="18"/>
          <w:color w:val="auto"/>
        </w:rPr>
      </w:pPr>
    </w:p>
    <w:p>
      <w:pPr>
        <w:ind w:right="80" w:firstLine="921"/>
        <w:spacing w:after="0" w:line="293" w:lineRule="auto"/>
        <w:tabs>
          <w:tab w:leader="none" w:pos="1157" w:val="left"/>
        </w:tabs>
        <w:numPr>
          <w:ilvl w:val="1"/>
          <w:numId w:val="84"/>
        </w:numPr>
        <w:rPr>
          <w:rFonts w:ascii="Arial" w:cs="Arial" w:eastAsia="Arial" w:hAnsi="Arial"/>
          <w:sz w:val="16"/>
          <w:szCs w:val="16"/>
          <w:color w:val="auto"/>
        </w:rPr>
      </w:pPr>
      <w:r>
        <w:rPr>
          <w:rFonts w:ascii="Arial" w:cs="Arial" w:eastAsia="Arial" w:hAnsi="Arial"/>
          <w:sz w:val="16"/>
          <w:szCs w:val="16"/>
          <w:u w:val="single" w:color="auto"/>
          <w:color w:val="auto"/>
        </w:rPr>
        <w:t>Notice of Voluntary Termination or Reduction</w:t>
      </w:r>
      <w:r>
        <w:rPr>
          <w:rFonts w:ascii="Arial" w:cs="Arial" w:eastAsia="Arial" w:hAnsi="Arial"/>
          <w:sz w:val="16"/>
          <w:szCs w:val="16"/>
          <w:color w:val="auto"/>
        </w:rPr>
        <w:t xml:space="preserve">. The Borrower shall notify the Administrative Agent of any election to terminate or reduce the Commitments under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at least three Business Days prior to the effective date of such termination or reduction, specifying such election and the effective date thereof. Promptly following receipt of any notice, the Administrative Agent shall advise the applicable Lenders of the contents thereof. Each notice delivered by the Borrower pursuant to this Section shall be irrevocable;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notice of termination of the Commitments of a Class delivered by the Borrower may state that such notice is conditioned upon the effectiveness of other credit facilities, in which case such notice may be revoked by the Borrower (by notice to the Administrative Agent on or prior to the specified effective date) if such condition is not satisfied.</w:t>
      </w:r>
    </w:p>
    <w:p>
      <w:pPr>
        <w:spacing w:after="0" w:line="56" w:lineRule="exact"/>
        <w:rPr>
          <w:rFonts w:ascii="Arial" w:cs="Arial" w:eastAsia="Arial" w:hAnsi="Arial"/>
          <w:sz w:val="16"/>
          <w:szCs w:val="16"/>
          <w:color w:val="auto"/>
        </w:rPr>
      </w:pPr>
    </w:p>
    <w:p>
      <w:pPr>
        <w:ind w:right="200" w:firstLine="921"/>
        <w:spacing w:after="0" w:line="308" w:lineRule="auto"/>
        <w:tabs>
          <w:tab w:leader="none" w:pos="1168" w:val="left"/>
        </w:tabs>
        <w:numPr>
          <w:ilvl w:val="1"/>
          <w:numId w:val="84"/>
        </w:numPr>
        <w:rPr>
          <w:rFonts w:ascii="Arial" w:cs="Arial" w:eastAsia="Arial" w:hAnsi="Arial"/>
          <w:sz w:val="17"/>
          <w:szCs w:val="17"/>
          <w:color w:val="auto"/>
        </w:rPr>
      </w:pPr>
      <w:r>
        <w:rPr>
          <w:rFonts w:ascii="Arial" w:cs="Arial" w:eastAsia="Arial" w:hAnsi="Arial"/>
          <w:sz w:val="17"/>
          <w:szCs w:val="17"/>
          <w:u w:val="single" w:color="auto"/>
          <w:color w:val="auto"/>
        </w:rPr>
        <w:t>Effect of Termination or Reduction</w:t>
      </w:r>
      <w:r>
        <w:rPr>
          <w:rFonts w:ascii="Arial" w:cs="Arial" w:eastAsia="Arial" w:hAnsi="Arial"/>
          <w:sz w:val="17"/>
          <w:szCs w:val="17"/>
          <w:color w:val="auto"/>
        </w:rPr>
        <w:t>. Any termination or reduction of the Commitments of a Class shall be permanent. Each reduction of the Commitments of a Class shall be made ratably among the Lenders of such Class in accordance with their respective Commitments.</w:t>
      </w:r>
    </w:p>
    <w:p>
      <w:pPr>
        <w:spacing w:after="0" w:line="38" w:lineRule="exact"/>
        <w:rPr>
          <w:rFonts w:ascii="Arial" w:cs="Arial" w:eastAsia="Arial" w:hAnsi="Arial"/>
          <w:sz w:val="17"/>
          <w:szCs w:val="17"/>
          <w:color w:val="auto"/>
        </w:rPr>
      </w:pPr>
    </w:p>
    <w:p>
      <w:pPr>
        <w:ind w:left="1160" w:hanging="239"/>
        <w:spacing w:after="0"/>
        <w:tabs>
          <w:tab w:leader="none" w:pos="1160"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Increase of the Commitments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300" w:firstLine="443"/>
        <w:spacing w:after="0" w:line="264" w:lineRule="auto"/>
        <w:tabs>
          <w:tab w:leader="none" w:pos="1113"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Requests for Increase by Borrower</w:t>
      </w:r>
      <w:r>
        <w:rPr>
          <w:rFonts w:ascii="Arial" w:cs="Arial" w:eastAsia="Arial" w:hAnsi="Arial"/>
          <w:sz w:val="18"/>
          <w:szCs w:val="18"/>
          <w:color w:val="auto"/>
        </w:rPr>
        <w:t>. The Borrower may, at any time, request that the Commitments hereunder of a Class be increased (each such proposed increase being a “</w:t>
      </w:r>
      <w:r>
        <w:rPr>
          <w:rFonts w:ascii="Arial" w:cs="Arial" w:eastAsia="Arial" w:hAnsi="Arial"/>
          <w:sz w:val="18"/>
          <w:szCs w:val="18"/>
          <w:u w:val="single" w:color="auto"/>
          <w:color w:val="auto"/>
        </w:rPr>
        <w:t>Commitment Increase</w:t>
      </w:r>
      <w:r>
        <w:rPr>
          <w:rFonts w:ascii="Arial" w:cs="Arial" w:eastAsia="Arial" w:hAnsi="Arial"/>
          <w:sz w:val="18"/>
          <w:szCs w:val="18"/>
          <w:color w:val="auto"/>
        </w:rPr>
        <w:t>”), upon notice to the Administrative Agent (who shall promptly notify the Lenders), which notice shall specify each existing Lender (each</w:t>
      </w:r>
    </w:p>
    <w:p>
      <w:pPr>
        <w:spacing w:after="0" w:line="114"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32" w:name="page133"/>
    <w:bookmarkEnd w:id="132"/>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w:t>
      </w:r>
      <w:r>
        <w:rPr>
          <w:rFonts w:ascii="Arial" w:cs="Arial" w:eastAsia="Arial" w:hAnsi="Arial"/>
          <w:sz w:val="18"/>
          <w:szCs w:val="18"/>
          <w:u w:val="single" w:color="auto"/>
          <w:color w:val="auto"/>
        </w:rPr>
        <w:t>Increasing Lender</w:t>
      </w:r>
      <w:r>
        <w:rPr>
          <w:rFonts w:ascii="Arial" w:cs="Arial" w:eastAsia="Arial" w:hAnsi="Arial"/>
          <w:sz w:val="18"/>
          <w:szCs w:val="18"/>
          <w:color w:val="auto"/>
        </w:rPr>
        <w:t>”) and/or each additional lender (each an “</w:t>
      </w:r>
      <w:r>
        <w:rPr>
          <w:rFonts w:ascii="Arial" w:cs="Arial" w:eastAsia="Arial" w:hAnsi="Arial"/>
          <w:sz w:val="18"/>
          <w:szCs w:val="18"/>
          <w:u w:val="single" w:color="auto"/>
          <w:color w:val="auto"/>
        </w:rPr>
        <w:t>Assuming Lender</w:t>
      </w:r>
      <w:r>
        <w:rPr>
          <w:rFonts w:ascii="Arial" w:cs="Arial" w:eastAsia="Arial" w:hAnsi="Arial"/>
          <w:sz w:val="18"/>
          <w:szCs w:val="18"/>
          <w:color w:val="auto"/>
        </w:rPr>
        <w:t>”) that shall have agreed to an additional Commitment and the date on which such increase is to be effective (the “</w:t>
      </w:r>
      <w:r>
        <w:rPr>
          <w:rFonts w:ascii="Arial" w:cs="Arial" w:eastAsia="Arial" w:hAnsi="Arial"/>
          <w:sz w:val="18"/>
          <w:szCs w:val="18"/>
          <w:u w:val="single" w:color="auto"/>
          <w:color w:val="auto"/>
        </w:rPr>
        <w:t>Commitment Increase Date</w:t>
      </w:r>
      <w:r>
        <w:rPr>
          <w:rFonts w:ascii="Arial" w:cs="Arial" w:eastAsia="Arial" w:hAnsi="Arial"/>
          <w:sz w:val="18"/>
          <w:szCs w:val="18"/>
          <w:color w:val="auto"/>
        </w:rPr>
        <w:t xml:space="preserve">”), which shall be a Business Day at least three Business Days (or such lesser period as the Administrative Agent may reasonably agree) after delivery of such notice and 30 days prior to the Commitment Termination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79" w:lineRule="exact"/>
        <w:rPr>
          <w:sz w:val="20"/>
          <w:szCs w:val="20"/>
          <w:color w:val="auto"/>
        </w:rPr>
      </w:pPr>
    </w:p>
    <w:p>
      <w:pPr>
        <w:jc w:val="both"/>
        <w:ind w:left="460" w:right="220" w:firstLine="421"/>
        <w:spacing w:after="0" w:line="264" w:lineRule="auto"/>
        <w:tabs>
          <w:tab w:leader="none" w:pos="1175"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minimum amount of the Commitment of any Assuming Lender, and the minimum amount of the increase of the Commitment of any Increasing Lender, as part of such Commitment Increase shall be $10,000,000 or a larger multiple of $5,000,000 in excess thereof (or such lesser amount as the Administrative Agent may reasonably agree);</w:t>
      </w:r>
    </w:p>
    <w:p>
      <w:pPr>
        <w:spacing w:after="0" w:line="73" w:lineRule="exact"/>
        <w:rPr>
          <w:rFonts w:ascii="Arial" w:cs="Arial" w:eastAsia="Arial" w:hAnsi="Arial"/>
          <w:sz w:val="18"/>
          <w:szCs w:val="18"/>
          <w:color w:val="auto"/>
        </w:rPr>
      </w:pPr>
    </w:p>
    <w:p>
      <w:pPr>
        <w:ind w:left="460" w:right="160" w:firstLine="421"/>
        <w:spacing w:after="0" w:line="277" w:lineRule="auto"/>
        <w:tabs>
          <w:tab w:leader="none" w:pos="1165" w:val="left"/>
        </w:tabs>
        <w:numPr>
          <w:ilvl w:val="1"/>
          <w:numId w:val="86"/>
        </w:numPr>
        <w:rPr>
          <w:rFonts w:ascii="Arial" w:cs="Arial" w:eastAsia="Arial" w:hAnsi="Arial"/>
          <w:sz w:val="18"/>
          <w:szCs w:val="18"/>
          <w:color w:val="auto"/>
        </w:rPr>
      </w:pPr>
      <w:r>
        <w:rPr>
          <w:rFonts w:ascii="Arial" w:cs="Arial" w:eastAsia="Arial" w:hAnsi="Arial"/>
          <w:sz w:val="18"/>
          <w:szCs w:val="18"/>
          <w:color w:val="auto"/>
        </w:rPr>
        <w:t>immediately after giving effect to such Commitment Increase, the total Commitments of all of the Lenders hereunder shall not exceed $956,250,000;</w:t>
      </w:r>
    </w:p>
    <w:p>
      <w:pPr>
        <w:spacing w:after="0" w:line="62" w:lineRule="exact"/>
        <w:rPr>
          <w:rFonts w:ascii="Arial" w:cs="Arial" w:eastAsia="Arial" w:hAnsi="Arial"/>
          <w:sz w:val="18"/>
          <w:szCs w:val="18"/>
          <w:color w:val="auto"/>
        </w:rPr>
      </w:pPr>
    </w:p>
    <w:p>
      <w:pPr>
        <w:ind w:left="460" w:right="220" w:firstLine="421"/>
        <w:spacing w:after="0" w:line="277" w:lineRule="auto"/>
        <w:tabs>
          <w:tab w:leader="none" w:pos="1165" w:val="left"/>
        </w:tabs>
        <w:numPr>
          <w:ilvl w:val="1"/>
          <w:numId w:val="86"/>
        </w:numPr>
        <w:rPr>
          <w:rFonts w:ascii="Arial" w:cs="Arial" w:eastAsia="Arial" w:hAnsi="Arial"/>
          <w:sz w:val="18"/>
          <w:szCs w:val="18"/>
          <w:color w:val="auto"/>
        </w:rPr>
      </w:pPr>
      <w:r>
        <w:rPr>
          <w:rFonts w:ascii="Arial" w:cs="Arial" w:eastAsia="Arial" w:hAnsi="Arial"/>
          <w:sz w:val="18"/>
          <w:szCs w:val="18"/>
          <w:color w:val="auto"/>
        </w:rPr>
        <w:t>each Assuming Lender shall be consented to by the Administrative Agent and the Issuing Bank (such consent not to be unreasonably withheld);</w:t>
      </w:r>
    </w:p>
    <w:p>
      <w:pPr>
        <w:spacing w:after="0" w:line="62" w:lineRule="exact"/>
        <w:rPr>
          <w:rFonts w:ascii="Arial" w:cs="Arial" w:eastAsia="Arial" w:hAnsi="Arial"/>
          <w:sz w:val="18"/>
          <w:szCs w:val="18"/>
          <w:color w:val="auto"/>
        </w:rPr>
      </w:pPr>
    </w:p>
    <w:p>
      <w:pPr>
        <w:ind w:left="460" w:right="240" w:firstLine="421"/>
        <w:spacing w:after="0" w:line="277" w:lineRule="auto"/>
        <w:tabs>
          <w:tab w:leader="none" w:pos="1175" w:val="left"/>
        </w:tabs>
        <w:numPr>
          <w:ilvl w:val="1"/>
          <w:numId w:val="86"/>
        </w:numPr>
        <w:rPr>
          <w:rFonts w:ascii="Arial" w:cs="Arial" w:eastAsia="Arial" w:hAnsi="Arial"/>
          <w:sz w:val="18"/>
          <w:szCs w:val="18"/>
          <w:color w:val="auto"/>
        </w:rPr>
      </w:pPr>
      <w:r>
        <w:rPr>
          <w:rFonts w:ascii="Arial" w:cs="Arial" w:eastAsia="Arial" w:hAnsi="Arial"/>
          <w:sz w:val="18"/>
          <w:szCs w:val="18"/>
          <w:color w:val="auto"/>
        </w:rPr>
        <w:t>no Default shall have occurred and be continuing on such Commitment Increase Date or shall result from the proposed Commitment Increase; and</w:t>
      </w:r>
    </w:p>
    <w:p>
      <w:pPr>
        <w:spacing w:after="0" w:line="62" w:lineRule="exact"/>
        <w:rPr>
          <w:rFonts w:ascii="Arial" w:cs="Arial" w:eastAsia="Arial" w:hAnsi="Arial"/>
          <w:sz w:val="18"/>
          <w:szCs w:val="18"/>
          <w:color w:val="auto"/>
        </w:rPr>
      </w:pPr>
    </w:p>
    <w:p>
      <w:pPr>
        <w:ind w:left="460" w:right="80" w:firstLine="421"/>
        <w:spacing w:after="0" w:line="259" w:lineRule="auto"/>
        <w:tabs>
          <w:tab w:leader="none" w:pos="1155"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representations and warranties contained in this Agreement shall be true and correct in all material respects (or, in the case of any portion of the representations and warranties already subject to a materiality qualifier, true and correct in all respects) on and as of the Commitment Increase Date as if made on and as of such date (or, if any such representation or warranty is expressly stated to have been made as of a specific date, as of such specific date).</w:t>
      </w:r>
    </w:p>
    <w:p>
      <w:pPr>
        <w:spacing w:after="0" w:line="78" w:lineRule="exact"/>
        <w:rPr>
          <w:rFonts w:ascii="Arial" w:cs="Arial" w:eastAsia="Arial" w:hAnsi="Arial"/>
          <w:sz w:val="18"/>
          <w:szCs w:val="18"/>
          <w:color w:val="auto"/>
        </w:rPr>
      </w:pPr>
    </w:p>
    <w:p>
      <w:pPr>
        <w:ind w:right="120" w:firstLine="443"/>
        <w:spacing w:after="0" w:line="264" w:lineRule="auto"/>
        <w:tabs>
          <w:tab w:leader="none" w:pos="703"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Effectiveness of Commitment Increase by Borrower</w:t>
      </w:r>
      <w:r>
        <w:rPr>
          <w:rFonts w:ascii="Arial" w:cs="Arial" w:eastAsia="Arial" w:hAnsi="Arial"/>
          <w:sz w:val="18"/>
          <w:szCs w:val="18"/>
          <w:color w:val="auto"/>
        </w:rPr>
        <w:t xml:space="preserve">. An Assuming Lender, if any, shall become a Lender hereunder as of such Commitment Increase Date and the Commitment of the respective Class of any Increasing Lender and such Assuming Lender shall be increased as of such Commitment Increase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73" w:lineRule="exact"/>
        <w:rPr>
          <w:sz w:val="20"/>
          <w:szCs w:val="20"/>
          <w:color w:val="auto"/>
        </w:rPr>
      </w:pPr>
    </w:p>
    <w:p>
      <w:pPr>
        <w:ind w:left="460" w:right="200" w:firstLine="421"/>
        <w:spacing w:after="0" w:line="312" w:lineRule="auto"/>
        <w:tabs>
          <w:tab w:leader="none" w:pos="1135"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the Administrative Agent shall have received on or prior to 11:00 a.m., Atlanta, Georgia time, on such Commitment Increase Date (or on or prior to a time on an earlier date specified by the Administrative Agent) a certificate of a duly authorized officer of the Borrower stating that each of the applicable conditions to such Commitment Increase set forth in the foregoing </w:t>
      </w:r>
      <w:r>
        <w:rPr>
          <w:rFonts w:ascii="Arial" w:cs="Arial" w:eastAsia="Arial" w:hAnsi="Arial"/>
          <w:sz w:val="16"/>
          <w:szCs w:val="16"/>
          <w:u w:val="single" w:color="auto"/>
          <w:color w:val="auto"/>
        </w:rPr>
        <w:t>paragraph (i)</w:t>
      </w:r>
      <w:r>
        <w:rPr>
          <w:rFonts w:ascii="Arial" w:cs="Arial" w:eastAsia="Arial" w:hAnsi="Arial"/>
          <w:sz w:val="16"/>
          <w:szCs w:val="16"/>
          <w:color w:val="auto"/>
        </w:rPr>
        <w:t xml:space="preserve"> has been satisfied; and</w:t>
      </w:r>
    </w:p>
    <w:p>
      <w:pPr>
        <w:spacing w:after="0" w:line="38" w:lineRule="exact"/>
        <w:rPr>
          <w:rFonts w:ascii="Arial" w:cs="Arial" w:eastAsia="Arial" w:hAnsi="Arial"/>
          <w:sz w:val="16"/>
          <w:szCs w:val="16"/>
          <w:color w:val="auto"/>
        </w:rPr>
      </w:pPr>
    </w:p>
    <w:p>
      <w:pPr>
        <w:ind w:left="460" w:right="580" w:firstLine="421"/>
        <w:spacing w:after="0" w:line="264" w:lineRule="auto"/>
        <w:tabs>
          <w:tab w:leader="none" w:pos="1135" w:val="left"/>
        </w:tabs>
        <w:numPr>
          <w:ilvl w:val="0"/>
          <w:numId w:val="88"/>
        </w:numPr>
        <w:rPr>
          <w:rFonts w:ascii="Arial" w:cs="Arial" w:eastAsia="Arial" w:hAnsi="Arial"/>
          <w:sz w:val="18"/>
          <w:szCs w:val="18"/>
          <w:color w:val="auto"/>
        </w:rPr>
      </w:pPr>
      <w:r>
        <w:rPr>
          <w:rFonts w:ascii="Arial" w:cs="Arial" w:eastAsia="Arial" w:hAnsi="Arial"/>
          <w:sz w:val="18"/>
          <w:szCs w:val="18"/>
          <w:color w:val="auto"/>
        </w:rPr>
        <w:t>each Assuming Lender or Increasing Lender shall have delivered to the Administrative Agent, on or prior to 11:00 a.m., Atlanta, Georgia time on such Commitment Increase Date (or on or prior to a time on an earlier date specified by the Administrative Agent), an agreement, in form and substance</w:t>
      </w:r>
    </w:p>
    <w:p>
      <w:pPr>
        <w:spacing w:after="0" w:line="114" w:lineRule="exact"/>
        <w:rPr>
          <w:sz w:val="20"/>
          <w:szCs w:val="20"/>
          <w:color w:val="auto"/>
        </w:rPr>
      </w:pPr>
    </w:p>
    <w:p>
      <w:pPr>
        <w:jc w:val="both"/>
        <w:ind w:left="5400"/>
        <w:spacing w:after="0"/>
        <w:tabs>
          <w:tab w:leader="none" w:pos="89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960"/>
          </w:cols>
          <w:pgMar w:left="700" w:top="274" w:right="239" w:bottom="1440" w:gutter="0" w:footer="0" w:header="0"/>
        </w:sectPr>
      </w:pPr>
    </w:p>
    <w:bookmarkStart w:id="133" w:name="page134"/>
    <w:bookmarkEnd w:id="133"/>
    <w:p>
      <w:pPr>
        <w:ind w:left="460"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satisfactory to the Borrower and the Administrative Agent, pursuant to which such Lender shall, effective as of such Commitment Increase Date, undertake a Commitment or an increase of Commitment in each case of the respective Class, duly executed by such Assuming Lender or Increasing Lender, as applicable, and the Borrower and acknowledged by the Administrative Agent.</w:t>
      </w:r>
    </w:p>
    <w:p>
      <w:pPr>
        <w:spacing w:after="0" w:line="73" w:lineRule="exact"/>
        <w:rPr>
          <w:sz w:val="20"/>
          <w:szCs w:val="20"/>
          <w:color w:val="auto"/>
        </w:rPr>
      </w:pPr>
    </w:p>
    <w:p>
      <w:pPr>
        <w:ind w:right="780"/>
        <w:spacing w:after="0" w:line="342" w:lineRule="auto"/>
        <w:rPr>
          <w:sz w:val="20"/>
          <w:szCs w:val="20"/>
          <w:color w:val="auto"/>
        </w:rPr>
      </w:pPr>
      <w:r>
        <w:rPr>
          <w:rFonts w:ascii="Arial" w:cs="Arial" w:eastAsia="Arial" w:hAnsi="Arial"/>
          <w:sz w:val="16"/>
          <w:szCs w:val="16"/>
          <w:color w:val="auto"/>
        </w:rPr>
        <w:t>Promptly following satisfaction of such conditions, the Administrative Agent shall notify the Lenders of such Class (including any Assuming Lenders) thereof and of the occurrence of the Commitment Increase Date by facsimile transmission or electronic messaging system.</w:t>
      </w:r>
    </w:p>
    <w:p>
      <w:pPr>
        <w:spacing w:after="0" w:line="16" w:lineRule="exact"/>
        <w:rPr>
          <w:sz w:val="20"/>
          <w:szCs w:val="20"/>
          <w:color w:val="auto"/>
        </w:rPr>
      </w:pPr>
    </w:p>
    <w:p>
      <w:pPr>
        <w:ind w:right="160" w:firstLine="443"/>
        <w:spacing w:after="0" w:line="312" w:lineRule="auto"/>
        <w:tabs>
          <w:tab w:leader="none" w:pos="753"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t>Recordation into Register</w:t>
      </w:r>
      <w:r>
        <w:rPr>
          <w:rFonts w:ascii="Arial" w:cs="Arial" w:eastAsia="Arial" w:hAnsi="Arial"/>
          <w:sz w:val="16"/>
          <w:szCs w:val="16"/>
          <w:color w:val="auto"/>
        </w:rPr>
        <w:t xml:space="preserve">. Upon its receipt of an agreement referred to in </w:t>
      </w:r>
      <w:r>
        <w:rPr>
          <w:rFonts w:ascii="Arial" w:cs="Arial" w:eastAsia="Arial" w:hAnsi="Arial"/>
          <w:sz w:val="16"/>
          <w:szCs w:val="16"/>
          <w:u w:val="single" w:color="auto"/>
          <w:color w:val="auto"/>
        </w:rPr>
        <w:t>clause (ii)(y)</w:t>
      </w:r>
      <w:r>
        <w:rPr>
          <w:rFonts w:ascii="Arial" w:cs="Arial" w:eastAsia="Arial" w:hAnsi="Arial"/>
          <w:sz w:val="16"/>
          <w:szCs w:val="16"/>
          <w:color w:val="auto"/>
        </w:rPr>
        <w:t xml:space="preserve"> above executed by an Assuming Lender or any Increasing Lender, together with the certificate referred to in </w:t>
      </w:r>
      <w:r>
        <w:rPr>
          <w:rFonts w:ascii="Arial" w:cs="Arial" w:eastAsia="Arial" w:hAnsi="Arial"/>
          <w:sz w:val="16"/>
          <w:szCs w:val="16"/>
          <w:u w:val="single" w:color="auto"/>
          <w:color w:val="auto"/>
        </w:rPr>
        <w:t>clause (ii)(x)</w:t>
      </w:r>
      <w:r>
        <w:rPr>
          <w:rFonts w:ascii="Arial" w:cs="Arial" w:eastAsia="Arial" w:hAnsi="Arial"/>
          <w:sz w:val="16"/>
          <w:szCs w:val="16"/>
          <w:color w:val="auto"/>
        </w:rPr>
        <w:t xml:space="preserve"> above, the Administrative Agent shall, if such agreement has been completed, (x) accept such agreement, (y) record the information contained therein in the Register and (z) give prompt notice thereof to the Borrower.</w:t>
      </w:r>
    </w:p>
    <w:p>
      <w:pPr>
        <w:spacing w:after="0" w:line="38" w:lineRule="exact"/>
        <w:rPr>
          <w:rFonts w:ascii="Arial" w:cs="Arial" w:eastAsia="Arial" w:hAnsi="Arial"/>
          <w:sz w:val="16"/>
          <w:szCs w:val="16"/>
          <w:color w:val="auto"/>
        </w:rPr>
      </w:pPr>
    </w:p>
    <w:p>
      <w:pPr>
        <w:ind w:right="80" w:firstLine="443"/>
        <w:spacing w:after="0" w:line="270" w:lineRule="auto"/>
        <w:tabs>
          <w:tab w:leader="none" w:pos="743"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Adjustments of Borrowings upon Effectiveness of Increase</w:t>
      </w:r>
      <w:r>
        <w:rPr>
          <w:rFonts w:ascii="Arial" w:cs="Arial" w:eastAsia="Arial" w:hAnsi="Arial"/>
          <w:sz w:val="17"/>
          <w:szCs w:val="17"/>
          <w:color w:val="auto"/>
        </w:rPr>
        <w:t xml:space="preserve">. On the Commitment Increase Date, the Borrower shall (A) prepay the outstanding Loans (if any) of the affected Class in full, (B) simultaneously borrow new Loans of such Class hereunder in an amount equal to such prepayment;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w:t>
      </w:r>
      <w:r>
        <w:rPr>
          <w:rFonts w:ascii="Arial" w:cs="Arial" w:eastAsia="Arial" w:hAnsi="Arial"/>
          <w:sz w:val="17"/>
          <w:szCs w:val="17"/>
          <w:u w:val="single" w:color="auto"/>
          <w:color w:val="auto"/>
        </w:rPr>
        <w:t>subclauses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(x) the prepayment to, and borrowing from, any existing Lender shall be effected by book entry to the extent that any portion of the amount prepaid to such Lender will be subsequently borrowed from such Lender and (y) the existing Lenders, the Increasing Lenders and the Assuming Lenders shall make and receive payments among themselves, in a manner acceptable to the Administrative Agent, so that, after giving effect thereto, the Loans of such Class are held ratably by the Lenders of such Class in accordance with the respective Commitments of such Class of such Lenders (after giving effect to such Commitment Increase) and (C) pay to the Lenders of such Class the amounts, if any, payable under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as a result of any such prepayment. Concurrently therewith, the Lenders of such Class shall be deemed to have adjusted their participation interests in any outstanding Letters of Credit of such Class so that such interests are held ratably in accordance with their commitments of such Class as so increased.</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Repayment of Loans; Evidence of Debt</w:t>
      </w:r>
      <w:r>
        <w:rPr>
          <w:rFonts w:ascii="Arial" w:cs="Arial" w:eastAsia="Arial" w:hAnsi="Arial"/>
          <w:sz w:val="18"/>
          <w:szCs w:val="18"/>
          <w:color w:val="auto"/>
        </w:rPr>
        <w:t>.</w:t>
      </w:r>
    </w:p>
    <w:p>
      <w:pPr>
        <w:spacing w:after="0" w:line="117" w:lineRule="exact"/>
        <w:rPr>
          <w:sz w:val="20"/>
          <w:szCs w:val="20"/>
          <w:color w:val="auto"/>
        </w:rPr>
      </w:pPr>
    </w:p>
    <w:p>
      <w:pPr>
        <w:ind w:left="700" w:hanging="239"/>
        <w:spacing w:after="0"/>
        <w:tabs>
          <w:tab w:leader="none" w:pos="700"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Repayment</w:t>
      </w:r>
      <w:r>
        <w:rPr>
          <w:rFonts w:ascii="Arial" w:cs="Arial" w:eastAsia="Arial" w:hAnsi="Arial"/>
          <w:sz w:val="18"/>
          <w:szCs w:val="18"/>
          <w:color w:val="auto"/>
        </w:rPr>
        <w:t>. The Borrower hereby unconditionally promises to pay the Loans of each Class as follows:</w:t>
      </w:r>
    </w:p>
    <w:p>
      <w:pPr>
        <w:spacing w:after="0" w:line="117" w:lineRule="exact"/>
        <w:rPr>
          <w:rFonts w:ascii="Arial" w:cs="Arial" w:eastAsia="Arial" w:hAnsi="Arial"/>
          <w:sz w:val="18"/>
          <w:szCs w:val="18"/>
          <w:color w:val="auto"/>
        </w:rPr>
      </w:pPr>
    </w:p>
    <w:p>
      <w:pPr>
        <w:ind w:right="120" w:firstLine="443"/>
        <w:spacing w:after="0" w:line="277" w:lineRule="auto"/>
        <w:tabs>
          <w:tab w:leader="none" w:pos="653" w:val="left"/>
        </w:tabs>
        <w:numPr>
          <w:ilvl w:val="0"/>
          <w:numId w:val="91"/>
        </w:numPr>
        <w:rPr>
          <w:rFonts w:ascii="Arial" w:cs="Arial" w:eastAsia="Arial" w:hAnsi="Arial"/>
          <w:sz w:val="18"/>
          <w:szCs w:val="18"/>
          <w:color w:val="auto"/>
        </w:rPr>
      </w:pPr>
      <w:r>
        <w:rPr>
          <w:rFonts w:ascii="Arial" w:cs="Arial" w:eastAsia="Arial" w:hAnsi="Arial"/>
          <w:sz w:val="18"/>
          <w:szCs w:val="18"/>
          <w:color w:val="auto"/>
        </w:rPr>
        <w:t>to the Administrative Agent for account of the Lenders of such Class the outstanding principal amount of the Syndicated Loans of such Class on the Final Maturity Date; and</w:t>
      </w:r>
    </w:p>
    <w:p>
      <w:pPr>
        <w:spacing w:after="0" w:line="103" w:lineRule="exact"/>
        <w:rPr>
          <w:sz w:val="20"/>
          <w:szCs w:val="20"/>
          <w:color w:val="auto"/>
        </w:rPr>
      </w:pPr>
    </w:p>
    <w:p>
      <w:pPr>
        <w:jc w:val="both"/>
        <w:ind w:left="5400"/>
        <w:spacing w:after="0"/>
        <w:tabs>
          <w:tab w:leader="none" w:pos="890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960"/>
          </w:cols>
          <w:pgMar w:left="700" w:top="274" w:right="239" w:bottom="1440" w:gutter="0" w:footer="0" w:header="0"/>
        </w:sectPr>
      </w:pPr>
    </w:p>
    <w:bookmarkStart w:id="134" w:name="page135"/>
    <w:bookmarkEnd w:id="134"/>
    <w:p>
      <w:pPr>
        <w:ind w:left="460" w:right="100" w:firstLine="443"/>
        <w:spacing w:after="0" w:line="259" w:lineRule="auto"/>
        <w:tabs>
          <w:tab w:leader="none" w:pos="1163" w:val="left"/>
        </w:tabs>
        <w:numPr>
          <w:ilvl w:val="0"/>
          <w:numId w:val="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to the Swingline Lender the then unpaid principal amount of each Swingline Loan of such Class denominated in Dollars, on the earlier of the Commitment Termination Date and the first date after such Swingline Loan is made that is the 15th or last day of a calendar month and is at least ten Business Days after such Swingline Loan is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 each date that a Syndicated Borrowing of such Class is made, the Borrower shall repay all Swingline Loans of such Class then outstanding.</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addition, on the Final Maturity Date, the Borrower shall deposit into the Letter of Credit Collateral Account Cash (denominated in the Currency of the Letter of Credit under which such LC Exposure arises) in an amount equal to 100% of the undrawn face amount of all Letters of Credit outstanding on the close of business on the Commitment Termination Date, such deposit to be held by the Administrative Agent as collateral security for the LC Exposure under this Agreement in respect of the undrawn portion of such Letters of Credit.</w:t>
      </w:r>
    </w:p>
    <w:p>
      <w:pPr>
        <w:spacing w:after="0" w:line="79" w:lineRule="exact"/>
        <w:rPr>
          <w:sz w:val="20"/>
          <w:szCs w:val="20"/>
          <w:color w:val="auto"/>
        </w:rPr>
      </w:pPr>
    </w:p>
    <w:p>
      <w:pPr>
        <w:ind w:right="60" w:firstLine="921"/>
        <w:spacing w:after="0" w:line="291" w:lineRule="auto"/>
        <w:tabs>
          <w:tab w:leader="none" w:pos="1168"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Manner of Payment</w:t>
      </w:r>
      <w:r>
        <w:rPr>
          <w:rFonts w:ascii="Arial" w:cs="Arial" w:eastAsia="Arial" w:hAnsi="Arial"/>
          <w:sz w:val="16"/>
          <w:szCs w:val="16"/>
          <w:color w:val="auto"/>
        </w:rPr>
        <w:t xml:space="preserve">. Prior to any repayment or prepayment of any Borrowings of any Class hereunder, the Borrower shall select the Borrowing or Borrowings of such Class to be paid and shall notify the Administrative Agent by telephone (confirmed by telecopy) of such selection not later than the time set forth in </w:t>
      </w:r>
      <w:r>
        <w:rPr>
          <w:rFonts w:ascii="Arial" w:cs="Arial" w:eastAsia="Arial" w:hAnsi="Arial"/>
          <w:sz w:val="16"/>
          <w:szCs w:val="16"/>
          <w:u w:val="single" w:color="auto"/>
          <w:color w:val="auto"/>
        </w:rPr>
        <w:t>Section 2.10(e)</w:t>
      </w:r>
      <w:r>
        <w:rPr>
          <w:rFonts w:ascii="Arial" w:cs="Arial" w:eastAsia="Arial" w:hAnsi="Arial"/>
          <w:sz w:val="16"/>
          <w:szCs w:val="16"/>
          <w:color w:val="auto"/>
        </w:rPr>
        <w:t xml:space="preserve"> prior to the scheduled date of such repayment;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repayment of Borrowings of a Class shall be applied to repay any outstanding ABR Borrowings of such Class before any other Borrowings of such Class. If the Borrower fails to make a timely selection of the Borrowing or Borrowings to be repaid or prepaid, such payment shall be applied, first, to pay any outstanding ABR Borrowings of the applicable Class and, second, to other Borrowings of such Class in the order of the remaining duration of their respective Interest Periods (the Borrowing with the shortest remaining Interest Period to be repaid first). Each payment of a Syndicated Borrowing shall be applied ratably to the Loans included in such Borrowing.</w:t>
      </w:r>
    </w:p>
    <w:p>
      <w:pPr>
        <w:spacing w:after="0" w:line="59" w:lineRule="exact"/>
        <w:rPr>
          <w:rFonts w:ascii="Arial" w:cs="Arial" w:eastAsia="Arial" w:hAnsi="Arial"/>
          <w:sz w:val="16"/>
          <w:szCs w:val="16"/>
          <w:color w:val="auto"/>
        </w:rPr>
      </w:pPr>
    </w:p>
    <w:p>
      <w:pPr>
        <w:ind w:right="80" w:firstLine="921"/>
        <w:spacing w:after="0" w:line="264" w:lineRule="auto"/>
        <w:tabs>
          <w:tab w:leader="none" w:pos="1157"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Maintenance of Records by Lenders</w:t>
      </w:r>
      <w:r>
        <w:rPr>
          <w:rFonts w:ascii="Arial" w:cs="Arial" w:eastAsia="Arial" w:hAnsi="Arial"/>
          <w:sz w:val="18"/>
          <w:szCs w:val="18"/>
          <w:color w:val="auto"/>
        </w:rPr>
        <w:t>. Each Lender shall maintain in accordance with its usual practice records evidencing the indebtedness of the Borrower to such Lender resulting from each Loan made by such Lender, including the amounts and Currency of principal and interest payable and paid to such Lender from time to time hereunder.</w:t>
      </w:r>
    </w:p>
    <w:p>
      <w:pPr>
        <w:spacing w:after="0" w:line="73" w:lineRule="exact"/>
        <w:rPr>
          <w:rFonts w:ascii="Arial" w:cs="Arial" w:eastAsia="Arial" w:hAnsi="Arial"/>
          <w:sz w:val="18"/>
          <w:szCs w:val="18"/>
          <w:color w:val="auto"/>
        </w:rPr>
      </w:pPr>
    </w:p>
    <w:p>
      <w:pPr>
        <w:ind w:firstLine="921"/>
        <w:spacing w:after="0" w:line="279" w:lineRule="auto"/>
        <w:tabs>
          <w:tab w:leader="none" w:pos="1168"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Maintenance of Records by the Administrative Agent</w:t>
      </w:r>
      <w:r>
        <w:rPr>
          <w:rFonts w:ascii="Arial" w:cs="Arial" w:eastAsia="Arial" w:hAnsi="Arial"/>
          <w:sz w:val="17"/>
          <w:szCs w:val="17"/>
          <w:color w:val="auto"/>
        </w:rPr>
        <w:t>. The Administrative Agent shall maintain records in which it shall record (i) the amount and Currency of each Loan made hereunder, the Class and Type thereof and each Interest Period therefor, (ii) the amount and Currency of any principal or interest due and payable or to become due and payable from the Borrower to each Lender of such Class hereunder and (iii) the amount and Currency of any sum received by the Administrative Agent hereunder for account of the Lenders and each Lender’s share thereof.</w:t>
      </w:r>
    </w:p>
    <w:p>
      <w:pPr>
        <w:spacing w:after="0" w:line="63" w:lineRule="exact"/>
        <w:rPr>
          <w:rFonts w:ascii="Arial" w:cs="Arial" w:eastAsia="Arial" w:hAnsi="Arial"/>
          <w:sz w:val="17"/>
          <w:szCs w:val="17"/>
          <w:color w:val="auto"/>
        </w:rPr>
      </w:pPr>
    </w:p>
    <w:p>
      <w:pPr>
        <w:ind w:right="100" w:firstLine="921"/>
        <w:spacing w:after="0" w:line="259" w:lineRule="auto"/>
        <w:tabs>
          <w:tab w:leader="none" w:pos="1157"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Effect of Entries</w:t>
      </w:r>
      <w:r>
        <w:rPr>
          <w:rFonts w:ascii="Arial" w:cs="Arial" w:eastAsia="Arial" w:hAnsi="Arial"/>
          <w:sz w:val="18"/>
          <w:szCs w:val="18"/>
          <w:color w:val="auto"/>
        </w:rPr>
        <w:t xml:space="preserve">. The entries made in the records maintained pursuant to </w:t>
      </w:r>
      <w:r>
        <w:rPr>
          <w:rFonts w:ascii="Arial" w:cs="Arial" w:eastAsia="Arial" w:hAnsi="Arial"/>
          <w:sz w:val="18"/>
          <w:szCs w:val="18"/>
          <w:u w:val="single" w:color="auto"/>
          <w:color w:val="auto"/>
        </w:rPr>
        <w:t>paragraph (c)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this Section shall be </w:t>
      </w:r>
      <w:r>
        <w:rPr>
          <w:rFonts w:ascii="Arial" w:cs="Arial" w:eastAsia="Arial" w:hAnsi="Arial"/>
          <w:sz w:val="18"/>
          <w:szCs w:val="18"/>
          <w:u w:val="single" w:color="auto"/>
          <w:color w:val="auto"/>
        </w:rPr>
        <w:t>prima facie</w:t>
      </w:r>
      <w:r>
        <w:rPr>
          <w:rFonts w:ascii="Arial" w:cs="Arial" w:eastAsia="Arial" w:hAnsi="Arial"/>
          <w:sz w:val="18"/>
          <w:szCs w:val="18"/>
          <w:color w:val="auto"/>
        </w:rPr>
        <w:t xml:space="preserve"> evidence, absent obvious error, of the existence and amounts of the obligations recorded therein;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of any Lender or the Administrative Agent to maintain such records or any error therein shall not in any manner affect the obligation of the Borrower to repay the Loans in accordance with the terms of this Agreement.</w:t>
      </w:r>
    </w:p>
    <w:p>
      <w:pPr>
        <w:spacing w:after="0" w:line="119"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35" w:name="page136"/>
    <w:bookmarkEnd w:id="135"/>
    <w:p>
      <w:pPr>
        <w:ind w:right="20" w:firstLine="921"/>
        <w:spacing w:after="0" w:line="276" w:lineRule="auto"/>
        <w:tabs>
          <w:tab w:leader="none" w:pos="1138" w:val="left"/>
        </w:tabs>
        <w:numPr>
          <w:ilvl w:val="0"/>
          <w:numId w:val="9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Promissory Notes</w:t>
      </w:r>
      <w:r>
        <w:rPr>
          <w:rFonts w:ascii="Arial" w:cs="Arial" w:eastAsia="Arial" w:hAnsi="Arial"/>
          <w:sz w:val="17"/>
          <w:szCs w:val="17"/>
          <w:color w:val="auto"/>
        </w:rPr>
        <w:t xml:space="preserve">. Any Lender may request that Loans of any Class made by it be evidenced by a promissory note; in such event, the Borrower shall prepare, execute and deliver to such Lender a promissory note payable to such Lender (or, if requested by such Lender, to such Lender and its registered assigns) and in a form approved by the Administrative Agent. Thereafter, the Loans evidenced by such promissory note and interest thereon shall at all times (including after assignment pursuant to </w:t>
      </w:r>
      <w:r>
        <w:rPr>
          <w:rFonts w:ascii="Arial" w:cs="Arial" w:eastAsia="Arial" w:hAnsi="Arial"/>
          <w:sz w:val="17"/>
          <w:szCs w:val="17"/>
          <w:u w:val="single" w:color="auto"/>
          <w:color w:val="auto"/>
        </w:rPr>
        <w:t>Section 9.04</w:t>
      </w:r>
      <w:r>
        <w:rPr>
          <w:rFonts w:ascii="Arial" w:cs="Arial" w:eastAsia="Arial" w:hAnsi="Arial"/>
          <w:sz w:val="17"/>
          <w:szCs w:val="17"/>
          <w:color w:val="auto"/>
        </w:rPr>
        <w:t>) be represented by one or more promissory notes in such form payable to the payee named therein (or, if such promissory note is a registered note, to such payee and its registered assigns).</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Prepayment of Loans</w:t>
      </w:r>
      <w:r>
        <w:rPr>
          <w:rFonts w:ascii="Arial" w:cs="Arial" w:eastAsia="Arial" w:hAnsi="Arial"/>
          <w:sz w:val="18"/>
          <w:szCs w:val="18"/>
          <w:color w:val="auto"/>
        </w:rPr>
        <w:t>.</w:t>
      </w:r>
    </w:p>
    <w:p>
      <w:pPr>
        <w:spacing w:after="0" w:line="117" w:lineRule="exact"/>
        <w:rPr>
          <w:sz w:val="20"/>
          <w:szCs w:val="20"/>
          <w:color w:val="auto"/>
        </w:rPr>
      </w:pPr>
    </w:p>
    <w:p>
      <w:pPr>
        <w:ind w:right="400" w:firstLine="921"/>
        <w:spacing w:after="0" w:line="277" w:lineRule="auto"/>
        <w:tabs>
          <w:tab w:leader="none" w:pos="1157" w:val="left"/>
        </w:tabs>
        <w:numPr>
          <w:ilvl w:val="1"/>
          <w:numId w:val="95"/>
        </w:numPr>
        <w:rPr>
          <w:rFonts w:ascii="Arial" w:cs="Arial" w:eastAsia="Arial" w:hAnsi="Arial"/>
          <w:sz w:val="18"/>
          <w:szCs w:val="18"/>
          <w:color w:val="auto"/>
        </w:rPr>
      </w:pPr>
      <w:r>
        <w:rPr>
          <w:rFonts w:ascii="Arial" w:cs="Arial" w:eastAsia="Arial" w:hAnsi="Arial"/>
          <w:sz w:val="18"/>
          <w:szCs w:val="18"/>
          <w:u w:val="single" w:color="auto"/>
          <w:color w:val="auto"/>
        </w:rPr>
        <w:t>Optional Prepayments</w:t>
      </w:r>
      <w:r>
        <w:rPr>
          <w:rFonts w:ascii="Arial" w:cs="Arial" w:eastAsia="Arial" w:hAnsi="Arial"/>
          <w:sz w:val="18"/>
          <w:szCs w:val="18"/>
          <w:color w:val="auto"/>
        </w:rPr>
        <w:t xml:space="preserve">. The Borrower shall have the right at any time and from time to time to prepay any Borrowing in whole or in part, without premium or penalty except for payments under </w:t>
      </w:r>
      <w:r>
        <w:rPr>
          <w:rFonts w:ascii="Arial" w:cs="Arial" w:eastAsia="Arial" w:hAnsi="Arial"/>
          <w:sz w:val="18"/>
          <w:szCs w:val="18"/>
          <w:u w:val="single" w:color="auto"/>
          <w:color w:val="auto"/>
        </w:rPr>
        <w:t>Section 2.15</w:t>
      </w:r>
      <w:r>
        <w:rPr>
          <w:rFonts w:ascii="Arial" w:cs="Arial" w:eastAsia="Arial" w:hAnsi="Arial"/>
          <w:sz w:val="18"/>
          <w:szCs w:val="18"/>
          <w:color w:val="auto"/>
        </w:rPr>
        <w:t>, subject to the requirements of this Section.</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1"/>
          <w:numId w:val="95"/>
        </w:numPr>
        <w:rPr>
          <w:rFonts w:ascii="Arial" w:cs="Arial" w:eastAsia="Arial" w:hAnsi="Arial"/>
          <w:sz w:val="18"/>
          <w:szCs w:val="18"/>
          <w:color w:val="auto"/>
        </w:rPr>
      </w:pPr>
      <w:r>
        <w:rPr>
          <w:rFonts w:ascii="Arial" w:cs="Arial" w:eastAsia="Arial" w:hAnsi="Arial"/>
          <w:sz w:val="18"/>
          <w:szCs w:val="18"/>
          <w:u w:val="single" w:color="auto"/>
          <w:color w:val="auto"/>
        </w:rPr>
        <w:t>Mandatory Prepayments due to Changes in Exchange Rates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60" w:firstLine="443"/>
        <w:spacing w:after="0" w:line="272" w:lineRule="auto"/>
        <w:tabs>
          <w:tab w:leader="none" w:pos="1113"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Determination of Amount Outstanding</w:t>
      </w:r>
      <w:r>
        <w:rPr>
          <w:rFonts w:ascii="Arial" w:cs="Arial" w:eastAsia="Arial" w:hAnsi="Arial"/>
          <w:sz w:val="17"/>
          <w:szCs w:val="17"/>
          <w:color w:val="auto"/>
        </w:rPr>
        <w:t>. On each Quarterly Date and, in addition, promptly upon the receipt by the Administrative Agent of a Currency Valuation Notice (as defined below), the Administrative Agent shall determine the aggregate Revolving Multicurrency Credit Exposure. For the purpose of this determination, the outstanding principal amount of any Loan that is denominated in any Foreign Currency shall be deemed to be the Dollar Equivalent of the amount in the Foreign Currency of such Loan, determined as of such Quarterly Date or, in the case of a Currency Valuation Notice received by the Administrative Agent prior to 11:00 a.m., Atlanta, Georgia time, on a Business Day, on such Business Day or, in the case of a Currency Valuation Notice otherwise received, on the first Business Day after such Currency Valuation Notice is received. Upon making such determination, the Administrative Agent shall promptly notify the Multicurrency Lenders and the Borrower thereof.</w:t>
      </w:r>
    </w:p>
    <w:p>
      <w:pPr>
        <w:spacing w:after="0" w:line="69" w:lineRule="exact"/>
        <w:rPr>
          <w:rFonts w:ascii="Arial" w:cs="Arial" w:eastAsia="Arial" w:hAnsi="Arial"/>
          <w:sz w:val="17"/>
          <w:szCs w:val="17"/>
          <w:color w:val="auto"/>
        </w:rPr>
      </w:pPr>
    </w:p>
    <w:p>
      <w:pPr>
        <w:ind w:left="460" w:firstLine="443"/>
        <w:spacing w:after="0" w:line="273" w:lineRule="auto"/>
        <w:tabs>
          <w:tab w:leader="none" w:pos="1163"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Prepayment</w:t>
      </w:r>
      <w:r>
        <w:rPr>
          <w:rFonts w:ascii="Arial" w:cs="Arial" w:eastAsia="Arial" w:hAnsi="Arial"/>
          <w:sz w:val="17"/>
          <w:szCs w:val="17"/>
          <w:color w:val="auto"/>
        </w:rPr>
        <w:t xml:space="preserve">. If on the date of such determination the aggregate Revolving Multicurrency Credit Exposure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the Multicurrency LC Exposure fully Cash Collateralized on such date exceeds 105% of the aggregate amount of the Multicurrency Commitments as then in effect, the Borrower shall, if requested by the Required Multicurrency Lenders (through the Administrative Agent), prepay the Syndicated Multicurrency Loans and Swingline Multicurrency Loans (and/or provide Cash Collateral for Multicurrency LC Exposure as specified in </w:t>
      </w:r>
      <w:r>
        <w:rPr>
          <w:rFonts w:ascii="Arial" w:cs="Arial" w:eastAsia="Arial" w:hAnsi="Arial"/>
          <w:sz w:val="17"/>
          <w:szCs w:val="17"/>
          <w:u w:val="single" w:color="auto"/>
          <w:color w:val="auto"/>
        </w:rPr>
        <w:t>Section 2.05(k)</w:t>
      </w:r>
      <w:r>
        <w:rPr>
          <w:rFonts w:ascii="Arial" w:cs="Arial" w:eastAsia="Arial" w:hAnsi="Arial"/>
          <w:sz w:val="17"/>
          <w:szCs w:val="17"/>
          <w:color w:val="auto"/>
        </w:rPr>
        <w:t>) within 15 Business Days following the Borrower’s receipt of such request in such amounts as shall be necessary so that after giving effect thereto the aggregate Revolving Multicurrency Credit Exposure does not exceed the Multicurrency Commitments.</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purposes hereof “</w:t>
      </w:r>
      <w:r>
        <w:rPr>
          <w:rFonts w:ascii="Arial" w:cs="Arial" w:eastAsia="Arial" w:hAnsi="Arial"/>
          <w:sz w:val="18"/>
          <w:szCs w:val="18"/>
          <w:u w:val="single" w:color="auto"/>
          <w:color w:val="auto"/>
        </w:rPr>
        <w:t>Currency Valuation Notice</w:t>
      </w:r>
      <w:r>
        <w:rPr>
          <w:rFonts w:ascii="Arial" w:cs="Arial" w:eastAsia="Arial" w:hAnsi="Arial"/>
          <w:sz w:val="18"/>
          <w:szCs w:val="18"/>
          <w:color w:val="auto"/>
        </w:rPr>
        <w:t>” means a notice given by the Required Multicurrency Lenders to the Administrative Agent stating that such notice is a “Currency Valuation Notice” and requesting that the Administrative Agent determine the aggregate Revolving Multicurrency Credit Exposure. The Administrative Agent shall not be required to make more than one valuation determination pursuant to Currency Valuation Notices within any rolling three month period.</w:t>
      </w:r>
    </w:p>
    <w:p>
      <w:pPr>
        <w:spacing w:after="0" w:line="119"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36" w:name="page137"/>
    <w:bookmarkEnd w:id="136"/>
    <w:p>
      <w:pPr>
        <w:ind w:right="76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Any prepayment pursuant to this paragraph shall be applied,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Swingline Multicurrency Loans outstanding,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Syndicated Multicurrency Loans outstanding and </w:t>
      </w:r>
      <w:r>
        <w:rPr>
          <w:rFonts w:ascii="Arial" w:cs="Arial" w:eastAsia="Arial" w:hAnsi="Arial"/>
          <w:sz w:val="18"/>
          <w:szCs w:val="18"/>
          <w:u w:val="single" w:color="auto"/>
          <w:color w:val="auto"/>
        </w:rPr>
        <w:t>third</w:t>
      </w:r>
      <w:r>
        <w:rPr>
          <w:rFonts w:ascii="Arial" w:cs="Arial" w:eastAsia="Arial" w:hAnsi="Arial"/>
          <w:sz w:val="18"/>
          <w:szCs w:val="18"/>
          <w:color w:val="auto"/>
        </w:rPr>
        <w:t>, as cover for Multicurrency LC Exposure.</w:t>
      </w:r>
    </w:p>
    <w:p>
      <w:pPr>
        <w:spacing w:after="0" w:line="62" w:lineRule="exact"/>
        <w:rPr>
          <w:sz w:val="20"/>
          <w:szCs w:val="20"/>
          <w:color w:val="auto"/>
        </w:rPr>
      </w:pPr>
    </w:p>
    <w:p>
      <w:pPr>
        <w:ind w:right="80" w:firstLine="921"/>
        <w:spacing w:after="0" w:line="270" w:lineRule="auto"/>
        <w:tabs>
          <w:tab w:leader="none" w:pos="1157" w:val="left"/>
        </w:tabs>
        <w:numPr>
          <w:ilvl w:val="1"/>
          <w:numId w:val="97"/>
        </w:numPr>
        <w:rPr>
          <w:rFonts w:ascii="Arial" w:cs="Arial" w:eastAsia="Arial" w:hAnsi="Arial"/>
          <w:sz w:val="17"/>
          <w:szCs w:val="17"/>
          <w:color w:val="auto"/>
        </w:rPr>
      </w:pPr>
      <w:r>
        <w:rPr>
          <w:rFonts w:ascii="Arial" w:cs="Arial" w:eastAsia="Arial" w:hAnsi="Arial"/>
          <w:sz w:val="17"/>
          <w:szCs w:val="17"/>
          <w:u w:val="single" w:color="auto"/>
          <w:color w:val="auto"/>
        </w:rPr>
        <w:t>Mandatory Prepayments due to Borrowing Base Deficiency</w:t>
      </w:r>
      <w:r>
        <w:rPr>
          <w:rFonts w:ascii="Arial" w:cs="Arial" w:eastAsia="Arial" w:hAnsi="Arial"/>
          <w:sz w:val="17"/>
          <w:szCs w:val="17"/>
          <w:color w:val="auto"/>
        </w:rPr>
        <w:t xml:space="preserve">. In the event that at any time any Borrowing Base Deficiency shall exist, the Borrower shall, within five Business Days after delivery of the applicable Borrowing Base Certificate, prepay the Loans (or provide Cash Collateral for Letters of Credit as contemplated by </w:t>
      </w:r>
      <w:r>
        <w:rPr>
          <w:rFonts w:ascii="Arial" w:cs="Arial" w:eastAsia="Arial" w:hAnsi="Arial"/>
          <w:sz w:val="17"/>
          <w:szCs w:val="17"/>
          <w:u w:val="single" w:color="auto"/>
          <w:color w:val="auto"/>
        </w:rPr>
        <w:t>Section 2.05(k)</w:t>
      </w:r>
      <w:r>
        <w:rPr>
          <w:rFonts w:ascii="Arial" w:cs="Arial" w:eastAsia="Arial" w:hAnsi="Arial"/>
          <w:sz w:val="17"/>
          <w:szCs w:val="17"/>
          <w:color w:val="auto"/>
        </w:rPr>
        <w:t xml:space="preserve">) or reduce Other Covered Indebtedness in such amounts as shall be necessary so that such Borrowing Base Deficiency is cured;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aggregate amount of such prepayment of Loans (and Cash Collateral for Letters of Credit) shall be at least equal to the Revolving Percentage times the aggregate prepayment of the Covered Debt Amount, and (ii) if, within five Business Days after delivery of a Borrowing Base Certificate demonstrating such Borrowing Base Deficiency, the Borrower shall present the Lenders with a reasonably feasible plan acceptable to the Required Lenders in their sole discretion to enable such Borrowing Base Deficiency to be cured within 30 Business Days (which 30-Business Day period shall include the five Business Days permitted for delivery of such plan), then such prepayment or reduction shall not be required to be effected immediately but may be effected in accordance with such plan (with such modifications as the Borrower may reasonably determine), so long as such Borrowing Base Deficiency is cured within such 30-Business Day period.</w:t>
      </w:r>
    </w:p>
    <w:p>
      <w:pPr>
        <w:spacing w:after="0" w:line="69" w:lineRule="exact"/>
        <w:rPr>
          <w:rFonts w:ascii="Arial" w:cs="Arial" w:eastAsia="Arial" w:hAnsi="Arial"/>
          <w:sz w:val="17"/>
          <w:szCs w:val="17"/>
          <w:color w:val="auto"/>
        </w:rPr>
      </w:pPr>
    </w:p>
    <w:p>
      <w:pPr>
        <w:ind w:right="280" w:firstLine="921"/>
        <w:spacing w:after="0" w:line="277" w:lineRule="auto"/>
        <w:tabs>
          <w:tab w:leader="none" w:pos="1168"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Mandatory Prepayments During Amortization Period</w:t>
      </w:r>
      <w:r>
        <w:rPr>
          <w:rFonts w:ascii="Arial" w:cs="Arial" w:eastAsia="Arial" w:hAnsi="Arial"/>
          <w:sz w:val="18"/>
          <w:szCs w:val="18"/>
          <w:color w:val="auto"/>
        </w:rPr>
        <w:t>. During the period commencing on the date immediately following the Commitment Termination Date and ending on the Final Maturity Date:</w:t>
      </w:r>
    </w:p>
    <w:p>
      <w:pPr>
        <w:spacing w:after="0" w:line="62" w:lineRule="exact"/>
        <w:rPr>
          <w:rFonts w:ascii="Arial" w:cs="Arial" w:eastAsia="Arial" w:hAnsi="Arial"/>
          <w:sz w:val="18"/>
          <w:szCs w:val="18"/>
          <w:color w:val="auto"/>
        </w:rPr>
      </w:pPr>
    </w:p>
    <w:p>
      <w:pPr>
        <w:ind w:left="460" w:right="80" w:firstLine="443"/>
        <w:spacing w:after="0" w:line="289" w:lineRule="auto"/>
        <w:tabs>
          <w:tab w:leader="none" w:pos="1113"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Asset Disposition</w:t>
      </w:r>
      <w:r>
        <w:rPr>
          <w:rFonts w:ascii="Arial" w:cs="Arial" w:eastAsia="Arial" w:hAnsi="Arial"/>
          <w:sz w:val="16"/>
          <w:szCs w:val="16"/>
          <w:color w:val="auto"/>
        </w:rPr>
        <w:t xml:space="preserve">. If the Borrower or any of its Subsidiaries (other than a Financing Subsidiary) Disposes of any property which results in the receipt by such Person of Net Cash Proceeds in excess of $2,000,000 in the aggregate since the Commitment Termination Date, the Borrower shall prepay an aggregate principal amount of Loans equal to 100% of such Net Cash Proceeds no later than the fifth Business Day following the receipt of such Net Cash Proceeds (such prepayments to be applied as set forth in </w:t>
      </w:r>
      <w:r>
        <w:rPr>
          <w:rFonts w:ascii="Arial" w:cs="Arial" w:eastAsia="Arial" w:hAnsi="Arial"/>
          <w:sz w:val="16"/>
          <w:szCs w:val="16"/>
          <w:u w:val="single" w:color="auto"/>
          <w:color w:val="auto"/>
        </w:rPr>
        <w:t>Section 2.09(b)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Loans to be prepaid are Eurocurrency Loans, the Borrower may defer such prepayment until the last day of the Interest Period applicable to such Loans, so long as the Borrower deposits an amount equal to such Net Cash Proceeds, no later than the fifth Business Day following the receipt of such Net Cash Proceeds, into a segregated collateral account in the name and under the dominion and control of the Administrative Agent, pending application of such amount to the prepayment of the Loans on the last day of such Interest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Administrative Agent may direct the application of such deposits as set forth in </w:t>
      </w:r>
      <w:r>
        <w:rPr>
          <w:rFonts w:ascii="Arial" w:cs="Arial" w:eastAsia="Arial" w:hAnsi="Arial"/>
          <w:sz w:val="16"/>
          <w:szCs w:val="16"/>
          <w:u w:val="single" w:color="auto"/>
          <w:color w:val="auto"/>
        </w:rPr>
        <w:t>Section 2.09(b)</w:t>
      </w:r>
      <w:r>
        <w:rPr>
          <w:rFonts w:ascii="Arial" w:cs="Arial" w:eastAsia="Arial" w:hAnsi="Arial"/>
          <w:sz w:val="16"/>
          <w:szCs w:val="16"/>
          <w:color w:val="auto"/>
        </w:rPr>
        <w:t xml:space="preserve"> at any time and if the Administrative Agent does so, no amounts will be payable by the Borrower pursuant to </w:t>
      </w:r>
      <w:r>
        <w:rPr>
          <w:rFonts w:ascii="Arial" w:cs="Arial" w:eastAsia="Arial" w:hAnsi="Arial"/>
          <w:sz w:val="16"/>
          <w:szCs w:val="16"/>
          <w:u w:val="single" w:color="auto"/>
          <w:color w:val="auto"/>
        </w:rPr>
        <w:t>Section 2.15</w:t>
      </w:r>
      <w:r>
        <w:rPr>
          <w:rFonts w:ascii="Arial" w:cs="Arial" w:eastAsia="Arial" w:hAnsi="Arial"/>
          <w:sz w:val="16"/>
          <w:szCs w:val="16"/>
          <w:color w:val="auto"/>
        </w:rPr>
        <w:t>.</w:t>
      </w:r>
    </w:p>
    <w:p>
      <w:pPr>
        <w:spacing w:after="0" w:line="58" w:lineRule="exact"/>
        <w:rPr>
          <w:rFonts w:ascii="Arial" w:cs="Arial" w:eastAsia="Arial" w:hAnsi="Arial"/>
          <w:sz w:val="16"/>
          <w:szCs w:val="16"/>
          <w:color w:val="auto"/>
        </w:rPr>
      </w:pPr>
    </w:p>
    <w:p>
      <w:pPr>
        <w:ind w:left="460" w:right="80" w:firstLine="443"/>
        <w:spacing w:after="0" w:line="259" w:lineRule="auto"/>
        <w:tabs>
          <w:tab w:leader="none" w:pos="1163"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Equity Issuance</w:t>
      </w:r>
      <w:r>
        <w:rPr>
          <w:rFonts w:ascii="Arial" w:cs="Arial" w:eastAsia="Arial" w:hAnsi="Arial"/>
          <w:sz w:val="18"/>
          <w:szCs w:val="18"/>
          <w:color w:val="auto"/>
        </w:rPr>
        <w:t xml:space="preserve">. Upon the sale or issuance by the Borrower or any of its Subsidiaries (other than a Financing Subsidiary) of any of its Equity Interests (other than any sales or issuances of Equity Interests to the Borrower or any Subsidiary Guarantor), the Borrower shall prepay an aggregate principal amount of Loans equal to 75% of all Net Cash Proceeds received therefrom no later than the fifth Business Day following the receipt of such Net Cash Proceeds (such prepayments to be applied as set forth in </w:t>
      </w:r>
      <w:r>
        <w:rPr>
          <w:rFonts w:ascii="Arial" w:cs="Arial" w:eastAsia="Arial" w:hAnsi="Arial"/>
          <w:sz w:val="18"/>
          <w:szCs w:val="18"/>
          <w:u w:val="single" w:color="auto"/>
          <w:color w:val="auto"/>
        </w:rPr>
        <w:t>Section 2.09(b)</w:t>
      </w:r>
      <w:r>
        <w:rPr>
          <w:rFonts w:ascii="Arial" w:cs="Arial" w:eastAsia="Arial" w:hAnsi="Arial"/>
          <w:sz w:val="18"/>
          <w:szCs w:val="18"/>
          <w:color w:val="auto"/>
        </w:rPr>
        <w:t>).</w:t>
      </w:r>
    </w:p>
    <w:p>
      <w:pPr>
        <w:spacing w:after="0" w:line="119"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50</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37" w:name="page138"/>
    <w:bookmarkEnd w:id="137"/>
    <w:p>
      <w:pPr>
        <w:ind w:left="460" w:right="240" w:firstLine="443"/>
        <w:spacing w:after="0" w:line="312" w:lineRule="auto"/>
        <w:tabs>
          <w:tab w:leader="none" w:pos="1213"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Indebtedness</w:t>
      </w:r>
      <w:r>
        <w:rPr>
          <w:rFonts w:ascii="Arial" w:cs="Arial" w:eastAsia="Arial" w:hAnsi="Arial"/>
          <w:sz w:val="16"/>
          <w:szCs w:val="16"/>
          <w:color w:val="auto"/>
        </w:rPr>
        <w:t xml:space="preserve">. Upon the incurrence or issuance by the Borrower or any of its Subsidiaries (other than a Financing Subsidiary) of any Indebtedness, the Borrower shall prepay an aggregate principal amount of Loans equal to 100% of all Net Cash Proceeds received therefrom no later than the fifth Business Day following the receipt of such Net Cash Proceeds (such prepayments to be applied as set forth in </w:t>
      </w:r>
      <w:r>
        <w:rPr>
          <w:rFonts w:ascii="Arial" w:cs="Arial" w:eastAsia="Arial" w:hAnsi="Arial"/>
          <w:sz w:val="16"/>
          <w:szCs w:val="16"/>
          <w:u w:val="single" w:color="auto"/>
          <w:color w:val="auto"/>
        </w:rPr>
        <w:t>Section 2.09(b)</w:t>
      </w:r>
      <w:r>
        <w:rPr>
          <w:rFonts w:ascii="Arial" w:cs="Arial" w:eastAsia="Arial" w:hAnsi="Arial"/>
          <w:sz w:val="16"/>
          <w:szCs w:val="16"/>
          <w:color w:val="auto"/>
        </w:rPr>
        <w:t>).</w:t>
      </w:r>
    </w:p>
    <w:p>
      <w:pPr>
        <w:spacing w:after="0" w:line="38" w:lineRule="exact"/>
        <w:rPr>
          <w:rFonts w:ascii="Arial" w:cs="Arial" w:eastAsia="Arial" w:hAnsi="Arial"/>
          <w:sz w:val="16"/>
          <w:szCs w:val="16"/>
          <w:color w:val="auto"/>
        </w:rPr>
      </w:pPr>
    </w:p>
    <w:p>
      <w:pPr>
        <w:ind w:left="460" w:right="40" w:firstLine="443"/>
        <w:spacing w:after="0" w:line="257" w:lineRule="auto"/>
        <w:tabs>
          <w:tab w:leader="none" w:pos="1203"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Extraordinary Receipt</w:t>
      </w:r>
      <w:r>
        <w:rPr>
          <w:rFonts w:ascii="Arial" w:cs="Arial" w:eastAsia="Arial" w:hAnsi="Arial"/>
          <w:sz w:val="18"/>
          <w:szCs w:val="18"/>
          <w:color w:val="auto"/>
        </w:rPr>
        <w:t xml:space="preserve">. Upon any Extraordinary Receipt (which, when taken with all other Extraordinary Receipts received after the Commitment Termination Date, exceeds $5,000,000 in the aggregate) received by or paid to or for the account of the Borrower or any of its Subsidiaries (other than a Financing Subsidiary), and not otherwise included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2.10(d)</w:t>
      </w:r>
      <w:r>
        <w:rPr>
          <w:rFonts w:ascii="Arial" w:cs="Arial" w:eastAsia="Arial" w:hAnsi="Arial"/>
          <w:sz w:val="18"/>
          <w:szCs w:val="18"/>
          <w:color w:val="auto"/>
        </w:rPr>
        <w:t xml:space="preserve">, the Borrower shall prepay an aggregate principal amount of Loans equal to 100% of all Net Cash Proceeds received therefrom no later than the fifth Business Day following the receipt of such Net Cash Proceeds (such prepayments to be applied as set forth in </w:t>
      </w:r>
      <w:r>
        <w:rPr>
          <w:rFonts w:ascii="Arial" w:cs="Arial" w:eastAsia="Arial" w:hAnsi="Arial"/>
          <w:sz w:val="18"/>
          <w:szCs w:val="18"/>
          <w:u w:val="single" w:color="auto"/>
          <w:color w:val="auto"/>
        </w:rPr>
        <w:t>Section 2.09(b)</w:t>
      </w:r>
      <w:r>
        <w:rPr>
          <w:rFonts w:ascii="Arial" w:cs="Arial" w:eastAsia="Arial" w:hAnsi="Arial"/>
          <w:sz w:val="18"/>
          <w:szCs w:val="18"/>
          <w:color w:val="auto"/>
        </w:rPr>
        <w:t>).</w:t>
      </w:r>
    </w:p>
    <w:p>
      <w:pPr>
        <w:spacing w:after="0" w:line="80" w:lineRule="exact"/>
        <w:rPr>
          <w:rFonts w:ascii="Arial" w:cs="Arial" w:eastAsia="Arial" w:hAnsi="Arial"/>
          <w:sz w:val="18"/>
          <w:szCs w:val="18"/>
          <w:color w:val="auto"/>
        </w:rPr>
      </w:pPr>
    </w:p>
    <w:p>
      <w:pPr>
        <w:jc w:val="both"/>
        <w:ind w:left="460" w:right="40" w:firstLine="443"/>
        <w:spacing w:after="0" w:line="264" w:lineRule="auto"/>
        <w:tabs>
          <w:tab w:leader="none" w:pos="1153"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Return of Capital</w:t>
      </w:r>
      <w:r>
        <w:rPr>
          <w:rFonts w:ascii="Arial" w:cs="Arial" w:eastAsia="Arial" w:hAnsi="Arial"/>
          <w:sz w:val="18"/>
          <w:szCs w:val="18"/>
          <w:color w:val="auto"/>
        </w:rPr>
        <w:t xml:space="preserve">. If any Obligor shall receive any Return of Capital, the Borrower shall prepay an aggregate principal amount of Loans equal to 90% of such Return of Capital (excluding amounts payable by the Borrower pursuant to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no later than the fifth Business Day following the receipt of such Return of Capital (such prepayments to be applied as set forth in </w:t>
      </w:r>
      <w:r>
        <w:rPr>
          <w:rFonts w:ascii="Arial" w:cs="Arial" w:eastAsia="Arial" w:hAnsi="Arial"/>
          <w:sz w:val="18"/>
          <w:szCs w:val="18"/>
          <w:u w:val="single" w:color="auto"/>
          <w:color w:val="auto"/>
        </w:rPr>
        <w:t>Section 2.09(b)</w:t>
      </w:r>
      <w:r>
        <w:rPr>
          <w:rFonts w:ascii="Arial" w:cs="Arial" w:eastAsia="Arial" w:hAnsi="Arial"/>
          <w:sz w:val="18"/>
          <w:szCs w:val="18"/>
          <w:color w:val="auto"/>
        </w:rPr>
        <w:t>).</w:t>
      </w:r>
    </w:p>
    <w:p>
      <w:pPr>
        <w:spacing w:after="0" w:line="18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 xml:space="preserve">Notwithstanding the foregoing, Net Cash Proceeds required to be applied to the prepayment of the Loans pursuant to this </w:t>
      </w:r>
      <w:r>
        <w:rPr>
          <w:rFonts w:ascii="Arial" w:cs="Arial" w:eastAsia="Arial" w:hAnsi="Arial"/>
          <w:sz w:val="17"/>
          <w:szCs w:val="17"/>
          <w:u w:val="single" w:color="auto"/>
          <w:color w:val="auto"/>
        </w:rPr>
        <w:t>Section 2.10(d)</w:t>
      </w:r>
      <w:r>
        <w:rPr>
          <w:rFonts w:ascii="Arial" w:cs="Arial" w:eastAsia="Arial" w:hAnsi="Arial"/>
          <w:sz w:val="17"/>
          <w:szCs w:val="17"/>
          <w:color w:val="auto"/>
        </w:rPr>
        <w:t xml:space="preserve"> shall (A) be applied in accordance with the Guarantee and Security Agreement and (B) exclude the amount necessary for the Borrower to make all required distributions (which shall be no less than the amount estimated in good faith by Borrower under </w:t>
      </w:r>
      <w:r>
        <w:rPr>
          <w:rFonts w:ascii="Arial" w:cs="Arial" w:eastAsia="Arial" w:hAnsi="Arial"/>
          <w:sz w:val="17"/>
          <w:szCs w:val="17"/>
          <w:u w:val="single" w:color="auto"/>
          <w:color w:val="auto"/>
        </w:rPr>
        <w:t>Section 6.05(b)</w:t>
      </w:r>
      <w:r>
        <w:rPr>
          <w:rFonts w:ascii="Arial" w:cs="Arial" w:eastAsia="Arial" w:hAnsi="Arial"/>
          <w:sz w:val="17"/>
          <w:szCs w:val="17"/>
          <w:color w:val="auto"/>
        </w:rPr>
        <w:t xml:space="preserve"> herein) to maintain the status of a RIC under the Code and a “business development company” under the Investment Company Act for so long as the Borrower retains such status.</w:t>
      </w:r>
    </w:p>
    <w:p>
      <w:pPr>
        <w:spacing w:after="0" w:line="63" w:lineRule="exact"/>
        <w:rPr>
          <w:sz w:val="20"/>
          <w:szCs w:val="20"/>
          <w:color w:val="auto"/>
        </w:rPr>
      </w:pPr>
    </w:p>
    <w:p>
      <w:pPr>
        <w:ind w:firstLine="921"/>
        <w:spacing w:after="0" w:line="270" w:lineRule="auto"/>
        <w:tabs>
          <w:tab w:leader="none" w:pos="1157"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Notices, Etc</w:t>
      </w:r>
      <w:r>
        <w:rPr>
          <w:rFonts w:ascii="Arial" w:cs="Arial" w:eastAsia="Arial" w:hAnsi="Arial"/>
          <w:sz w:val="17"/>
          <w:szCs w:val="17"/>
          <w:color w:val="auto"/>
        </w:rPr>
        <w:t xml:space="preserve">. The Borrower shall notify the Administrative Agent (and, in the case of prepayment of a Swingline Loan, the Swingline Lender) by telephone (confirmed by telecopy) of any prepayment hereunder (i) in the case of prepayment of a Eurocurrency Borrowing denominated in Dollars (other than in the case of a prepayment pursuant to </w:t>
      </w:r>
      <w:r>
        <w:rPr>
          <w:rFonts w:ascii="Arial" w:cs="Arial" w:eastAsia="Arial" w:hAnsi="Arial"/>
          <w:sz w:val="17"/>
          <w:szCs w:val="17"/>
          <w:u w:val="single" w:color="auto"/>
          <w:color w:val="auto"/>
        </w:rPr>
        <w:t>Section 2.10(d)</w:t>
      </w:r>
      <w:r>
        <w:rPr>
          <w:rFonts w:ascii="Arial" w:cs="Arial" w:eastAsia="Arial" w:hAnsi="Arial"/>
          <w:sz w:val="17"/>
          <w:szCs w:val="17"/>
          <w:color w:val="auto"/>
        </w:rPr>
        <w:t xml:space="preserve">), not later than 11:00 a.m., Atlanta, Georgia time, three Business Days before the date of prepayment, (ii) in the case of prepayment of a Eurocurrency Borrowing denominated in a Foreign Currency (other than in the case of a prepayment pursuant to </w:t>
      </w:r>
      <w:r>
        <w:rPr>
          <w:rFonts w:ascii="Arial" w:cs="Arial" w:eastAsia="Arial" w:hAnsi="Arial"/>
          <w:sz w:val="17"/>
          <w:szCs w:val="17"/>
          <w:u w:val="single" w:color="auto"/>
          <w:color w:val="auto"/>
        </w:rPr>
        <w:t>Section 2.10(d)</w:t>
      </w:r>
      <w:r>
        <w:rPr>
          <w:rFonts w:ascii="Arial" w:cs="Arial" w:eastAsia="Arial" w:hAnsi="Arial"/>
          <w:sz w:val="17"/>
          <w:szCs w:val="17"/>
          <w:color w:val="auto"/>
        </w:rPr>
        <w:t xml:space="preserve">), not later than 11:00 a.m., London time, four Business Days before the date of prepayment, (iii) in the case of prepayment of a Syndicated ABR Borrowing (other than in the case of a prepayment pursuant to </w:t>
      </w:r>
      <w:r>
        <w:rPr>
          <w:rFonts w:ascii="Arial" w:cs="Arial" w:eastAsia="Arial" w:hAnsi="Arial"/>
          <w:sz w:val="17"/>
          <w:szCs w:val="17"/>
          <w:u w:val="single" w:color="auto"/>
          <w:color w:val="auto"/>
        </w:rPr>
        <w:t>Section 2.10(d))</w:t>
      </w:r>
      <w:r>
        <w:rPr>
          <w:rFonts w:ascii="Arial" w:cs="Arial" w:eastAsia="Arial" w:hAnsi="Arial"/>
          <w:sz w:val="17"/>
          <w:szCs w:val="17"/>
          <w:color w:val="auto"/>
        </w:rPr>
        <w:t xml:space="preserve">, not later than 11:00 a.m., Atlanta, Georgia time, one Business Day before the date of prepayment, (iv) in the case of prepayment of a Swingline Loan, not later than 11:00 a.m., Atlanta, Georgia time, on the date of prepayment, or (v) in the case of any prepayment pursuant to </w:t>
      </w:r>
      <w:r>
        <w:rPr>
          <w:rFonts w:ascii="Arial" w:cs="Arial" w:eastAsia="Arial" w:hAnsi="Arial"/>
          <w:sz w:val="17"/>
          <w:szCs w:val="17"/>
          <w:u w:val="single" w:color="auto"/>
          <w:color w:val="auto"/>
        </w:rPr>
        <w:t>Section 2.10(d)</w:t>
      </w:r>
      <w:r>
        <w:rPr>
          <w:rFonts w:ascii="Arial" w:cs="Arial" w:eastAsia="Arial" w:hAnsi="Arial"/>
          <w:sz w:val="17"/>
          <w:szCs w:val="17"/>
          <w:color w:val="auto"/>
        </w:rPr>
        <w:t>, not later than 11:00 a.m., Atlanta, Georgia time, one Business Day before the date of prepayment. Each such notice shall be irrevocable and shall specify the prepayment date, the principal amount of each Borrowing or portion thereof to be prepaid and, in</w:t>
      </w:r>
    </w:p>
    <w:p>
      <w:pPr>
        <w:spacing w:after="0" w:line="110"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38" w:name="page139"/>
    <w:bookmarkEnd w:id="138"/>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case of a mandatory prepayment, a reasonably detailed calculation of the amount of such prepayment;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(i) a notice of prepayment is given in connection with a conditional notice of termination of the Commitments of a Class as contemplated by </w:t>
      </w:r>
      <w:r>
        <w:rPr>
          <w:rFonts w:ascii="Arial" w:cs="Arial" w:eastAsia="Arial" w:hAnsi="Arial"/>
          <w:sz w:val="17"/>
          <w:szCs w:val="17"/>
          <w:u w:val="single" w:color="auto"/>
          <w:color w:val="auto"/>
        </w:rPr>
        <w:t>Section 2.08</w:t>
      </w:r>
      <w:r>
        <w:rPr>
          <w:rFonts w:ascii="Arial" w:cs="Arial" w:eastAsia="Arial" w:hAnsi="Arial"/>
          <w:sz w:val="17"/>
          <w:szCs w:val="17"/>
          <w:color w:val="auto"/>
        </w:rPr>
        <w:t xml:space="preserve">, then such notice of prepayment may be revoked if such notice of termination is revoked in accordance with </w:t>
      </w:r>
      <w:r>
        <w:rPr>
          <w:rFonts w:ascii="Arial" w:cs="Arial" w:eastAsia="Arial" w:hAnsi="Arial"/>
          <w:sz w:val="17"/>
          <w:szCs w:val="17"/>
          <w:u w:val="single" w:color="auto"/>
          <w:color w:val="auto"/>
        </w:rPr>
        <w:t>Section 2.08</w:t>
      </w:r>
      <w:r>
        <w:rPr>
          <w:rFonts w:ascii="Arial" w:cs="Arial" w:eastAsia="Arial" w:hAnsi="Arial"/>
          <w:sz w:val="17"/>
          <w:szCs w:val="17"/>
          <w:color w:val="auto"/>
        </w:rPr>
        <w:t xml:space="preserve"> and (ii) any notice given in connection with </w:t>
      </w:r>
      <w:r>
        <w:rPr>
          <w:rFonts w:ascii="Arial" w:cs="Arial" w:eastAsia="Arial" w:hAnsi="Arial"/>
          <w:sz w:val="17"/>
          <w:szCs w:val="17"/>
          <w:u w:val="single" w:color="auto"/>
          <w:color w:val="auto"/>
        </w:rPr>
        <w:t>Section 2.10(d)</w:t>
      </w:r>
      <w:r>
        <w:rPr>
          <w:rFonts w:ascii="Arial" w:cs="Arial" w:eastAsia="Arial" w:hAnsi="Arial"/>
          <w:sz w:val="17"/>
          <w:szCs w:val="17"/>
          <w:color w:val="auto"/>
        </w:rPr>
        <w:t xml:space="preserve"> may be conditioned on the consummation of the applicable transaction contemplated by such Section and the receipt by the Borrower or any such Subsidiary (other than a Financing Subsidiary) of Net Cash Proceeds. Promptly following receipt of any such notice relating to a Syndicated Borrowing, the Administrative Agent shall advise the affected Lenders of the contents thereof. Each partial prepayment of any Borrowing shall be in an amount that would be permitted in the case of a Borrowing of the same Type as provided in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or in the case of a Swingline Loan, as provided in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except as necessary to apply fully the required amount of a mandatory prepayment. Each prepayment of a Syndicated Borrowing of a Class shall be applied ratably to the Loans of such Class included in the prepaid Borrowing. Prepayments shall be accompanied by accrued interest to the extent required by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and shall be made in the manner specified in </w:t>
      </w:r>
      <w:r>
        <w:rPr>
          <w:rFonts w:ascii="Arial" w:cs="Arial" w:eastAsia="Arial" w:hAnsi="Arial"/>
          <w:sz w:val="17"/>
          <w:szCs w:val="17"/>
          <w:u w:val="single" w:color="auto"/>
          <w:color w:val="auto"/>
        </w:rPr>
        <w:t>Section 2.09(b)</w:t>
      </w:r>
      <w:r>
        <w:rPr>
          <w:rFonts w:ascii="Arial" w:cs="Arial" w:eastAsia="Arial" w:hAnsi="Arial"/>
          <w:sz w:val="17"/>
          <w:szCs w:val="17"/>
          <w:color w:val="auto"/>
        </w:rPr>
        <w:t>.</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Fees</w:t>
      </w:r>
      <w:r>
        <w:rPr>
          <w:rFonts w:ascii="Arial" w:cs="Arial" w:eastAsia="Arial" w:hAnsi="Arial"/>
          <w:sz w:val="18"/>
          <w:szCs w:val="18"/>
          <w:color w:val="auto"/>
        </w:rPr>
        <w:t>.</w:t>
      </w:r>
    </w:p>
    <w:p>
      <w:pPr>
        <w:spacing w:after="0" w:line="117" w:lineRule="exact"/>
        <w:rPr>
          <w:sz w:val="20"/>
          <w:szCs w:val="20"/>
          <w:color w:val="auto"/>
        </w:rPr>
      </w:pPr>
    </w:p>
    <w:p>
      <w:pPr>
        <w:ind w:right="80" w:firstLine="921"/>
        <w:spacing w:after="0" w:line="270" w:lineRule="auto"/>
        <w:tabs>
          <w:tab w:leader="none" w:pos="1157" w:val="left"/>
        </w:tabs>
        <w:numPr>
          <w:ilvl w:val="0"/>
          <w:numId w:val="101"/>
        </w:numPr>
        <w:rPr>
          <w:rFonts w:ascii="Arial" w:cs="Arial" w:eastAsia="Arial" w:hAnsi="Arial"/>
          <w:sz w:val="17"/>
          <w:szCs w:val="17"/>
          <w:color w:val="auto"/>
        </w:rPr>
      </w:pPr>
      <w:r>
        <w:rPr>
          <w:rFonts w:ascii="Arial" w:cs="Arial" w:eastAsia="Arial" w:hAnsi="Arial"/>
          <w:sz w:val="17"/>
          <w:szCs w:val="17"/>
          <w:u w:val="single" w:color="auto"/>
          <w:color w:val="auto"/>
        </w:rPr>
        <w:t>Commitment Fee</w:t>
      </w:r>
      <w:r>
        <w:rPr>
          <w:rFonts w:ascii="Arial" w:cs="Arial" w:eastAsia="Arial" w:hAnsi="Arial"/>
          <w:sz w:val="17"/>
          <w:szCs w:val="17"/>
          <w:color w:val="auto"/>
        </w:rPr>
        <w:t>. The Borrower agrees to pay to the Administrative Agent for account of each Lender a commitment fee, which shall accrue at a rate per annum equal to 0.375% on the average daily unused amount of the Dollar Commitment and Multicurrency Commitment, as applicable, of such Lender during the period from and including the date hereof to but excluding the earlier of the date such commitment terminates and the Commitment Termination Date. Accrued commitment fees shall be payable within one Business Day after each Quarterly Date and on the earlier of the date the Commitments of the respective Class terminate and the Commitment Termination Date, commencing on the first such date to occur after the date hereof. All commitment fees shall be computed on the basis of a year of 360 days and shall be payable for the actual number of days elapsed (including the first day but excluding the last day). For purposes of computing commitment fees, the Commitment of any Class of a Lender shall be deemed to be used to the extent of the outstanding Syndicated Loans and LC Exposure of such Class of such Lender (and the Swingline Exposure of such Class of such Lender shall be disregarded for such purpose).</w:t>
      </w:r>
    </w:p>
    <w:p>
      <w:pPr>
        <w:spacing w:after="0" w:line="73" w:lineRule="exact"/>
        <w:rPr>
          <w:rFonts w:ascii="Arial" w:cs="Arial" w:eastAsia="Arial" w:hAnsi="Arial"/>
          <w:sz w:val="17"/>
          <w:szCs w:val="17"/>
          <w:color w:val="auto"/>
        </w:rPr>
      </w:pPr>
    </w:p>
    <w:p>
      <w:pPr>
        <w:ind w:firstLine="921"/>
        <w:spacing w:after="0" w:line="290" w:lineRule="auto"/>
        <w:tabs>
          <w:tab w:leader="none" w:pos="1168"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Letter of Credit Fees</w:t>
      </w:r>
      <w:r>
        <w:rPr>
          <w:rFonts w:ascii="Arial" w:cs="Arial" w:eastAsia="Arial" w:hAnsi="Arial"/>
          <w:sz w:val="16"/>
          <w:szCs w:val="16"/>
          <w:color w:val="auto"/>
        </w:rPr>
        <w:t>. The Borrower agrees to pay (i) to the Administrative Agent for account of each Lender a participation fee with respect to its participations in Letters of Credit of each Class, which shall accrue at a rate per annum equal to the Applicable Margin applicable to interest on Eurocurrency Loans on the average daily amount of such Lender’s LC Exposure of such Class (excluding any portion thereof attributable to unreimbursed LC Disbursements) during the period from and including the Effective Date to but excluding the later of the date on which such Lender’s Commitment of such Class terminates and the date on which such Lender ceases to have any LC Exposure of such Class, and (ii) to the Issuing Bank a fronting fee, which shall accrue at the rate of 0.25% per annum on the average daily amount of the LC Exposure (excluding any portion thereof attributable to unreimbursed LC Disbursements) during the period from and including the Effective Date to but excluding the later of the date of termination of the Commitments and the date on which there ceases to be any LC Exposure, as well as the Issuing Bank’s standard fees with respect to the issuance,</w:t>
      </w:r>
    </w:p>
    <w:p>
      <w:pPr>
        <w:spacing w:after="0" w:line="99"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39" w:name="page140"/>
    <w:bookmarkEnd w:id="139"/>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amendment, renewal or extension of any Letter of Credit or processing of drawings thereunder. Participation fees and fronting fees accrued through and including each Quarterly Date shall be payable on the third Business Day following such Quarterly Date, commencing on the first such date to occur after the Effective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such fees with respect to the Letters of Credit shall be payable on the Termination Date and the Borrower shall pay any such fees that have accrued and that are unpaid on the Termination Date and, in the event any Letters of Credit shall be outstanding that have expiration dates after the Termination Date, the Borrower shall prepay on the Termination Date the full amount of the participation and fronting fees that will accrue on such Letters of Credit subsequent to the Termination Date through but not including the date such outstanding Letters of Credit are scheduled to expire (and, in that connection, the Lenders agree not later than the date two Business Days after the date upon which the last such Letter of Credit shall expire or be terminated to rebate to the Borrower the excess, if any, of the aggregate participation and fronting fees that have been prepaid by the Borrower over the sum of the amount of such fees that ultimately accrue through the date of such expiration or termination and the aggregate amount of all other unpaid obligations hereunder at such time). Any other fees payable to the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spacing w:after="0" w:line="72" w:lineRule="exact"/>
        <w:rPr>
          <w:sz w:val="20"/>
          <w:szCs w:val="20"/>
          <w:color w:val="auto"/>
        </w:rPr>
      </w:pPr>
    </w:p>
    <w:p>
      <w:pPr>
        <w:ind w:right="120" w:firstLine="921"/>
        <w:spacing w:after="0" w:line="277" w:lineRule="auto"/>
        <w:tabs>
          <w:tab w:leader="none" w:pos="1157"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Administrative Agent Fees</w:t>
      </w:r>
      <w:r>
        <w:rPr>
          <w:rFonts w:ascii="Arial" w:cs="Arial" w:eastAsia="Arial" w:hAnsi="Arial"/>
          <w:sz w:val="18"/>
          <w:szCs w:val="18"/>
          <w:color w:val="auto"/>
        </w:rPr>
        <w:t>. The Borrower agrees to pay to the Administrative Agent, for its own account, fees payable in the amounts and at the times separately agreed upon between the Borrower and the Administrative Agent.</w:t>
      </w:r>
    </w:p>
    <w:p>
      <w:pPr>
        <w:spacing w:after="0" w:line="62" w:lineRule="exact"/>
        <w:rPr>
          <w:rFonts w:ascii="Arial" w:cs="Arial" w:eastAsia="Arial" w:hAnsi="Arial"/>
          <w:sz w:val="18"/>
          <w:szCs w:val="18"/>
          <w:color w:val="auto"/>
        </w:rPr>
      </w:pPr>
    </w:p>
    <w:p>
      <w:pPr>
        <w:jc w:val="both"/>
        <w:ind w:right="40" w:firstLine="921"/>
        <w:spacing w:after="0" w:line="279" w:lineRule="auto"/>
        <w:tabs>
          <w:tab w:leader="none" w:pos="1168"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Payment of Fees</w:t>
      </w:r>
      <w:r>
        <w:rPr>
          <w:rFonts w:ascii="Arial" w:cs="Arial" w:eastAsia="Arial" w:hAnsi="Arial"/>
          <w:sz w:val="17"/>
          <w:szCs w:val="17"/>
          <w:color w:val="auto"/>
        </w:rPr>
        <w:t>. All fees payable hereunder shall be paid on the dates due, in Dollars (or, at the election of the Borrower with respect to any fees payable to the Issuing Bank on account of Letters of Credit issued in any Foreign Currency, in such Foreign Currency) and immediately available funds, to the Administrative Agent (or to the Issuing Bank, in the case of fees payable to it) for distribution, in the case of commitment fees and participation fees, to the Lenders entitled thereto. Fees paid shall not be refundable under any circumstances absent obvious error.</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Interest</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77" w:lineRule="auto"/>
        <w:tabs>
          <w:tab w:leader="none" w:pos="1157"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ABR Loans</w:t>
      </w:r>
      <w:r>
        <w:rPr>
          <w:rFonts w:ascii="Arial" w:cs="Arial" w:eastAsia="Arial" w:hAnsi="Arial"/>
          <w:sz w:val="18"/>
          <w:szCs w:val="18"/>
          <w:color w:val="auto"/>
        </w:rPr>
        <w:t xml:space="preserve">. The Loans constituting each ABR Borrowing (including each Swingline Loan) shall bear interest at a rate per annum equal to the Alternate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w:t>
      </w:r>
    </w:p>
    <w:p>
      <w:pPr>
        <w:spacing w:after="0" w:line="62" w:lineRule="exact"/>
        <w:rPr>
          <w:rFonts w:ascii="Arial" w:cs="Arial" w:eastAsia="Arial" w:hAnsi="Arial"/>
          <w:sz w:val="18"/>
          <w:szCs w:val="18"/>
          <w:color w:val="auto"/>
        </w:rPr>
      </w:pPr>
    </w:p>
    <w:p>
      <w:pPr>
        <w:ind w:right="20" w:firstLine="921"/>
        <w:spacing w:after="0" w:line="277" w:lineRule="auto"/>
        <w:tabs>
          <w:tab w:leader="none" w:pos="1168"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Eurocurrency Loans</w:t>
      </w:r>
      <w:r>
        <w:rPr>
          <w:rFonts w:ascii="Arial" w:cs="Arial" w:eastAsia="Arial" w:hAnsi="Arial"/>
          <w:sz w:val="18"/>
          <w:szCs w:val="18"/>
          <w:color w:val="auto"/>
        </w:rPr>
        <w:t xml:space="preserve">. The Loans constituting each Eurocurrency Borrowing shall bear interest at a rate per annum equal to the Adjusted LIBO Rate for the related Interest Period for such Borrowing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w:t>
      </w:r>
    </w:p>
    <w:p>
      <w:pPr>
        <w:spacing w:after="0" w:line="62" w:lineRule="exact"/>
        <w:rPr>
          <w:rFonts w:ascii="Arial" w:cs="Arial" w:eastAsia="Arial" w:hAnsi="Arial"/>
          <w:sz w:val="18"/>
          <w:szCs w:val="18"/>
          <w:color w:val="auto"/>
        </w:rPr>
      </w:pPr>
    </w:p>
    <w:p>
      <w:pPr>
        <w:ind w:firstLine="921"/>
        <w:spacing w:after="0" w:line="276" w:lineRule="auto"/>
        <w:tabs>
          <w:tab w:leader="none" w:pos="1157" w:val="left"/>
        </w:tabs>
        <w:numPr>
          <w:ilvl w:val="0"/>
          <w:numId w:val="103"/>
        </w:numPr>
        <w:rPr>
          <w:rFonts w:ascii="Arial" w:cs="Arial" w:eastAsia="Arial" w:hAnsi="Arial"/>
          <w:sz w:val="17"/>
          <w:szCs w:val="17"/>
          <w:color w:val="auto"/>
        </w:rPr>
      </w:pPr>
      <w:r>
        <w:rPr>
          <w:rFonts w:ascii="Arial" w:cs="Arial" w:eastAsia="Arial" w:hAnsi="Arial"/>
          <w:sz w:val="17"/>
          <w:szCs w:val="17"/>
          <w:u w:val="single" w:color="auto"/>
          <w:color w:val="auto"/>
        </w:rPr>
        <w:t>Default Interest</w:t>
      </w:r>
      <w:r>
        <w:rPr>
          <w:rFonts w:ascii="Arial" w:cs="Arial" w:eastAsia="Arial" w:hAnsi="Arial"/>
          <w:sz w:val="17"/>
          <w:szCs w:val="17"/>
          <w:color w:val="auto"/>
        </w:rPr>
        <w:t xml:space="preserve">. Notwithstanding the foregoing, if any Event of Default has occurred and is continuing and the Required Lenders have elected to increase pricing, the interest rates applicable to Loans and any fee or other amount payable by the Borrower hereunder shall bear interest, after as well as before judgment, at a rate per annum equal to (i) in the case of principal of any Loan, 2%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rate otherwise applicable to such Loan as provided above, (ii) in the case of any Letter of Credit, 2%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fee otherwise applicable to such Letter of Credit as provided in </w:t>
      </w:r>
      <w:r>
        <w:rPr>
          <w:rFonts w:ascii="Arial" w:cs="Arial" w:eastAsia="Arial" w:hAnsi="Arial"/>
          <w:sz w:val="17"/>
          <w:szCs w:val="17"/>
          <w:u w:val="single" w:color="auto"/>
          <w:color w:val="auto"/>
        </w:rPr>
        <w:t>Section 2.11(b)(i)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in the case of any fee or other amount, 2%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rate applicable to ABR Loans as provided in </w:t>
      </w:r>
      <w:r>
        <w:rPr>
          <w:rFonts w:ascii="Arial" w:cs="Arial" w:eastAsia="Arial" w:hAnsi="Arial"/>
          <w:sz w:val="17"/>
          <w:szCs w:val="17"/>
          <w:u w:val="single" w:color="auto"/>
          <w:color w:val="auto"/>
        </w:rPr>
        <w:t>paragraph (a)</w:t>
      </w:r>
      <w:r>
        <w:rPr>
          <w:rFonts w:ascii="Arial" w:cs="Arial" w:eastAsia="Arial" w:hAnsi="Arial"/>
          <w:sz w:val="17"/>
          <w:szCs w:val="17"/>
          <w:color w:val="auto"/>
        </w:rPr>
        <w:t xml:space="preserve"> of this Section.</w:t>
      </w:r>
    </w:p>
    <w:p>
      <w:pPr>
        <w:spacing w:after="0" w:line="105"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40" w:name="page141"/>
    <w:bookmarkEnd w:id="140"/>
    <w:p>
      <w:pPr>
        <w:ind w:right="100" w:firstLine="921"/>
        <w:spacing w:after="0" w:line="291" w:lineRule="auto"/>
        <w:tabs>
          <w:tab w:leader="none" w:pos="1168" w:val="left"/>
        </w:tabs>
        <w:numPr>
          <w:ilvl w:val="1"/>
          <w:numId w:val="10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 of Interest</w:t>
      </w:r>
      <w:r>
        <w:rPr>
          <w:rFonts w:ascii="Arial" w:cs="Arial" w:eastAsia="Arial" w:hAnsi="Arial"/>
          <w:sz w:val="16"/>
          <w:szCs w:val="16"/>
          <w:color w:val="auto"/>
        </w:rPr>
        <w:t xml:space="preserve">. Accrued interest on each Loan shall be payable in arrears on each Interest Payment Date for such Loan in the Currency in which such Loan is denominated and, in the case of Syndicated Loans, upon the Termination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interest accrued pursuant to </w:t>
      </w:r>
      <w:r>
        <w:rPr>
          <w:rFonts w:ascii="Arial" w:cs="Arial" w:eastAsia="Arial" w:hAnsi="Arial"/>
          <w:sz w:val="16"/>
          <w:szCs w:val="16"/>
          <w:u w:val="single" w:color="auto"/>
          <w:color w:val="auto"/>
        </w:rPr>
        <w:t>paragraph</w:t>
      </w:r>
    </w:p>
    <w:p>
      <w:pPr>
        <w:ind w:right="160" w:firstLine="8"/>
        <w:spacing w:after="0" w:line="254" w:lineRule="auto"/>
        <w:tabs>
          <w:tab w:leader="none" w:pos="245" w:val="left"/>
        </w:tabs>
        <w:numPr>
          <w:ilvl w:val="0"/>
          <w:numId w:val="105"/>
        </w:numPr>
        <w:rPr>
          <w:rFonts w:ascii="Arial" w:cs="Arial" w:eastAsia="Arial" w:hAnsi="Arial"/>
          <w:sz w:val="18"/>
          <w:szCs w:val="18"/>
          <w:u w:val="single" w:color="auto"/>
          <w:color w:val="auto"/>
        </w:rPr>
      </w:pPr>
      <w:r>
        <w:rPr>
          <w:rFonts w:ascii="Arial" w:cs="Arial" w:eastAsia="Arial" w:hAnsi="Arial"/>
          <w:sz w:val="18"/>
          <w:szCs w:val="18"/>
          <w:color w:val="auto"/>
        </w:rPr>
        <w:t>of this Section shall be payable on demand, (ii) in the event of any repayment or prepayment of any Loan (other than a prepayment of a Syndicated ABR Loan prior to the Final Maturity Date), accrued interest on the principal amount repaid or prepaid shall be payable on the date of such repayment or prepayment and (iii) in the event of any conversion of any Eurocurrency Borrowing denominated in Dollars prior to the end of the Interest Period therefor, accrued interest on such Borrowing shall be payable on the effective date of such conversion.</w:t>
      </w:r>
    </w:p>
    <w:p>
      <w:pPr>
        <w:spacing w:after="0" w:line="81" w:lineRule="exact"/>
        <w:rPr>
          <w:rFonts w:ascii="Arial" w:cs="Arial" w:eastAsia="Arial" w:hAnsi="Arial"/>
          <w:sz w:val="18"/>
          <w:szCs w:val="18"/>
          <w:u w:val="single" w:color="auto"/>
          <w:color w:val="auto"/>
        </w:rPr>
      </w:pPr>
    </w:p>
    <w:p>
      <w:pPr>
        <w:ind w:right="40" w:firstLine="921"/>
        <w:spacing w:after="0" w:line="276" w:lineRule="auto"/>
        <w:tabs>
          <w:tab w:leader="none" w:pos="1157" w:val="left"/>
        </w:tabs>
        <w:numPr>
          <w:ilvl w:val="1"/>
          <w:numId w:val="105"/>
        </w:numPr>
        <w:rPr>
          <w:rFonts w:ascii="Arial" w:cs="Arial" w:eastAsia="Arial" w:hAnsi="Arial"/>
          <w:sz w:val="17"/>
          <w:szCs w:val="17"/>
          <w:color w:val="auto"/>
        </w:rPr>
      </w:pPr>
      <w:r>
        <w:rPr>
          <w:rFonts w:ascii="Arial" w:cs="Arial" w:eastAsia="Arial" w:hAnsi="Arial"/>
          <w:sz w:val="17"/>
          <w:szCs w:val="17"/>
          <w:u w:val="single" w:color="auto"/>
          <w:color w:val="auto"/>
        </w:rPr>
        <w:t>Computation</w:t>
      </w:r>
      <w:r>
        <w:rPr>
          <w:rFonts w:ascii="Arial" w:cs="Arial" w:eastAsia="Arial" w:hAnsi="Arial"/>
          <w:sz w:val="17"/>
          <w:szCs w:val="17"/>
          <w:color w:val="auto"/>
        </w:rPr>
        <w:t>. All interest hereunder shall be computed on the basis of a year of 360 days, except that interest computed (i) by reference to the Alternate Base Rate at times when the Alternate Base Rate is based on the Prime Rate and (ii) on Multicurrency Loans denominated in Pounds Sterling or Canadian Dollars shall be computed on the basis of a year of 365 days (or 366 days in a leap year), and in each case shall be payable for the actual number of days elapsed (including the first day but excluding the last day). The applicable Alternate Base Rate or Adjusted LIBO Rate shall be determined by the Administrative Agent and such determination shall be conclusive absent manifest error.</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2.13. </w:t>
      </w:r>
      <w:r>
        <w:rPr>
          <w:rFonts w:ascii="Arial" w:cs="Arial" w:eastAsia="Arial" w:hAnsi="Arial"/>
          <w:sz w:val="16"/>
          <w:szCs w:val="16"/>
          <w:u w:val="single" w:color="auto"/>
          <w:color w:val="auto"/>
        </w:rPr>
        <w:t>Alternate Rate of Interest</w:t>
      </w:r>
      <w:r>
        <w:rPr>
          <w:rFonts w:ascii="Arial" w:cs="Arial" w:eastAsia="Arial" w:hAnsi="Arial"/>
          <w:sz w:val="16"/>
          <w:szCs w:val="16"/>
          <w:color w:val="auto"/>
        </w:rPr>
        <w:t>. If prior to the commencement of the Interest Period for any Eurocurrency Borrowing of a Class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Currency of such Borrowing herein called the “</w:t>
      </w:r>
      <w:r>
        <w:rPr>
          <w:rFonts w:ascii="Arial" w:cs="Arial" w:eastAsia="Arial" w:hAnsi="Arial"/>
          <w:sz w:val="18"/>
          <w:szCs w:val="18"/>
          <w:u w:val="single" w:color="auto"/>
          <w:color w:val="auto"/>
        </w:rPr>
        <w:t>Affected Currency</w:t>
      </w:r>
      <w:r>
        <w:rPr>
          <w:rFonts w:ascii="Arial" w:cs="Arial" w:eastAsia="Arial" w:hAnsi="Arial"/>
          <w:sz w:val="18"/>
          <w:szCs w:val="18"/>
          <w:color w:val="auto"/>
        </w:rPr>
        <w:t>”):</w:t>
      </w:r>
    </w:p>
    <w:p>
      <w:pPr>
        <w:spacing w:after="0" w:line="103" w:lineRule="exact"/>
        <w:rPr>
          <w:sz w:val="20"/>
          <w:szCs w:val="20"/>
          <w:color w:val="auto"/>
        </w:rPr>
      </w:pPr>
    </w:p>
    <w:p>
      <w:pPr>
        <w:ind w:right="120" w:firstLine="921"/>
        <w:spacing w:after="0" w:line="277" w:lineRule="auto"/>
        <w:tabs>
          <w:tab w:leader="none" w:pos="115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Administrative Agent determines (which determination shall be conclusive absent manifest error) that adequate and reasonable means do not exist for ascertaining the Adjusted LIBO Rate for the Affected Currency for such Interest Period; or</w:t>
      </w:r>
    </w:p>
    <w:p>
      <w:pPr>
        <w:spacing w:after="0" w:line="62" w:lineRule="exact"/>
        <w:rPr>
          <w:rFonts w:ascii="Arial" w:cs="Arial" w:eastAsia="Arial" w:hAnsi="Arial"/>
          <w:sz w:val="18"/>
          <w:szCs w:val="18"/>
          <w:color w:val="auto"/>
        </w:rPr>
      </w:pPr>
    </w:p>
    <w:p>
      <w:pPr>
        <w:ind w:right="80" w:firstLine="921"/>
        <w:spacing w:after="0" w:line="264" w:lineRule="auto"/>
        <w:tabs>
          <w:tab w:leader="none" w:pos="116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Administrative Agent is advised by the Required Lenders of such Class that the Adjusted LIBO Rate for the Affected Currency for such Interest Period will not adequately and fairly reflect the cost to such Lenders of making or maintaining their respective Loans included in such Borrowing for such Interest Period;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then the Administrative Agent shall give notice thereof to the Borrower and the affected Lenders by telephone or telecopy as promptly as practicable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thereafter and, until the Administrative Agent notifies the Borrower and such Lenders that the circumstances giving rise to such notice no longer exist, (i)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Election Request that requests the conversion of any Syndicated Borrowing to, or the continuation of any Syndicated Borrowing as, a Eurocurrency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Borrowing denominated in the Affected Currency shall be ineffective and, if the Affected Currency is Dollars, such Syndicated Borrowing (unless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prepaid) shall be continued as, or converted to, a Syndicated ABR Borrowing, (ii) if the Affected Currency is Dollars and any Borrowing Request requests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Eurocurrency Borrowing denominated in Dollars, such Borrowing shall be made as a Syndicated ABR Borrowing and (iii) if the Affected Currency is 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any Borrowing Request that requests a Eurocurrency Borrowing denominated in the Affected Currency shall be ineffective.</w:t>
      </w:r>
    </w:p>
    <w:p>
      <w:pPr>
        <w:spacing w:after="0" w:line="143"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41" w:name="page142"/>
    <w:bookmarkEnd w:id="141"/>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2.14. </w:t>
      </w:r>
      <w:r>
        <w:rPr>
          <w:rFonts w:ascii="Arial" w:cs="Arial" w:eastAsia="Arial" w:hAnsi="Arial"/>
          <w:sz w:val="18"/>
          <w:szCs w:val="18"/>
          <w:u w:val="single" w:color="auto"/>
          <w:color w:val="auto"/>
        </w:rPr>
        <w:t>Increased Costs</w:t>
      </w:r>
      <w:r>
        <w:rPr>
          <w:rFonts w:ascii="Arial" w:cs="Arial" w:eastAsia="Arial" w:hAnsi="Arial"/>
          <w:sz w:val="18"/>
          <w:szCs w:val="18"/>
          <w:color w:val="auto"/>
        </w:rPr>
        <w:t>.</w:t>
      </w:r>
    </w:p>
    <w:p>
      <w:pPr>
        <w:spacing w:after="0" w:line="117" w:lineRule="exact"/>
        <w:rPr>
          <w:sz w:val="20"/>
          <w:szCs w:val="20"/>
          <w:color w:val="auto"/>
        </w:rPr>
      </w:pPr>
    </w:p>
    <w:p>
      <w:pPr>
        <w:ind w:left="1140" w:hanging="237"/>
        <w:spacing w:after="0"/>
        <w:tabs>
          <w:tab w:leader="none" w:pos="114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If any Change in Law shall:</w:t>
      </w:r>
    </w:p>
    <w:p>
      <w:pPr>
        <w:spacing w:after="0" w:line="117" w:lineRule="exact"/>
        <w:rPr>
          <w:sz w:val="20"/>
          <w:szCs w:val="20"/>
          <w:color w:val="auto"/>
        </w:rPr>
      </w:pPr>
    </w:p>
    <w:p>
      <w:pPr>
        <w:ind w:left="460" w:right="220" w:firstLine="443"/>
        <w:spacing w:after="0" w:line="264" w:lineRule="auto"/>
        <w:tabs>
          <w:tab w:leader="none" w:pos="1113"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compulsory loan, insurance charge or similar requirement against assets of, deposits with or for account of, or credit extended by, any Lender (except any such reserve requirement reflected in the Adjusted LIBO Rate) or the Issuing Bank; or</w:t>
      </w:r>
    </w:p>
    <w:p>
      <w:pPr>
        <w:spacing w:after="0" w:line="73" w:lineRule="exact"/>
        <w:rPr>
          <w:rFonts w:ascii="Arial" w:cs="Arial" w:eastAsia="Arial" w:hAnsi="Arial"/>
          <w:sz w:val="18"/>
          <w:szCs w:val="18"/>
          <w:color w:val="auto"/>
        </w:rPr>
      </w:pPr>
    </w:p>
    <w:p>
      <w:pPr>
        <w:ind w:left="460" w:right="180" w:firstLine="443"/>
        <w:spacing w:after="0" w:line="277" w:lineRule="auto"/>
        <w:tabs>
          <w:tab w:leader="none" w:pos="1163"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impose on any Lender or the Issuing Bank or the London interbank market any other condition, cost or expense (other than Taxes) affecting this Agreement or Eurocurrency Loans made by such Lender or any Letter of Credit or participation therein;</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and the result of any of the foregoing shall be to increase the cost to such Lenders of making, converting to, continuing or maintaining any Eurocurrency Loan (or of maintaining its obligation to make any such Loan) or to increase the cost to such Lender or the Issuing Bank of participating in, issuing or maintaining any Letter of Credit or to reduce the amount of any sum received or receivable by such Lender or the Issuing Bank hereunder (whether of principal, interest or otherwise), then the Borrower will pay to such Lender or the Issuing Bank, as the case may be, in Dollars, such additional amount or amounts as will compensate such Lender or the Issuing Bank, as the case may be, for such additional costs incurred or reduction suffered.</w:t>
      </w:r>
    </w:p>
    <w:p>
      <w:pPr>
        <w:spacing w:after="0" w:line="64" w:lineRule="exact"/>
        <w:rPr>
          <w:sz w:val="20"/>
          <w:szCs w:val="20"/>
          <w:color w:val="auto"/>
        </w:rPr>
      </w:pPr>
    </w:p>
    <w:p>
      <w:pPr>
        <w:ind w:right="140" w:firstLine="921"/>
        <w:spacing w:after="0" w:line="290" w:lineRule="auto"/>
        <w:tabs>
          <w:tab w:leader="none" w:pos="1168"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Capital Requirements</w:t>
      </w:r>
      <w:r>
        <w:rPr>
          <w:rFonts w:ascii="Arial" w:cs="Arial" w:eastAsia="Arial" w:hAnsi="Arial"/>
          <w:sz w:val="16"/>
          <w:szCs w:val="16"/>
          <w:color w:val="auto"/>
        </w:rPr>
        <w:t>. If any Lender or the Issuing Bank determines that any Change in Law regarding capital or liquidity requirements has or would have the effect of reducing the rate of return on such Lender’s or the Issuing Bank’s capital or on the capital of such Lender’s or the Issuing Bank’s holding company, if any, as a consequence of this Agreement or the Loans made by, or participations in Swingline Loans and Letters of Credit held by, such Lender, or the Letters of Credit issued by the Issuing Bank, to a level below that which such Lender or the Issuing Bank or such Lender’s or the Issuing Bank’s holding company could have achieved but for such Change in Law (taking into consideration such Lender’s or the Issuing Bank’s policies and the policies of such Lender’s or the Issuing Bank’s holding company with respect to capital adequacy), by an amount deemed to be material by such Lender or Issuing Bank, then from time to time the Borrower will pay to such Lender or the Issuing Bank, as the case may be, in Dollars, such additional amount or amounts as will compensate such Lender or the Issuing Bank or such Lender’s or the Issuing Bank’s holding company for any such reduction suffered.</w:t>
      </w:r>
    </w:p>
    <w:p>
      <w:pPr>
        <w:spacing w:after="0" w:line="58" w:lineRule="exact"/>
        <w:rPr>
          <w:rFonts w:ascii="Arial" w:cs="Arial" w:eastAsia="Arial" w:hAnsi="Arial"/>
          <w:sz w:val="16"/>
          <w:szCs w:val="16"/>
          <w:color w:val="auto"/>
        </w:rPr>
      </w:pPr>
    </w:p>
    <w:p>
      <w:pPr>
        <w:ind w:right="80" w:firstLine="921"/>
        <w:spacing w:after="0" w:line="259" w:lineRule="auto"/>
        <w:tabs>
          <w:tab w:leader="none" w:pos="1157"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Certificates from Lenders</w:t>
      </w:r>
      <w:r>
        <w:rPr>
          <w:rFonts w:ascii="Arial" w:cs="Arial" w:eastAsia="Arial" w:hAnsi="Arial"/>
          <w:sz w:val="18"/>
          <w:szCs w:val="18"/>
          <w:color w:val="auto"/>
        </w:rPr>
        <w:t xml:space="preserve">. A certificate of a Lender or the Issuing Bank setting forth the amount or amounts, in Dollars, necessary to compensate such Lender or the Issuing Bank or its holding company, as the case may be, as specified in </w:t>
      </w:r>
      <w:r>
        <w:rPr>
          <w:rFonts w:ascii="Arial" w:cs="Arial" w:eastAsia="Arial" w:hAnsi="Arial"/>
          <w:sz w:val="18"/>
          <w:szCs w:val="18"/>
          <w:u w:val="single" w:color="auto"/>
          <w:color w:val="auto"/>
        </w:rPr>
        <w:t>paragraph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Section shall be promptly delivered to the Borrower and shall be conclusive absent manifest error. The Borrower shall pay such Lender or the Issuing Bank, as the case may be, the amount shown as due on any such certificate within 10 days after receipt thereof.</w:t>
      </w:r>
    </w:p>
    <w:p>
      <w:pPr>
        <w:spacing w:after="0" w:line="119"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42" w:name="page143"/>
    <w:bookmarkEnd w:id="142"/>
    <w:p>
      <w:pPr>
        <w:ind w:right="40" w:firstLine="921"/>
        <w:spacing w:after="0" w:line="293" w:lineRule="auto"/>
        <w:tabs>
          <w:tab w:leader="none" w:pos="1168"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Delay in Requests</w:t>
      </w:r>
      <w:r>
        <w:rPr>
          <w:rFonts w:ascii="Arial" w:cs="Arial" w:eastAsia="Arial" w:hAnsi="Arial"/>
          <w:sz w:val="16"/>
          <w:szCs w:val="16"/>
          <w:color w:val="auto"/>
        </w:rPr>
        <w:t xml:space="preserve">. Failure or delay on the part of any Lender or the Issuing Bank to demand compensation pursuant to this Section shall not constitute a waiver of such Lender’s or the Issuing Bank’s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not be required to compensate a Lender or the Issuing Bank pursuant to this Section for any increased costs or reductions incurred more than six months prior to the date that such Lender or the Issuing Bank, as the case may be, notifies the Borrower of the Change in Law giving rise to such increased costs or reductions and of such Lender’s or the Issuing Bank’s intention to claim compensation therefor;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the Change in Law giving rise to such increased costs or reductions is retroactive, then the six-month period referred to above shall be extended to include the period of retroactive effect thereof.</w:t>
      </w:r>
    </w:p>
    <w:p>
      <w:pPr>
        <w:spacing w:after="0" w:line="165"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color w:val="auto"/>
        </w:rPr>
        <w:t xml:space="preserve">SECTION 2.15. </w:t>
      </w:r>
      <w:r>
        <w:rPr>
          <w:rFonts w:ascii="Arial" w:cs="Arial" w:eastAsia="Arial" w:hAnsi="Arial"/>
          <w:sz w:val="16"/>
          <w:szCs w:val="16"/>
          <w:u w:val="single" w:color="auto"/>
          <w:color w:val="auto"/>
        </w:rPr>
        <w:t>Break Funding Payments</w:t>
      </w:r>
      <w:r>
        <w:rPr>
          <w:rFonts w:ascii="Arial" w:cs="Arial" w:eastAsia="Arial" w:hAnsi="Arial"/>
          <w:sz w:val="16"/>
          <w:szCs w:val="16"/>
          <w:color w:val="auto"/>
        </w:rPr>
        <w:t xml:space="preserve">. In the event of (a) the payment of any principal of any Eurocurrency Loan other than on the last day of an Interest Period therefor (including as a result of the occurrence of any Commitment Increase Date or an Event of Default), (b) the conversion of any Eurocurrency Loan other than on the last day of an Interest Period therefor, (c) the failure to borrow, convert, continue or prepay any Syndicated Loan on the date specified in any notice delivered pursuant hereto (including, in connection with any Commitment Increase Date, and regardless of whether such notice is permitted to be revocable under </w:t>
      </w:r>
      <w:r>
        <w:rPr>
          <w:rFonts w:ascii="Arial" w:cs="Arial" w:eastAsia="Arial" w:hAnsi="Arial"/>
          <w:sz w:val="16"/>
          <w:szCs w:val="16"/>
          <w:u w:val="single" w:color="auto"/>
          <w:color w:val="auto"/>
        </w:rPr>
        <w:t>Section 2.10(e)</w:t>
      </w:r>
      <w:r>
        <w:rPr>
          <w:rFonts w:ascii="Arial" w:cs="Arial" w:eastAsia="Arial" w:hAnsi="Arial"/>
          <w:sz w:val="16"/>
          <w:szCs w:val="16"/>
          <w:color w:val="auto"/>
        </w:rPr>
        <w:t xml:space="preserve"> and is revoked in accordance herewith), or (d) the assignment as a result of a request by the Borrower pursuant to </w:t>
      </w:r>
      <w:r>
        <w:rPr>
          <w:rFonts w:ascii="Arial" w:cs="Arial" w:eastAsia="Arial" w:hAnsi="Arial"/>
          <w:sz w:val="16"/>
          <w:szCs w:val="16"/>
          <w:u w:val="single" w:color="auto"/>
          <w:color w:val="auto"/>
        </w:rPr>
        <w:t>Section 2.18(b)</w:t>
      </w:r>
      <w:r>
        <w:rPr>
          <w:rFonts w:ascii="Arial" w:cs="Arial" w:eastAsia="Arial" w:hAnsi="Arial"/>
          <w:sz w:val="16"/>
          <w:szCs w:val="16"/>
          <w:color w:val="auto"/>
        </w:rPr>
        <w:t xml:space="preserve"> of any Eurocurrency Loan other than on the last day of an Interest Period therefor, then, in any such event, the Borrower shall compensate each Lender for the loss, cost and reasonable expense attributable to such event. In the case of a Eurocurrency Loan, the loss to any Lender attributable to any such event shall be deemed to include an amount determined by such Lender to be equal to the excess, if any, of</w:t>
      </w:r>
    </w:p>
    <w:p>
      <w:pPr>
        <w:spacing w:after="0" w:line="58" w:lineRule="exact"/>
        <w:rPr>
          <w:sz w:val="20"/>
          <w:szCs w:val="20"/>
          <w:color w:val="auto"/>
        </w:rPr>
      </w:pPr>
    </w:p>
    <w:p>
      <w:pPr>
        <w:jc w:val="both"/>
        <w:ind w:left="460" w:right="260" w:firstLine="443"/>
        <w:spacing w:after="0" w:line="257" w:lineRule="auto"/>
        <w:tabs>
          <w:tab w:leader="none" w:pos="111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the amount of interest that such Lender would pay for a deposit equal to the principal amount of such Loan denominated in the Currency of such Loan for the period from the date of such payment, conversion, failure or assignment to the last day of the then current Interest Period for such Loan (or, in the case of a failure to borrow, convert or continue, the duration of the Interest Period that would have resulted from such borrowing, conversion or continuation) if the interest rate payable on such deposit were equal to the Adjusted LIBO Rate for such Currency for such Interest Period, </w:t>
      </w:r>
      <w:r>
        <w:rPr>
          <w:rFonts w:ascii="Arial" w:cs="Arial" w:eastAsia="Arial" w:hAnsi="Arial"/>
          <w:sz w:val="18"/>
          <w:szCs w:val="18"/>
          <w:u w:val="single" w:color="auto"/>
          <w:color w:val="auto"/>
        </w:rPr>
        <w:t>over</w:t>
      </w:r>
    </w:p>
    <w:p>
      <w:pPr>
        <w:spacing w:after="0" w:line="80" w:lineRule="exact"/>
        <w:rPr>
          <w:rFonts w:ascii="Arial" w:cs="Arial" w:eastAsia="Arial" w:hAnsi="Arial"/>
          <w:sz w:val="18"/>
          <w:szCs w:val="18"/>
          <w:color w:val="auto"/>
        </w:rPr>
      </w:pPr>
    </w:p>
    <w:p>
      <w:pPr>
        <w:ind w:left="460" w:right="100" w:firstLine="443"/>
        <w:spacing w:after="0" w:line="264" w:lineRule="auto"/>
        <w:tabs>
          <w:tab w:leader="none" w:pos="116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amount of interest that such Lender would earn on such principal amount for such period if such Lender were to invest such principal amount for such period at the interest rate that would be bid by such Lender (or an affiliate of such Lender) for deposits denominated in such Currency from other banks in the Eurocurrency market at the commencement of such period.</w:t>
      </w:r>
    </w:p>
    <w:p>
      <w:pPr>
        <w:spacing w:after="0" w:line="18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Payment under this Section shall be made upon request of a Lender delivered not later than five Business Days following the payment, conversion, or failure to borrow, convert, continue or prepay that gives rise to a claim under this Section accompanied by a certificate of such Lender setting forth the amount or amounts that such Lender is entitled to receive pursuant to this Section, which certificate shall be conclusive absent manifest error. The Borrower shall pay such Lender the amount shown as due on any such certificate within 10 days after receipt thereof.</w:t>
      </w:r>
    </w:p>
    <w:p>
      <w:pPr>
        <w:spacing w:after="0" w:line="104"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2.16.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17" w:lineRule="exact"/>
        <w:rPr>
          <w:sz w:val="20"/>
          <w:szCs w:val="20"/>
          <w:color w:val="auto"/>
        </w:rPr>
      </w:pPr>
    </w:p>
    <w:p>
      <w:pPr>
        <w:ind w:left="-920" w:right="140" w:firstLine="921"/>
        <w:spacing w:after="0" w:line="293" w:lineRule="auto"/>
        <w:tabs>
          <w:tab w:leader="none" w:pos="237"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Payments Free of Taxes</w:t>
      </w:r>
      <w:r>
        <w:rPr>
          <w:rFonts w:ascii="Arial" w:cs="Arial" w:eastAsia="Arial" w:hAnsi="Arial"/>
          <w:sz w:val="16"/>
          <w:szCs w:val="16"/>
          <w:color w:val="auto"/>
        </w:rPr>
        <w:t xml:space="preserve">. Any and all payments by or on account of any obligation of the Borrower hereunder or under any other Loan Document shall be made free and clear of and without deduction for any Taxes, except as required by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Borrower shall be required to deduct any Taxes from such payments, then (i) if such Taxes are Indemnified Taxes, the sum payable shall be increased as necessary so that after making all required deductions (including deductions applicable to additional sums payable under this Section) the Administrative Agent, Lender or Issuing Bank (as the case may be) receives an amount equal to the sum it would have received had no such deductions been made, (ii) the Borrower shall make such deductions and (iii) the Borrower shall pay the full amount deducted to the relevant Governmental Authority in accordance with applicable law.</w:t>
      </w:r>
    </w:p>
    <w:p>
      <w:pPr>
        <w:spacing w:after="0" w:line="56" w:lineRule="exact"/>
        <w:rPr>
          <w:rFonts w:ascii="Arial" w:cs="Arial" w:eastAsia="Arial" w:hAnsi="Arial"/>
          <w:sz w:val="16"/>
          <w:szCs w:val="16"/>
          <w:color w:val="auto"/>
        </w:rPr>
      </w:pPr>
    </w:p>
    <w:p>
      <w:pPr>
        <w:ind w:left="-920" w:right="360" w:firstLine="921"/>
        <w:spacing w:after="0" w:line="277" w:lineRule="auto"/>
        <w:tabs>
          <w:tab w:leader="none" w:pos="248"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Borrower</w:t>
      </w:r>
      <w:r>
        <w:rPr>
          <w:rFonts w:ascii="Arial" w:cs="Arial" w:eastAsia="Arial" w:hAnsi="Arial"/>
          <w:sz w:val="18"/>
          <w:szCs w:val="18"/>
          <w:color w:val="auto"/>
        </w:rPr>
        <w:t>. In addition, the Borrower shall pay any Other Taxes to the relevant Governmental Authority in accordance with applicable law.</w:t>
      </w:r>
    </w:p>
    <w:p>
      <w:pPr>
        <w:spacing w:after="0" w:line="62" w:lineRule="exact"/>
        <w:rPr>
          <w:rFonts w:ascii="Arial" w:cs="Arial" w:eastAsia="Arial" w:hAnsi="Arial"/>
          <w:sz w:val="18"/>
          <w:szCs w:val="18"/>
          <w:color w:val="auto"/>
        </w:rPr>
      </w:pPr>
    </w:p>
    <w:p>
      <w:pPr>
        <w:ind w:left="-920" w:right="40" w:firstLine="921"/>
        <w:spacing w:after="0" w:line="271" w:lineRule="auto"/>
        <w:tabs>
          <w:tab w:leader="none" w:pos="237"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auto"/>
        </w:rPr>
        <w:t>Indemnification by the Borrower</w:t>
      </w:r>
      <w:r>
        <w:rPr>
          <w:rFonts w:ascii="Arial" w:cs="Arial" w:eastAsia="Arial" w:hAnsi="Arial"/>
          <w:sz w:val="17"/>
          <w:szCs w:val="17"/>
          <w:color w:val="auto"/>
        </w:rPr>
        <w:t>. The Borrower shall indemnify the Administrative Agent, each Lender and the Issuing Bank for and, within 10 Business Days after written demand therefor, pay the full amount of any Indemnified Taxes or Other Taxes (including Indemnified Taxes or Other Taxes imposed or asserted on or attributable to amounts payable under this Section) paid by the Administrative Agent, such Lender or the Issuing Bank, as the case may be, and any penalties, interest and reasonable expenses arising therefrom or with respect thereto, whether or not such Indemnified Taxes or Other Taxes were correctly or legally imposed or asserted by the relevant Governmental Authority, except to the extent that any such Indemnified Taxes or Other Taxes arise as the result of the fraud, gross negligence or willful misconduct of the Administrative Agent, such Lender or the Issuing Bank. A certificate as to the amount of such payment or liability delivered to the Borrower by a Lender or the Issuing Bank, or by the Administrative Agent on its own behalf or on behalf of a Lender or the Issuing Bank, shall be conclusive absent manifest error.</w:t>
      </w:r>
    </w:p>
    <w:p>
      <w:pPr>
        <w:spacing w:after="0" w:line="70" w:lineRule="exact"/>
        <w:rPr>
          <w:rFonts w:ascii="Arial" w:cs="Arial" w:eastAsia="Arial" w:hAnsi="Arial"/>
          <w:sz w:val="17"/>
          <w:szCs w:val="17"/>
          <w:color w:val="auto"/>
        </w:rPr>
      </w:pPr>
    </w:p>
    <w:p>
      <w:pPr>
        <w:ind w:left="-920" w:right="40" w:firstLine="921"/>
        <w:spacing w:after="0" w:line="270" w:lineRule="auto"/>
        <w:tabs>
          <w:tab w:leader="none" w:pos="248"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auto"/>
        </w:rPr>
        <w:t>Indemnification by the Lenders</w:t>
      </w:r>
      <w:r>
        <w:rPr>
          <w:rFonts w:ascii="Arial" w:cs="Arial" w:eastAsia="Arial" w:hAnsi="Arial"/>
          <w:sz w:val="17"/>
          <w:szCs w:val="17"/>
          <w:color w:val="auto"/>
        </w:rPr>
        <w:t xml:space="preserve">. Each Lender shall severally indemnify the Administrative Agent, within 10 Business Days after written demand therefor, for (i) any Indemnified Taxes or Other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w:t>
      </w:r>
      <w:r>
        <w:rPr>
          <w:rFonts w:ascii="Arial" w:cs="Arial" w:eastAsia="Arial" w:hAnsi="Arial"/>
          <w:sz w:val="17"/>
          <w:szCs w:val="17"/>
          <w:u w:val="single" w:color="auto"/>
          <w:color w:val="auto"/>
        </w:rPr>
        <w:t>Section 9.04(f)</w:t>
      </w:r>
      <w:r>
        <w:rPr>
          <w:rFonts w:ascii="Arial" w:cs="Arial" w:eastAsia="Arial" w:hAnsi="Arial"/>
          <w:sz w:val="17"/>
          <w:szCs w:val="17"/>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Arial" w:cs="Arial" w:eastAsia="Arial" w:hAnsi="Arial"/>
          <w:sz w:val="17"/>
          <w:szCs w:val="17"/>
          <w:u w:val="single" w:color="auto"/>
          <w:color w:val="auto"/>
        </w:rPr>
        <w:t>paragraph (d)</w:t>
      </w:r>
      <w:r>
        <w:rPr>
          <w:rFonts w:ascii="Arial" w:cs="Arial" w:eastAsia="Arial" w:hAnsi="Arial"/>
          <w:sz w:val="17"/>
          <w:szCs w:val="17"/>
          <w:color w:val="auto"/>
        </w:rPr>
        <w:t>.</w:t>
      </w:r>
    </w:p>
    <w:p>
      <w:pPr>
        <w:spacing w:after="0" w:line="110" w:lineRule="exact"/>
        <w:rPr>
          <w:sz w:val="20"/>
          <w:szCs w:val="20"/>
          <w:color w:val="auto"/>
        </w:rPr>
      </w:pPr>
    </w:p>
    <w:p>
      <w:pPr>
        <w:jc w:val="both"/>
        <w:ind w:left="4940"/>
        <w:spacing w:after="0"/>
        <w:tabs>
          <w:tab w:leader="none" w:pos="844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500"/>
          </w:cols>
          <w:pgMar w:left="1160" w:top="274" w:right="239" w:bottom="1440" w:gutter="0" w:footer="0" w:header="0"/>
        </w:sectPr>
      </w:pPr>
    </w:p>
    <w:bookmarkStart w:id="144" w:name="page145"/>
    <w:bookmarkEnd w:id="144"/>
    <w:p>
      <w:pPr>
        <w:ind w:left="-921" w:firstLine="921"/>
        <w:spacing w:after="0" w:line="312" w:lineRule="auto"/>
        <w:tabs>
          <w:tab w:leader="none" w:pos="236"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Evidence of Payments</w:t>
      </w:r>
      <w:r>
        <w:rPr>
          <w:rFonts w:ascii="Arial" w:cs="Arial" w:eastAsia="Arial" w:hAnsi="Arial"/>
          <w:sz w:val="16"/>
          <w:szCs w:val="16"/>
          <w:color w:val="auto"/>
        </w:rPr>
        <w:t>. As soon as practicable after any payment of Indemnified Taxes or Other Taxes by the Borrower to a Governmental Authority,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38" w:lineRule="exact"/>
        <w:rPr>
          <w:rFonts w:ascii="Arial" w:cs="Arial" w:eastAsia="Arial" w:hAnsi="Arial"/>
          <w:sz w:val="16"/>
          <w:szCs w:val="16"/>
          <w:color w:val="auto"/>
        </w:rPr>
      </w:pPr>
    </w:p>
    <w:p>
      <w:pPr>
        <w:ind w:left="-921" w:firstLine="921"/>
        <w:spacing w:after="0" w:line="288" w:lineRule="auto"/>
        <w:tabs>
          <w:tab w:leader="none" w:pos="217"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Tax Documentation</w:t>
      </w:r>
      <w:r>
        <w:rPr>
          <w:rFonts w:ascii="Arial" w:cs="Arial" w:eastAsia="Arial" w:hAnsi="Arial"/>
          <w:sz w:val="16"/>
          <w:szCs w:val="16"/>
          <w:color w:val="auto"/>
        </w:rPr>
        <w:t xml:space="preserve">. (i) Any Foreign Lender that is entitled to an exemption from or reduction of withholding tax under the law of the jurisdiction in which the Borrower is located, or any treaty to which such jurisdiction is a party, with respect to payments under this Agreement shall deliver to the Borrower (with a copy to the Administrative Agent), at the time or times prescribed by applicable law or reasonably requested by the Borrower, such properly completed and executed documentation prescribed by applicable law as will permit such payments to be made without withholding or at a reduced rate. In addition, any Lender, if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6"/>
          <w:szCs w:val="16"/>
          <w:u w:val="single" w:color="auto"/>
          <w:color w:val="auto"/>
        </w:rPr>
        <w:t>Section 2.16(f)(ii)</w:t>
      </w:r>
      <w:r>
        <w:rPr>
          <w:rFonts w:ascii="Arial" w:cs="Arial" w:eastAsia="Arial" w:hAnsi="Arial"/>
          <w:sz w:val="16"/>
          <w:szCs w:val="16"/>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61" w:lineRule="exact"/>
        <w:rPr>
          <w:sz w:val="20"/>
          <w:szCs w:val="20"/>
          <w:color w:val="auto"/>
        </w:rPr>
      </w:pPr>
    </w:p>
    <w:p>
      <w:pPr>
        <w:ind w:left="259" w:hanging="259"/>
        <w:spacing w:after="0"/>
        <w:tabs>
          <w:tab w:leader="none" w:pos="259"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Without limiting the generality of the foregoing:</w:t>
      </w:r>
    </w:p>
    <w:p>
      <w:pPr>
        <w:spacing w:after="0" w:line="117" w:lineRule="exact"/>
        <w:rPr>
          <w:rFonts w:ascii="Arial" w:cs="Arial" w:eastAsia="Arial" w:hAnsi="Arial"/>
          <w:sz w:val="18"/>
          <w:szCs w:val="18"/>
          <w:color w:val="auto"/>
        </w:rPr>
      </w:pPr>
    </w:p>
    <w:p>
      <w:pPr>
        <w:ind w:left="-1" w:right="100" w:firstLine="421"/>
        <w:spacing w:after="0" w:line="257" w:lineRule="auto"/>
        <w:tabs>
          <w:tab w:leader="none" w:pos="714"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any Lender that is a “United States person” (as defined under Section 7701(a)(30) of the Code) shall deliver to the Borrower and the Administrative Agent (and such additional copies as shall be reasonably requested by the recipient) on or prior to the date on which such Lender become a Lender under this Agreement (and from time to time thereafter upon the reasonable request of the Borrower or the Administrative Agent), duly completed and executed copies of Internal Revenue Service Form W-9 or any successor form certifying that such Lender is exempt from U.S. federal backup withholding tax; and</w:t>
      </w:r>
    </w:p>
    <w:p>
      <w:pPr>
        <w:spacing w:after="0" w:line="80" w:lineRule="exact"/>
        <w:rPr>
          <w:rFonts w:ascii="Arial" w:cs="Arial" w:eastAsia="Arial" w:hAnsi="Arial"/>
          <w:sz w:val="18"/>
          <w:szCs w:val="18"/>
          <w:color w:val="auto"/>
        </w:rPr>
      </w:pPr>
    </w:p>
    <w:p>
      <w:pPr>
        <w:ind w:left="-1" w:firstLine="421"/>
        <w:spacing w:after="0" w:line="259" w:lineRule="auto"/>
        <w:tabs>
          <w:tab w:leader="none" w:pos="704" w:val="left"/>
        </w:tabs>
        <w:numPr>
          <w:ilvl w:val="1"/>
          <w:numId w:val="114"/>
        </w:numPr>
        <w:rPr>
          <w:rFonts w:ascii="Arial" w:cs="Arial" w:eastAsia="Arial" w:hAnsi="Arial"/>
          <w:sz w:val="18"/>
          <w:szCs w:val="18"/>
          <w:color w:val="auto"/>
        </w:rPr>
      </w:pPr>
      <w:r>
        <w:rPr>
          <w:rFonts w:ascii="Arial" w:cs="Arial" w:eastAsia="Arial" w:hAnsi="Arial"/>
          <w:sz w:val="18"/>
          <w:szCs w:val="18"/>
          <w:color w:val="auto"/>
        </w:rPr>
        <w:t>each Foreign Lender shall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but only if such Foreign Lender is legally entitled to do so), whichever of the following is applicable:</w:t>
      </w:r>
    </w:p>
    <w:p>
      <w:pPr>
        <w:spacing w:after="0" w:line="78" w:lineRule="exact"/>
        <w:rPr>
          <w:rFonts w:ascii="Arial" w:cs="Arial" w:eastAsia="Arial" w:hAnsi="Arial"/>
          <w:sz w:val="18"/>
          <w:szCs w:val="18"/>
          <w:color w:val="auto"/>
        </w:rPr>
      </w:pPr>
    </w:p>
    <w:p>
      <w:pPr>
        <w:ind w:left="579" w:right="40" w:firstLine="389"/>
        <w:spacing w:after="0" w:line="277" w:lineRule="auto"/>
        <w:tabs>
          <w:tab w:leader="none" w:pos="1271" w:val="left"/>
        </w:tabs>
        <w:numPr>
          <w:ilvl w:val="2"/>
          <w:numId w:val="114"/>
        </w:numPr>
        <w:rPr>
          <w:rFonts w:ascii="Arial" w:cs="Arial" w:eastAsia="Arial" w:hAnsi="Arial"/>
          <w:sz w:val="18"/>
          <w:szCs w:val="18"/>
          <w:color w:val="auto"/>
        </w:rPr>
      </w:pPr>
      <w:r>
        <w:rPr>
          <w:rFonts w:ascii="Arial" w:cs="Arial" w:eastAsia="Arial" w:hAnsi="Arial"/>
          <w:sz w:val="18"/>
          <w:szCs w:val="18"/>
          <w:color w:val="auto"/>
        </w:rPr>
        <w:t>duly completed and executed copies of Internal Revenue Service Form W-8BEN or W-8BEN-E or any successor form claiming eligibility for benefits of an income tax treaty to which the United States is a party,</w:t>
      </w:r>
    </w:p>
    <w:p>
      <w:pPr>
        <w:spacing w:after="0" w:line="103" w:lineRule="exact"/>
        <w:rPr>
          <w:sz w:val="20"/>
          <w:szCs w:val="20"/>
          <w:color w:val="auto"/>
        </w:rPr>
      </w:pPr>
    </w:p>
    <w:p>
      <w:pPr>
        <w:jc w:val="both"/>
        <w:ind w:left="4939"/>
        <w:spacing w:after="0"/>
        <w:tabs>
          <w:tab w:leader="none" w:pos="8439"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499"/>
          </w:cols>
          <w:pgMar w:left="1161" w:top="274" w:right="239" w:bottom="1440" w:gutter="0" w:footer="0" w:header="0"/>
        </w:sectPr>
      </w:pPr>
    </w:p>
    <w:bookmarkStart w:id="145" w:name="page146"/>
    <w:bookmarkEnd w:id="145"/>
    <w:p>
      <w:pPr>
        <w:ind w:left="597" w:right="200" w:firstLine="389"/>
        <w:spacing w:after="0" w:line="308" w:lineRule="auto"/>
        <w:tabs>
          <w:tab w:leader="none" w:pos="1249" w:val="left"/>
        </w:tabs>
        <w:numPr>
          <w:ilvl w:val="2"/>
          <w:numId w:val="11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duly completed copies of Internal Revenue Service Form W-8ECI or any successor form certifying that the income receivable pursuant to this Agreement is effectively connected with the conduct of a trade or business in the United States,</w:t>
      </w:r>
    </w:p>
    <w:p>
      <w:pPr>
        <w:spacing w:after="0" w:line="38" w:lineRule="exact"/>
        <w:rPr>
          <w:rFonts w:ascii="Arial" w:cs="Arial" w:eastAsia="Arial" w:hAnsi="Arial"/>
          <w:sz w:val="17"/>
          <w:szCs w:val="17"/>
          <w:color w:val="auto"/>
        </w:rPr>
      </w:pPr>
    </w:p>
    <w:p>
      <w:pPr>
        <w:ind w:left="1237" w:hanging="251"/>
        <w:spacing w:after="0"/>
        <w:tabs>
          <w:tab w:leader="none" w:pos="1237" w:val="left"/>
        </w:tabs>
        <w:numPr>
          <w:ilvl w:val="2"/>
          <w:numId w:val="115"/>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the exemption for portfolio interest under Section 881(c) of the Code,</w:t>
      </w:r>
    </w:p>
    <w:p>
      <w:pPr>
        <w:spacing w:after="0" w:line="46" w:lineRule="exact"/>
        <w:rPr>
          <w:rFonts w:ascii="Arial" w:cs="Arial" w:eastAsia="Arial" w:hAnsi="Arial"/>
          <w:sz w:val="16"/>
          <w:szCs w:val="16"/>
          <w:color w:val="auto"/>
        </w:rPr>
      </w:pPr>
    </w:p>
    <w:p>
      <w:pPr>
        <w:ind w:left="597" w:right="200" w:hanging="8"/>
        <w:spacing w:after="0" w:line="273" w:lineRule="auto"/>
        <w:tabs>
          <w:tab w:leader="none" w:pos="852" w:val="left"/>
        </w:tabs>
        <w:numPr>
          <w:ilvl w:val="1"/>
          <w:numId w:val="116"/>
        </w:numPr>
        <w:rPr>
          <w:rFonts w:ascii="Arial" w:cs="Arial" w:eastAsia="Arial" w:hAnsi="Arial"/>
          <w:sz w:val="17"/>
          <w:szCs w:val="17"/>
          <w:color w:val="auto"/>
        </w:rPr>
      </w:pPr>
      <w:r>
        <w:rPr>
          <w:rFonts w:ascii="Arial" w:cs="Arial" w:eastAsia="Arial" w:hAnsi="Arial"/>
          <w:sz w:val="17"/>
          <w:szCs w:val="17"/>
          <w:color w:val="auto"/>
        </w:rPr>
        <w:t>a certificate to the effect that such Foreign Lender is not (1) a “bank” within the meaning of Section 881(c)(3)(A) of the Code, (2) a “10 percent shareholder” of the Borrower within the meaning of Section 881(c)(3)(B) of the Code, or (3) a “controlled foreign corporation” described in Section 881(c)(3)(C) of the Code and (2) duly completed and executed copies of Internal Revenue Service Form W-8BEN or W-8BEN-E (or any successor form) certifying that the Foreign Lender is not a United States Person, or</w:t>
      </w:r>
    </w:p>
    <w:p>
      <w:pPr>
        <w:spacing w:after="0" w:line="68" w:lineRule="exact"/>
        <w:rPr>
          <w:rFonts w:ascii="Arial" w:cs="Arial" w:eastAsia="Arial" w:hAnsi="Arial"/>
          <w:sz w:val="17"/>
          <w:szCs w:val="17"/>
          <w:color w:val="auto"/>
        </w:rPr>
      </w:pPr>
    </w:p>
    <w:p>
      <w:pPr>
        <w:ind w:left="597" w:right="160" w:firstLine="389"/>
        <w:spacing w:after="0" w:line="259" w:lineRule="auto"/>
        <w:tabs>
          <w:tab w:leader="none" w:pos="1239" w:val="left"/>
        </w:tabs>
        <w:numPr>
          <w:ilvl w:val="2"/>
          <w:numId w:val="116"/>
        </w:numPr>
        <w:rPr>
          <w:rFonts w:ascii="Arial" w:cs="Arial" w:eastAsia="Arial" w:hAnsi="Arial"/>
          <w:sz w:val="18"/>
          <w:szCs w:val="18"/>
          <w:color w:val="auto"/>
        </w:rPr>
      </w:pPr>
      <w:r>
        <w:rPr>
          <w:rFonts w:ascii="Arial" w:cs="Arial" w:eastAsia="Arial" w:hAnsi="Arial"/>
          <w:sz w:val="18"/>
          <w:szCs w:val="18"/>
          <w:color w:val="auto"/>
        </w:rPr>
        <w:t>any other form including Internal Revenue Service Form W-8IMY as applicable prescribed by applicable law as a basis for claiming exemption from or a reduction in U.S. federal withholding Tax duly completed together with such supplementary documentation as may be prescribed by applicable law to permit the Borrower to determine the withholding or deduction required to be made.</w:t>
      </w:r>
    </w:p>
    <w:p>
      <w:pPr>
        <w:spacing w:after="0" w:line="78" w:lineRule="exact"/>
        <w:rPr>
          <w:rFonts w:ascii="Arial" w:cs="Arial" w:eastAsia="Arial" w:hAnsi="Arial"/>
          <w:sz w:val="18"/>
          <w:szCs w:val="18"/>
          <w:color w:val="auto"/>
        </w:rPr>
      </w:pPr>
    </w:p>
    <w:p>
      <w:pPr>
        <w:ind w:left="-443" w:right="140" w:firstLine="443"/>
        <w:spacing w:after="0" w:line="279" w:lineRule="auto"/>
        <w:tabs>
          <w:tab w:leader="none" w:pos="31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 xml:space="preserve">In addition, each Lender shall deliver such forms promptly upon the obsolescence, expiration or invalidity of any form previously delivered by such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it is legally able to do so at the time. Each Lender shall promptly notify the Borrower and the Administrative Agent at any time the chief tax officer of such Lender becomes aware that it no longer satisfies the legal requirements to provide any previously delivered form or certificate to the Borrower (or any other form of certification adopted by the U.S. or other taxing authorities for such purpose).</w:t>
      </w:r>
    </w:p>
    <w:p>
      <w:pPr>
        <w:spacing w:after="0" w:line="63" w:lineRule="exact"/>
        <w:rPr>
          <w:sz w:val="20"/>
          <w:szCs w:val="20"/>
          <w:color w:val="auto"/>
        </w:rPr>
      </w:pPr>
    </w:p>
    <w:p>
      <w:pPr>
        <w:ind w:left="-903" w:right="20" w:firstLine="921"/>
        <w:spacing w:after="0" w:line="254" w:lineRule="auto"/>
        <w:tabs>
          <w:tab w:leader="none" w:pos="265"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Documentation Required by FATCA</w:t>
      </w:r>
      <w:r>
        <w:rPr>
          <w:rFonts w:ascii="Arial" w:cs="Arial" w:eastAsia="Arial" w:hAnsi="Arial"/>
          <w:sz w:val="18"/>
          <w:szCs w:val="18"/>
          <w:color w:val="auto"/>
        </w:rPr>
        <w:t xml:space="preserve">. If a payment made to a Lender under this Agreement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 prescribed by applicable law (including as prescribed by Section 1471(b)(3)(C)(i) of the Code) and such additional documentation reasonably requested by the Borrower or the Administrative Agent as may be necessary for the Borrower and the Administrative Agent to comply with their respective obligations under FATCA or to determine the amount to deduct and withhold from such payment. Solely for purposes of this </w:t>
      </w:r>
      <w:r>
        <w:rPr>
          <w:rFonts w:ascii="Arial" w:cs="Arial" w:eastAsia="Arial" w:hAnsi="Arial"/>
          <w:sz w:val="18"/>
          <w:szCs w:val="18"/>
          <w:u w:val="single" w:color="auto"/>
          <w:color w:val="auto"/>
        </w:rPr>
        <w:t>Section 2.16(g)</w:t>
      </w:r>
      <w:r>
        <w:rPr>
          <w:rFonts w:ascii="Arial" w:cs="Arial" w:eastAsia="Arial" w:hAnsi="Arial"/>
          <w:sz w:val="18"/>
          <w:szCs w:val="18"/>
          <w:color w:val="auto"/>
        </w:rPr>
        <w:t>, “FATCA” shall include any amendments made to FATCA after the date of this Agreement.</w:t>
      </w:r>
    </w:p>
    <w:p>
      <w:pPr>
        <w:spacing w:after="0" w:line="125" w:lineRule="exact"/>
        <w:rPr>
          <w:sz w:val="20"/>
          <w:szCs w:val="20"/>
          <w:color w:val="auto"/>
        </w:rPr>
      </w:pPr>
    </w:p>
    <w:p>
      <w:pPr>
        <w:jc w:val="both"/>
        <w:ind w:left="4957"/>
        <w:spacing w:after="0"/>
        <w:tabs>
          <w:tab w:leader="none" w:pos="8457"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517"/>
          </w:cols>
          <w:pgMar w:left="1143" w:top="274" w:right="239" w:bottom="1440" w:gutter="0" w:footer="0" w:header="0"/>
        </w:sectPr>
      </w:pPr>
    </w:p>
    <w:bookmarkStart w:id="146" w:name="page147"/>
    <w:bookmarkEnd w:id="146"/>
    <w:p>
      <w:pPr>
        <w:ind w:right="60" w:firstLine="921"/>
        <w:spacing w:after="0" w:line="268" w:lineRule="auto"/>
        <w:tabs>
          <w:tab w:leader="none" w:pos="1168" w:val="left"/>
        </w:tabs>
        <w:numPr>
          <w:ilvl w:val="0"/>
          <w:numId w:val="11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Treatment of Certain Refunds</w:t>
      </w:r>
      <w:r>
        <w:rPr>
          <w:rFonts w:ascii="Arial" w:cs="Arial" w:eastAsia="Arial" w:hAnsi="Arial"/>
          <w:sz w:val="17"/>
          <w:szCs w:val="17"/>
          <w:color w:val="auto"/>
        </w:rPr>
        <w:t xml:space="preserve">. If the Administrative Agent, any Lender or an Issuing Bank determines, in its sole discretion, that it has received a refund or credit (in lieu of such refund) of any Taxes or Other Taxes as to which it has been indemnified by the Borrower or with respect to which the Borrower has paid additional amounts pursuant to this Section, it shall pay to the Borrower an amount equal to such refund (but only to the extent of indemnity payments made, or additional amounts paid, by the Borrower under this Section with respect to the Taxes or Other Taxes giving rise to such refund), net of all reasonable out-of-pocket expenses of the Administrative Agent, any Lender or an Issuing Bank, as the case may be, and without interest (other than any interest paid by the relevant Governmental Authority with respect to such refund);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upon the request of the Administrative Agent, any Lender or an Issuing Bank, agrees to repay the amount paid over to the Borrower (plus any penalties, interest or other charges imposed by the relevant Governmental Authority) to the Administrative Agent, any Lender or an Issuing Bank in the event the Administrative Agent, any Lender or an Issuing Bank is required to repay such refund to such Governmental Authority. Notwithstanding anything to the contrary in this </w:t>
      </w:r>
      <w:r>
        <w:rPr>
          <w:rFonts w:ascii="Arial" w:cs="Arial" w:eastAsia="Arial" w:hAnsi="Arial"/>
          <w:sz w:val="17"/>
          <w:szCs w:val="17"/>
          <w:u w:val="single" w:color="auto"/>
          <w:color w:val="auto"/>
        </w:rPr>
        <w:t>clause (h)</w:t>
      </w:r>
      <w:r>
        <w:rPr>
          <w:rFonts w:ascii="Arial" w:cs="Arial" w:eastAsia="Arial" w:hAnsi="Arial"/>
          <w:sz w:val="17"/>
          <w:szCs w:val="17"/>
          <w:color w:val="auto"/>
        </w:rPr>
        <w:t xml:space="preserve">, in no event will the Administrative Agent, any Lender or an Issuing Bank be required to pay any amount to Borrower pursuant to this </w:t>
      </w:r>
      <w:r>
        <w:rPr>
          <w:rFonts w:ascii="Arial" w:cs="Arial" w:eastAsia="Arial" w:hAnsi="Arial"/>
          <w:sz w:val="17"/>
          <w:szCs w:val="17"/>
          <w:u w:val="single" w:color="auto"/>
          <w:color w:val="auto"/>
        </w:rPr>
        <w:t>clause (h)</w:t>
      </w:r>
      <w:r>
        <w:rPr>
          <w:rFonts w:ascii="Arial" w:cs="Arial" w:eastAsia="Arial" w:hAnsi="Arial"/>
          <w:sz w:val="17"/>
          <w:szCs w:val="17"/>
          <w:color w:val="auto"/>
        </w:rPr>
        <w:t>, the payment of which would place such Person in a less favorable net after-Tax position than such Person would have been in if the indemnification payments or additional amounts giving rise to such refund had never been paid. This subsection shall not be construed to require the Administrative Agent, any Lender or an Issuing Bank to make available its tax returns or its books or records (or any other information relating to its taxes that it deems confidential) to the Borrower or any other Person.</w:t>
      </w:r>
    </w:p>
    <w:p>
      <w:pPr>
        <w:spacing w:after="0" w:line="1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2.17. </w:t>
      </w:r>
      <w:r>
        <w:rPr>
          <w:rFonts w:ascii="Arial" w:cs="Arial" w:eastAsia="Arial" w:hAnsi="Arial"/>
          <w:sz w:val="18"/>
          <w:szCs w:val="18"/>
          <w:u w:val="single" w:color="auto"/>
          <w:color w:val="auto"/>
        </w:rPr>
        <w:t>Payments Generally; Pro Rata Treatment: Sharing of Set-offs</w:t>
      </w:r>
      <w:r>
        <w:rPr>
          <w:rFonts w:ascii="Arial" w:cs="Arial" w:eastAsia="Arial" w:hAnsi="Arial"/>
          <w:sz w:val="18"/>
          <w:szCs w:val="18"/>
          <w:color w:val="auto"/>
        </w:rPr>
        <w:t>.</w:t>
      </w:r>
    </w:p>
    <w:p>
      <w:pPr>
        <w:spacing w:after="0" w:line="117" w:lineRule="exact"/>
        <w:rPr>
          <w:sz w:val="20"/>
          <w:szCs w:val="20"/>
          <w:color w:val="auto"/>
        </w:rPr>
      </w:pPr>
    </w:p>
    <w:p>
      <w:pPr>
        <w:ind w:right="80" w:firstLine="921"/>
        <w:spacing w:after="0" w:line="288" w:lineRule="auto"/>
        <w:tabs>
          <w:tab w:leader="none" w:pos="1157"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Payments by the Borrower</w:t>
      </w:r>
      <w:r>
        <w:rPr>
          <w:rFonts w:ascii="Arial" w:cs="Arial" w:eastAsia="Arial" w:hAnsi="Arial"/>
          <w:sz w:val="16"/>
          <w:szCs w:val="16"/>
          <w:color w:val="auto"/>
        </w:rPr>
        <w:t xml:space="preserve">. The Borrower shall make each payment required to be made by it hereunder (whether of principal, interest, fees or reimbursement of LC Disbursements, or under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w:t>
      </w:r>
      <w:r>
        <w:rPr>
          <w:rFonts w:ascii="Arial" w:cs="Arial" w:eastAsia="Arial" w:hAnsi="Arial"/>
          <w:sz w:val="16"/>
          <w:szCs w:val="16"/>
          <w:u w:val="single" w:color="auto"/>
          <w:color w:val="auto"/>
        </w:rPr>
        <w:t>2.15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or otherwise) or under any other Loan Document (except to the extent otherwise provided therein) prior to 12:00 noon, Atlanta, Georgia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the Administrative Agent’s Account, except as otherwise expressly provided in the relevant Loan Document and except payments to be made directly to the Issuing Bank or the Swingline Lender as expressly provided herein and payments pursuant to </w:t>
      </w:r>
      <w:r>
        <w:rPr>
          <w:rFonts w:ascii="Arial" w:cs="Arial" w:eastAsia="Arial" w:hAnsi="Arial"/>
          <w:sz w:val="16"/>
          <w:szCs w:val="16"/>
          <w:u w:val="single" w:color="auto"/>
          <w:color w:val="auto"/>
        </w:rPr>
        <w:t>Sections 2.14</w:t>
      </w:r>
      <w:r>
        <w:rPr>
          <w:rFonts w:ascii="Arial" w:cs="Arial" w:eastAsia="Arial" w:hAnsi="Arial"/>
          <w:sz w:val="16"/>
          <w:szCs w:val="16"/>
          <w:color w:val="auto"/>
        </w:rPr>
        <w:t xml:space="preserve">, </w:t>
      </w:r>
      <w:r>
        <w:rPr>
          <w:rFonts w:ascii="Arial" w:cs="Arial" w:eastAsia="Arial" w:hAnsi="Arial"/>
          <w:sz w:val="16"/>
          <w:szCs w:val="16"/>
          <w:u w:val="single" w:color="auto"/>
          <w:color w:val="auto"/>
        </w:rPr>
        <w:t>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9.03</w:t>
      </w:r>
      <w:r>
        <w:rPr>
          <w:rFonts w:ascii="Arial" w:cs="Arial" w:eastAsia="Arial" w:hAnsi="Arial"/>
          <w:sz w:val="16"/>
          <w:szCs w:val="16"/>
          <w:color w:val="auto"/>
        </w:rPr>
        <w:t>, which shall be made directly to the Persons entitled thereto. The Administrative Agent shall distribute any such payments received by it for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w:t>
      </w:r>
    </w:p>
    <w:p>
      <w:pPr>
        <w:spacing w:after="0" w:line="169"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 xml:space="preserve">All amounts owing under this Agreement (including commitment fees, payments required under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and payments required under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relating to any Loan denominated in Dollars, but not including principal of and interest on any Loan denominated in any Foreign Currency or payments relating to any such Loan required under </w:t>
      </w:r>
      <w:r>
        <w:rPr>
          <w:rFonts w:ascii="Arial" w:cs="Arial" w:eastAsia="Arial" w:hAnsi="Arial"/>
          <w:sz w:val="18"/>
          <w:szCs w:val="18"/>
          <w:u w:val="single" w:color="auto"/>
          <w:color w:val="auto"/>
        </w:rPr>
        <w:t>Section 2.15</w:t>
      </w:r>
      <w:r>
        <w:rPr>
          <w:rFonts w:ascii="Arial" w:cs="Arial" w:eastAsia="Arial" w:hAnsi="Arial"/>
          <w:sz w:val="18"/>
          <w:szCs w:val="18"/>
          <w:color w:val="auto"/>
        </w:rPr>
        <w:t>, which are payable in such Foreign Currency) or under any other Loan Document (except to the extent otherwise provided therein) are payable in Dollars. Notwithstanding the foregoing, if the</w:t>
      </w:r>
    </w:p>
    <w:p>
      <w:pPr>
        <w:spacing w:after="0" w:line="119"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60</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47" w:name="page148"/>
    <w:bookmarkEnd w:id="147"/>
    <w:p>
      <w:pPr>
        <w:ind w:right="10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Borrower shall fail to pay any principal of any Loan when due (whether at stated maturity, by acceleration, by mandatory prepayment or otherwise), the unpaid portion of such Loan shall, if such Loan is not denominated in Dollars, automatically be redenominated in Dollars on the due date thereof (or, if such due date is a day other than the last day of the Interest Period therefor, on the last day of such Interest Period) in an amount equal to the Dollar Equivalent thereof on the date of such redenomination and such principal shall be payable on demand; and if the Borrower shall fail to pay any interest on any Loan that is not denominated in Dollars, such interest shall automatically be redenominated in Dollars on the due date therefor (or, if such due date is a day other than the last day of the Interest Period therefor, on the last day of such Interest Period) in an amount equal to the Dollar Equivalent thereof on the date of such redenomination and such interest shall be payable on demand.</w:t>
      </w:r>
    </w:p>
    <w:p>
      <w:pPr>
        <w:spacing w:after="0" w:line="178" w:lineRule="exact"/>
        <w:rPr>
          <w:sz w:val="20"/>
          <w:szCs w:val="20"/>
          <w:color w:val="auto"/>
        </w:rPr>
      </w:pPr>
    </w:p>
    <w:p>
      <w:pPr>
        <w:ind w:right="160" w:firstLine="913"/>
        <w:spacing w:after="0" w:line="255" w:lineRule="auto"/>
        <w:rPr>
          <w:sz w:val="20"/>
          <w:szCs w:val="20"/>
          <w:color w:val="auto"/>
        </w:rPr>
      </w:pPr>
      <w:r>
        <w:rPr>
          <w:rFonts w:ascii="Arial" w:cs="Arial" w:eastAsia="Arial" w:hAnsi="Arial"/>
          <w:sz w:val="18"/>
          <w:szCs w:val="18"/>
          <w:color w:val="auto"/>
        </w:rPr>
        <w:t>Notwithstanding the foregoing provisions of this Section, if, after the making of any Borrowing in any Foreign Currency, currency control or exchange regulations are imposed in the country which issues such currency with the result that the type of currency in which the Borrowing was made (the “</w:t>
      </w:r>
      <w:r>
        <w:rPr>
          <w:rFonts w:ascii="Arial" w:cs="Arial" w:eastAsia="Arial" w:hAnsi="Arial"/>
          <w:sz w:val="18"/>
          <w:szCs w:val="18"/>
          <w:u w:val="single" w:color="auto"/>
          <w:color w:val="auto"/>
        </w:rPr>
        <w:t>Original Currency</w:t>
      </w:r>
      <w:r>
        <w:rPr>
          <w:rFonts w:ascii="Arial" w:cs="Arial" w:eastAsia="Arial" w:hAnsi="Arial"/>
          <w:sz w:val="18"/>
          <w:szCs w:val="18"/>
          <w:color w:val="auto"/>
        </w:rPr>
        <w:t>”) no longer exists or the Borrower is not able to make payment to the Administrative Agent for the account of the Lenders in such Original Currency, then all payments to be made by the Borrower hereunder in such currency shall instead be made when due in Dollars in an amount equal to the Dollar Equivalent (as of the date of repayment) of such payment due, it being the intention of the parties hereto that the Borrower takes all risks of the imposition of any such currency control or exchange regulations.</w:t>
      </w:r>
    </w:p>
    <w:p>
      <w:pPr>
        <w:spacing w:after="0" w:line="85" w:lineRule="exact"/>
        <w:rPr>
          <w:sz w:val="20"/>
          <w:szCs w:val="20"/>
          <w:color w:val="auto"/>
        </w:rPr>
      </w:pPr>
    </w:p>
    <w:p>
      <w:pPr>
        <w:ind w:right="40" w:firstLine="921"/>
        <w:spacing w:after="0" w:line="297" w:lineRule="auto"/>
        <w:tabs>
          <w:tab w:leader="none" w:pos="1168"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Application of Insufficient Payments</w:t>
      </w:r>
      <w:r>
        <w:rPr>
          <w:rFonts w:ascii="Arial" w:cs="Arial" w:eastAsia="Arial" w:hAnsi="Arial"/>
          <w:sz w:val="16"/>
          <w:szCs w:val="16"/>
          <w:color w:val="auto"/>
        </w:rPr>
        <w:t>. If at any time insufficient funds are received by and available to the Administrative Agent to pay fully all amounts of principal, unreimbursed LC Disbursements, interest and fees of a Class then due hereunder, such funds shall be applied (i) first, to pay interest and fees of such Class then due hereunder, ratably among the parties entitled thereto in accordance with the amounts of interest and fees of such Class then due to such parties, and (ii) second, to pay principal and unreimbursed LC Disbursements of such Class then due hereunder, ratably among the parties entitled thereto in accordance with the amounts of principal and unreimbursed LC Disbursements of such Class then due to such parties.</w:t>
      </w:r>
    </w:p>
    <w:p>
      <w:pPr>
        <w:spacing w:after="0" w:line="50" w:lineRule="exact"/>
        <w:rPr>
          <w:rFonts w:ascii="Arial" w:cs="Arial" w:eastAsia="Arial" w:hAnsi="Arial"/>
          <w:sz w:val="16"/>
          <w:szCs w:val="16"/>
          <w:color w:val="auto"/>
        </w:rPr>
      </w:pPr>
    </w:p>
    <w:p>
      <w:pPr>
        <w:ind w:right="20" w:firstLine="921"/>
        <w:spacing w:after="0" w:line="270" w:lineRule="auto"/>
        <w:tabs>
          <w:tab w:leader="none" w:pos="1157" w:val="left"/>
        </w:tabs>
        <w:numPr>
          <w:ilvl w:val="0"/>
          <w:numId w:val="121"/>
        </w:numPr>
        <w:rPr>
          <w:rFonts w:ascii="Arial" w:cs="Arial" w:eastAsia="Arial" w:hAnsi="Arial"/>
          <w:sz w:val="17"/>
          <w:szCs w:val="17"/>
          <w:color w:val="auto"/>
        </w:rPr>
      </w:pPr>
      <w:r>
        <w:rPr>
          <w:rFonts w:ascii="Arial" w:cs="Arial" w:eastAsia="Arial" w:hAnsi="Arial"/>
          <w:sz w:val="17"/>
          <w:szCs w:val="17"/>
          <w:u w:val="single" w:color="auto"/>
          <w:color w:val="auto"/>
        </w:rPr>
        <w:t>Pro Rata Treatment</w:t>
      </w:r>
      <w:r>
        <w:rPr>
          <w:rFonts w:ascii="Arial" w:cs="Arial" w:eastAsia="Arial" w:hAnsi="Arial"/>
          <w:sz w:val="17"/>
          <w:szCs w:val="17"/>
          <w:color w:val="auto"/>
        </w:rPr>
        <w:t xml:space="preserve">. Except to the extent otherwise provided herein: (i) each Syndicated Borrowing of a Class shall be made from the Lenders of such Class, each payment of commitment fee under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shall be made for account of the Lenders of the applicable Class, and each termination or reduction of the amount of the Commitments of a Class under </w:t>
      </w:r>
      <w:r>
        <w:rPr>
          <w:rFonts w:ascii="Arial" w:cs="Arial" w:eastAsia="Arial" w:hAnsi="Arial"/>
          <w:sz w:val="17"/>
          <w:szCs w:val="17"/>
          <w:u w:val="single" w:color="auto"/>
          <w:color w:val="auto"/>
        </w:rPr>
        <w:t>Section 2.08</w:t>
      </w:r>
      <w:r>
        <w:rPr>
          <w:rFonts w:ascii="Arial" w:cs="Arial" w:eastAsia="Arial" w:hAnsi="Arial"/>
          <w:sz w:val="17"/>
          <w:szCs w:val="17"/>
          <w:color w:val="auto"/>
        </w:rPr>
        <w:t xml:space="preserve"> shall be applied to the respective Commitments of the Lenders of such Class, pro rata according to the amounts of their respective Commitments of such Class; (ii) each Syndicated Borrowing of a Class shall be allocated pro rata among the Lenders of such Class according to the amounts of their respective Commitments of such Class (in the case of the making of Syndicated Loans) or their respective Loans of such Class that are to be included in such Borrowing (in the case of conversions and continuations of Loans); (iii) each payment or prepayment of principal of Syndicated Loans of a Class by the Borrower shall be made for account of the Lenders of such Class pro rata in accordance with the respective unpaid principal amounts of the Syndicated Loans of such Class held by them; and (iv) each payment of interest on Syndicated Loans of a Class by the Borrower shall be made for account of the Lenders of such Class pro rata in accordance with the amounts of interest on such Loans of such Class then due and payable to the respective Lenders.</w:t>
      </w:r>
    </w:p>
    <w:p>
      <w:pPr>
        <w:spacing w:after="0" w:line="110"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48" w:name="page149"/>
    <w:bookmarkEnd w:id="148"/>
    <w:p>
      <w:pPr>
        <w:ind w:right="40" w:firstLine="921"/>
        <w:spacing w:after="0" w:line="286" w:lineRule="auto"/>
        <w:tabs>
          <w:tab w:leader="none" w:pos="1168"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Sharing of Payments by Lenders</w:t>
      </w:r>
      <w:r>
        <w:rPr>
          <w:rFonts w:ascii="Arial" w:cs="Arial" w:eastAsia="Arial" w:hAnsi="Arial"/>
          <w:sz w:val="16"/>
          <w:szCs w:val="16"/>
          <w:color w:val="auto"/>
        </w:rPr>
        <w:t xml:space="preserve">. If any Lender of any Class shall, by exercising any right of set-off or counterclaim or otherwise, obtain payment in respect of any principal of or interest on any of its Syndicated Loans, or participations in LC Disbursements or Swingline Loans, of such Class resulting in such Lender receiving payment of a greater proportion of the aggregate amount of its Syndicated Loans, and participations in LC Disbursements and Swingline Loans, and accrued interest thereon of such Class then due than the proportion received by any other Lender of such Class, then the Lender receiving such greater proportion shall purchase (for cash at face value) participations in the Syndicated Loans, and participations in LC Disbursements and Swingline Loans, of other Lenders of such Class to the extent necessary so that the benefit of all such payments shall be shared by the Lenders of such Class ratably in accordance with the aggregate amount of principal of and accrued interest on their respective Syndicated Loans, and participations in LC Disbursements and Swingline Loans, of such Class;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60" w:lineRule="exact"/>
        <w:rPr>
          <w:rFonts w:ascii="Arial" w:cs="Arial" w:eastAsia="Arial" w:hAnsi="Arial"/>
          <w:sz w:val="16"/>
          <w:szCs w:val="16"/>
          <w:color w:val="auto"/>
        </w:rPr>
      </w:pPr>
    </w:p>
    <w:p>
      <w:pPr>
        <w:ind w:firstLine="921"/>
        <w:spacing w:after="0" w:line="272" w:lineRule="auto"/>
        <w:tabs>
          <w:tab w:leader="none" w:pos="1157" w:val="left"/>
        </w:tabs>
        <w:numPr>
          <w:ilvl w:val="0"/>
          <w:numId w:val="122"/>
        </w:numPr>
        <w:rPr>
          <w:rFonts w:ascii="Arial" w:cs="Arial" w:eastAsia="Arial" w:hAnsi="Arial"/>
          <w:sz w:val="17"/>
          <w:szCs w:val="17"/>
          <w:color w:val="auto"/>
        </w:rPr>
      </w:pPr>
      <w:r>
        <w:rPr>
          <w:rFonts w:ascii="Arial" w:cs="Arial" w:eastAsia="Arial" w:hAnsi="Arial"/>
          <w:sz w:val="17"/>
          <w:szCs w:val="17"/>
          <w:u w:val="single" w:color="auto"/>
          <w:color w:val="auto"/>
        </w:rPr>
        <w:t>Presumptions of Payment</w:t>
      </w:r>
      <w:r>
        <w:rPr>
          <w:rFonts w:ascii="Arial" w:cs="Arial" w:eastAsia="Arial" w:hAnsi="Arial"/>
          <w:sz w:val="17"/>
          <w:szCs w:val="17"/>
          <w:color w:val="auto"/>
        </w:rPr>
        <w:t>. Unless the Administrative Agent shall have received notice from the Borrower prior to the date on which any payment is due to the Administrative Agent for account of the Lenders or the Issuing Bank hereunder that the Borrower will not make such payment, the Administrative Agent may assume that the Borrower has made such payment on such date in accordance herewith and may, in reliance upon such assumption, distribute to the Lenders or the Issuing Bank, as the case may be, the amount due. In such event, if the Borrower has not in fact made such payment, then each of the Lenders or the Issuing Bank, as the case may be, severally agrees to repay to the Administrative Agent forthwith on demand the amount so distributed to such Lender or the Issuing Bank with interest thereon, for each day from and including the date such amount is distributed to it to but excluding the date of payment to the Administrative Agent at the Federal Funds Effective Rate.</w:t>
      </w:r>
    </w:p>
    <w:p>
      <w:pPr>
        <w:spacing w:after="0" w:line="69" w:lineRule="exact"/>
        <w:rPr>
          <w:rFonts w:ascii="Arial" w:cs="Arial" w:eastAsia="Arial" w:hAnsi="Arial"/>
          <w:sz w:val="17"/>
          <w:szCs w:val="17"/>
          <w:color w:val="auto"/>
        </w:rPr>
      </w:pPr>
    </w:p>
    <w:p>
      <w:pPr>
        <w:ind w:left="1140" w:hanging="219"/>
        <w:spacing w:after="0"/>
        <w:tabs>
          <w:tab w:leader="none" w:pos="1140" w:val="left"/>
        </w:tabs>
        <w:numPr>
          <w:ilvl w:val="0"/>
          <w:numId w:val="122"/>
        </w:numPr>
        <w:rPr>
          <w:rFonts w:ascii="Arial" w:cs="Arial" w:eastAsia="Arial" w:hAnsi="Arial"/>
          <w:sz w:val="17"/>
          <w:szCs w:val="17"/>
          <w:color w:val="auto"/>
        </w:rPr>
      </w:pPr>
      <w:r>
        <w:rPr>
          <w:rFonts w:ascii="Arial" w:cs="Arial" w:eastAsia="Arial" w:hAnsi="Arial"/>
          <w:sz w:val="17"/>
          <w:szCs w:val="17"/>
          <w:u w:val="single" w:color="auto"/>
          <w:color w:val="auto"/>
        </w:rPr>
        <w:t>Certain Deductions by the Administrative Agent</w:t>
      </w:r>
      <w:r>
        <w:rPr>
          <w:rFonts w:ascii="Arial" w:cs="Arial" w:eastAsia="Arial" w:hAnsi="Arial"/>
          <w:sz w:val="17"/>
          <w:szCs w:val="17"/>
          <w:color w:val="auto"/>
        </w:rPr>
        <w:t>. If any Lender shall fail to make any payment required to be made by it pursuant to</w:t>
      </w:r>
    </w:p>
    <w:p>
      <w:pPr>
        <w:spacing w:after="0" w:line="3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w:t>
      </w:r>
      <w:r>
        <w:rPr>
          <w:rFonts w:ascii="Arial" w:cs="Arial" w:eastAsia="Arial" w:hAnsi="Arial"/>
          <w:sz w:val="18"/>
          <w:szCs w:val="18"/>
          <w:u w:val="single" w:color="auto"/>
          <w:color w:val="auto"/>
        </w:rPr>
        <w:t>2.05(e)</w:t>
      </w:r>
      <w:r>
        <w:rPr>
          <w:rFonts w:ascii="Arial" w:cs="Arial" w:eastAsia="Arial" w:hAnsi="Arial"/>
          <w:sz w:val="18"/>
          <w:szCs w:val="18"/>
          <w:color w:val="auto"/>
        </w:rPr>
        <w:t xml:space="preserve">, </w:t>
      </w:r>
      <w:r>
        <w:rPr>
          <w:rFonts w:ascii="Arial" w:cs="Arial" w:eastAsia="Arial" w:hAnsi="Arial"/>
          <w:sz w:val="18"/>
          <w:szCs w:val="18"/>
          <w:u w:val="single" w:color="auto"/>
          <w:color w:val="auto"/>
        </w:rPr>
        <w:t>2.06(a)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2.17(e)</w:t>
      </w:r>
      <w:r>
        <w:rPr>
          <w:rFonts w:ascii="Arial" w:cs="Arial" w:eastAsia="Arial" w:hAnsi="Arial"/>
          <w:sz w:val="18"/>
          <w:szCs w:val="18"/>
          <w:color w:val="auto"/>
        </w:rPr>
        <w:t>, then the Administrative Agent may, in its discretion (notwithstanding any contrary provision hereof), apply any amounts thereafter received by the Administrative Agent for account of such Lender to satisfy such Lender’s obligations under such Sections until all such unsatisfied obligations are fully paid.</w:t>
      </w:r>
    </w:p>
    <w:p>
      <w:pPr>
        <w:spacing w:after="0" w:line="123"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49" w:name="page150"/>
    <w:bookmarkEnd w:id="149"/>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2.18. </w:t>
      </w:r>
      <w:r>
        <w:rPr>
          <w:rFonts w:ascii="Arial" w:cs="Arial" w:eastAsia="Arial" w:hAnsi="Arial"/>
          <w:sz w:val="18"/>
          <w:szCs w:val="18"/>
          <w:u w:val="single" w:color="auto"/>
          <w:color w:val="auto"/>
        </w:rPr>
        <w:t>Mitigation Obligations; Replacement of Lenders</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72" w:lineRule="auto"/>
        <w:tabs>
          <w:tab w:leader="none" w:pos="1157" w:val="left"/>
        </w:tabs>
        <w:numPr>
          <w:ilvl w:val="0"/>
          <w:numId w:val="123"/>
        </w:numPr>
        <w:rPr>
          <w:rFonts w:ascii="Arial" w:cs="Arial" w:eastAsia="Arial" w:hAnsi="Arial"/>
          <w:sz w:val="17"/>
          <w:szCs w:val="17"/>
          <w:color w:val="auto"/>
        </w:rPr>
      </w:pPr>
      <w:r>
        <w:rPr>
          <w:rFonts w:ascii="Arial" w:cs="Arial" w:eastAsia="Arial" w:hAnsi="Arial"/>
          <w:sz w:val="17"/>
          <w:szCs w:val="17"/>
          <w:u w:val="single" w:color="auto"/>
          <w:color w:val="auto"/>
        </w:rPr>
        <w:t>Designation of a Different Lending Office</w:t>
      </w:r>
      <w:r>
        <w:rPr>
          <w:rFonts w:ascii="Arial" w:cs="Arial" w:eastAsia="Arial" w:hAnsi="Arial"/>
          <w:sz w:val="17"/>
          <w:szCs w:val="17"/>
          <w:color w:val="auto"/>
        </w:rPr>
        <w:t xml:space="preserve">. If any Lender requests compensation under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or if the Borrower is required to pay any additional amount to any Lender or any Governmental Authority for the account of any Lender pursuant to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2.16</w:t>
      </w:r>
      <w:r>
        <w:rPr>
          <w:rFonts w:ascii="Arial" w:cs="Arial" w:eastAsia="Arial" w:hAnsi="Arial"/>
          <w:sz w:val="17"/>
          <w:szCs w:val="17"/>
          <w:color w:val="auto"/>
        </w:rPr>
        <w:t>, as the case may be, in the future and (ii) would not subject such Lender to any cost or expense not required to be reimbursed by the Borrower and would not otherwise be disadvantageous to such Lender. The Borrower hereby agrees to pay all reasonable costs and expenses incurred by any Lender in connection with any such designation or assignment.</w:t>
      </w:r>
    </w:p>
    <w:p>
      <w:pPr>
        <w:spacing w:after="0" w:line="69" w:lineRule="exact"/>
        <w:rPr>
          <w:rFonts w:ascii="Arial" w:cs="Arial" w:eastAsia="Arial" w:hAnsi="Arial"/>
          <w:sz w:val="17"/>
          <w:szCs w:val="17"/>
          <w:color w:val="auto"/>
        </w:rPr>
      </w:pPr>
    </w:p>
    <w:p>
      <w:pPr>
        <w:ind w:right="20" w:firstLine="921"/>
        <w:spacing w:after="0" w:line="286" w:lineRule="auto"/>
        <w:tabs>
          <w:tab w:leader="none" w:pos="1168"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Replacement of Lenders</w:t>
      </w:r>
      <w:r>
        <w:rPr>
          <w:rFonts w:ascii="Arial" w:cs="Arial" w:eastAsia="Arial" w:hAnsi="Arial"/>
          <w:sz w:val="16"/>
          <w:szCs w:val="16"/>
          <w:color w:val="auto"/>
        </w:rPr>
        <w:t xml:space="preserve">. If any Lender requests compensation under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or if the Borrower is required to pay any additional amount to any Lender or any Governmental Authority for account of any Lender pursuant to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or if any Lender becomes a Defaulting Lender or is a Non-Consenting Lender (as provided in </w:t>
      </w:r>
      <w:r>
        <w:rPr>
          <w:rFonts w:ascii="Arial" w:cs="Arial" w:eastAsia="Arial" w:hAnsi="Arial"/>
          <w:sz w:val="16"/>
          <w:szCs w:val="16"/>
          <w:u w:val="single" w:color="auto"/>
          <w:color w:val="auto"/>
        </w:rPr>
        <w:t>Section 9.02(d)</w:t>
      </w:r>
      <w:r>
        <w:rPr>
          <w:rFonts w:ascii="Arial" w:cs="Arial" w:eastAsia="Arial" w:hAnsi="Arial"/>
          <w:sz w:val="16"/>
          <w:szCs w:val="16"/>
          <w:color w:val="auto"/>
        </w:rPr>
        <w:t>), then the Borrower may, at its sole expense and effort, upon notice to such Lender and the Administrative Agent, require such Lender to assign and delegate, without recourse (in accordance with and subject to the restrictions contained in</w:t>
      </w:r>
    </w:p>
    <w:p>
      <w:pPr>
        <w:spacing w:after="0" w:line="1" w:lineRule="exact"/>
        <w:rPr>
          <w:rFonts w:ascii="Arial" w:cs="Arial" w:eastAsia="Arial" w:hAnsi="Arial"/>
          <w:sz w:val="16"/>
          <w:szCs w:val="16"/>
          <w:color w:val="auto"/>
        </w:rPr>
      </w:pPr>
    </w:p>
    <w:p>
      <w:pPr>
        <w:ind w:right="40"/>
        <w:spacing w:after="0" w:line="281" w:lineRule="auto"/>
        <w:rPr>
          <w:rFonts w:ascii="Arial" w:cs="Arial" w:eastAsia="Arial" w:hAnsi="Arial"/>
          <w:sz w:val="16"/>
          <w:szCs w:val="16"/>
          <w:color w:val="auto"/>
        </w:rPr>
      </w:pP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all its interests, rights and obligations under this Agreement to an assignee that shall assume such obligations (which assignee may be another Lender, if a Lender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Borrower shall have received the prior written consent of the Administrative Agent (and, if a Commitment is being assigned, the Issuing Bank and the Swingline Lender), which consent shall not unreasonably be withheld,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w:t>
      </w:r>
    </w:p>
    <w:p>
      <w:pPr>
        <w:spacing w:after="0" w:line="4" w:lineRule="exact"/>
        <w:rPr>
          <w:rFonts w:ascii="Arial" w:cs="Arial" w:eastAsia="Arial" w:hAnsi="Arial"/>
          <w:sz w:val="16"/>
          <w:szCs w:val="16"/>
          <w:color w:val="auto"/>
        </w:rPr>
      </w:pPr>
    </w:p>
    <w:p>
      <w:pPr>
        <w:ind w:right="480"/>
        <w:spacing w:after="0" w:line="255" w:lineRule="auto"/>
        <w:rPr>
          <w:rFonts w:ascii="Arial" w:cs="Arial" w:eastAsia="Arial" w:hAnsi="Arial"/>
          <w:sz w:val="16"/>
          <w:szCs w:val="16"/>
          <w:color w:val="auto"/>
        </w:rPr>
      </w:pP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or payments required to be made pursuant to </w:t>
      </w:r>
      <w:r>
        <w:rPr>
          <w:rFonts w:ascii="Arial" w:cs="Arial" w:eastAsia="Arial" w:hAnsi="Arial"/>
          <w:sz w:val="18"/>
          <w:szCs w:val="18"/>
          <w:u w:val="single" w:color="auto"/>
          <w:color w:val="auto"/>
        </w:rPr>
        <w:t>Section 2.16</w:t>
      </w:r>
      <w:r>
        <w:rPr>
          <w:rFonts w:ascii="Arial" w:cs="Arial" w:eastAsia="Arial" w:hAnsi="Arial"/>
          <w:sz w:val="18"/>
          <w:szCs w:val="18"/>
          <w:color w:val="auto"/>
        </w:rPr>
        <w:t>,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w:t>
      </w:r>
    </w:p>
    <w:p>
      <w:pPr>
        <w:spacing w:after="0" w:line="1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2.19. </w:t>
      </w:r>
      <w:r>
        <w:rPr>
          <w:rFonts w:ascii="Arial" w:cs="Arial" w:eastAsia="Arial" w:hAnsi="Arial"/>
          <w:sz w:val="18"/>
          <w:szCs w:val="18"/>
          <w:u w:val="single" w:color="auto"/>
          <w:color w:val="auto"/>
        </w:rPr>
        <w:t>Defaulting Lenders</w:t>
      </w:r>
      <w:r>
        <w:rPr>
          <w:rFonts w:ascii="Arial" w:cs="Arial" w:eastAsia="Arial" w:hAnsi="Arial"/>
          <w:sz w:val="18"/>
          <w:szCs w:val="18"/>
          <w:color w:val="auto"/>
        </w:rPr>
        <w:t>.</w:t>
      </w:r>
    </w:p>
    <w:p>
      <w:pPr>
        <w:spacing w:after="0" w:line="117" w:lineRule="exact"/>
        <w:rPr>
          <w:sz w:val="20"/>
          <w:szCs w:val="20"/>
          <w:color w:val="auto"/>
        </w:rPr>
      </w:pPr>
    </w:p>
    <w:p>
      <w:pPr>
        <w:ind w:right="160" w:firstLine="921"/>
        <w:spacing w:after="0" w:line="277" w:lineRule="auto"/>
        <w:tabs>
          <w:tab w:leader="none" w:pos="1157" w:val="left"/>
        </w:tabs>
        <w:numPr>
          <w:ilvl w:val="1"/>
          <w:numId w:val="124"/>
        </w:numPr>
        <w:rPr>
          <w:rFonts w:ascii="Arial" w:cs="Arial" w:eastAsia="Arial" w:hAnsi="Arial"/>
          <w:sz w:val="18"/>
          <w:szCs w:val="18"/>
          <w:color w:val="auto"/>
        </w:rPr>
      </w:pPr>
      <w:r>
        <w:rPr>
          <w:rFonts w:ascii="Arial" w:cs="Arial" w:eastAsia="Arial" w:hAnsi="Arial"/>
          <w:sz w:val="18"/>
          <w:szCs w:val="18"/>
          <w:u w:val="single" w:color="auto"/>
          <w:color w:val="auto"/>
        </w:rPr>
        <w:t>Defaulting Lender Adjustments</w:t>
      </w:r>
      <w:r>
        <w:rPr>
          <w:rFonts w:ascii="Arial" w:cs="Arial" w:eastAsia="Arial" w:hAnsi="Arial"/>
          <w:sz w:val="18"/>
          <w:szCs w:val="18"/>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62" w:lineRule="exact"/>
        <w:rPr>
          <w:rFonts w:ascii="Arial" w:cs="Arial" w:eastAsia="Arial" w:hAnsi="Arial"/>
          <w:sz w:val="18"/>
          <w:szCs w:val="18"/>
          <w:color w:val="auto"/>
        </w:rPr>
      </w:pPr>
    </w:p>
    <w:p>
      <w:pPr>
        <w:ind w:left="460" w:right="40" w:firstLine="443"/>
        <w:spacing w:after="0" w:line="264" w:lineRule="auto"/>
        <w:tabs>
          <w:tab w:leader="none" w:pos="1113"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Defaulting Lender Waterfall</w:t>
      </w:r>
      <w:r>
        <w:rPr>
          <w:rFonts w:ascii="Arial" w:cs="Arial" w:eastAsia="Arial" w:hAnsi="Arial"/>
          <w:sz w:val="18"/>
          <w:szCs w:val="18"/>
          <w:color w:val="auto"/>
        </w:rPr>
        <w:t xml:space="preserve">. Any payment of principal, interest, fees or other amounts received by Administrative Agent for the account of such Defaulting Lender (whether voluntary or mandatory, at maturity, pursuant to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or otherwise) or received by Administrative Agent from a Defaulting Lender pursuant to </w:t>
      </w:r>
      <w:r>
        <w:rPr>
          <w:rFonts w:ascii="Arial" w:cs="Arial" w:eastAsia="Arial" w:hAnsi="Arial"/>
          <w:sz w:val="18"/>
          <w:szCs w:val="18"/>
          <w:u w:val="single" w:color="auto"/>
          <w:color w:val="auto"/>
        </w:rPr>
        <w:t>Section 9.08</w:t>
      </w:r>
      <w:r>
        <w:rPr>
          <w:rFonts w:ascii="Arial" w:cs="Arial" w:eastAsia="Arial" w:hAnsi="Arial"/>
          <w:sz w:val="18"/>
          <w:szCs w:val="18"/>
          <w:color w:val="auto"/>
        </w:rPr>
        <w:t xml:space="preserve"> shall be applied at such time or times as may be determined by</w:t>
      </w:r>
    </w:p>
    <w:p>
      <w:pPr>
        <w:spacing w:after="0" w:line="114"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50" w:name="page151"/>
    <w:bookmarkEnd w:id="150"/>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Administrative Agent as follows: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the payment of any amounts owing by such Defaulting Lender to Administrative Agent hereunder; </w:t>
      </w:r>
      <w:r>
        <w:rPr>
          <w:rFonts w:ascii="Arial" w:cs="Arial" w:eastAsia="Arial" w:hAnsi="Arial"/>
          <w:sz w:val="16"/>
          <w:szCs w:val="16"/>
          <w:i w:val="1"/>
          <w:iCs w:val="1"/>
          <w:color w:val="auto"/>
        </w:rPr>
        <w:t>second</w:t>
      </w:r>
      <w:r>
        <w:rPr>
          <w:rFonts w:ascii="Arial" w:cs="Arial" w:eastAsia="Arial" w:hAnsi="Arial"/>
          <w:sz w:val="16"/>
          <w:szCs w:val="16"/>
          <w:color w:val="auto"/>
        </w:rPr>
        <w:t xml:space="preserve">, to the payment on a pro rata basis of any amounts owing by such Defaulting Lender to Issuing Bank or Swingline Lender hereunder; </w:t>
      </w:r>
      <w:r>
        <w:rPr>
          <w:rFonts w:ascii="Arial" w:cs="Arial" w:eastAsia="Arial" w:hAnsi="Arial"/>
          <w:sz w:val="16"/>
          <w:szCs w:val="16"/>
          <w:i w:val="1"/>
          <w:iCs w:val="1"/>
          <w:color w:val="auto"/>
        </w:rPr>
        <w:t>third</w:t>
      </w:r>
      <w:r>
        <w:rPr>
          <w:rFonts w:ascii="Arial" w:cs="Arial" w:eastAsia="Arial" w:hAnsi="Arial"/>
          <w:sz w:val="16"/>
          <w:szCs w:val="16"/>
          <w:color w:val="auto"/>
        </w:rPr>
        <w:t xml:space="preserve">, to Cash Collateralize Issuing Bank’s Fronting Exposure with respect to such Defaulting Lender in the manner described in </w:t>
      </w:r>
      <w:r>
        <w:rPr>
          <w:rFonts w:ascii="Arial" w:cs="Arial" w:eastAsia="Arial" w:hAnsi="Arial"/>
          <w:sz w:val="16"/>
          <w:szCs w:val="16"/>
          <w:u w:val="single" w:color="auto"/>
          <w:color w:val="auto"/>
        </w:rPr>
        <w:t>Section 2.09(a)</w:t>
      </w:r>
      <w:r>
        <w:rPr>
          <w:rFonts w:ascii="Arial" w:cs="Arial" w:eastAsia="Arial" w:hAnsi="Arial"/>
          <w:sz w:val="16"/>
          <w:szCs w:val="16"/>
          <w:color w:val="auto"/>
        </w:rPr>
        <w:t xml:space="preserve">; </w:t>
      </w:r>
      <w:r>
        <w:rPr>
          <w:rFonts w:ascii="Arial" w:cs="Arial" w:eastAsia="Arial" w:hAnsi="Arial"/>
          <w:sz w:val="16"/>
          <w:szCs w:val="16"/>
          <w:i w:val="1"/>
          <w:iCs w:val="1"/>
          <w:color w:val="auto"/>
        </w:rPr>
        <w:t>fourth</w:t>
      </w:r>
      <w:r>
        <w:rPr>
          <w:rFonts w:ascii="Arial" w:cs="Arial" w:eastAsia="Arial" w:hAnsi="Arial"/>
          <w:sz w:val="16"/>
          <w:szCs w:val="16"/>
          <w:color w:val="auto"/>
        </w:rPr>
        <w:t xml:space="preserve">, as Borrower may request (so long as no Default exists), to the funding of any Loan in respect of which such Defaulting Lender has failed to fund its portion thereof as required by this Agreement, as determined by Administrative Agent; </w:t>
      </w:r>
      <w:r>
        <w:rPr>
          <w:rFonts w:ascii="Arial" w:cs="Arial" w:eastAsia="Arial" w:hAnsi="Arial"/>
          <w:sz w:val="16"/>
          <w:szCs w:val="16"/>
          <w:i w:val="1"/>
          <w:iCs w:val="1"/>
          <w:color w:val="auto"/>
        </w:rPr>
        <w:t>fifth</w:t>
      </w:r>
      <w:r>
        <w:rPr>
          <w:rFonts w:ascii="Arial" w:cs="Arial" w:eastAsia="Arial" w:hAnsi="Arial"/>
          <w:sz w:val="16"/>
          <w:szCs w:val="16"/>
          <w:color w:val="auto"/>
        </w:rPr>
        <w:t xml:space="preserve">, if so determined by Administrative Agent and Borrower, to be held in a deposit account and released pro rata in order to (x) satisfy such Defaulting Lender’s potential future funding obligations with respect to Loans under this Agreement and (y) Cash Collateralize Issuing Bank’s future Fronting Exposure with respect to such Defaulting Lender with respect to future Letters of Credit issued under this Agreement, in the manner described in </w:t>
      </w:r>
      <w:r>
        <w:rPr>
          <w:rFonts w:ascii="Arial" w:cs="Arial" w:eastAsia="Arial" w:hAnsi="Arial"/>
          <w:sz w:val="16"/>
          <w:szCs w:val="16"/>
          <w:u w:val="single" w:color="auto"/>
          <w:color w:val="auto"/>
        </w:rPr>
        <w:t>Section 2.09(a)</w:t>
      </w:r>
      <w:r>
        <w:rPr>
          <w:rFonts w:ascii="Arial" w:cs="Arial" w:eastAsia="Arial" w:hAnsi="Arial"/>
          <w:sz w:val="16"/>
          <w:szCs w:val="16"/>
          <w:color w:val="auto"/>
        </w:rPr>
        <w:t xml:space="preserve">; </w:t>
      </w:r>
      <w:r>
        <w:rPr>
          <w:rFonts w:ascii="Arial" w:cs="Arial" w:eastAsia="Arial" w:hAnsi="Arial"/>
          <w:sz w:val="16"/>
          <w:szCs w:val="16"/>
          <w:i w:val="1"/>
          <w:iCs w:val="1"/>
          <w:color w:val="auto"/>
        </w:rPr>
        <w:t>sixth</w:t>
      </w:r>
      <w:r>
        <w:rPr>
          <w:rFonts w:ascii="Arial" w:cs="Arial" w:eastAsia="Arial" w:hAnsi="Arial"/>
          <w:sz w:val="16"/>
          <w:szCs w:val="16"/>
          <w:color w:val="auto"/>
        </w:rPr>
        <w:t xml:space="preserve">, to the payment of any amounts owing to the Lenders, Issuing Bank or Swingline Lender as a result of any judgment of a court of competent jurisdiction obtained by any Lender, Issuing Bank or Swingline Lender against such Defaulting Lender as a result of such Defaulting Lender’s breach of its obligations under this Agreement; </w:t>
      </w:r>
      <w:r>
        <w:rPr>
          <w:rFonts w:ascii="Arial" w:cs="Arial" w:eastAsia="Arial" w:hAnsi="Arial"/>
          <w:sz w:val="16"/>
          <w:szCs w:val="16"/>
          <w:i w:val="1"/>
          <w:iCs w:val="1"/>
          <w:color w:val="auto"/>
        </w:rPr>
        <w:t>seventh</w:t>
      </w:r>
      <w:r>
        <w:rPr>
          <w:rFonts w:ascii="Arial" w:cs="Arial" w:eastAsia="Arial" w:hAnsi="Arial"/>
          <w:sz w:val="16"/>
          <w:szCs w:val="16"/>
          <w:color w:val="auto"/>
        </w:rPr>
        <w:t xml:space="preserve">, so long as no Default exists, to the payment of any amounts owing to Borrower as a result of any judgment of a court of competent jurisdiction obtained by Borrower against such Defaulting Lender as a result of such Defaulting Lender’s breach of its obligations under this Agreement; and </w:t>
      </w:r>
      <w:r>
        <w:rPr>
          <w:rFonts w:ascii="Arial" w:cs="Arial" w:eastAsia="Arial" w:hAnsi="Arial"/>
          <w:sz w:val="16"/>
          <w:szCs w:val="16"/>
          <w:i w:val="1"/>
          <w:iCs w:val="1"/>
          <w:color w:val="auto"/>
        </w:rPr>
        <w:t>eighth</w:t>
      </w:r>
      <w:r>
        <w:rPr>
          <w:rFonts w:ascii="Arial" w:cs="Arial" w:eastAsia="Arial" w:hAnsi="Arial"/>
          <w:sz w:val="16"/>
          <w:szCs w:val="16"/>
          <w:color w:val="auto"/>
        </w:rPr>
        <w:t xml:space="preserve">, to such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(x) such payment is a payment of the principal amount of any Loans or reimbursement obligations in respect of any LC Disbursement for which such Defaulting Lender has not fully funded its appropriate share, and (y) such Loans were made or the related Letters of Credit were issued at a time when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were satisfied and waived, such payment shall be applied solely to pay the Loans of, and reimbursement obligations in respect of any LC Disbursement that is owed to, all Non-Defaulting Lenders on a pro rata basis prior to being applied to the payment of any Loans of, or reimbursement obligations in respect of any LC Disbursement that is owed to, such Defaulting Lender until such time as all Loans and funded and unfunded participations in Letters of Credit and Swingline Loans are held by the Lenders pro rata in accordance with the applicable Commitments without giving effect to </w:t>
      </w:r>
      <w:r>
        <w:rPr>
          <w:rFonts w:ascii="Arial" w:cs="Arial" w:eastAsia="Arial" w:hAnsi="Arial"/>
          <w:sz w:val="16"/>
          <w:szCs w:val="16"/>
          <w:u w:val="single" w:color="auto"/>
          <w:color w:val="auto"/>
        </w:rPr>
        <w:t>Section 2.19(a)(iii)</w:t>
      </w:r>
      <w:r>
        <w:rPr>
          <w:rFonts w:ascii="Arial" w:cs="Arial" w:eastAsia="Arial" w:hAnsi="Arial"/>
          <w:sz w:val="16"/>
          <w:szCs w:val="16"/>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6"/>
          <w:szCs w:val="16"/>
          <w:u w:val="single" w:color="auto"/>
          <w:color w:val="auto"/>
        </w:rPr>
        <w:t>Section 2.19(a)(i)</w:t>
      </w:r>
      <w:r>
        <w:rPr>
          <w:rFonts w:ascii="Arial" w:cs="Arial" w:eastAsia="Arial" w:hAnsi="Arial"/>
          <w:sz w:val="16"/>
          <w:szCs w:val="16"/>
          <w:color w:val="auto"/>
        </w:rPr>
        <w:t xml:space="preserve"> shall be deemed paid to and redirected by such Defaulting Lender, and each Lender irrevocably consents hereto.</w:t>
      </w:r>
    </w:p>
    <w:p>
      <w:pPr>
        <w:spacing w:after="0" w:line="290" w:lineRule="exact"/>
        <w:rPr>
          <w:sz w:val="20"/>
          <w:szCs w:val="20"/>
          <w:color w:val="auto"/>
        </w:rPr>
      </w:pPr>
    </w:p>
    <w:p>
      <w:pPr>
        <w:ind w:left="700" w:hanging="257"/>
        <w:spacing w:after="0"/>
        <w:tabs>
          <w:tab w:leader="none" w:pos="70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60" w:firstLine="421"/>
        <w:spacing w:after="0" w:line="257" w:lineRule="auto"/>
        <w:tabs>
          <w:tab w:leader="none" w:pos="1175" w:val="left"/>
        </w:tabs>
        <w:numPr>
          <w:ilvl w:val="1"/>
          <w:numId w:val="126"/>
        </w:numPr>
        <w:rPr>
          <w:rFonts w:ascii="Arial" w:cs="Arial" w:eastAsia="Arial" w:hAnsi="Arial"/>
          <w:sz w:val="18"/>
          <w:szCs w:val="18"/>
          <w:color w:val="auto"/>
        </w:rPr>
      </w:pPr>
      <w:r>
        <w:rPr>
          <w:rFonts w:ascii="Arial" w:cs="Arial" w:eastAsia="Arial" w:hAnsi="Arial"/>
          <w:sz w:val="18"/>
          <w:szCs w:val="18"/>
          <w:color w:val="auto"/>
        </w:rPr>
        <w:t xml:space="preserve">No Defaulting Lender shall be entitled to receive any fee pursuant to </w:t>
      </w:r>
      <w:r>
        <w:rPr>
          <w:rFonts w:ascii="Arial" w:cs="Arial" w:eastAsia="Arial" w:hAnsi="Arial"/>
          <w:sz w:val="18"/>
          <w:szCs w:val="18"/>
          <w:u w:val="single" w:color="auto"/>
          <w:color w:val="auto"/>
        </w:rPr>
        <w:t>Sections 2.11(a)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for any period during which that Lender is a Defaulting Lender (and Borrower shall not be required to pay any such fee that otherwise would have been required to have been paid to that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Defaulting Lender shall be entitled to receive fees pursuant to </w:t>
      </w:r>
      <w:r>
        <w:rPr>
          <w:rFonts w:ascii="Arial" w:cs="Arial" w:eastAsia="Arial" w:hAnsi="Arial"/>
          <w:sz w:val="18"/>
          <w:szCs w:val="18"/>
          <w:u w:val="single" w:color="auto"/>
          <w:color w:val="auto"/>
        </w:rPr>
        <w:t>Section 2.11(b)</w:t>
      </w:r>
      <w:r>
        <w:rPr>
          <w:rFonts w:ascii="Arial" w:cs="Arial" w:eastAsia="Arial" w:hAnsi="Arial"/>
          <w:sz w:val="18"/>
          <w:szCs w:val="18"/>
          <w:color w:val="auto"/>
        </w:rPr>
        <w:t xml:space="preserve"> for any period during which that Lender is a Defaulting Lender only to extent allocable to its Applicable Percentage of the stated amount of Letters of Credit for which it has provided Cash Collateral pursuant to </w:t>
      </w:r>
      <w:r>
        <w:rPr>
          <w:rFonts w:ascii="Arial" w:cs="Arial" w:eastAsia="Arial" w:hAnsi="Arial"/>
          <w:sz w:val="18"/>
          <w:szCs w:val="18"/>
          <w:u w:val="single" w:color="auto"/>
          <w:color w:val="auto"/>
        </w:rPr>
        <w:t>Section 2.19(d)</w:t>
      </w:r>
      <w:r>
        <w:rPr>
          <w:rFonts w:ascii="Arial" w:cs="Arial" w:eastAsia="Arial" w:hAnsi="Arial"/>
          <w:sz w:val="18"/>
          <w:szCs w:val="18"/>
          <w:color w:val="auto"/>
        </w:rPr>
        <w:t>.</w:t>
      </w:r>
    </w:p>
    <w:p>
      <w:pPr>
        <w:spacing w:after="0" w:line="121" w:lineRule="exact"/>
        <w:rPr>
          <w:sz w:val="20"/>
          <w:szCs w:val="20"/>
          <w:color w:val="auto"/>
        </w:rPr>
      </w:pPr>
    </w:p>
    <w:p>
      <w:pPr>
        <w:jc w:val="both"/>
        <w:ind w:left="5400"/>
        <w:spacing w:after="0"/>
        <w:tabs>
          <w:tab w:leader="none" w:pos="890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960"/>
          </w:cols>
          <w:pgMar w:left="700" w:top="274" w:right="239" w:bottom="1440" w:gutter="0" w:footer="0" w:header="0"/>
        </w:sectPr>
      </w:pPr>
    </w:p>
    <w:bookmarkStart w:id="151" w:name="page152"/>
    <w:bookmarkEnd w:id="151"/>
    <w:p>
      <w:pPr>
        <w:ind w:left="717" w:hanging="279"/>
        <w:spacing w:after="0"/>
        <w:tabs>
          <w:tab w:leader="none" w:pos="717" w:val="left"/>
        </w:tabs>
        <w:numPr>
          <w:ilvl w:val="1"/>
          <w:numId w:val="1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With respect to any </w:t>
      </w:r>
      <w:r>
        <w:rPr>
          <w:rFonts w:ascii="Arial" w:cs="Arial" w:eastAsia="Arial" w:hAnsi="Arial"/>
          <w:sz w:val="16"/>
          <w:szCs w:val="16"/>
          <w:u w:val="single" w:color="auto"/>
          <w:color w:val="auto"/>
        </w:rPr>
        <w:t>Section 2.11(b)</w:t>
      </w:r>
      <w:r>
        <w:rPr>
          <w:rFonts w:ascii="Arial" w:cs="Arial" w:eastAsia="Arial" w:hAnsi="Arial"/>
          <w:sz w:val="16"/>
          <w:szCs w:val="16"/>
          <w:color w:val="auto"/>
        </w:rPr>
        <w:t xml:space="preserve"> fees not required to be paid to any Defaulting Lender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Borrower shall</w:t>
      </w:r>
    </w:p>
    <w:p>
      <w:pPr>
        <w:spacing w:after="0" w:line="46" w:lineRule="exact"/>
        <w:rPr>
          <w:rFonts w:ascii="Arial" w:cs="Arial" w:eastAsia="Arial" w:hAnsi="Arial"/>
          <w:sz w:val="16"/>
          <w:szCs w:val="16"/>
          <w:color w:val="auto"/>
        </w:rPr>
      </w:pPr>
    </w:p>
    <w:p>
      <w:pPr>
        <w:ind w:left="17" w:right="100" w:firstLine="1"/>
        <w:spacing w:after="0" w:line="281" w:lineRule="auto"/>
        <w:tabs>
          <w:tab w:leader="none" w:pos="272" w:val="left"/>
        </w:tabs>
        <w:numPr>
          <w:ilvl w:val="0"/>
          <w:numId w:val="128"/>
        </w:numPr>
        <w:rPr>
          <w:rFonts w:ascii="Arial" w:cs="Arial" w:eastAsia="Arial" w:hAnsi="Arial"/>
          <w:sz w:val="16"/>
          <w:szCs w:val="16"/>
          <w:color w:val="auto"/>
        </w:rPr>
      </w:pPr>
      <w:r>
        <w:rPr>
          <w:rFonts w:ascii="Arial" w:cs="Arial" w:eastAsia="Arial" w:hAnsi="Arial"/>
          <w:sz w:val="16"/>
          <w:szCs w:val="16"/>
          <w:color w:val="auto"/>
        </w:rPr>
        <w:t xml:space="preserve">pay to each Non-Defaulting Lender that portion of any such fee otherwise payable to such Defaulting Lender with respect to such Defaulting Lender’s participation in Letters of Credit or Swingline Loans that has been reallocated to such Non-Defaulting Lender pursuant to </w:t>
      </w:r>
      <w:r>
        <w:rPr>
          <w:rFonts w:ascii="Arial" w:cs="Arial" w:eastAsia="Arial" w:hAnsi="Arial"/>
          <w:sz w:val="16"/>
          <w:szCs w:val="16"/>
          <w:u w:val="single" w:color="auto"/>
          <w:color w:val="auto"/>
        </w:rPr>
        <w:t>clause</w:t>
      </w:r>
    </w:p>
    <w:p>
      <w:pPr>
        <w:spacing w:after="0" w:line="1" w:lineRule="exact"/>
        <w:rPr>
          <w:rFonts w:ascii="Arial" w:cs="Arial" w:eastAsia="Arial" w:hAnsi="Arial"/>
          <w:sz w:val="16"/>
          <w:szCs w:val="16"/>
          <w:color w:val="auto"/>
        </w:rPr>
      </w:pPr>
    </w:p>
    <w:p>
      <w:pPr>
        <w:ind w:left="17" w:right="320" w:firstLine="1"/>
        <w:spacing w:after="0" w:line="290" w:lineRule="auto"/>
        <w:tabs>
          <w:tab w:leader="none" w:pos="332" w:val="left"/>
        </w:tabs>
        <w:numPr>
          <w:ilvl w:val="0"/>
          <w:numId w:val="129"/>
        </w:numPr>
        <w:rPr>
          <w:rFonts w:ascii="Arial" w:cs="Arial" w:eastAsia="Arial" w:hAnsi="Arial"/>
          <w:sz w:val="17"/>
          <w:szCs w:val="17"/>
          <w:u w:val="single" w:color="auto"/>
          <w:color w:val="auto"/>
        </w:rPr>
      </w:pPr>
      <w:r>
        <w:rPr>
          <w:rFonts w:ascii="Arial" w:cs="Arial" w:eastAsia="Arial" w:hAnsi="Arial"/>
          <w:sz w:val="17"/>
          <w:szCs w:val="17"/>
          <w:color w:val="auto"/>
        </w:rPr>
        <w:t>below, (y) pay to Issuing Bank the amount of any such fee otherwise payable to such Defaulting Lender to the extent allocable to Issuing Bank’s Fronting Exposure to such Defaulting Lender, and (z) not be required to pay the remaining amount of any such fee.</w:t>
      </w:r>
    </w:p>
    <w:p>
      <w:pPr>
        <w:spacing w:after="0" w:line="53" w:lineRule="exact"/>
        <w:rPr>
          <w:sz w:val="20"/>
          <w:szCs w:val="20"/>
          <w:color w:val="auto"/>
        </w:rPr>
      </w:pPr>
    </w:p>
    <w:p>
      <w:pPr>
        <w:ind w:left="-443" w:right="20" w:firstLine="443"/>
        <w:spacing w:after="0" w:line="270" w:lineRule="auto"/>
        <w:tabs>
          <w:tab w:leader="none" w:pos="310" w:val="left"/>
        </w:tabs>
        <w:numPr>
          <w:ilvl w:val="0"/>
          <w:numId w:val="130"/>
        </w:numPr>
        <w:rPr>
          <w:rFonts w:ascii="Arial" w:cs="Arial" w:eastAsia="Arial" w:hAnsi="Arial"/>
          <w:sz w:val="17"/>
          <w:szCs w:val="17"/>
          <w:color w:val="auto"/>
        </w:rPr>
      </w:pPr>
      <w:r>
        <w:rPr>
          <w:rFonts w:ascii="Arial" w:cs="Arial" w:eastAsia="Arial" w:hAnsi="Arial"/>
          <w:sz w:val="17"/>
          <w:szCs w:val="17"/>
          <w:u w:val="single" w:color="auto"/>
          <w:color w:val="auto"/>
        </w:rPr>
        <w:t>Reallocation of Participations to Reduce Fronting Exposure</w:t>
      </w:r>
      <w:r>
        <w:rPr>
          <w:rFonts w:ascii="Arial" w:cs="Arial" w:eastAsia="Arial" w:hAnsi="Arial"/>
          <w:sz w:val="17"/>
          <w:szCs w:val="17"/>
          <w:color w:val="auto"/>
        </w:rPr>
        <w:t xml:space="preserve">. All or any part of such Defaulting Lender’s participation in Letters of Credit and Swingline Loans shall be reallocated (effective no later than one (1) Business Day after the Administrative Agent has actual knowledge that such Lender has become a Defaulting Lender) among the Non-Defaulting Lenders in accordance with their respective Applicable Dollar Percentages and Applicable Multicurrency Percentages, as the case may be (in each case calculated without regard to such Defaulting Lender’s Commitment), but only to the extent that (x) the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are satisfied at the time of such reallocation (and, unless Borrower shall have otherwise notified Administrative Agent at such time, Borrower shall be deemed to have represented and warranted that such conditions are satisfied at such time), and (y) such reallocation does not cause the aggregate Revolving Credit Exposure of any Non-Defaulting Lender to exceed such Non-Defaulting Lender’s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69" w:lineRule="exact"/>
        <w:rPr>
          <w:rFonts w:ascii="Arial" w:cs="Arial" w:eastAsia="Arial" w:hAnsi="Arial"/>
          <w:sz w:val="17"/>
          <w:szCs w:val="17"/>
          <w:color w:val="auto"/>
        </w:rPr>
      </w:pPr>
    </w:p>
    <w:p>
      <w:pPr>
        <w:ind w:left="-443" w:right="120" w:firstLine="443"/>
        <w:spacing w:after="0" w:line="253" w:lineRule="auto"/>
        <w:tabs>
          <w:tab w:leader="none" w:pos="30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Cash Collateral; Repayment of Swingline Loans</w:t>
      </w:r>
      <w:r>
        <w:rPr>
          <w:rFonts w:ascii="Arial" w:cs="Arial" w:eastAsia="Arial" w:hAnsi="Arial"/>
          <w:sz w:val="18"/>
          <w:szCs w:val="18"/>
          <w:color w:val="auto"/>
        </w:rPr>
        <w:t xml:space="preserve">. If the reallocation described in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above cannot, or can only partially, be effected, the Borrower shall not later than two (2) Business Days after demand by the Administrative Agent (at the direction of the Issuing Bank and/or the Swingline Lender), without prejudice to any right or remedy available to it hereunder or under law, (x) first, prepay Swingline Loans in an amount equal to the Swingline Lender’s Swingline Exposure (which exposure shall be deemed equal to the applicable Defaulting Lender’s Applicable Percentage of the total outstanding Swingline Exposure (other than Swingline Exposure as to which such Defaulting Lender’s participation obligation has been reallocated to other Lenders or Cash Collateralized in accordance with the terms hereof)) and (y) second, Cash Collateralize the Issuing Bank’s Fronting Exposure in accordance with the procedures set forth in </w:t>
      </w:r>
      <w:r>
        <w:rPr>
          <w:rFonts w:ascii="Arial" w:cs="Arial" w:eastAsia="Arial" w:hAnsi="Arial"/>
          <w:sz w:val="18"/>
          <w:szCs w:val="18"/>
          <w:u w:val="single" w:color="auto"/>
          <w:color w:val="auto"/>
        </w:rPr>
        <w:t>Section 2.19(d)</w:t>
      </w:r>
      <w:r>
        <w:rPr>
          <w:rFonts w:ascii="Arial" w:cs="Arial" w:eastAsia="Arial" w:hAnsi="Arial"/>
          <w:sz w:val="18"/>
          <w:szCs w:val="18"/>
          <w:color w:val="auto"/>
        </w:rPr>
        <w:t xml:space="preserve"> or (z) make other arrangements reasonably satisfactory to the Administrative Agent, the Issuing Bank and the Swingline Lender in their sole discretion to protect them against the risk of non-payment by such Defaulting Lender.</w:t>
      </w:r>
    </w:p>
    <w:p>
      <w:pPr>
        <w:spacing w:after="0" w:line="130" w:lineRule="exact"/>
        <w:rPr>
          <w:sz w:val="20"/>
          <w:szCs w:val="20"/>
          <w:color w:val="auto"/>
        </w:rPr>
      </w:pPr>
    </w:p>
    <w:p>
      <w:pPr>
        <w:jc w:val="both"/>
        <w:ind w:left="4957"/>
        <w:spacing w:after="0"/>
        <w:tabs>
          <w:tab w:leader="none" w:pos="8457"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517"/>
          </w:cols>
          <w:pgMar w:left="1143" w:top="274" w:right="239" w:bottom="1440" w:gutter="0" w:footer="0" w:header="0"/>
        </w:sectPr>
      </w:pPr>
    </w:p>
    <w:bookmarkStart w:id="152" w:name="page153"/>
    <w:bookmarkEnd w:id="152"/>
    <w:p>
      <w:pPr>
        <w:ind w:left="-464" w:firstLine="921"/>
        <w:spacing w:after="0" w:line="269" w:lineRule="auto"/>
        <w:tabs>
          <w:tab w:leader="none" w:pos="703" w:val="left"/>
        </w:tabs>
        <w:numPr>
          <w:ilvl w:val="2"/>
          <w:numId w:val="13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Defaulting Lender Cure</w:t>
      </w:r>
      <w:r>
        <w:rPr>
          <w:rFonts w:ascii="Arial" w:cs="Arial" w:eastAsia="Arial" w:hAnsi="Arial"/>
          <w:sz w:val="17"/>
          <w:szCs w:val="17"/>
          <w:color w:val="auto"/>
        </w:rPr>
        <w:t xml:space="preserve">. If the Borrower, the Administrative Agent, the Swingline Lender and the Issuing Bank agree in writing that a Lender is no longer a Defaulting Lender, Administrative Agent will so notify the parties hereto, whereupon as of the effective date specified in such notice and subject to any conditions set forth therein (which may include arrangements with respect to any Cash Collateral), that such former Defaulting Lender will, to the extent applicable, purchase at par that portion of outstanding Loans of the other Lenders or take such other actions as Administrative Agent may determine to be necessary to cause the Loans and funded and unfunded participations in Letters of Credit and Swingline Loans to be held pro rata by the Lenders in accordance with the applicable Commitments (without giving effect to </w:t>
      </w:r>
      <w:r>
        <w:rPr>
          <w:rFonts w:ascii="Arial" w:cs="Arial" w:eastAsia="Arial" w:hAnsi="Arial"/>
          <w:sz w:val="17"/>
          <w:szCs w:val="17"/>
          <w:u w:val="single" w:color="auto"/>
          <w:color w:val="auto"/>
        </w:rPr>
        <w:t>Section 2.19(a)(iii)</w:t>
      </w:r>
      <w:r>
        <w:rPr>
          <w:rFonts w:ascii="Arial" w:cs="Arial" w:eastAsia="Arial" w:hAnsi="Arial"/>
          <w:sz w:val="17"/>
          <w:szCs w:val="17"/>
          <w:color w:val="auto"/>
        </w:rPr>
        <w:t xml:space="preserve">), and if Cash Collateral has been posted with respect to such Defaulting Lender, the Administrative Agent will promptly return or release such Cash Collateral to the Borrower, whereupon such Lender will cease to be a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adjustments will be made retroactively with respect to fees accrued or payments made by or on behalf of Borrower while that Lender was a Defaulting Lender;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except to the extent otherwise expressly agreed by the affected parties, no change hereunder from Defaulting Lender to Lender will constitute a waiver or release of any claim of any party hereunder arising from that Lender having been a Defaulting Lender.</w:t>
      </w:r>
    </w:p>
    <w:p>
      <w:pPr>
        <w:spacing w:after="0" w:line="74" w:lineRule="exact"/>
        <w:rPr>
          <w:rFonts w:ascii="Arial" w:cs="Arial" w:eastAsia="Arial" w:hAnsi="Arial"/>
          <w:sz w:val="17"/>
          <w:szCs w:val="17"/>
          <w:color w:val="auto"/>
        </w:rPr>
      </w:pPr>
    </w:p>
    <w:p>
      <w:pPr>
        <w:ind w:left="-464" w:right="120" w:firstLine="921"/>
        <w:spacing w:after="0" w:line="255" w:lineRule="auto"/>
        <w:tabs>
          <w:tab w:leader="none" w:pos="693" w:val="left"/>
        </w:tabs>
        <w:numPr>
          <w:ilvl w:val="2"/>
          <w:numId w:val="131"/>
        </w:numPr>
        <w:rPr>
          <w:rFonts w:ascii="Arial" w:cs="Arial" w:eastAsia="Arial" w:hAnsi="Arial"/>
          <w:sz w:val="18"/>
          <w:szCs w:val="18"/>
          <w:color w:val="auto"/>
        </w:rPr>
      </w:pPr>
      <w:r>
        <w:rPr>
          <w:rFonts w:ascii="Arial" w:cs="Arial" w:eastAsia="Arial" w:hAnsi="Arial"/>
          <w:sz w:val="18"/>
          <w:szCs w:val="18"/>
          <w:u w:val="single" w:color="auto"/>
          <w:color w:val="auto"/>
        </w:rPr>
        <w:t>New Swingline Loans/Letters of Credit</w:t>
      </w:r>
      <w:r>
        <w:rPr>
          <w:rFonts w:ascii="Arial" w:cs="Arial" w:eastAsia="Arial" w:hAnsi="Arial"/>
          <w:sz w:val="18"/>
          <w:szCs w:val="18"/>
          <w:color w:val="auto"/>
        </w:rPr>
        <w:t xml:space="preserve">. So long as any Lender is a Defaulting Lender, (i) the Swingline Lender shall not be required to fund any Swingline Loans unless it is satisfied that the participations therein will be fully allocated among Non-Defaulting Lenders in a manner consistent with </w:t>
      </w:r>
      <w:r>
        <w:rPr>
          <w:rFonts w:ascii="Arial" w:cs="Arial" w:eastAsia="Arial" w:hAnsi="Arial"/>
          <w:sz w:val="18"/>
          <w:szCs w:val="18"/>
          <w:u w:val="single" w:color="auto"/>
          <w:color w:val="auto"/>
        </w:rPr>
        <w:t>clause (a)(iii)</w:t>
      </w:r>
      <w:r>
        <w:rPr>
          <w:rFonts w:ascii="Arial" w:cs="Arial" w:eastAsia="Arial" w:hAnsi="Arial"/>
          <w:sz w:val="18"/>
          <w:szCs w:val="18"/>
          <w:color w:val="auto"/>
        </w:rPr>
        <w:t xml:space="preserve"> above and the Defaulting Lender shall not participate therein and (ii) the Issuing Bank shall not be required to issue, extend, renew or increase any Letter of Credit unless it is satisfied that the participations in any existing Letters of Credit as well as the new, extended, renewed or increased Letter of Credit has been or will be fully allocated among the Non-Defaulting Lenders in a manner consistent with </w:t>
      </w:r>
      <w:r>
        <w:rPr>
          <w:rFonts w:ascii="Arial" w:cs="Arial" w:eastAsia="Arial" w:hAnsi="Arial"/>
          <w:sz w:val="18"/>
          <w:szCs w:val="18"/>
          <w:u w:val="single" w:color="auto"/>
          <w:color w:val="auto"/>
        </w:rPr>
        <w:t>clause (a)(iii)</w:t>
      </w:r>
      <w:r>
        <w:rPr>
          <w:rFonts w:ascii="Arial" w:cs="Arial" w:eastAsia="Arial" w:hAnsi="Arial"/>
          <w:sz w:val="18"/>
          <w:szCs w:val="18"/>
          <w:color w:val="auto"/>
        </w:rPr>
        <w:t xml:space="preserve"> above and such Defaulting Lender shall not participate therein except to the extent such Defaulting Lender’s participation has been or will be fully Cash Collateralized in accordance with </w:t>
      </w:r>
      <w:r>
        <w:rPr>
          <w:rFonts w:ascii="Arial" w:cs="Arial" w:eastAsia="Arial" w:hAnsi="Arial"/>
          <w:sz w:val="18"/>
          <w:szCs w:val="18"/>
          <w:u w:val="single" w:color="auto"/>
          <w:color w:val="auto"/>
        </w:rPr>
        <w:t>Section 2.19(d)</w:t>
      </w:r>
      <w:r>
        <w:rPr>
          <w:rFonts w:ascii="Arial" w:cs="Arial" w:eastAsia="Arial" w:hAnsi="Arial"/>
          <w:sz w:val="18"/>
          <w:szCs w:val="18"/>
          <w:color w:val="auto"/>
        </w:rPr>
        <w:t>.</w:t>
      </w:r>
    </w:p>
    <w:p>
      <w:pPr>
        <w:spacing w:after="0" w:line="81" w:lineRule="exact"/>
        <w:rPr>
          <w:rFonts w:ascii="Arial" w:cs="Arial" w:eastAsia="Arial" w:hAnsi="Arial"/>
          <w:sz w:val="18"/>
          <w:szCs w:val="18"/>
          <w:color w:val="auto"/>
        </w:rPr>
      </w:pPr>
    </w:p>
    <w:p>
      <w:pPr>
        <w:jc w:val="both"/>
        <w:ind w:left="-464" w:right="340" w:firstLine="921"/>
        <w:spacing w:after="0" w:line="259" w:lineRule="auto"/>
        <w:tabs>
          <w:tab w:leader="none" w:pos="703" w:val="left"/>
        </w:tabs>
        <w:numPr>
          <w:ilvl w:val="2"/>
          <w:numId w:val="131"/>
        </w:numPr>
        <w:rPr>
          <w:rFonts w:ascii="Arial" w:cs="Arial" w:eastAsia="Arial" w:hAnsi="Arial"/>
          <w:sz w:val="18"/>
          <w:szCs w:val="18"/>
          <w:color w:val="auto"/>
        </w:rPr>
      </w:pPr>
      <w:r>
        <w:rPr>
          <w:rFonts w:ascii="Arial" w:cs="Arial" w:eastAsia="Arial" w:hAnsi="Arial"/>
          <w:sz w:val="18"/>
          <w:szCs w:val="18"/>
          <w:u w:val="single" w:color="auto"/>
          <w:color w:val="auto"/>
        </w:rPr>
        <w:t>Cash Collateral</w:t>
      </w:r>
      <w:r>
        <w:rPr>
          <w:rFonts w:ascii="Arial" w:cs="Arial" w:eastAsia="Arial" w:hAnsi="Arial"/>
          <w:sz w:val="18"/>
          <w:szCs w:val="18"/>
          <w:color w:val="auto"/>
        </w:rPr>
        <w:t xml:space="preserve">. At any time that there shall exist a Defaulting Lender, promptly following the written request of Administrative Agent or Issuing Bank (with a copy to Administrative Agent) Borrower shall Cash Collateralize Issuing Bank’s Fronting Exposure with respect to such Defaulting Lender (determined after giving effect to </w:t>
      </w:r>
      <w:r>
        <w:rPr>
          <w:rFonts w:ascii="Arial" w:cs="Arial" w:eastAsia="Arial" w:hAnsi="Arial"/>
          <w:sz w:val="18"/>
          <w:szCs w:val="18"/>
          <w:u w:val="single" w:color="auto"/>
          <w:color w:val="auto"/>
        </w:rPr>
        <w:t>Section 2.19(a)(iii)</w:t>
      </w:r>
      <w:r>
        <w:rPr>
          <w:rFonts w:ascii="Arial" w:cs="Arial" w:eastAsia="Arial" w:hAnsi="Arial"/>
          <w:sz w:val="18"/>
          <w:szCs w:val="18"/>
          <w:color w:val="auto"/>
        </w:rPr>
        <w:t xml:space="preserve"> and any Cash Collateral provided by such Defaulting Lender) in an amount not less than the Minimum Collateral Amount.</w:t>
      </w:r>
    </w:p>
    <w:p>
      <w:pPr>
        <w:spacing w:after="0" w:line="78" w:lineRule="exact"/>
        <w:rPr>
          <w:rFonts w:ascii="Arial" w:cs="Arial" w:eastAsia="Arial" w:hAnsi="Arial"/>
          <w:sz w:val="18"/>
          <w:szCs w:val="18"/>
          <w:color w:val="auto"/>
        </w:rPr>
      </w:pPr>
    </w:p>
    <w:p>
      <w:pPr>
        <w:ind w:left="-4" w:right="20" w:firstLine="443"/>
        <w:spacing w:after="0" w:line="288" w:lineRule="auto"/>
        <w:tabs>
          <w:tab w:leader="none" w:pos="649" w:val="left"/>
        </w:tabs>
        <w:numPr>
          <w:ilvl w:val="1"/>
          <w:numId w:val="132"/>
        </w:numPr>
        <w:rPr>
          <w:rFonts w:ascii="Arial" w:cs="Arial" w:eastAsia="Arial" w:hAnsi="Arial"/>
          <w:sz w:val="16"/>
          <w:szCs w:val="16"/>
          <w:color w:val="auto"/>
        </w:rPr>
      </w:pPr>
      <w:r>
        <w:rPr>
          <w:rFonts w:ascii="Arial" w:cs="Arial" w:eastAsia="Arial" w:hAnsi="Arial"/>
          <w:sz w:val="16"/>
          <w:szCs w:val="16"/>
          <w:u w:val="single" w:color="auto"/>
          <w:color w:val="auto"/>
        </w:rPr>
        <w:t>Grant of Security Interest</w:t>
      </w:r>
      <w:r>
        <w:rPr>
          <w:rFonts w:ascii="Arial" w:cs="Arial" w:eastAsia="Arial" w:hAnsi="Arial"/>
          <w:sz w:val="16"/>
          <w:szCs w:val="16"/>
          <w:color w:val="auto"/>
        </w:rPr>
        <w:t xml:space="preserve">. Borrower, and to the extent provided by any Defaulting Lender, such Defaulting Lender, hereby grants to (and subjects to the control of) Administrative Agent, for the benefit of Issuing Bank, and agrees to maintain, a first priority security interest in all such Cash Collateral as security for the Defaulting Lenders’ obligation to fund participations in respect of Letters of Credit, to be applied pursuant to </w:t>
      </w:r>
      <w:r>
        <w:rPr>
          <w:rFonts w:ascii="Arial" w:cs="Arial" w:eastAsia="Arial" w:hAnsi="Arial"/>
          <w:sz w:val="16"/>
          <w:szCs w:val="16"/>
          <w:u w:val="single" w:color="auto"/>
          <w:color w:val="auto"/>
        </w:rPr>
        <w:t>clause</w:t>
      </w:r>
    </w:p>
    <w:p>
      <w:pPr>
        <w:ind w:left="-4" w:right="140" w:firstLine="4"/>
        <w:spacing w:after="0" w:line="277" w:lineRule="auto"/>
        <w:tabs>
          <w:tab w:leader="none" w:pos="261" w:val="left"/>
        </w:tabs>
        <w:numPr>
          <w:ilvl w:val="0"/>
          <w:numId w:val="133"/>
        </w:numPr>
        <w:rPr>
          <w:rFonts w:ascii="Arial" w:cs="Arial" w:eastAsia="Arial" w:hAnsi="Arial"/>
          <w:sz w:val="17"/>
          <w:szCs w:val="17"/>
          <w:u w:val="single" w:color="auto"/>
          <w:color w:val="auto"/>
        </w:rPr>
      </w:pPr>
      <w:r>
        <w:rPr>
          <w:rFonts w:ascii="Arial" w:cs="Arial" w:eastAsia="Arial" w:hAnsi="Arial"/>
          <w:sz w:val="17"/>
          <w:szCs w:val="17"/>
          <w:color w:val="auto"/>
        </w:rPr>
        <w:t>below. If at any time Administrative Agent determines that Cash Collateral is subject to any right or claim of any Person other than Administrative Agent and Issuing Bank as herein provided, or that the total amount of such Cash Collateral is less than the Minimum Collateral Amount, Borrower will, promptly upon demand by Administrative Agent, pay or provide to Administrative Agent additional Cash Collateral</w:t>
      </w:r>
    </w:p>
    <w:p>
      <w:pPr>
        <w:spacing w:after="0" w:line="106" w:lineRule="exact"/>
        <w:rPr>
          <w:sz w:val="20"/>
          <w:szCs w:val="20"/>
          <w:color w:val="auto"/>
        </w:rPr>
      </w:pPr>
    </w:p>
    <w:p>
      <w:pPr>
        <w:jc w:val="both"/>
        <w:ind w:left="5396"/>
        <w:spacing w:after="0"/>
        <w:tabs>
          <w:tab w:leader="none" w:pos="8895"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956"/>
          </w:cols>
          <w:pgMar w:left="704" w:top="274" w:right="239" w:bottom="1440" w:gutter="0" w:footer="0" w:header="0"/>
        </w:sectPr>
      </w:pPr>
    </w:p>
    <w:bookmarkStart w:id="153" w:name="page154"/>
    <w:bookmarkEnd w:id="153"/>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an amount sufficient to eliminate such deficiency (after giving effect to any Cash Collateral provided by the Defaulting Lender). All Cash Collateral (other than credit support not constituting funds subject to deposit) shall be maintained in blocked, non-interest bearing deposit accounts at SunTrust. Borrower shall pay on demand therefor from time to time all reasonable and customary account opening, activity and other administrative fees and charges in connection with the maintenance and disbursement of Cash Collateral.</w:t>
      </w:r>
    </w:p>
    <w:p>
      <w:pPr>
        <w:spacing w:after="0" w:line="79" w:lineRule="exact"/>
        <w:rPr>
          <w:sz w:val="20"/>
          <w:szCs w:val="20"/>
          <w:color w:val="auto"/>
        </w:rPr>
      </w:pPr>
    </w:p>
    <w:p>
      <w:pPr>
        <w:ind w:right="40" w:firstLine="443"/>
        <w:spacing w:after="0" w:line="259" w:lineRule="auto"/>
        <w:tabs>
          <w:tab w:leader="none" w:pos="703"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xml:space="preserve">. Notwithstanding anything to the contrary contained in this Agreement, Cash Collateral provided under this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in respect of Letters of Credit shall be applied to the satisfaction of the Defaulting Lender’s obligation to fund participations in respect of Letters of Credit (including, as to Cash Collateral provided by a Defaulting Lender, any interest accrued on such obligation) for which the Cash Collateral was so provided, prior to any other application of such property as may otherwise be provided for herein.</w:t>
      </w:r>
    </w:p>
    <w:p>
      <w:pPr>
        <w:spacing w:after="0" w:line="78" w:lineRule="exact"/>
        <w:rPr>
          <w:rFonts w:ascii="Arial" w:cs="Arial" w:eastAsia="Arial" w:hAnsi="Arial"/>
          <w:sz w:val="18"/>
          <w:szCs w:val="18"/>
          <w:color w:val="auto"/>
        </w:rPr>
      </w:pPr>
    </w:p>
    <w:p>
      <w:pPr>
        <w:ind w:right="20" w:firstLine="443"/>
        <w:spacing w:after="0" w:line="293" w:lineRule="auto"/>
        <w:tabs>
          <w:tab w:leader="none" w:pos="753"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Termination of Requirement</w:t>
      </w:r>
      <w:r>
        <w:rPr>
          <w:rFonts w:ascii="Arial" w:cs="Arial" w:eastAsia="Arial" w:hAnsi="Arial"/>
          <w:sz w:val="16"/>
          <w:szCs w:val="16"/>
          <w:color w:val="auto"/>
        </w:rPr>
        <w:t xml:space="preserve">. Cash Collateral (or the appropriate portion thereof) provided to reduce Issuing Bank’s Fronting Exposure shall no longer be required to be held as Cash Collateral pursuant to this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following (i) the elimination of the applicable Fronting Exposure (including by the termination of Defaulting Lender status of the applicable Lender) or (ii) the determination by Administrative Agent and Issuing Bank that there exists excess Cash Collateral;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subject to the other provisions of this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the Person providing Cash Collateral and Issuing Bank may agree that Cash Collateral shall be held to support future anticipated Fronting Exposure;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to the extent that such Cash Collateral was provided by Borrower, such Cash Collateral shall remain subject to the security interest granted pursuant to the Loan Documents.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2.20. </w:t>
      </w:r>
      <w:r>
        <w:rPr>
          <w:rFonts w:ascii="Arial" w:cs="Arial" w:eastAsia="Arial" w:hAnsi="Arial"/>
          <w:sz w:val="18"/>
          <w:szCs w:val="18"/>
          <w:u w:val="single" w:color="auto"/>
          <w:color w:val="auto"/>
        </w:rPr>
        <w:t>Assignment and Reallocation of Existing Commitments and Existing Loans</w:t>
      </w:r>
      <w:r>
        <w:rPr>
          <w:rFonts w:ascii="Arial" w:cs="Arial" w:eastAsia="Arial" w:hAnsi="Arial"/>
          <w:sz w:val="18"/>
          <w:szCs w:val="18"/>
          <w:color w:val="auto"/>
        </w:rPr>
        <w:t>.</w:t>
      </w:r>
    </w:p>
    <w:p>
      <w:pPr>
        <w:spacing w:after="0" w:line="117" w:lineRule="exact"/>
        <w:rPr>
          <w:sz w:val="20"/>
          <w:szCs w:val="20"/>
          <w:color w:val="auto"/>
        </w:rPr>
      </w:pPr>
    </w:p>
    <w:p>
      <w:pPr>
        <w:ind w:left="-460" w:firstLine="921"/>
        <w:spacing w:after="0" w:line="290" w:lineRule="auto"/>
        <w:tabs>
          <w:tab w:leader="none" w:pos="698" w:val="left"/>
        </w:tabs>
        <w:numPr>
          <w:ilvl w:val="0"/>
          <w:numId w:val="135"/>
        </w:numPr>
        <w:rPr>
          <w:rFonts w:ascii="Arial" w:cs="Arial" w:eastAsia="Arial" w:hAnsi="Arial"/>
          <w:sz w:val="16"/>
          <w:szCs w:val="16"/>
          <w:color w:val="auto"/>
        </w:rPr>
      </w:pPr>
      <w:r>
        <w:rPr>
          <w:rFonts w:ascii="Arial" w:cs="Arial" w:eastAsia="Arial" w:hAnsi="Arial"/>
          <w:sz w:val="16"/>
          <w:szCs w:val="16"/>
          <w:color w:val="auto"/>
        </w:rPr>
        <w:t xml:space="preserve">On the Effective Date, the Borrower shall (A) prepay the outstanding Loans and (B) simultaneously borrow new Loans in an amount equal to such prepayment;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w:t>
      </w:r>
      <w:r>
        <w:rPr>
          <w:rFonts w:ascii="Arial" w:cs="Arial" w:eastAsia="Arial" w:hAnsi="Arial"/>
          <w:sz w:val="16"/>
          <w:szCs w:val="16"/>
          <w:u w:val="single" w:color="auto"/>
          <w:color w:val="auto"/>
        </w:rPr>
        <w:t>subclauses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(x) the prepayment to, and borrowing from, any Existing Lender shall be effected by book entry to the extent that any portion of the amount prepaid to such Lender will be subsequently borrowed from such Lender and (y) the Lenders shall make and receive payments among themselves, in a manner acceptable to the Administrative Agent, so that, after giving effect thereto, the Loans of each Class are held ratably by the Lenders of such Class in accordance with each Lender’s Applicable Percentage of Commitments and portion of loans, which, for the purposes of this Agreement and each other Loan Document, will be as set forth opposite such Person’s name on </w:t>
      </w:r>
      <w:r>
        <w:rPr>
          <w:rFonts w:ascii="Arial" w:cs="Arial" w:eastAsia="Arial" w:hAnsi="Arial"/>
          <w:sz w:val="16"/>
          <w:szCs w:val="16"/>
          <w:u w:val="single" w:color="auto"/>
          <w:color w:val="auto"/>
        </w:rPr>
        <w:t>Schedule 1.01(b)</w:t>
      </w:r>
      <w:r>
        <w:rPr>
          <w:rFonts w:ascii="Arial" w:cs="Arial" w:eastAsia="Arial" w:hAnsi="Arial"/>
          <w:sz w:val="16"/>
          <w:szCs w:val="16"/>
          <w:color w:val="auto"/>
        </w:rPr>
        <w:t>. Concurrently therewith, the Existing Lenders of each Class shall be deemed to have adjusted their participation interests in any outstanding Letters of Credit of such Class so that such interests are held ratably in accordance with their Applicable Percentage of Commitments of such Class.</w:t>
      </w:r>
    </w:p>
    <w:p>
      <w:pPr>
        <w:spacing w:after="0" w:line="99" w:lineRule="exact"/>
        <w:rPr>
          <w:sz w:val="20"/>
          <w:szCs w:val="20"/>
          <w:color w:val="auto"/>
        </w:rPr>
      </w:pPr>
    </w:p>
    <w:p>
      <w:pPr>
        <w:jc w:val="both"/>
        <w:ind w:left="5400"/>
        <w:spacing w:after="0"/>
        <w:tabs>
          <w:tab w:leader="none" w:pos="890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960"/>
          </w:cols>
          <w:pgMar w:left="700" w:top="274" w:right="239" w:bottom="1440" w:gutter="0" w:footer="0" w:header="0"/>
        </w:sectPr>
      </w:pPr>
    </w:p>
    <w:bookmarkStart w:id="154" w:name="page155"/>
    <w:bookmarkEnd w:id="154"/>
    <w:p>
      <w:pPr>
        <w:ind w:right="160" w:firstLine="921"/>
        <w:spacing w:after="0" w:line="288" w:lineRule="auto"/>
        <w:tabs>
          <w:tab w:leader="none" w:pos="1168" w:val="left"/>
        </w:tabs>
        <w:numPr>
          <w:ilvl w:val="1"/>
          <w:numId w:val="1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of the Lenders hereby acknowledges and agrees that (i) no Lender nor the Administrative Agent has made any representations or warranties or assumed any responsibility with respect to (A) any statements, warranties or representations made in or in connection with this Agreement or the execution, legality, validity, enforceability, genuineness or sufficiency of this Agreement, the Existing Credit Agreement or any other Loan Document or</w:t>
      </w:r>
    </w:p>
    <w:p>
      <w:pPr>
        <w:ind w:right="200" w:firstLine="8"/>
        <w:spacing w:after="0" w:line="254" w:lineRule="auto"/>
        <w:tabs>
          <w:tab w:leader="none" w:pos="28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financial condition of any Obligor or the performance by any Obligor of its obligations hereunder or under any other Loan Document; (ii) it has received such information as it has deemed appropriate to make its own credit analysis and decision to enter into this Agreement; and (iii) it has made and continues to make its own credit decisions in taking or not taking action under this Agreement, independently and without reliance upon the Administrative Agent or any other Lender.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REPRESENTATIONS AND WARRANTIES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Borrower represents and warrants to the Lenders that:</w:t>
      </w:r>
    </w:p>
    <w:p>
      <w:pPr>
        <w:spacing w:after="0" w:line="225" w:lineRule="exact"/>
        <w:rPr>
          <w:sz w:val="20"/>
          <w:szCs w:val="20"/>
          <w:color w:val="auto"/>
        </w:rPr>
      </w:pPr>
    </w:p>
    <w:p>
      <w:pPr>
        <w:ind w:right="80" w:firstLine="913"/>
        <w:spacing w:after="0" w:line="279"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u w:val="single" w:color="auto"/>
          <w:color w:val="auto"/>
        </w:rPr>
        <w:t>Organization; Powers</w:t>
      </w:r>
      <w:r>
        <w:rPr>
          <w:rFonts w:ascii="Arial" w:cs="Arial" w:eastAsia="Arial" w:hAnsi="Arial"/>
          <w:sz w:val="17"/>
          <w:szCs w:val="17"/>
          <w:color w:val="auto"/>
        </w:rPr>
        <w:t>. Each of the Borrower and its Subsidiaries is duly organized, validly existing and in good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in, every jurisdiction where such qualification is required of the Borrower or such Subsidiary, as applicable.</w:t>
      </w:r>
    </w:p>
    <w:p>
      <w:pPr>
        <w:spacing w:after="0" w:line="171" w:lineRule="exact"/>
        <w:rPr>
          <w:sz w:val="20"/>
          <w:szCs w:val="20"/>
          <w:color w:val="auto"/>
        </w:rPr>
      </w:pPr>
    </w:p>
    <w:p>
      <w:pPr>
        <w:ind w:right="140" w:firstLine="913"/>
        <w:spacing w:after="0" w:line="273" w:lineRule="auto"/>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u w:val="single" w:color="auto"/>
          <w:color w:val="auto"/>
        </w:rPr>
        <w:t>Authorization; Enforceability</w:t>
      </w:r>
      <w:r>
        <w:rPr>
          <w:rFonts w:ascii="Arial" w:cs="Arial" w:eastAsia="Arial" w:hAnsi="Arial"/>
          <w:sz w:val="17"/>
          <w:szCs w:val="17"/>
          <w:color w:val="auto"/>
        </w:rPr>
        <w:t>. The Transactions are within the Borrower’s corporate powers and have been duly authorized by all necessary corporate and, if required, by all necessary shareholder action. This Agreement has been duly executed and delivered by the Borrower and constitutes, and each of the other Loan Documents when executed and delivered by each Obligor party thereto will constitute, a legal, valid and binding obligation of such Obligor, enforceable in accordance with its terms, except as such enforceability may be limited by (a) bankruptcy, insolvency, reorganization, moratorium or similar laws of general applicability affecting the enforcement of creditors’ rights and (b) the application of general principles of equity (regardless of whether such enforceability is considered in a proceeding in equity or at law).</w:t>
      </w:r>
    </w:p>
    <w:p>
      <w:pPr>
        <w:spacing w:after="0" w:line="178" w:lineRule="exact"/>
        <w:rPr>
          <w:sz w:val="20"/>
          <w:szCs w:val="20"/>
          <w:color w:val="auto"/>
        </w:rPr>
      </w:pPr>
    </w:p>
    <w:p>
      <w:pPr>
        <w:ind w:right="320" w:firstLine="913"/>
        <w:spacing w:after="0" w:line="291"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Governmental Approvals; No Conflicts</w:t>
      </w:r>
      <w:r>
        <w:rPr>
          <w:rFonts w:ascii="Arial" w:cs="Arial" w:eastAsia="Arial" w:hAnsi="Arial"/>
          <w:sz w:val="16"/>
          <w:szCs w:val="16"/>
          <w:color w:val="auto"/>
        </w:rPr>
        <w:t>. The Transactions (a) do not require any consent or approval of, registration or filing with, or any other action by, any Governmental Authority, except for (i) such as have been or will be obtained or made and are in full force and effect and</w:t>
      </w:r>
    </w:p>
    <w:p>
      <w:pPr>
        <w:ind w:right="220" w:firstLine="8"/>
        <w:spacing w:after="0" w:line="281" w:lineRule="auto"/>
        <w:tabs>
          <w:tab w:leader="none" w:pos="265" w:val="left"/>
        </w:tabs>
        <w:numPr>
          <w:ilvl w:val="0"/>
          <w:numId w:val="138"/>
        </w:numPr>
        <w:rPr>
          <w:rFonts w:ascii="Arial" w:cs="Arial" w:eastAsia="Arial" w:hAnsi="Arial"/>
          <w:sz w:val="16"/>
          <w:szCs w:val="16"/>
          <w:color w:val="auto"/>
        </w:rPr>
      </w:pPr>
      <w:r>
        <w:rPr>
          <w:rFonts w:ascii="Arial" w:cs="Arial" w:eastAsia="Arial" w:hAnsi="Arial"/>
          <w:sz w:val="16"/>
          <w:szCs w:val="16"/>
          <w:color w:val="auto"/>
        </w:rPr>
        <w:t>filings and recordings in respect of the Liens created pursuant to this Agreement or the Security Documents, (b) will not violate any applicable law or regulation or the charter, by-laws or other organizational documents of the Borrower or any of its Subsidiaries or any order of any Governmental Authority,</w:t>
      </w:r>
    </w:p>
    <w:p>
      <w:pPr>
        <w:spacing w:after="0" w:line="1" w:lineRule="exact"/>
        <w:rPr>
          <w:rFonts w:ascii="Arial" w:cs="Arial" w:eastAsia="Arial" w:hAnsi="Arial"/>
          <w:sz w:val="16"/>
          <w:szCs w:val="16"/>
          <w:color w:val="auto"/>
        </w:rPr>
      </w:pPr>
    </w:p>
    <w:p>
      <w:pPr>
        <w:ind w:right="100" w:firstLine="8"/>
        <w:spacing w:after="0" w:line="302" w:lineRule="auto"/>
        <w:tabs>
          <w:tab w:leader="none" w:pos="245" w:val="left"/>
        </w:tabs>
        <w:numPr>
          <w:ilvl w:val="0"/>
          <w:numId w:val="139"/>
        </w:numPr>
        <w:rPr>
          <w:rFonts w:ascii="Arial" w:cs="Arial" w:eastAsia="Arial" w:hAnsi="Arial"/>
          <w:sz w:val="16"/>
          <w:szCs w:val="16"/>
          <w:color w:val="auto"/>
        </w:rPr>
      </w:pPr>
      <w:r>
        <w:rPr>
          <w:rFonts w:ascii="Arial" w:cs="Arial" w:eastAsia="Arial" w:hAnsi="Arial"/>
          <w:sz w:val="16"/>
          <w:szCs w:val="16"/>
          <w:color w:val="auto"/>
        </w:rPr>
        <w:t>will not violate or result in a default in any material respect under any indenture, agreement or other instrument binding upon the Borrower or any of its Subsidiaries or assets, or give rise to a right thereunder to require any payment to be made by any such Person, and (d) except for the Liens created pursuant to this Agreement or the Security Documents, will not result in the creation or imposition of any Lien on any asset of the Borrower or any of its Subsidiaries.</w:t>
      </w:r>
    </w:p>
    <w:p>
      <w:pPr>
        <w:spacing w:after="0" w:line="88"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55" w:name="page156"/>
    <w:bookmarkEnd w:id="155"/>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3.04. </w:t>
      </w:r>
      <w:r>
        <w:rPr>
          <w:rFonts w:ascii="Arial" w:cs="Arial" w:eastAsia="Arial" w:hAnsi="Arial"/>
          <w:sz w:val="18"/>
          <w:szCs w:val="18"/>
          <w:u w:val="single" w:color="auto"/>
          <w:color w:val="auto"/>
        </w:rPr>
        <w:t>Financial Condition; No Material Adverse Change</w:t>
      </w:r>
      <w:r>
        <w:rPr>
          <w:rFonts w:ascii="Arial" w:cs="Arial" w:eastAsia="Arial" w:hAnsi="Arial"/>
          <w:sz w:val="18"/>
          <w:szCs w:val="18"/>
          <w:color w:val="auto"/>
        </w:rPr>
        <w:t>.</w:t>
      </w:r>
    </w:p>
    <w:p>
      <w:pPr>
        <w:spacing w:after="0" w:line="117" w:lineRule="exact"/>
        <w:rPr>
          <w:sz w:val="20"/>
          <w:szCs w:val="20"/>
          <w:color w:val="auto"/>
        </w:rPr>
      </w:pPr>
    </w:p>
    <w:p>
      <w:pPr>
        <w:ind w:right="40" w:firstLine="921"/>
        <w:spacing w:after="0" w:line="279" w:lineRule="auto"/>
        <w:tabs>
          <w:tab w:leader="none" w:pos="1157" w:val="left"/>
        </w:tabs>
        <w:numPr>
          <w:ilvl w:val="0"/>
          <w:numId w:val="140"/>
        </w:numPr>
        <w:rPr>
          <w:rFonts w:ascii="Arial" w:cs="Arial" w:eastAsia="Arial" w:hAnsi="Arial"/>
          <w:sz w:val="17"/>
          <w:szCs w:val="17"/>
          <w:color w:val="auto"/>
        </w:rPr>
      </w:pPr>
      <w:r>
        <w:rPr>
          <w:rFonts w:ascii="Arial" w:cs="Arial" w:eastAsia="Arial" w:hAnsi="Arial"/>
          <w:sz w:val="17"/>
          <w:szCs w:val="17"/>
          <w:u w:val="single" w:color="auto"/>
          <w:color w:val="auto"/>
        </w:rPr>
        <w:t>Financial Statements</w:t>
      </w:r>
      <w:r>
        <w:rPr>
          <w:rFonts w:ascii="Arial" w:cs="Arial" w:eastAsia="Arial" w:hAnsi="Arial"/>
          <w:sz w:val="17"/>
          <w:szCs w:val="17"/>
          <w:color w:val="auto"/>
        </w:rPr>
        <w:t>. The Borrower has heretofore delivered to the Lenders the audited consolidated balance sheet and statement of operations, changes in net assets and cash flows of the Borrower and its Subsidiaries as of and for the year ended December 31, 2012, certified by a Financial Officer of the Borrower. Such financial statements present fairly, in all material respects, the consolidated financial position and results of operations and cash flows of the Borrower and its Subsidiaries as of such date and for such period in accordance with GAAP.</w:t>
      </w:r>
    </w:p>
    <w:p>
      <w:pPr>
        <w:spacing w:after="0" w:line="63" w:lineRule="exact"/>
        <w:rPr>
          <w:rFonts w:ascii="Arial" w:cs="Arial" w:eastAsia="Arial" w:hAnsi="Arial"/>
          <w:sz w:val="17"/>
          <w:szCs w:val="17"/>
          <w:color w:val="auto"/>
        </w:rPr>
      </w:pPr>
    </w:p>
    <w:p>
      <w:pPr>
        <w:ind w:right="140" w:firstLine="921"/>
        <w:spacing w:after="0" w:line="255" w:lineRule="auto"/>
        <w:tabs>
          <w:tab w:leader="none" w:pos="1168"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No Material Adverse Change</w:t>
      </w:r>
      <w:r>
        <w:rPr>
          <w:rFonts w:ascii="Arial" w:cs="Arial" w:eastAsia="Arial" w:hAnsi="Arial"/>
          <w:sz w:val="18"/>
          <w:szCs w:val="18"/>
          <w:color w:val="auto"/>
        </w:rPr>
        <w:t>. Since the date of the most recent Applicable Financial Statements, there has not been any event, development or circumstance (herein, a “</w:t>
      </w:r>
      <w:r>
        <w:rPr>
          <w:rFonts w:ascii="Arial" w:cs="Arial" w:eastAsia="Arial" w:hAnsi="Arial"/>
          <w:sz w:val="18"/>
          <w:szCs w:val="18"/>
          <w:u w:val="single" w:color="auto"/>
          <w:color w:val="auto"/>
        </w:rPr>
        <w:t>Material Adverse Change</w:t>
      </w:r>
      <w:r>
        <w:rPr>
          <w:rFonts w:ascii="Arial" w:cs="Arial" w:eastAsia="Arial" w:hAnsi="Arial"/>
          <w:sz w:val="18"/>
          <w:szCs w:val="18"/>
          <w:color w:val="auto"/>
        </w:rPr>
        <w:t>”) that has had or could reasonably be expected to have a material adverse effect on (i) the business, Portfolio Investments and other assets, liabilities or financial condition of the Borrower and its Subsidiaries (other than any Financing Subsidiary) taken as a whole (excluding in any case a decline in the net asset value of the Borrower or a change in general market conditions or values of the Borrower’s Portfolio Investments), or (ii) the validity or enforceability of any of the Loan Documents or the rights or remedies of the Administrative Agent and the Lenders thereunder.</w:t>
      </w:r>
    </w:p>
    <w:p>
      <w:pPr>
        <w:spacing w:after="0" w:line="193"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Litigation</w:t>
      </w:r>
      <w:r>
        <w:rPr>
          <w:rFonts w:ascii="Arial" w:cs="Arial" w:eastAsia="Arial" w:hAnsi="Arial"/>
          <w:sz w:val="18"/>
          <w:szCs w:val="18"/>
          <w:color w:val="auto"/>
        </w:rPr>
        <w:t>. There are no actions, suits, investigations or proceedings by or before any arbitrator or Governmental Authority now pending against or, to the knowledge of the Borrower, threatened against or affecting the Borrower or any of its Subsidiaries (i) as to which there is a reasonable possibility of an adverse determination and that, if adversely determined, could reasonably be expected, individually or in the aggregate, to result in a Material Adverse Effect or (ii) that involve this Agreement or the Transactions.</w:t>
      </w:r>
    </w:p>
    <w:p>
      <w:pPr>
        <w:spacing w:after="0" w:line="187"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Compliance with Laws and Agreements</w:t>
      </w:r>
      <w:r>
        <w:rPr>
          <w:rFonts w:ascii="Arial" w:cs="Arial" w:eastAsia="Arial" w:hAnsi="Arial"/>
          <w:sz w:val="18"/>
          <w:szCs w:val="18"/>
          <w:color w:val="auto"/>
        </w:rPr>
        <w:t>. Each of the Borrower and its Subsidiaries is in compliance with all laws, regulations and orders of any Governmental Authority applicable to it or its property and all indentures, agreements and other instruments binding upon it or its property, except where the failure to do so, individually or in the aggregate, could not reasonably be expected to result in a Material Adverse Effect. Neither the Borrower nor any of its Subsidiaries is subject to any contract or other arrangement, the performance of which by the Borrower or its Subsidiaries could reasonably be expected to result in a Material Adverse Effect.</w:t>
      </w:r>
    </w:p>
    <w:p>
      <w:pPr>
        <w:spacing w:after="0" w:line="18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Taxes</w:t>
      </w:r>
      <w:r>
        <w:rPr>
          <w:rFonts w:ascii="Arial" w:cs="Arial" w:eastAsia="Arial" w:hAnsi="Arial"/>
          <w:sz w:val="18"/>
          <w:szCs w:val="18"/>
          <w:color w:val="auto"/>
        </w:rPr>
        <w:t>. Each of the Borrower and its Subsidiaries has timely filed or caused to be filed all material Tax returns and reports required to have been filed and has paid or caused to be paid all material Taxes required to have been paid by it, except (a) Taxes that are being contested in good faith by appropriate proceedings and for which such Person has set aside on its books adequate reserves or (b) to the extent that the failure to do so could not reasonably be expected to result in a Material Adverse Effect.</w:t>
      </w:r>
    </w:p>
    <w:p>
      <w:pPr>
        <w:spacing w:after="0" w:line="119"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69</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56" w:name="page157"/>
    <w:bookmarkEnd w:id="156"/>
    <w:p>
      <w:pPr>
        <w:ind w:right="16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3.08. </w:t>
      </w:r>
      <w:r>
        <w:rPr>
          <w:rFonts w:ascii="Arial" w:cs="Arial" w:eastAsia="Arial" w:hAnsi="Arial"/>
          <w:sz w:val="18"/>
          <w:szCs w:val="18"/>
          <w:u w:val="single" w:color="auto"/>
          <w:color w:val="auto"/>
        </w:rPr>
        <w:t>ERISA</w:t>
      </w:r>
      <w:r>
        <w:rPr>
          <w:rFonts w:ascii="Arial" w:cs="Arial" w:eastAsia="Arial" w:hAnsi="Arial"/>
          <w:sz w:val="18"/>
          <w:szCs w:val="18"/>
          <w:color w:val="auto"/>
        </w:rPr>
        <w:t>. No ERISA Event has occurred or is reasonably expected to occur that, when taken together with all other such ERISA Events for which liability is reasonably expected to occur, could reasonably be expected to result in a Material Adverse Effect.</w:t>
      </w:r>
    </w:p>
    <w:p>
      <w:pPr>
        <w:spacing w:after="0" w:line="170" w:lineRule="exact"/>
        <w:rPr>
          <w:sz w:val="20"/>
          <w:szCs w:val="20"/>
          <w:color w:val="auto"/>
        </w:rPr>
      </w:pPr>
    </w:p>
    <w:p>
      <w:pPr>
        <w:ind w:right="60" w:firstLine="913"/>
        <w:spacing w:after="0" w:line="289" w:lineRule="auto"/>
        <w:rPr>
          <w:sz w:val="20"/>
          <w:szCs w:val="20"/>
          <w:color w:val="auto"/>
        </w:rPr>
      </w:pPr>
      <w:r>
        <w:rPr>
          <w:rFonts w:ascii="Arial" w:cs="Arial" w:eastAsia="Arial" w:hAnsi="Arial"/>
          <w:sz w:val="16"/>
          <w:szCs w:val="16"/>
          <w:color w:val="auto"/>
        </w:rPr>
        <w:t xml:space="preserve">SECTION 3.09. </w:t>
      </w:r>
      <w:r>
        <w:rPr>
          <w:rFonts w:ascii="Arial" w:cs="Arial" w:eastAsia="Arial" w:hAnsi="Arial"/>
          <w:sz w:val="16"/>
          <w:szCs w:val="16"/>
          <w:u w:val="single" w:color="auto"/>
          <w:color w:val="auto"/>
        </w:rPr>
        <w:t>Disclosure</w:t>
      </w:r>
      <w:r>
        <w:rPr>
          <w:rFonts w:ascii="Arial" w:cs="Arial" w:eastAsia="Arial" w:hAnsi="Arial"/>
          <w:sz w:val="16"/>
          <w:szCs w:val="16"/>
          <w:color w:val="auto"/>
        </w:rPr>
        <w:t xml:space="preserve">. As of the date hereof, the Borrower has disclosed to the Lenders all agreements, instruments and corporate or other restrictions to which it or any of its Subsidiaries is subject, and all other matters known to it, that, individually or in the aggregate, could reasonably be expected to result in a Material Adverse Effect. As of the date hereof, none of the reports, financial statements, certificates or other written information (other than projected financial information, other forward looking information relating to third parties and information of a general economic or general industry nature) furnished by or on behalf of the Borrower to the Administrative Agent in connection with the negotiation of this Agreement and the other Loan Documents or delivered hereunder or thereunder (as modified or supplemented by other information so furnished) when taken as a whole (and after giving effect to all updates, modifications and supplements) contains any material misstatement of fact or omits to state any material fact necessary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projected financial information, the Borrower represents only that such information was prepared in good faith based upon assumptions believed to be reasonable at the time.</w:t>
      </w:r>
    </w:p>
    <w:p>
      <w:pPr>
        <w:spacing w:after="0" w:line="16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Investment Company Act; Margin Regulations</w:t>
      </w:r>
      <w:r>
        <w:rPr>
          <w:rFonts w:ascii="Arial" w:cs="Arial" w:eastAsia="Arial" w:hAnsi="Arial"/>
          <w:sz w:val="18"/>
          <w:szCs w:val="18"/>
          <w:color w:val="auto"/>
        </w:rPr>
        <w:t>.</w:t>
      </w:r>
    </w:p>
    <w:p>
      <w:pPr>
        <w:spacing w:after="0" w:line="117" w:lineRule="exact"/>
        <w:rPr>
          <w:sz w:val="20"/>
          <w:szCs w:val="20"/>
          <w:color w:val="auto"/>
        </w:rPr>
      </w:pPr>
    </w:p>
    <w:p>
      <w:pPr>
        <w:ind w:right="540" w:firstLine="921"/>
        <w:spacing w:after="0" w:line="277" w:lineRule="auto"/>
        <w:tabs>
          <w:tab w:leader="none" w:pos="1157"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Status as Business Development Company</w:t>
      </w:r>
      <w:r>
        <w:rPr>
          <w:rFonts w:ascii="Arial" w:cs="Arial" w:eastAsia="Arial" w:hAnsi="Arial"/>
          <w:sz w:val="18"/>
          <w:szCs w:val="18"/>
          <w:color w:val="auto"/>
        </w:rPr>
        <w:t>. The Borrower has elected to be regulated as a “business development company” within the meaning of the Investment Company Act and qualifies as a RIC.</w:t>
      </w:r>
    </w:p>
    <w:p>
      <w:pPr>
        <w:spacing w:after="0" w:line="62" w:lineRule="exact"/>
        <w:rPr>
          <w:rFonts w:ascii="Arial" w:cs="Arial" w:eastAsia="Arial" w:hAnsi="Arial"/>
          <w:sz w:val="18"/>
          <w:szCs w:val="18"/>
          <w:color w:val="auto"/>
        </w:rPr>
      </w:pPr>
    </w:p>
    <w:p>
      <w:pPr>
        <w:jc w:val="both"/>
        <w:ind w:right="160" w:firstLine="921"/>
        <w:spacing w:after="0" w:line="302" w:lineRule="auto"/>
        <w:tabs>
          <w:tab w:leader="none" w:pos="1168" w:val="left"/>
        </w:tabs>
        <w:numPr>
          <w:ilvl w:val="0"/>
          <w:numId w:val="141"/>
        </w:numPr>
        <w:rPr>
          <w:rFonts w:ascii="Arial" w:cs="Arial" w:eastAsia="Arial" w:hAnsi="Arial"/>
          <w:sz w:val="16"/>
          <w:szCs w:val="16"/>
          <w:color w:val="auto"/>
        </w:rPr>
      </w:pPr>
      <w:r>
        <w:rPr>
          <w:rFonts w:ascii="Arial" w:cs="Arial" w:eastAsia="Arial" w:hAnsi="Arial"/>
          <w:sz w:val="16"/>
          <w:szCs w:val="16"/>
          <w:u w:val="single" w:color="auto"/>
          <w:color w:val="auto"/>
        </w:rPr>
        <w:t>Compliance with Investment Company Act</w:t>
      </w:r>
      <w:r>
        <w:rPr>
          <w:rFonts w:ascii="Arial" w:cs="Arial" w:eastAsia="Arial" w:hAnsi="Arial"/>
          <w:sz w:val="16"/>
          <w:szCs w:val="16"/>
          <w:color w:val="auto"/>
        </w:rPr>
        <w:t>. The business and other activities of the Borrower and its Subsidiaries, including the making of the Loans hereunder, the application of the proceeds and repayment thereof by the Borrower and the consummation of the Transactions contemplated by the Loan Documents do not result in a violation or breach in any material respect of the provisions of the Investment Company Act or any rules, regulations or orders issued by the Securities and Exchange Commission thereunder, in each case that are applicable to the Borrower and its Subsidiaries.</w:t>
      </w:r>
    </w:p>
    <w:p>
      <w:pPr>
        <w:spacing w:after="0" w:line="46" w:lineRule="exact"/>
        <w:rPr>
          <w:rFonts w:ascii="Arial" w:cs="Arial" w:eastAsia="Arial" w:hAnsi="Arial"/>
          <w:sz w:val="16"/>
          <w:szCs w:val="16"/>
          <w:color w:val="auto"/>
        </w:rPr>
      </w:pPr>
    </w:p>
    <w:p>
      <w:pPr>
        <w:ind w:right="260" w:firstLine="921"/>
        <w:spacing w:after="0" w:line="308" w:lineRule="auto"/>
        <w:tabs>
          <w:tab w:leader="none" w:pos="1157" w:val="left"/>
        </w:tabs>
        <w:numPr>
          <w:ilvl w:val="0"/>
          <w:numId w:val="141"/>
        </w:numPr>
        <w:rPr>
          <w:rFonts w:ascii="Arial" w:cs="Arial" w:eastAsia="Arial" w:hAnsi="Arial"/>
          <w:sz w:val="17"/>
          <w:szCs w:val="17"/>
          <w:color w:val="auto"/>
        </w:rPr>
      </w:pPr>
      <w:r>
        <w:rPr>
          <w:rFonts w:ascii="Arial" w:cs="Arial" w:eastAsia="Arial" w:hAnsi="Arial"/>
          <w:sz w:val="17"/>
          <w:szCs w:val="17"/>
          <w:u w:val="single" w:color="auto"/>
          <w:color w:val="auto"/>
        </w:rPr>
        <w:t>Investment Policies</w:t>
      </w:r>
      <w:r>
        <w:rPr>
          <w:rFonts w:ascii="Arial" w:cs="Arial" w:eastAsia="Arial" w:hAnsi="Arial"/>
          <w:sz w:val="17"/>
          <w:szCs w:val="17"/>
          <w:color w:val="auto"/>
        </w:rPr>
        <w:t>. The Borrower is in compliance in all respects with the Investment Policies (after giving effect to any Permitted Policy Amendments), except to the extent that the failure to so comply could not reasonably be expected to have a Material Adverse Effect.</w:t>
      </w:r>
    </w:p>
    <w:p>
      <w:pPr>
        <w:spacing w:after="0" w:line="38" w:lineRule="exact"/>
        <w:rPr>
          <w:rFonts w:ascii="Arial" w:cs="Arial" w:eastAsia="Arial" w:hAnsi="Arial"/>
          <w:sz w:val="17"/>
          <w:szCs w:val="17"/>
          <w:color w:val="auto"/>
        </w:rPr>
      </w:pPr>
    </w:p>
    <w:p>
      <w:pPr>
        <w:ind w:right="80" w:firstLine="921"/>
        <w:spacing w:after="0" w:line="264" w:lineRule="auto"/>
        <w:tabs>
          <w:tab w:leader="none" w:pos="1168"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Use of Credit</w:t>
      </w:r>
      <w:r>
        <w:rPr>
          <w:rFonts w:ascii="Arial" w:cs="Arial" w:eastAsia="Arial" w:hAnsi="Arial"/>
          <w:sz w:val="18"/>
          <w:szCs w:val="18"/>
          <w:color w:val="auto"/>
        </w:rPr>
        <w:t>. Neither the Borrower nor any of its Subsidiaries is engaged principally, or as one of its important activities, in the business of extending credit for the purpose, whether immediate, incidental or ultimate, of buying or carrying Margin Stock, and no part of the proceeds of any extension of credit hereunder will be used to buy or carry any Margin Stock.</w:t>
      </w:r>
    </w:p>
    <w:p>
      <w:pPr>
        <w:spacing w:after="0" w:line="114"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70</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57" w:name="page158"/>
    <w:bookmarkEnd w:id="157"/>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3.11. </w:t>
      </w:r>
      <w:r>
        <w:rPr>
          <w:rFonts w:ascii="Arial" w:cs="Arial" w:eastAsia="Arial" w:hAnsi="Arial"/>
          <w:sz w:val="18"/>
          <w:szCs w:val="18"/>
          <w:u w:val="single" w:color="auto"/>
          <w:color w:val="auto"/>
        </w:rPr>
        <w:t>Material Agreements and Liens</w:t>
      </w:r>
      <w:r>
        <w:rPr>
          <w:rFonts w:ascii="Arial" w:cs="Arial" w:eastAsia="Arial" w:hAnsi="Arial"/>
          <w:sz w:val="18"/>
          <w:szCs w:val="18"/>
          <w:color w:val="auto"/>
        </w:rPr>
        <w:t>.</w:t>
      </w:r>
    </w:p>
    <w:p>
      <w:pPr>
        <w:spacing w:after="0" w:line="117" w:lineRule="exact"/>
        <w:rPr>
          <w:sz w:val="20"/>
          <w:szCs w:val="20"/>
          <w:color w:val="auto"/>
        </w:rPr>
      </w:pPr>
    </w:p>
    <w:p>
      <w:pPr>
        <w:ind w:right="120" w:firstLine="921"/>
        <w:spacing w:after="0" w:line="257" w:lineRule="auto"/>
        <w:tabs>
          <w:tab w:leader="none" w:pos="1157"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Material Agreements</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Part A</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3.11</w:t>
      </w:r>
      <w:r>
        <w:rPr>
          <w:rFonts w:ascii="Arial" w:cs="Arial" w:eastAsia="Arial" w:hAnsi="Arial"/>
          <w:sz w:val="18"/>
          <w:szCs w:val="18"/>
          <w:color w:val="auto"/>
        </w:rPr>
        <w:t xml:space="preserve"> is a complete and correct list, as of the Original Effective Date, of each credit agreement, loan agreement, indenture, purchase agreement, guarantee, letter of credit or other arrangement providing for or otherwise relating to any Indebtedness or any extension of credit (or commitment for any extension of credit) to, or guarantee by, the Borrower or any of its Subsidiaries outstanding as of the Original Effective Date, and the aggregate principal or face amount outstanding or that is, or may become, outstanding under each such arrangement is correctly described in </w:t>
      </w:r>
      <w:r>
        <w:rPr>
          <w:rFonts w:ascii="Arial" w:cs="Arial" w:eastAsia="Arial" w:hAnsi="Arial"/>
          <w:sz w:val="18"/>
          <w:szCs w:val="18"/>
          <w:u w:val="single" w:color="auto"/>
          <w:color w:val="auto"/>
        </w:rPr>
        <w:t>Part A</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3.11</w:t>
      </w:r>
      <w:r>
        <w:rPr>
          <w:rFonts w:ascii="Arial" w:cs="Arial" w:eastAsia="Arial" w:hAnsi="Arial"/>
          <w:sz w:val="18"/>
          <w:szCs w:val="18"/>
          <w:color w:val="auto"/>
        </w:rPr>
        <w:t>.</w:t>
      </w:r>
    </w:p>
    <w:p>
      <w:pPr>
        <w:spacing w:after="0" w:line="80" w:lineRule="exact"/>
        <w:rPr>
          <w:rFonts w:ascii="Arial" w:cs="Arial" w:eastAsia="Arial" w:hAnsi="Arial"/>
          <w:sz w:val="18"/>
          <w:szCs w:val="18"/>
          <w:color w:val="auto"/>
        </w:rPr>
      </w:pPr>
    </w:p>
    <w:p>
      <w:pPr>
        <w:ind w:right="20" w:firstLine="921"/>
        <w:spacing w:after="0" w:line="312" w:lineRule="auto"/>
        <w:tabs>
          <w:tab w:leader="none" w:pos="1168" w:val="left"/>
        </w:tabs>
        <w:numPr>
          <w:ilvl w:val="0"/>
          <w:numId w:val="142"/>
        </w:numPr>
        <w:rPr>
          <w:rFonts w:ascii="Arial" w:cs="Arial" w:eastAsia="Arial" w:hAnsi="Arial"/>
          <w:sz w:val="16"/>
          <w:szCs w:val="16"/>
          <w:color w:val="auto"/>
        </w:rPr>
      </w:pPr>
      <w:r>
        <w:rPr>
          <w:rFonts w:ascii="Arial" w:cs="Arial" w:eastAsia="Arial" w:hAnsi="Arial"/>
          <w:sz w:val="16"/>
          <w:szCs w:val="16"/>
          <w:u w:val="single" w:color="auto"/>
          <w:color w:val="auto"/>
        </w:rPr>
        <w:t>Liens</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 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3.11</w:t>
      </w:r>
      <w:r>
        <w:rPr>
          <w:rFonts w:ascii="Arial" w:cs="Arial" w:eastAsia="Arial" w:hAnsi="Arial"/>
          <w:sz w:val="16"/>
          <w:szCs w:val="16"/>
          <w:color w:val="auto"/>
        </w:rPr>
        <w:t xml:space="preserve"> is a complete and correct list, as of the Original Effective Date, of each Lien securing Indebtedness of any Person outstanding on the Original Effective Date covering any property of the Borrower or any of the Subsidiary Guarantors, and the aggregate Indebtedness secured (or that may be secured) by each such Lien and the property covered by each such Lien is correctly described in </w:t>
      </w:r>
      <w:r>
        <w:rPr>
          <w:rFonts w:ascii="Arial" w:cs="Arial" w:eastAsia="Arial" w:hAnsi="Arial"/>
          <w:sz w:val="16"/>
          <w:szCs w:val="16"/>
          <w:u w:val="single" w:color="auto"/>
          <w:color w:val="auto"/>
        </w:rPr>
        <w:t>Part 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3.11</w:t>
      </w:r>
      <w:r>
        <w:rPr>
          <w:rFonts w:ascii="Arial" w:cs="Arial" w:eastAsia="Arial" w:hAnsi="Arial"/>
          <w:sz w:val="16"/>
          <w:szCs w:val="16"/>
          <w:color w:val="auto"/>
        </w:rPr>
        <w:t>.</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Subsidiaries and Investments</w:t>
      </w:r>
      <w:r>
        <w:rPr>
          <w:rFonts w:ascii="Arial" w:cs="Arial" w:eastAsia="Arial" w:hAnsi="Arial"/>
          <w:sz w:val="18"/>
          <w:szCs w:val="18"/>
          <w:color w:val="auto"/>
        </w:rPr>
        <w:t>.</w:t>
      </w:r>
    </w:p>
    <w:p>
      <w:pPr>
        <w:spacing w:after="0" w:line="117" w:lineRule="exact"/>
        <w:rPr>
          <w:sz w:val="20"/>
          <w:szCs w:val="20"/>
          <w:color w:val="auto"/>
        </w:rPr>
      </w:pPr>
    </w:p>
    <w:p>
      <w:pPr>
        <w:ind w:left="1160" w:hanging="239"/>
        <w:spacing w:after="0"/>
        <w:tabs>
          <w:tab w:leader="none" w:pos="116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Set forth on </w:t>
      </w:r>
      <w:r>
        <w:rPr>
          <w:rFonts w:ascii="Arial" w:cs="Arial" w:eastAsia="Arial" w:hAnsi="Arial"/>
          <w:sz w:val="18"/>
          <w:szCs w:val="18"/>
          <w:u w:val="single" w:color="auto"/>
          <w:color w:val="auto"/>
        </w:rPr>
        <w:t>Schedule 3.12(a)</w:t>
      </w:r>
      <w:r>
        <w:rPr>
          <w:rFonts w:ascii="Arial" w:cs="Arial" w:eastAsia="Arial" w:hAnsi="Arial"/>
          <w:sz w:val="18"/>
          <w:szCs w:val="18"/>
          <w:color w:val="auto"/>
        </w:rPr>
        <w:t xml:space="preserve"> is a list of the Borrower’s Subsidiaries as of the Original Effective Date.</w:t>
      </w:r>
    </w:p>
    <w:p>
      <w:pPr>
        <w:spacing w:after="0" w:line="117" w:lineRule="exact"/>
        <w:rPr>
          <w:rFonts w:ascii="Arial" w:cs="Arial" w:eastAsia="Arial" w:hAnsi="Arial"/>
          <w:sz w:val="18"/>
          <w:szCs w:val="18"/>
          <w:color w:val="auto"/>
        </w:rPr>
      </w:pPr>
    </w:p>
    <w:p>
      <w:pPr>
        <w:ind w:right="100" w:firstLine="921"/>
        <w:spacing w:after="0" w:line="276" w:lineRule="auto"/>
        <w:tabs>
          <w:tab w:leader="none" w:pos="1168" w:val="left"/>
        </w:tabs>
        <w:numPr>
          <w:ilvl w:val="0"/>
          <w:numId w:val="143"/>
        </w:numPr>
        <w:rPr>
          <w:rFonts w:ascii="Arial" w:cs="Arial" w:eastAsia="Arial" w:hAnsi="Arial"/>
          <w:sz w:val="17"/>
          <w:szCs w:val="17"/>
          <w:color w:val="auto"/>
        </w:rPr>
      </w:pPr>
      <w:r>
        <w:rPr>
          <w:rFonts w:ascii="Arial" w:cs="Arial" w:eastAsia="Arial" w:hAnsi="Arial"/>
          <w:sz w:val="17"/>
          <w:szCs w:val="17"/>
          <w:u w:val="single" w:color="auto"/>
          <w:color w:val="auto"/>
        </w:rPr>
        <w:t>Investments</w:t>
      </w:r>
      <w:r>
        <w:rPr>
          <w:rFonts w:ascii="Arial" w:cs="Arial" w:eastAsia="Arial" w:hAnsi="Arial"/>
          <w:sz w:val="17"/>
          <w:szCs w:val="17"/>
          <w:color w:val="auto"/>
        </w:rPr>
        <w:t xml:space="preserve">. Set forth on </w:t>
      </w:r>
      <w:r>
        <w:rPr>
          <w:rFonts w:ascii="Arial" w:cs="Arial" w:eastAsia="Arial" w:hAnsi="Arial"/>
          <w:sz w:val="17"/>
          <w:szCs w:val="17"/>
          <w:u w:val="single" w:color="auto"/>
          <w:color w:val="auto"/>
        </w:rPr>
        <w:t>Schedule 3.12(b)</w:t>
      </w:r>
      <w:r>
        <w:rPr>
          <w:rFonts w:ascii="Arial" w:cs="Arial" w:eastAsia="Arial" w:hAnsi="Arial"/>
          <w:sz w:val="17"/>
          <w:szCs w:val="17"/>
          <w:color w:val="auto"/>
        </w:rPr>
        <w:t xml:space="preserve"> is a complete and correct list, as of the Original Effective Date, of all Investments (other than Investments of the types referred to in </w:t>
      </w:r>
      <w:r>
        <w:rPr>
          <w:rFonts w:ascii="Arial" w:cs="Arial" w:eastAsia="Arial" w:hAnsi="Arial"/>
          <w:sz w:val="17"/>
          <w:szCs w:val="17"/>
          <w:u w:val="single" w:color="auto"/>
          <w:color w:val="auto"/>
        </w:rPr>
        <w:t>clauses (b)</w:t>
      </w:r>
      <w:r>
        <w:rPr>
          <w:rFonts w:ascii="Arial" w:cs="Arial" w:eastAsia="Arial" w:hAnsi="Arial"/>
          <w:sz w:val="17"/>
          <w:szCs w:val="17"/>
          <w:color w:val="auto"/>
        </w:rPr>
        <w:t xml:space="preserve">, </w:t>
      </w:r>
      <w:r>
        <w:rPr>
          <w:rFonts w:ascii="Arial" w:cs="Arial" w:eastAsia="Arial" w:hAnsi="Arial"/>
          <w:sz w:val="17"/>
          <w:szCs w:val="17"/>
          <w:u w:val="single" w:color="auto"/>
          <w:color w:val="auto"/>
        </w:rPr>
        <w:t>(c)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(d)</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6.04</w:t>
      </w:r>
      <w:r>
        <w:rPr>
          <w:rFonts w:ascii="Arial" w:cs="Arial" w:eastAsia="Arial" w:hAnsi="Arial"/>
          <w:sz w:val="17"/>
          <w:szCs w:val="17"/>
          <w:color w:val="auto"/>
        </w:rPr>
        <w:t xml:space="preserve">) held by the Borrower or any of the Subsidiary Guarantors in any Person on the Original Effective Date and, for each such Investment, (x) the identity of the Person or Persons holding such Investment and (y) the nature of such Investment. Except as disclosed in </w:t>
      </w:r>
      <w:r>
        <w:rPr>
          <w:rFonts w:ascii="Arial" w:cs="Arial" w:eastAsia="Arial" w:hAnsi="Arial"/>
          <w:sz w:val="17"/>
          <w:szCs w:val="17"/>
          <w:u w:val="single" w:color="auto"/>
          <w:color w:val="auto"/>
        </w:rPr>
        <w:t>Schedule 3.12</w:t>
      </w:r>
      <w:r>
        <w:rPr>
          <w:rFonts w:ascii="Arial" w:cs="Arial" w:eastAsia="Arial" w:hAnsi="Arial"/>
          <w:sz w:val="17"/>
          <w:szCs w:val="17"/>
          <w:color w:val="auto"/>
        </w:rPr>
        <w:t>, each of the Borrower and any of the Subsidiary Guarantors owned, free and clear of all Liens (other than Liens created pursuant to this Agreement or the Security Documents and Permitted Liens), all such Investments as of such date.</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Properties</w:t>
      </w:r>
      <w:r>
        <w:rPr>
          <w:rFonts w:ascii="Arial" w:cs="Arial" w:eastAsia="Arial" w:hAnsi="Arial"/>
          <w:sz w:val="18"/>
          <w:szCs w:val="18"/>
          <w:color w:val="auto"/>
        </w:rPr>
        <w:t>.</w:t>
      </w:r>
    </w:p>
    <w:p>
      <w:pPr>
        <w:spacing w:after="0" w:line="117" w:lineRule="exact"/>
        <w:rPr>
          <w:sz w:val="20"/>
          <w:szCs w:val="20"/>
          <w:color w:val="auto"/>
        </w:rPr>
      </w:pPr>
    </w:p>
    <w:p>
      <w:pPr>
        <w:ind w:right="140" w:firstLine="921"/>
        <w:spacing w:after="0" w:line="264" w:lineRule="auto"/>
        <w:tabs>
          <w:tab w:leader="none" w:pos="1157"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Title Generally</w:t>
      </w:r>
      <w:r>
        <w:rPr>
          <w:rFonts w:ascii="Arial" w:cs="Arial" w:eastAsia="Arial" w:hAnsi="Arial"/>
          <w:sz w:val="18"/>
          <w:szCs w:val="18"/>
          <w:color w:val="auto"/>
        </w:rPr>
        <w:t>. Each of the Borrower and the Subsidiary Guarantors has good title to, or valid leasehold interests in, all its real and personal property material to its business, except for minor defects in title that do not interfere with its ability to conduct its business as currently conducted or to utilize such properties for their intended purposes.</w:t>
      </w:r>
    </w:p>
    <w:p>
      <w:pPr>
        <w:spacing w:after="0" w:line="73" w:lineRule="exact"/>
        <w:rPr>
          <w:rFonts w:ascii="Arial" w:cs="Arial" w:eastAsia="Arial" w:hAnsi="Arial"/>
          <w:sz w:val="18"/>
          <w:szCs w:val="18"/>
          <w:color w:val="auto"/>
        </w:rPr>
      </w:pPr>
    </w:p>
    <w:p>
      <w:pPr>
        <w:ind w:right="220" w:firstLine="921"/>
        <w:spacing w:after="0" w:line="259" w:lineRule="auto"/>
        <w:tabs>
          <w:tab w:leader="none" w:pos="1168"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Intellectual Property</w:t>
      </w:r>
      <w:r>
        <w:rPr>
          <w:rFonts w:ascii="Arial" w:cs="Arial" w:eastAsia="Arial" w:hAnsi="Arial"/>
          <w:sz w:val="18"/>
          <w:szCs w:val="18"/>
          <w:color w:val="auto"/>
        </w:rPr>
        <w:t>. Each of the Borrower and its Subsidiaries (other than any Financing Subsidiary) owns, or is licensed to use, all trademarks, tradenames, copyrights, patents and other intellectual property material to its business, and the use thereof by the Borrower and its Subsidiaries (other than any Financing Subsidiary) does not infringe upon the rights of any other Person, except for any such infringements that, individually or in the aggregate, could not reasonably be expected to result in a Material Adverse Effect.</w:t>
      </w:r>
    </w:p>
    <w:p>
      <w:pPr>
        <w:spacing w:after="0" w:line="187" w:lineRule="exact"/>
        <w:rPr>
          <w:sz w:val="20"/>
          <w:szCs w:val="20"/>
          <w:color w:val="auto"/>
        </w:rPr>
      </w:pPr>
    </w:p>
    <w:p>
      <w:pPr>
        <w:ind w:right="80" w:firstLine="913"/>
        <w:spacing w:after="0" w:line="286" w:lineRule="auto"/>
        <w:rPr>
          <w:sz w:val="20"/>
          <w:szCs w:val="20"/>
          <w:color w:val="auto"/>
        </w:rPr>
      </w:pPr>
      <w:r>
        <w:rPr>
          <w:rFonts w:ascii="Arial" w:cs="Arial" w:eastAsia="Arial" w:hAnsi="Arial"/>
          <w:sz w:val="17"/>
          <w:szCs w:val="17"/>
          <w:color w:val="auto"/>
        </w:rPr>
        <w:t xml:space="preserve">SECTION 3.14. </w:t>
      </w:r>
      <w:r>
        <w:rPr>
          <w:rFonts w:ascii="Arial" w:cs="Arial" w:eastAsia="Arial" w:hAnsi="Arial"/>
          <w:sz w:val="17"/>
          <w:szCs w:val="17"/>
          <w:u w:val="single" w:color="auto"/>
          <w:color w:val="auto"/>
        </w:rPr>
        <w:t>Affiliate Agreements</w:t>
      </w:r>
      <w:r>
        <w:rPr>
          <w:rFonts w:ascii="Arial" w:cs="Arial" w:eastAsia="Arial" w:hAnsi="Arial"/>
          <w:sz w:val="17"/>
          <w:szCs w:val="17"/>
          <w:color w:val="auto"/>
        </w:rPr>
        <w:t>. As of the Original Effective Date, the Borrower has heretofore delivered to the Administrative Agent true and complete copies of each of the Affiliate Agreements (including and schedules and exhibits thereto, and any amendments, supplements or waivers executed and delivered thereunder). As of the Original Effective Date, each of the Affiliate Agreements was in full force and effect.</w:t>
      </w:r>
    </w:p>
    <w:p>
      <w:pPr>
        <w:spacing w:after="0" w:line="98"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58" w:name="page159"/>
    <w:bookmarkEnd w:id="158"/>
    <w:p>
      <w:pPr>
        <w:ind w:right="60" w:firstLine="913"/>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3.15. </w:t>
      </w:r>
      <w:r>
        <w:rPr>
          <w:rFonts w:ascii="Arial" w:cs="Arial" w:eastAsia="Arial" w:hAnsi="Arial"/>
          <w:sz w:val="16"/>
          <w:szCs w:val="16"/>
          <w:u w:val="single" w:color="auto"/>
          <w:color w:val="auto"/>
        </w:rPr>
        <w:t>Sanctions</w:t>
      </w:r>
      <w:r>
        <w:rPr>
          <w:rFonts w:ascii="Arial" w:cs="Arial" w:eastAsia="Arial" w:hAnsi="Arial"/>
          <w:sz w:val="16"/>
          <w:szCs w:val="16"/>
          <w:color w:val="auto"/>
        </w:rPr>
        <w:t>. None of the Borrower or any of its Subsidiaries nor, to the knowledge of the Borrower, any of their respective directors, officers or authorized signors, (a) is a person whose property or interest in property is blocked or subject to blocking pursuant to Section 1 of Executive Order 13224 of September 23, 2001 Blocking Property and Prohibiting Transactions With Persons Who Commit, Threaten to Commit, or Support Terrorism (66 Fed. Reg. 49079 (2001)), (b) engages in any dealings or transactions prohibited by Section 2 of such executive order, or is otherwise associated with any such person in any manner violative of Section 2 of such executive order, (c) is a person on the list of Specially Designated Nationals and Blocked Persons or subject to, or the subject of, the limitations or prohibitions (collectively “</w:t>
      </w:r>
      <w:r>
        <w:rPr>
          <w:rFonts w:ascii="Arial" w:cs="Arial" w:eastAsia="Arial" w:hAnsi="Arial"/>
          <w:sz w:val="16"/>
          <w:szCs w:val="16"/>
          <w:u w:val="single" w:color="auto"/>
          <w:color w:val="auto"/>
        </w:rPr>
        <w:t>Sanctions</w:t>
      </w:r>
      <w:r>
        <w:rPr>
          <w:rFonts w:ascii="Arial" w:cs="Arial" w:eastAsia="Arial" w:hAnsi="Arial"/>
          <w:sz w:val="16"/>
          <w:szCs w:val="16"/>
          <w:color w:val="auto"/>
        </w:rPr>
        <w:t>”) under (A) any other U.S. Department of Treasury’s Office of Foreign Assets Control or U.S. Department of State regulation or executive order or (B) any international economic sanction administered or enforced by the United Nations Security Counsel, Her Majesty’s Treasury or the European Union or (d) is located, organized or resident in a Sanctioned Country.</w:t>
      </w:r>
    </w:p>
    <w:p>
      <w:pPr>
        <w:spacing w:after="0" w:line="166" w:lineRule="exact"/>
        <w:rPr>
          <w:sz w:val="20"/>
          <w:szCs w:val="20"/>
          <w:color w:val="auto"/>
        </w:rPr>
      </w:pPr>
    </w:p>
    <w:p>
      <w:pPr>
        <w:ind w:right="240" w:firstLine="913"/>
        <w:spacing w:after="0" w:line="286" w:lineRule="auto"/>
        <w:rPr>
          <w:sz w:val="20"/>
          <w:szCs w:val="20"/>
          <w:color w:val="auto"/>
        </w:rPr>
      </w:pPr>
      <w:r>
        <w:rPr>
          <w:rFonts w:ascii="Arial" w:cs="Arial" w:eastAsia="Arial" w:hAnsi="Arial"/>
          <w:sz w:val="16"/>
          <w:szCs w:val="16"/>
          <w:color w:val="auto"/>
        </w:rPr>
        <w:t xml:space="preserve">SECTION 3.16. </w:t>
      </w:r>
      <w:r>
        <w:rPr>
          <w:rFonts w:ascii="Arial" w:cs="Arial" w:eastAsia="Arial" w:hAnsi="Arial"/>
          <w:sz w:val="16"/>
          <w:szCs w:val="16"/>
          <w:u w:val="single" w:color="auto"/>
          <w:color w:val="auto"/>
        </w:rPr>
        <w:t>Patriot Act</w:t>
      </w:r>
      <w:r>
        <w:rPr>
          <w:rFonts w:ascii="Arial" w:cs="Arial" w:eastAsia="Arial" w:hAnsi="Arial"/>
          <w:sz w:val="16"/>
          <w:szCs w:val="16"/>
          <w:color w:val="auto"/>
        </w:rPr>
        <w:t>. Each of the Borrower and its Subsidiaries is in compliance with (a) the Trading with the Enemy Act, as amended, and each of the foreign assets control regulations of the United States Treasury Department (31 CFR, Subtitle B, Chapter V, as amended) and any other enabling legislation or executive order relating thereto, and (b) the Uniting And Strengthening America By Providing Appropriate Tools Required To Intercept And Obstruct Terrorism (USA Patriot Act of 2001). No part of the proceeds of the Loans will be used, directly or indirectly, for any payments to</w:t>
      </w:r>
    </w:p>
    <w:p>
      <w:pPr>
        <w:spacing w:after="0" w:line="2" w:lineRule="exact"/>
        <w:rPr>
          <w:sz w:val="20"/>
          <w:szCs w:val="20"/>
          <w:color w:val="auto"/>
        </w:rPr>
      </w:pPr>
    </w:p>
    <w:p>
      <w:pPr>
        <w:ind w:right="40" w:firstLine="8"/>
        <w:spacing w:after="0" w:line="252" w:lineRule="auto"/>
        <w:tabs>
          <w:tab w:leader="none" w:pos="21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governmental official or employee, political party, official of a political party, candidate for political office, or anyone else acting in an official capacity, in order to obtain, retain or direct business or obtain any improper advantage, all in violation by the Borrower or its Subsidiaries of the United States Foreign Corrupt Practices Act of 1977, as amended, or in material violation of regulation implementing the OECD Convention on Combating Bribery of Foreign Public Officials in International Business Transactions (collectively, the “</w:t>
      </w:r>
      <w:r>
        <w:rPr>
          <w:rFonts w:ascii="Arial" w:cs="Arial" w:eastAsia="Arial" w:hAnsi="Arial"/>
          <w:sz w:val="18"/>
          <w:szCs w:val="18"/>
          <w:u w:val="single" w:color="auto"/>
          <w:color w:val="auto"/>
        </w:rPr>
        <w:t>Anti-Corruption Laws</w:t>
      </w:r>
      <w:r>
        <w:rPr>
          <w:rFonts w:ascii="Arial" w:cs="Arial" w:eastAsia="Arial" w:hAnsi="Arial"/>
          <w:sz w:val="18"/>
          <w:szCs w:val="18"/>
          <w:color w:val="auto"/>
        </w:rPr>
        <w:t>”) or (ii) any Person for the purpose of financing the activities of any Person, at the time of such financing (A) subject to, or the subject of, any Sanctions or (B) organized or resident in a Sanctioned Country, in each case as would result in a violation of Sanctions.</w:t>
      </w:r>
    </w:p>
    <w:p>
      <w:pPr>
        <w:spacing w:after="0" w:line="194"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 xml:space="preserve">SECTION 3.17. </w:t>
      </w:r>
      <w:r>
        <w:rPr>
          <w:rFonts w:ascii="Arial" w:cs="Arial" w:eastAsia="Arial" w:hAnsi="Arial"/>
          <w:sz w:val="18"/>
          <w:szCs w:val="18"/>
          <w:u w:val="single" w:color="auto"/>
          <w:color w:val="auto"/>
        </w:rPr>
        <w:t>Collateral Documents</w:t>
      </w:r>
      <w:r>
        <w:rPr>
          <w:rFonts w:ascii="Arial" w:cs="Arial" w:eastAsia="Arial" w:hAnsi="Arial"/>
          <w:sz w:val="18"/>
          <w:szCs w:val="18"/>
          <w:color w:val="auto"/>
        </w:rPr>
        <w:t xml:space="preserve">. The provisions of the Security Documents are effective to create in favor of the Collateral Agent a legal, valid and enforceable first priority Lien (subject to Liens permitted by </w:t>
      </w:r>
      <w:r>
        <w:rPr>
          <w:rFonts w:ascii="Arial" w:cs="Arial" w:eastAsia="Arial" w:hAnsi="Arial"/>
          <w:sz w:val="18"/>
          <w:szCs w:val="18"/>
          <w:u w:val="single" w:color="auto"/>
          <w:color w:val="auto"/>
        </w:rPr>
        <w:t>Section 6.02</w:t>
      </w:r>
      <w:r>
        <w:rPr>
          <w:rFonts w:ascii="Arial" w:cs="Arial" w:eastAsia="Arial" w:hAnsi="Arial"/>
          <w:sz w:val="18"/>
          <w:szCs w:val="18"/>
          <w:color w:val="auto"/>
        </w:rPr>
        <w:t>) on all right, title and interest of the Borrower and each Subsidiary Guarantor in the Collateral described therein. Except for filings completed prior to the Effective Date and as contemplated hereby and by the Security Documents, no filing or other action will be necessary to perfect such Liens.</w:t>
      </w:r>
    </w:p>
    <w:p>
      <w:pPr>
        <w:spacing w:after="0" w:line="119"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59" w:name="page160"/>
    <w:bookmarkEnd w:id="15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CONDITIONS</w:t>
      </w:r>
    </w:p>
    <w:p>
      <w:pPr>
        <w:spacing w:after="0" w:line="225"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The effectiveness of this Agreement and of the obligations of the Lenders to make Loans and of the Issuing Bank to issue Letters of Credit hereunder shall not become effective until completion of each of the following conditions precedent (unless a condition shall have been waived in accordance with </w:t>
      </w:r>
      <w:r>
        <w:rPr>
          <w:rFonts w:ascii="Arial" w:cs="Arial" w:eastAsia="Arial" w:hAnsi="Arial"/>
          <w:sz w:val="18"/>
          <w:szCs w:val="18"/>
          <w:u w:val="single" w:color="auto"/>
          <w:color w:val="auto"/>
        </w:rPr>
        <w:t>Section 9.02</w:t>
      </w:r>
      <w:r>
        <w:rPr>
          <w:rFonts w:ascii="Arial" w:cs="Arial" w:eastAsia="Arial" w:hAnsi="Arial"/>
          <w:sz w:val="18"/>
          <w:szCs w:val="18"/>
          <w:color w:val="auto"/>
        </w:rPr>
        <w:t>):</w:t>
      </w:r>
    </w:p>
    <w:p>
      <w:pPr>
        <w:spacing w:after="0" w:line="73" w:lineRule="exact"/>
        <w:rPr>
          <w:sz w:val="20"/>
          <w:szCs w:val="20"/>
          <w:color w:val="auto"/>
        </w:rPr>
      </w:pPr>
    </w:p>
    <w:p>
      <w:pPr>
        <w:ind w:left="460" w:right="940" w:firstLine="443"/>
        <w:spacing w:after="0" w:line="277" w:lineRule="auto"/>
        <w:tabs>
          <w:tab w:leader="none" w:pos="1143"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Documents</w:t>
      </w:r>
      <w:r>
        <w:rPr>
          <w:rFonts w:ascii="Arial" w:cs="Arial" w:eastAsia="Arial" w:hAnsi="Arial"/>
          <w:sz w:val="18"/>
          <w:szCs w:val="18"/>
          <w:color w:val="auto"/>
        </w:rPr>
        <w:t>. Administrative Agent shall have received each of the following documents, each of which shall be satisfactory to the Administrative Agent (and to the extent specified below to each Lender) in form and substance:</w:t>
      </w:r>
    </w:p>
    <w:p>
      <w:pPr>
        <w:spacing w:after="0" w:line="62" w:lineRule="exact"/>
        <w:rPr>
          <w:sz w:val="20"/>
          <w:szCs w:val="20"/>
          <w:color w:val="auto"/>
        </w:rPr>
      </w:pPr>
    </w:p>
    <w:p>
      <w:pPr>
        <w:ind w:left="460" w:right="280" w:firstLine="443"/>
        <w:spacing w:after="0" w:line="264" w:lineRule="auto"/>
        <w:tabs>
          <w:tab w:leader="none" w:pos="1113"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Executed Counterparts</w:t>
      </w:r>
      <w:r>
        <w:rPr>
          <w:rFonts w:ascii="Arial" w:cs="Arial" w:eastAsia="Arial" w:hAnsi="Arial"/>
          <w:sz w:val="18"/>
          <w:szCs w:val="18"/>
          <w:color w:val="auto"/>
        </w:rPr>
        <w:t>. From each party hereto either (i) a counterpart of this Agreement signed on behalf of such party or (ii) written evidence satisfactory to the Administrative Agent (which may include telecopy transmission of a signed signature page to this Agreement) that such party has signed a counterpart of this Agreement.</w:t>
      </w:r>
    </w:p>
    <w:p>
      <w:pPr>
        <w:spacing w:after="0" w:line="73" w:lineRule="exact"/>
        <w:rPr>
          <w:rFonts w:ascii="Arial" w:cs="Arial" w:eastAsia="Arial" w:hAnsi="Arial"/>
          <w:sz w:val="18"/>
          <w:szCs w:val="18"/>
          <w:color w:val="auto"/>
        </w:rPr>
      </w:pPr>
    </w:p>
    <w:p>
      <w:pPr>
        <w:ind w:left="460" w:right="140" w:firstLine="443"/>
        <w:spacing w:after="0" w:line="257" w:lineRule="auto"/>
        <w:tabs>
          <w:tab w:leader="none" w:pos="1163"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Opinion of Counsel to the Borrower</w:t>
      </w:r>
      <w:r>
        <w:rPr>
          <w:rFonts w:ascii="Arial" w:cs="Arial" w:eastAsia="Arial" w:hAnsi="Arial"/>
          <w:sz w:val="18"/>
          <w:szCs w:val="18"/>
          <w:color w:val="auto"/>
        </w:rPr>
        <w:t>. A favorable written opinion (addressed to the Administrative Agent and the Lenders and dated the Effective Date) of (A) Cleary Gottlieb Steen &amp; Hamilton LLP, New York counsel for the Borrower and the Subsidiary Guarantors and (B) Young Conaway Stargatt &amp; Taylor, LLP, Delaware counsel for the Borrower and the Subsidiary Guarantors, in each case, in form and substance reasonably acceptable to the Administrative Agent (and the Borrower hereby instructs such counsel to deliver such opinion to the Lenders and the Administrative Agent).</w:t>
      </w:r>
    </w:p>
    <w:p>
      <w:pPr>
        <w:spacing w:after="0" w:line="80" w:lineRule="exact"/>
        <w:rPr>
          <w:rFonts w:ascii="Arial" w:cs="Arial" w:eastAsia="Arial" w:hAnsi="Arial"/>
          <w:sz w:val="18"/>
          <w:szCs w:val="18"/>
          <w:color w:val="auto"/>
        </w:rPr>
      </w:pPr>
    </w:p>
    <w:p>
      <w:pPr>
        <w:ind w:left="460" w:right="220" w:firstLine="443"/>
        <w:spacing w:after="0" w:line="286" w:lineRule="auto"/>
        <w:tabs>
          <w:tab w:leader="none" w:pos="1213" w:val="left"/>
        </w:tabs>
        <w:numPr>
          <w:ilvl w:val="0"/>
          <w:numId w:val="147"/>
        </w:numPr>
        <w:rPr>
          <w:rFonts w:ascii="Arial" w:cs="Arial" w:eastAsia="Arial" w:hAnsi="Arial"/>
          <w:sz w:val="17"/>
          <w:szCs w:val="17"/>
          <w:color w:val="auto"/>
        </w:rPr>
      </w:pPr>
      <w:r>
        <w:rPr>
          <w:rFonts w:ascii="Arial" w:cs="Arial" w:eastAsia="Arial" w:hAnsi="Arial"/>
          <w:sz w:val="17"/>
          <w:szCs w:val="17"/>
          <w:u w:val="single" w:color="auto"/>
          <w:color w:val="auto"/>
        </w:rPr>
        <w:t>Corporate Documents</w:t>
      </w:r>
      <w:r>
        <w:rPr>
          <w:rFonts w:ascii="Arial" w:cs="Arial" w:eastAsia="Arial" w:hAnsi="Arial"/>
          <w:sz w:val="17"/>
          <w:szCs w:val="17"/>
          <w:color w:val="auto"/>
        </w:rPr>
        <w:t>. Such documents and certificates as the Administrative Agent or its counsel may reasonably request relating to the organization, existence and good standing of the Borrower, the authorization of the Transactions and any other legal matters relating to the Borrower, this Agreement or the Transactions, all in form and substance satisfactory to the Administrative Agent and its counsel.</w:t>
      </w:r>
    </w:p>
    <w:p>
      <w:pPr>
        <w:spacing w:after="0" w:line="57" w:lineRule="exact"/>
        <w:rPr>
          <w:rFonts w:ascii="Arial" w:cs="Arial" w:eastAsia="Arial" w:hAnsi="Arial"/>
          <w:sz w:val="17"/>
          <w:szCs w:val="17"/>
          <w:color w:val="auto"/>
        </w:rPr>
      </w:pPr>
    </w:p>
    <w:p>
      <w:pPr>
        <w:ind w:left="460" w:right="280" w:firstLine="443"/>
        <w:spacing w:after="0" w:line="342" w:lineRule="auto"/>
        <w:tabs>
          <w:tab w:leader="none" w:pos="1203"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Officer’s Certificate</w:t>
      </w:r>
      <w:r>
        <w:rPr>
          <w:rFonts w:ascii="Arial" w:cs="Arial" w:eastAsia="Arial" w:hAnsi="Arial"/>
          <w:sz w:val="16"/>
          <w:szCs w:val="16"/>
          <w:color w:val="auto"/>
        </w:rPr>
        <w:t xml:space="preserve">. A certificate, dated the Effective Date and signed by the President, the Chief Executive Officer, a Vice President or a Financial Officer of the Borrower, confirming compliance with the conditions set forth in the lettered clauses of the first sentence of </w:t>
      </w:r>
      <w:r>
        <w:rPr>
          <w:rFonts w:ascii="Arial" w:cs="Arial" w:eastAsia="Arial" w:hAnsi="Arial"/>
          <w:sz w:val="16"/>
          <w:szCs w:val="16"/>
          <w:u w:val="single" w:color="auto"/>
          <w:color w:val="auto"/>
        </w:rPr>
        <w:t>Section 4.02</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ind w:right="80" w:firstLine="921"/>
        <w:spacing w:after="0" w:line="342" w:lineRule="auto"/>
        <w:tabs>
          <w:tab w:leader="none" w:pos="1168" w:val="left"/>
        </w:tabs>
        <w:numPr>
          <w:ilvl w:val="1"/>
          <w:numId w:val="147"/>
        </w:numPr>
        <w:rPr>
          <w:rFonts w:ascii="Arial" w:cs="Arial" w:eastAsia="Arial" w:hAnsi="Arial"/>
          <w:sz w:val="16"/>
          <w:szCs w:val="16"/>
          <w:color w:val="auto"/>
        </w:rPr>
      </w:pPr>
      <w:r>
        <w:rPr>
          <w:rFonts w:ascii="Arial" w:cs="Arial" w:eastAsia="Arial" w:hAnsi="Arial"/>
          <w:sz w:val="16"/>
          <w:szCs w:val="16"/>
          <w:u w:val="single" w:color="auto"/>
          <w:color w:val="auto"/>
        </w:rPr>
        <w:t>Fees and Expenses</w:t>
      </w:r>
      <w:r>
        <w:rPr>
          <w:rFonts w:ascii="Arial" w:cs="Arial" w:eastAsia="Arial" w:hAnsi="Arial"/>
          <w:sz w:val="16"/>
          <w:szCs w:val="16"/>
          <w:color w:val="auto"/>
        </w:rPr>
        <w:t>. Confirmation of receipt by the Administrative Agent, for the benefit of the Lenders, of the fees required to be paid by the Borrower pursuant to that certain fee letter, dated as of the date hereof, among the Borrower, the Administrative Agent and the other parties thereto.</w:t>
      </w:r>
    </w:p>
    <w:p>
      <w:pPr>
        <w:spacing w:after="0" w:line="124"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Each Credit Event</w:t>
      </w:r>
      <w:r>
        <w:rPr>
          <w:rFonts w:ascii="Arial" w:cs="Arial" w:eastAsia="Arial" w:hAnsi="Arial"/>
          <w:sz w:val="18"/>
          <w:szCs w:val="18"/>
          <w:color w:val="auto"/>
        </w:rPr>
        <w:t>. The obligation of each Lender to make any Loan, and of the Issuing Bank to issue, amend, renew or extend any Letter of Credit, is additionally subject to the satisfaction of the following conditions:</w:t>
      </w:r>
    </w:p>
    <w:p>
      <w:pPr>
        <w:spacing w:after="0" w:line="103"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60" w:name="page161"/>
    <w:bookmarkEnd w:id="160"/>
    <w:p>
      <w:pPr>
        <w:ind w:right="220" w:firstLine="921"/>
        <w:spacing w:after="0" w:line="259" w:lineRule="auto"/>
        <w:tabs>
          <w:tab w:leader="none" w:pos="1158" w:val="left"/>
        </w:tabs>
        <w:numPr>
          <w:ilvl w:val="0"/>
          <w:numId w:val="1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representations and warranties of the Borrower set forth in this Agreement and in the other Loan Documents shall be true and correct in all material respects (or, in the case of any portion of any representations and warranties already subject to a materiality qualifier, true and correct in all respects) on and as of the date of such Loan or the date of issuance, amendment, renewal or extension of such Letter of Credit, as applicable, or, as to any such representation or warranty that refers to a specific date, as of such specific date;</w:t>
      </w:r>
    </w:p>
    <w:p>
      <w:pPr>
        <w:spacing w:after="0" w:line="78" w:lineRule="exact"/>
        <w:rPr>
          <w:rFonts w:ascii="Arial" w:cs="Arial" w:eastAsia="Arial" w:hAnsi="Arial"/>
          <w:sz w:val="18"/>
          <w:szCs w:val="18"/>
          <w:color w:val="auto"/>
        </w:rPr>
      </w:pPr>
    </w:p>
    <w:p>
      <w:pPr>
        <w:ind w:right="120" w:firstLine="921"/>
        <w:spacing w:after="0" w:line="277" w:lineRule="auto"/>
        <w:tabs>
          <w:tab w:leader="none" w:pos="116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at the time of and immediately after giving effect to such Loan or the issuance, amendment, renewal or extension of such Letter of Credit, as applicable, no Default shall have occurred and be continuing; and</w:t>
      </w:r>
    </w:p>
    <w:p>
      <w:pPr>
        <w:spacing w:after="0" w:line="62" w:lineRule="exact"/>
        <w:rPr>
          <w:rFonts w:ascii="Arial" w:cs="Arial" w:eastAsia="Arial" w:hAnsi="Arial"/>
          <w:sz w:val="18"/>
          <w:szCs w:val="18"/>
          <w:color w:val="auto"/>
        </w:rPr>
      </w:pPr>
    </w:p>
    <w:p>
      <w:pPr>
        <w:ind w:right="160" w:firstLine="921"/>
        <w:spacing w:after="0" w:line="257" w:lineRule="auto"/>
        <w:tabs>
          <w:tab w:leader="none" w:pos="115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either (i) the aggregate Covered Debt Amount (after giving effect to such extension of credit) shall not exceed the Borrowing Base reflected on the Borrowing Base Certificate most recently delivered to the Administrative Agent or (ii) the Borrower shall have delivered an updated Borrowing Base Certificate demonstrating that the Covered Debt Amount (after giving effect to such extension of credit) shall not exceed the Borrowing Base after giving effect to such extension of credit as well as any concurrent acquisitions of Portfolio Investments or payment of outstanding Loans or Other Covered Indebtedness.</w:t>
      </w:r>
    </w:p>
    <w:p>
      <w:pPr>
        <w:spacing w:after="0" w:line="188"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Each Borrowing and each issuance, amendment, renewal or extension of a Letter of Credit shall be deemed to constitute a representation and warranty by the Borrower on the date thereof as to the matters specified in the preceding sentence.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AFFIRMATIVE COVENANTS</w:t>
      </w:r>
    </w:p>
    <w:p>
      <w:pPr>
        <w:spacing w:after="0" w:line="225" w:lineRule="exact"/>
        <w:rPr>
          <w:sz w:val="20"/>
          <w:szCs w:val="20"/>
          <w:color w:val="auto"/>
        </w:rPr>
      </w:pPr>
    </w:p>
    <w:p>
      <w:pPr>
        <w:jc w:val="both"/>
        <w:ind w:right="80" w:firstLine="913"/>
        <w:spacing w:after="0" w:line="264" w:lineRule="auto"/>
        <w:rPr>
          <w:sz w:val="20"/>
          <w:szCs w:val="20"/>
          <w:color w:val="auto"/>
        </w:rPr>
      </w:pPr>
      <w:r>
        <w:rPr>
          <w:rFonts w:ascii="Arial" w:cs="Arial" w:eastAsia="Arial" w:hAnsi="Arial"/>
          <w:sz w:val="18"/>
          <w:szCs w:val="18"/>
          <w:color w:val="auto"/>
        </w:rPr>
        <w:t>Until the Commitments have expired or been terminated and the principal of and interest on each Loan and all fees payable hereunder shall have been paid in full and all Letters of Credit shall have expired, been terminated, Cash Collateralized or backstopped and all LC Disbursements shall have been reimbursed, the Borrower covenants and agrees with the Lenders that: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u w:val="single" w:color="auto"/>
          <w:color w:val="auto"/>
        </w:rPr>
        <w:t>Financial Statements and Other Information</w:t>
      </w:r>
      <w:r>
        <w:rPr>
          <w:rFonts w:ascii="Arial" w:cs="Arial" w:eastAsia="Arial" w:hAnsi="Arial"/>
          <w:sz w:val="17"/>
          <w:szCs w:val="17"/>
          <w:color w:val="auto"/>
        </w:rPr>
        <w:t>. The Borrower will furnish to the Administrative Agent and each Lender:</w:t>
      </w:r>
    </w:p>
    <w:p>
      <w:pPr>
        <w:spacing w:after="0" w:line="129" w:lineRule="exact"/>
        <w:rPr>
          <w:sz w:val="20"/>
          <w:szCs w:val="20"/>
          <w:color w:val="auto"/>
        </w:rPr>
      </w:pPr>
    </w:p>
    <w:p>
      <w:pPr>
        <w:ind w:right="20" w:firstLine="921"/>
        <w:spacing w:after="0" w:line="293" w:lineRule="auto"/>
        <w:tabs>
          <w:tab w:leader="none" w:pos="1158" w:val="left"/>
        </w:tabs>
        <w:numPr>
          <w:ilvl w:val="0"/>
          <w:numId w:val="149"/>
        </w:numPr>
        <w:rPr>
          <w:rFonts w:ascii="Arial" w:cs="Arial" w:eastAsia="Arial" w:hAnsi="Arial"/>
          <w:sz w:val="16"/>
          <w:szCs w:val="16"/>
          <w:color w:val="auto"/>
        </w:rPr>
      </w:pPr>
      <w:r>
        <w:rPr>
          <w:rFonts w:ascii="Arial" w:cs="Arial" w:eastAsia="Arial" w:hAnsi="Arial"/>
          <w:sz w:val="16"/>
          <w:szCs w:val="16"/>
          <w:color w:val="auto"/>
        </w:rPr>
        <w:t xml:space="preserve">within 90 days after the end of each fiscal year of the Borrower, the audited consolidated balance sheet and statement of operations, changes in net assets and cash flows of the Borrower and its Subsidiaries as of the end of and for such year, setting forth in each case in comparative form the figures for the previous fiscal year, all reported on by KPMG or other independent public accountants of recognized national standing to the effect that such consolidated financial statements present fairly in all material respects the financial condition and results of operations of the Borrower and its Subsidiaries on a consolidated basis in accordance with GAAP consistently applied;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requirements set forth in this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may be fulfilled by providing to the Administrative Agent and the Lenders the report of the Borrower to the SEC on Form 10-K for the applicable fiscal year;</w:t>
      </w:r>
    </w:p>
    <w:p>
      <w:pPr>
        <w:spacing w:after="0" w:line="97"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61" w:name="page162"/>
    <w:bookmarkEnd w:id="161"/>
    <w:p>
      <w:pPr>
        <w:ind w:left="-8" w:right="140" w:firstLine="921"/>
        <w:spacing w:after="0" w:line="254" w:lineRule="auto"/>
        <w:tabs>
          <w:tab w:leader="none" w:pos="1160" w:val="left"/>
        </w:tabs>
        <w:numPr>
          <w:ilvl w:val="1"/>
          <w:numId w:val="1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within 45 days after the end of each of the first three fiscal quarters of each fiscal year of the Borrower, the consolidated balance sheet and statement of operations, changes in net assets and cash flows of the Borrower and its Subsidiaries as of the end of and for such fiscal quarter and the then elapsed portion of the fiscal year, setting forth in each case in comparative form the figures for (or, in the case of the statements of assets and liabilities, operations, changes in net assets and cash flows, as of the end of) the corresponding period or periods of the previous fiscal year, all certified by a Financial Officer of the Borrower as presenting fairly in all material respects the financial condition and results of operations of the Borrower and its Subsidiaries on a consolidated basis in accordance with GAAP consistently applied, subject to normal year-end audit adjustments and the absence of footnotes;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requirements set forth in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may be fulfilled by providing to the Lenders the report of the Borrower to the SEC on Form 10-Q for the applicable quarterly period;</w:t>
      </w:r>
    </w:p>
    <w:p>
      <w:pPr>
        <w:spacing w:after="0" w:line="84" w:lineRule="exact"/>
        <w:rPr>
          <w:rFonts w:ascii="Arial" w:cs="Arial" w:eastAsia="Arial" w:hAnsi="Arial"/>
          <w:sz w:val="18"/>
          <w:szCs w:val="18"/>
          <w:color w:val="auto"/>
        </w:rPr>
      </w:pPr>
    </w:p>
    <w:p>
      <w:pPr>
        <w:ind w:left="-8" w:right="80" w:firstLine="921"/>
        <w:spacing w:after="0" w:line="291" w:lineRule="auto"/>
        <w:tabs>
          <w:tab w:leader="none" w:pos="1150" w:val="left"/>
        </w:tabs>
        <w:numPr>
          <w:ilvl w:val="1"/>
          <w:numId w:val="150"/>
        </w:numPr>
        <w:rPr>
          <w:rFonts w:ascii="Arial" w:cs="Arial" w:eastAsia="Arial" w:hAnsi="Arial"/>
          <w:sz w:val="16"/>
          <w:szCs w:val="16"/>
          <w:color w:val="auto"/>
        </w:rPr>
      </w:pPr>
      <w:r>
        <w:rPr>
          <w:rFonts w:ascii="Arial" w:cs="Arial" w:eastAsia="Arial" w:hAnsi="Arial"/>
          <w:sz w:val="16"/>
          <w:szCs w:val="16"/>
          <w:color w:val="auto"/>
        </w:rPr>
        <w:t xml:space="preserve">concurrently with any delivery of financial statements under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Section, a certificate of a Financial Officer of the Borrower (i) certifying that such statements are consistent with the financial statements filed by the Borrower with the Securities and Exchange Commission,</w:t>
      </w:r>
    </w:p>
    <w:p>
      <w:pPr>
        <w:ind w:left="-8" w:right="260" w:firstLine="8"/>
        <w:spacing w:after="0" w:line="253" w:lineRule="auto"/>
        <w:tabs>
          <w:tab w:leader="none" w:pos="25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certifying as to whether the Borrower has knowledge that a Default has occurred during the applicable period and, if a Default has occurred, specifying the details thereof and any action taken or proposed to be taken with respect thereto, (iii) setting forth reasonably detailed calculations demonstrating compliance with </w:t>
      </w:r>
      <w:r>
        <w:rPr>
          <w:rFonts w:ascii="Arial" w:cs="Arial" w:eastAsia="Arial" w:hAnsi="Arial"/>
          <w:sz w:val="18"/>
          <w:szCs w:val="18"/>
          <w:u w:val="single" w:color="auto"/>
          <w:color w:val="auto"/>
        </w:rPr>
        <w:t>Sections 6.01</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w:t>
      </w:r>
      <w:r>
        <w:rPr>
          <w:rFonts w:ascii="Arial" w:cs="Arial" w:eastAsia="Arial" w:hAnsi="Arial"/>
          <w:sz w:val="18"/>
          <w:szCs w:val="18"/>
          <w:color w:val="auto"/>
        </w:rPr>
        <w:t xml:space="preserve">, </w:t>
      </w:r>
      <w:r>
        <w:rPr>
          <w:rFonts w:ascii="Arial" w:cs="Arial" w:eastAsia="Arial" w:hAnsi="Arial"/>
          <w:sz w:val="18"/>
          <w:szCs w:val="18"/>
          <w:u w:val="single" w:color="auto"/>
          <w:color w:val="auto"/>
        </w:rPr>
        <w:t>6.04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6.07</w:t>
      </w:r>
      <w:r>
        <w:rPr>
          <w:rFonts w:ascii="Arial" w:cs="Arial" w:eastAsia="Arial" w:hAnsi="Arial"/>
          <w:sz w:val="18"/>
          <w:szCs w:val="18"/>
          <w:color w:val="auto"/>
        </w:rPr>
        <w:t xml:space="preserve"> and (iv) stating whether any change in GAAP as applied by (or in the application of GAAP by) the Borrower has occurred since the Effective Date and, if any such change has occurred, specifying the effect of such change on the financial statements accompanying such certificate;</w:t>
      </w:r>
    </w:p>
    <w:p>
      <w:pPr>
        <w:spacing w:after="0" w:line="83" w:lineRule="exact"/>
        <w:rPr>
          <w:rFonts w:ascii="Arial" w:cs="Arial" w:eastAsia="Arial" w:hAnsi="Arial"/>
          <w:sz w:val="18"/>
          <w:szCs w:val="18"/>
          <w:color w:val="auto"/>
        </w:rPr>
      </w:pPr>
    </w:p>
    <w:p>
      <w:pPr>
        <w:ind w:left="-8" w:right="240" w:firstLine="921"/>
        <w:spacing w:after="0" w:line="308" w:lineRule="auto"/>
        <w:tabs>
          <w:tab w:leader="none" w:pos="1160" w:val="left"/>
        </w:tabs>
        <w:numPr>
          <w:ilvl w:val="1"/>
          <w:numId w:val="151"/>
        </w:numPr>
        <w:rPr>
          <w:rFonts w:ascii="Arial" w:cs="Arial" w:eastAsia="Arial" w:hAnsi="Arial"/>
          <w:sz w:val="17"/>
          <w:szCs w:val="17"/>
          <w:color w:val="auto"/>
        </w:rPr>
      </w:pPr>
      <w:r>
        <w:rPr>
          <w:rFonts w:ascii="Arial" w:cs="Arial" w:eastAsia="Arial" w:hAnsi="Arial"/>
          <w:sz w:val="17"/>
          <w:szCs w:val="17"/>
          <w:color w:val="auto"/>
        </w:rPr>
        <w:t>as soon as available and in any event not later than 20 days after the end of each monthly accounting period (ending on the last day of each calendar month) of the Borrower and its Subsidiaries, a Borrowing Base Certificate as at the last day of such accounting period;</w:t>
      </w:r>
    </w:p>
    <w:p>
      <w:pPr>
        <w:spacing w:after="0" w:line="38" w:lineRule="exact"/>
        <w:rPr>
          <w:rFonts w:ascii="Arial" w:cs="Arial" w:eastAsia="Arial" w:hAnsi="Arial"/>
          <w:sz w:val="17"/>
          <w:szCs w:val="17"/>
          <w:color w:val="auto"/>
        </w:rPr>
      </w:pPr>
    </w:p>
    <w:p>
      <w:pPr>
        <w:ind w:left="-8" w:right="20" w:firstLine="921"/>
        <w:spacing w:after="0" w:line="279" w:lineRule="auto"/>
        <w:tabs>
          <w:tab w:leader="none" w:pos="1150" w:val="left"/>
        </w:tabs>
        <w:numPr>
          <w:ilvl w:val="1"/>
          <w:numId w:val="151"/>
        </w:numPr>
        <w:rPr>
          <w:rFonts w:ascii="Arial" w:cs="Arial" w:eastAsia="Arial" w:hAnsi="Arial"/>
          <w:sz w:val="17"/>
          <w:szCs w:val="17"/>
          <w:color w:val="auto"/>
        </w:rPr>
      </w:pPr>
      <w:r>
        <w:rPr>
          <w:rFonts w:ascii="Arial" w:cs="Arial" w:eastAsia="Arial" w:hAnsi="Arial"/>
          <w:sz w:val="17"/>
          <w:szCs w:val="17"/>
          <w:color w:val="auto"/>
        </w:rPr>
        <w:t>promptly but no later than five Business Days after the Borrower shall at any time have knowledge that there is a Borrowing Base Deficiency, a Borrowing Base Certificate as at the date the Borrower has knowledge of such Borrowing Base Deficiency indicating the amount of the Borrowing Base Deficiency as at the date the Borrower obtained knowledge of such deficiency and the amount of the Borrowing Base Deficiency as of the date not earlier than one Business Day prior to the date the Borrowing Base Certificate is delivered pursuant to this paragraph;</w:t>
      </w:r>
    </w:p>
    <w:p>
      <w:pPr>
        <w:spacing w:after="0" w:line="63" w:lineRule="exact"/>
        <w:rPr>
          <w:rFonts w:ascii="Arial" w:cs="Arial" w:eastAsia="Arial" w:hAnsi="Arial"/>
          <w:sz w:val="17"/>
          <w:szCs w:val="17"/>
          <w:color w:val="auto"/>
        </w:rPr>
      </w:pPr>
    </w:p>
    <w:p>
      <w:pPr>
        <w:ind w:left="-8" w:right="40" w:firstLine="921"/>
        <w:spacing w:after="0" w:line="264" w:lineRule="auto"/>
        <w:tabs>
          <w:tab w:leader="none" w:pos="113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promptly upon receipt thereof copies of all significant reports submitted by the Borrower’s independent public accountants in connection with each annual, interim or special audit or review of any type of the financial statements or related internal control systems of the Borrower or any of its Subsidiaries delivered by such accountants to the management or board of directors of the Borrower;</w:t>
      </w:r>
    </w:p>
    <w:p>
      <w:pPr>
        <w:spacing w:after="0" w:line="73" w:lineRule="exact"/>
        <w:rPr>
          <w:rFonts w:ascii="Arial" w:cs="Arial" w:eastAsia="Arial" w:hAnsi="Arial"/>
          <w:sz w:val="18"/>
          <w:szCs w:val="18"/>
          <w:color w:val="auto"/>
        </w:rPr>
      </w:pPr>
    </w:p>
    <w:p>
      <w:pPr>
        <w:jc w:val="both"/>
        <w:ind w:left="-8" w:right="120" w:firstLine="921"/>
        <w:spacing w:after="0" w:line="264" w:lineRule="auto"/>
        <w:tabs>
          <w:tab w:leader="none" w:pos="116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promptly after the same become publicly available, copies of all periodic and other reports, proxy statements and other materials filed by the Borrower or any of the Subsidiary Guarantors with the Securities and Exchange Commission, or any Governmental Authority succeeding to any or all of the functions of said Commission, or with any national securities exchange, as the case may be; and</w:t>
      </w:r>
    </w:p>
    <w:p>
      <w:pPr>
        <w:spacing w:after="0" w:line="114" w:lineRule="exact"/>
        <w:rPr>
          <w:sz w:val="20"/>
          <w:szCs w:val="20"/>
          <w:color w:val="auto"/>
        </w:rPr>
      </w:pPr>
    </w:p>
    <w:p>
      <w:pPr>
        <w:jc w:val="both"/>
        <w:ind w:left="5852"/>
        <w:spacing w:after="0"/>
        <w:tabs>
          <w:tab w:leader="none" w:pos="9352"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12"/>
          </w:cols>
          <w:pgMar w:left="248" w:top="274" w:right="239" w:bottom="1440" w:gutter="0" w:footer="0" w:header="0"/>
        </w:sectPr>
      </w:pPr>
    </w:p>
    <w:bookmarkStart w:id="162" w:name="page163"/>
    <w:bookmarkEnd w:id="162"/>
    <w:p>
      <w:pPr>
        <w:jc w:val="both"/>
        <w:ind w:right="480" w:firstLine="921"/>
        <w:spacing w:after="0" w:line="264" w:lineRule="auto"/>
        <w:tabs>
          <w:tab w:leader="none" w:pos="1168" w:val="left"/>
        </w:tabs>
        <w:numPr>
          <w:ilvl w:val="0"/>
          <w:numId w:val="1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promptly following any request therefor, such other information regarding the operations, business affairs and financial condition of the Borrower or any of its Subsidiaries, or compliance with the terms of this Agreement and the other Loan Documents, as the Administrative Agent or any Lender may reasonably request.</w:t>
      </w:r>
    </w:p>
    <w:p>
      <w:pPr>
        <w:spacing w:after="0" w:line="73" w:lineRule="exact"/>
        <w:rPr>
          <w:rFonts w:ascii="Arial" w:cs="Arial" w:eastAsia="Arial" w:hAnsi="Arial"/>
          <w:sz w:val="18"/>
          <w:szCs w:val="18"/>
          <w:color w:val="auto"/>
        </w:rPr>
      </w:pPr>
    </w:p>
    <w:p>
      <w:pPr>
        <w:ind w:right="120" w:firstLine="921"/>
        <w:spacing w:after="0" w:line="271" w:lineRule="auto"/>
        <w:tabs>
          <w:tab w:leader="none" w:pos="1128" w:val="left"/>
        </w:tabs>
        <w:numPr>
          <w:ilvl w:val="0"/>
          <w:numId w:val="152"/>
        </w:numPr>
        <w:rPr>
          <w:rFonts w:ascii="Arial" w:cs="Arial" w:eastAsia="Arial" w:hAnsi="Arial"/>
          <w:sz w:val="17"/>
          <w:szCs w:val="17"/>
          <w:color w:val="auto"/>
        </w:rPr>
      </w:pPr>
      <w:r>
        <w:rPr>
          <w:rFonts w:ascii="Arial" w:cs="Arial" w:eastAsia="Arial" w:hAnsi="Arial"/>
          <w:sz w:val="17"/>
          <w:szCs w:val="17"/>
          <w:color w:val="auto"/>
        </w:rPr>
        <w:t xml:space="preserve">Borrower and each Lender acknowledge that certain of the Lenders may be Public Lenders and, if documents or notices required to be delivered pursuant to this </w:t>
      </w:r>
      <w:r>
        <w:rPr>
          <w:rFonts w:ascii="Arial" w:cs="Arial" w:eastAsia="Arial" w:hAnsi="Arial"/>
          <w:sz w:val="17"/>
          <w:szCs w:val="17"/>
          <w:u w:val="single" w:color="auto"/>
          <w:color w:val="auto"/>
        </w:rPr>
        <w:t>Section 5.01</w:t>
      </w:r>
      <w:r>
        <w:rPr>
          <w:rFonts w:ascii="Arial" w:cs="Arial" w:eastAsia="Arial" w:hAnsi="Arial"/>
          <w:sz w:val="17"/>
          <w:szCs w:val="17"/>
          <w:color w:val="auto"/>
        </w:rPr>
        <w:t xml:space="preserve"> or otherwise are being distributed through IntraLinks/IntraAgency, SyndTrak or another relevant website or other information platform (the “</w:t>
      </w:r>
      <w:r>
        <w:rPr>
          <w:rFonts w:ascii="Arial" w:cs="Arial" w:eastAsia="Arial" w:hAnsi="Arial"/>
          <w:sz w:val="17"/>
          <w:szCs w:val="17"/>
          <w:u w:val="single" w:color="auto"/>
          <w:color w:val="auto"/>
        </w:rPr>
        <w:t>Platform</w:t>
      </w:r>
      <w:r>
        <w:rPr>
          <w:rFonts w:ascii="Arial" w:cs="Arial" w:eastAsia="Arial" w:hAnsi="Arial"/>
          <w:sz w:val="17"/>
          <w:szCs w:val="17"/>
          <w:color w:val="auto"/>
        </w:rPr>
        <w:t xml:space="preserve">”), any document or notice that Borrower has indicated contains Non-Public Information shall not be posted by Administrative Agent on that portion of the Platform designated for such Public Lenders. Borrower agrees to clearly designate all information provided to Administrative Agent by or on behalf of Borrower or any of its Subsidiaries which is suitable to make available to Public Lenders. If Borrower has not indicated whether a document or notice delivered pursuant to this </w:t>
      </w:r>
      <w:r>
        <w:rPr>
          <w:rFonts w:ascii="Arial" w:cs="Arial" w:eastAsia="Arial" w:hAnsi="Arial"/>
          <w:sz w:val="17"/>
          <w:szCs w:val="17"/>
          <w:u w:val="single" w:color="auto"/>
          <w:color w:val="auto"/>
        </w:rPr>
        <w:t>Section 5.01</w:t>
      </w:r>
      <w:r>
        <w:rPr>
          <w:rFonts w:ascii="Arial" w:cs="Arial" w:eastAsia="Arial" w:hAnsi="Arial"/>
          <w:sz w:val="17"/>
          <w:szCs w:val="17"/>
          <w:color w:val="auto"/>
        </w:rPr>
        <w:t xml:space="preserve"> contains Non-Public Information, the Administrative Agent reserves the right to post such document or notice solely on that portion of the Platform designated for Lenders who wish to receive material Non-Public Information with respect to Borrower, its Subsidiaries and their Securities (as such term is defined in </w:t>
      </w:r>
      <w:r>
        <w:rPr>
          <w:rFonts w:ascii="Arial" w:cs="Arial" w:eastAsia="Arial" w:hAnsi="Arial"/>
          <w:sz w:val="17"/>
          <w:szCs w:val="17"/>
          <w:u w:val="single" w:color="auto"/>
          <w:color w:val="auto"/>
        </w:rPr>
        <w:t>Section 5.13</w:t>
      </w:r>
      <w:r>
        <w:rPr>
          <w:rFonts w:ascii="Arial" w:cs="Arial" w:eastAsia="Arial" w:hAnsi="Arial"/>
          <w:sz w:val="17"/>
          <w:szCs w:val="17"/>
          <w:color w:val="auto"/>
        </w:rPr>
        <w:t xml:space="preserve"> of this Agreement).</w:t>
      </w:r>
    </w:p>
    <w:p>
      <w:pPr>
        <w:spacing w:after="0" w:line="70" w:lineRule="exact"/>
        <w:rPr>
          <w:rFonts w:ascii="Arial" w:cs="Arial" w:eastAsia="Arial" w:hAnsi="Arial"/>
          <w:sz w:val="17"/>
          <w:szCs w:val="17"/>
          <w:color w:val="auto"/>
        </w:rPr>
      </w:pPr>
    </w:p>
    <w:p>
      <w:pPr>
        <w:ind w:right="20" w:firstLine="921"/>
        <w:spacing w:after="0" w:line="286" w:lineRule="auto"/>
        <w:tabs>
          <w:tab w:leader="none" w:pos="1128" w:val="left"/>
        </w:tabs>
        <w:numPr>
          <w:ilvl w:val="0"/>
          <w:numId w:val="152"/>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herein, the requirements to deliver documents set forth in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(g)</w:t>
      </w:r>
      <w:r>
        <w:rPr>
          <w:rFonts w:ascii="Arial" w:cs="Arial" w:eastAsia="Arial" w:hAnsi="Arial"/>
          <w:sz w:val="17"/>
          <w:szCs w:val="17"/>
          <w:color w:val="auto"/>
        </w:rPr>
        <w:t xml:space="preserve"> will be fulfilled by filing by the Borrower of the applicable documents for public availability on the SEC’s Electronic Data Gathering and Retrieval system; </w:t>
      </w:r>
      <w:r>
        <w:rPr>
          <w:rFonts w:ascii="Arial" w:cs="Arial" w:eastAsia="Arial" w:hAnsi="Arial"/>
          <w:sz w:val="17"/>
          <w:szCs w:val="17"/>
          <w:u w:val="single" w:color="auto"/>
          <w:color w:val="auto"/>
        </w:rPr>
        <w:t>provided</w:t>
      </w:r>
      <w:r>
        <w:rPr>
          <w:rFonts w:ascii="Arial" w:cs="Arial" w:eastAsia="Arial" w:hAnsi="Arial"/>
          <w:sz w:val="17"/>
          <w:szCs w:val="17"/>
          <w:color w:val="auto"/>
        </w:rPr>
        <w:t>, that the Borrower shall notify the Administrative Agent (by telecopier or electronic mail) of the posting of any such documents.</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u w:val="single" w:color="auto"/>
          <w:color w:val="auto"/>
        </w:rPr>
        <w:t>Notices of Material Events</w:t>
      </w:r>
      <w:r>
        <w:rPr>
          <w:rFonts w:ascii="Arial" w:cs="Arial" w:eastAsia="Arial" w:hAnsi="Arial"/>
          <w:sz w:val="16"/>
          <w:szCs w:val="16"/>
          <w:color w:val="auto"/>
        </w:rPr>
        <w:t>. The Borrower will furnish to the Administrative Agent and each Lender prompt written notice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following:</w:t>
      </w:r>
    </w:p>
    <w:p>
      <w:pPr>
        <w:spacing w:after="0" w:line="103" w:lineRule="exact"/>
        <w:rPr>
          <w:sz w:val="20"/>
          <w:szCs w:val="20"/>
          <w:color w:val="auto"/>
        </w:rPr>
      </w:pPr>
    </w:p>
    <w:p>
      <w:pPr>
        <w:ind w:left="1160" w:hanging="239"/>
        <w:spacing w:after="0"/>
        <w:tabs>
          <w:tab w:leader="none" w:pos="11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occurrence of any Default;</w:t>
      </w:r>
    </w:p>
    <w:p>
      <w:pPr>
        <w:spacing w:after="0" w:line="117" w:lineRule="exact"/>
        <w:rPr>
          <w:rFonts w:ascii="Arial" w:cs="Arial" w:eastAsia="Arial" w:hAnsi="Arial"/>
          <w:sz w:val="18"/>
          <w:szCs w:val="18"/>
          <w:color w:val="auto"/>
        </w:rPr>
      </w:pPr>
    </w:p>
    <w:p>
      <w:pPr>
        <w:ind w:right="180" w:firstLine="921"/>
        <w:spacing w:after="0" w:line="308" w:lineRule="auto"/>
        <w:tabs>
          <w:tab w:leader="none" w:pos="1168"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filing or commencement of any action, suit or proceeding by or before any arbitrator or Governmental Authority against or affecting the Borrower or any of its Affiliates that, if adversely determined, could reasonably be expected to result in a Material Adverse Effect;</w:t>
      </w:r>
    </w:p>
    <w:p>
      <w:pPr>
        <w:spacing w:after="0" w:line="38" w:lineRule="exact"/>
        <w:rPr>
          <w:rFonts w:ascii="Arial" w:cs="Arial" w:eastAsia="Arial" w:hAnsi="Arial"/>
          <w:sz w:val="17"/>
          <w:szCs w:val="17"/>
          <w:color w:val="auto"/>
        </w:rPr>
      </w:pPr>
    </w:p>
    <w:p>
      <w:pPr>
        <w:ind w:right="80" w:firstLine="921"/>
        <w:spacing w:after="0" w:line="277" w:lineRule="auto"/>
        <w:tabs>
          <w:tab w:leader="none" w:pos="115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occurrence of any ERISA Event that, alone or together with any other ERISA Events that have occurred, could reasonably be expected to result in liability of the Borrower and its Subsidiaries in an aggregate amount exceeding $15,000,000; and</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any other development that results in, or could reasonably be expected to result in, a Material Adverse Effect.</w:t>
      </w:r>
    </w:p>
    <w:p>
      <w:pPr>
        <w:spacing w:after="0" w:line="225" w:lineRule="exact"/>
        <w:rPr>
          <w:sz w:val="20"/>
          <w:szCs w:val="20"/>
          <w:color w:val="auto"/>
        </w:rPr>
      </w:pPr>
    </w:p>
    <w:p>
      <w:pPr>
        <w:ind w:right="260" w:firstLine="913"/>
        <w:spacing w:after="0" w:line="342" w:lineRule="auto"/>
        <w:rPr>
          <w:sz w:val="20"/>
          <w:szCs w:val="20"/>
          <w:color w:val="auto"/>
        </w:rPr>
      </w:pPr>
      <w:r>
        <w:rPr>
          <w:rFonts w:ascii="Arial" w:cs="Arial" w:eastAsia="Arial" w:hAnsi="Arial"/>
          <w:sz w:val="16"/>
          <w:szCs w:val="16"/>
          <w:color w:val="auto"/>
        </w:rPr>
        <w:t>Each notice delivered under this Section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56"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63" w:name="page164"/>
    <w:bookmarkEnd w:id="163"/>
    <w:p>
      <w:pPr>
        <w:ind w:right="10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5.03. </w:t>
      </w:r>
      <w:r>
        <w:rPr>
          <w:rFonts w:ascii="Arial" w:cs="Arial" w:eastAsia="Arial" w:hAnsi="Arial"/>
          <w:sz w:val="18"/>
          <w:szCs w:val="18"/>
          <w:u w:val="single" w:color="auto"/>
          <w:color w:val="auto"/>
        </w:rPr>
        <w:t>Existence: Conduct of Business</w:t>
      </w:r>
      <w:r>
        <w:rPr>
          <w:rFonts w:ascii="Arial" w:cs="Arial" w:eastAsia="Arial" w:hAnsi="Arial"/>
          <w:sz w:val="18"/>
          <w:szCs w:val="18"/>
          <w:color w:val="auto"/>
        </w:rPr>
        <w:t xml:space="preserve">. The Borrower will, and will cause each of its Subsidiaries (other than Immaterial Subsidiaries) to, do or cause to be done all things necessary to preserve, renew and keep in full force and effect its legal existence and the rights, licenses, permits, privileges and franchises material to the conduct of its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prohibit any merger, consolidation, liquidation or dissolution permitted under </w:t>
      </w:r>
      <w:r>
        <w:rPr>
          <w:rFonts w:ascii="Arial" w:cs="Arial" w:eastAsia="Arial" w:hAnsi="Arial"/>
          <w:sz w:val="18"/>
          <w:szCs w:val="18"/>
          <w:u w:val="single" w:color="auto"/>
          <w:color w:val="auto"/>
        </w:rPr>
        <w:t>Section 6.03</w:t>
      </w:r>
      <w:r>
        <w:rPr>
          <w:rFonts w:ascii="Arial" w:cs="Arial" w:eastAsia="Arial" w:hAnsi="Arial"/>
          <w:sz w:val="18"/>
          <w:szCs w:val="18"/>
          <w:color w:val="auto"/>
        </w:rPr>
        <w:t>.</w:t>
      </w:r>
    </w:p>
    <w:p>
      <w:pPr>
        <w:spacing w:after="0" w:line="187" w:lineRule="exact"/>
        <w:rPr>
          <w:sz w:val="20"/>
          <w:szCs w:val="20"/>
          <w:color w:val="auto"/>
        </w:rPr>
      </w:pPr>
    </w:p>
    <w:p>
      <w:pPr>
        <w:ind w:right="120" w:firstLine="913"/>
        <w:spacing w:after="0" w:line="276" w:lineRule="auto"/>
        <w:rPr>
          <w:sz w:val="20"/>
          <w:szCs w:val="20"/>
          <w:color w:val="auto"/>
        </w:rPr>
      </w:pPr>
      <w:r>
        <w:rPr>
          <w:rFonts w:ascii="Arial" w:cs="Arial" w:eastAsia="Arial" w:hAnsi="Arial"/>
          <w:sz w:val="17"/>
          <w:szCs w:val="17"/>
          <w:color w:val="auto"/>
        </w:rPr>
        <w:t xml:space="preserve">SECTION 5.04. </w:t>
      </w:r>
      <w:r>
        <w:rPr>
          <w:rFonts w:ascii="Arial" w:cs="Arial" w:eastAsia="Arial" w:hAnsi="Arial"/>
          <w:sz w:val="17"/>
          <w:szCs w:val="17"/>
          <w:u w:val="single" w:color="auto"/>
          <w:color w:val="auto"/>
        </w:rPr>
        <w:t>Payment of Obligations</w:t>
      </w:r>
      <w:r>
        <w:rPr>
          <w:rFonts w:ascii="Arial" w:cs="Arial" w:eastAsia="Arial" w:hAnsi="Arial"/>
          <w:sz w:val="17"/>
          <w:szCs w:val="17"/>
          <w:color w:val="auto"/>
        </w:rPr>
        <w:t>. The Borrower will, and will cause each of its Subsidiaries to, pay its obligations, including income tax and other material tax liabilities and material contractual obligations, that, if not paid, could reasonably be expected to result in a Material Adverse Effect before the same shall become delinquent or in default, except where (a) the validity or amount thereof is being contested in good faith by appropriate proceedings, (b) the Borrower or such Subsidiary has set aside on its books adequate reserves with respect thereto in accordance with GAAP and (c) the failure to make payment pending such contest could not reasonably be expected to result in a Material Adverse Effect.</w:t>
      </w:r>
    </w:p>
    <w:p>
      <w:pPr>
        <w:spacing w:after="0" w:line="173" w:lineRule="exact"/>
        <w:rPr>
          <w:sz w:val="20"/>
          <w:szCs w:val="20"/>
          <w:color w:val="auto"/>
        </w:rPr>
      </w:pPr>
    </w:p>
    <w:p>
      <w:pPr>
        <w:ind w:right="260" w:firstLine="913"/>
        <w:spacing w:after="0" w:line="279" w:lineRule="auto"/>
        <w:rPr>
          <w:sz w:val="20"/>
          <w:szCs w:val="20"/>
          <w:color w:val="auto"/>
        </w:rPr>
      </w:pPr>
      <w:r>
        <w:rPr>
          <w:rFonts w:ascii="Arial" w:cs="Arial" w:eastAsia="Arial" w:hAnsi="Arial"/>
          <w:sz w:val="17"/>
          <w:szCs w:val="17"/>
          <w:color w:val="auto"/>
        </w:rPr>
        <w:t xml:space="preserve">SECTION 5.05. </w:t>
      </w:r>
      <w:r>
        <w:rPr>
          <w:rFonts w:ascii="Arial" w:cs="Arial" w:eastAsia="Arial" w:hAnsi="Arial"/>
          <w:sz w:val="17"/>
          <w:szCs w:val="17"/>
          <w:u w:val="single" w:color="auto"/>
          <w:color w:val="auto"/>
        </w:rPr>
        <w:t>Maintenance of Properties; Insurance</w:t>
      </w:r>
      <w:r>
        <w:rPr>
          <w:rFonts w:ascii="Arial" w:cs="Arial" w:eastAsia="Arial" w:hAnsi="Arial"/>
          <w:sz w:val="17"/>
          <w:szCs w:val="17"/>
          <w:color w:val="auto"/>
        </w:rPr>
        <w:t>. The Borrower will, and will cause each of its Subsidiaries (other than Immaterial Subsidiaries) to, (a) keep and maintain all property material to the conduct of its business in good working order and condition, ordinary wear and tear excepted, and (b) maintain, with financially sound and reputable insurance companies, insurance in such amounts and against such risks as are customarily maintained by companies engaged in the same or similar businesses operating in the same or similar locations.</w:t>
      </w:r>
    </w:p>
    <w:p>
      <w:pPr>
        <w:spacing w:after="0" w:line="171" w:lineRule="exact"/>
        <w:rPr>
          <w:sz w:val="20"/>
          <w:szCs w:val="20"/>
          <w:color w:val="auto"/>
        </w:rPr>
      </w:pPr>
    </w:p>
    <w:p>
      <w:pPr>
        <w:ind w:right="100" w:firstLine="913"/>
        <w:spacing w:after="0" w:line="272" w:lineRule="auto"/>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u w:val="single" w:color="auto"/>
          <w:color w:val="auto"/>
        </w:rPr>
        <w:t>Books and Records; Inspection and Audit Rights</w:t>
      </w:r>
      <w:r>
        <w:rPr>
          <w:rFonts w:ascii="Arial" w:cs="Arial" w:eastAsia="Arial" w:hAnsi="Arial"/>
          <w:sz w:val="17"/>
          <w:szCs w:val="17"/>
          <w:color w:val="auto"/>
        </w:rPr>
        <w:t xml:space="preserve">. The Borrower will, and will cause each of its Subsidiaries to, keep books of record and account in accordance with GAAP. The Borrower will, and will cause each other Obligor to, permit any representatives designated by the Administrative Agent or any Lender, upon reasonable prior notice, to visit and inspect its properties during business hours, to examine and make extracts from its books and records, and to discuss its affairs, finances and condition with its officers and independent accountants, all at such reasonable times and as often as reasonably requested, in each case, to the extent such inspection or requests for such information are reasonable and such information can be provided or discussed without violation o flaw, rule, regulation or contract;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or such Obligor shall be entitled to have its representatives and advisors present during any inspection of its books and records.</w:t>
      </w:r>
    </w:p>
    <w:p>
      <w:pPr>
        <w:spacing w:after="0" w:line="178" w:lineRule="exact"/>
        <w:rPr>
          <w:sz w:val="20"/>
          <w:szCs w:val="20"/>
          <w:color w:val="auto"/>
        </w:rPr>
      </w:pPr>
    </w:p>
    <w:p>
      <w:pPr>
        <w:ind w:right="120" w:firstLine="913"/>
        <w:spacing w:after="0" w:line="297" w:lineRule="auto"/>
        <w:rPr>
          <w:sz w:val="20"/>
          <w:szCs w:val="20"/>
          <w:color w:val="auto"/>
        </w:rPr>
      </w:pPr>
      <w:r>
        <w:rPr>
          <w:rFonts w:ascii="Arial" w:cs="Arial" w:eastAsia="Arial" w:hAnsi="Arial"/>
          <w:sz w:val="16"/>
          <w:szCs w:val="16"/>
          <w:color w:val="auto"/>
        </w:rPr>
        <w:t xml:space="preserve">SECTION 5.07. </w:t>
      </w:r>
      <w:r>
        <w:rPr>
          <w:rFonts w:ascii="Arial" w:cs="Arial" w:eastAsia="Arial" w:hAnsi="Arial"/>
          <w:sz w:val="16"/>
          <w:szCs w:val="16"/>
          <w:u w:val="single" w:color="auto"/>
          <w:color w:val="auto"/>
        </w:rPr>
        <w:t>Compliance with Laws</w:t>
      </w:r>
      <w:r>
        <w:rPr>
          <w:rFonts w:ascii="Arial" w:cs="Arial" w:eastAsia="Arial" w:hAnsi="Arial"/>
          <w:sz w:val="16"/>
          <w:szCs w:val="16"/>
          <w:color w:val="auto"/>
        </w:rPr>
        <w:t>. The Borrower will, and will cause each of its Subsidiaries to, comply with all laws, rules, regulations, including the Investment Company Act, and orders of any Governmental Authority applicable to it or its property, except where the failure to do so, individually or in the aggregate, could not reasonably be expected to result in a Material Adverse Effect. Without limiting the generality of the foregoing, the Borrower will, and will cause its Subsidiaries to, conduct its business and other activities in compliance in all material respects with the provisions of the Investment Company Act and any applicable rules, regulations or orders issued by the Securities and Exchange Commission thereunder.</w:t>
      </w:r>
    </w:p>
    <w:p>
      <w:pPr>
        <w:spacing w:after="0" w:line="91"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5.08. </w:t>
      </w:r>
      <w:r>
        <w:rPr>
          <w:rFonts w:ascii="Arial" w:cs="Arial" w:eastAsia="Arial" w:hAnsi="Arial"/>
          <w:sz w:val="18"/>
          <w:szCs w:val="18"/>
          <w:u w:val="single" w:color="auto"/>
          <w:color w:val="auto"/>
        </w:rPr>
        <w:t>Certain Obligations Respecting Subsidiaries; Further Assurances</w:t>
      </w:r>
      <w:r>
        <w:rPr>
          <w:rFonts w:ascii="Arial" w:cs="Arial" w:eastAsia="Arial" w:hAnsi="Arial"/>
          <w:sz w:val="18"/>
          <w:szCs w:val="18"/>
          <w:color w:val="auto"/>
        </w:rPr>
        <w:t>.</w:t>
      </w:r>
    </w:p>
    <w:p>
      <w:pPr>
        <w:spacing w:after="0" w:line="117" w:lineRule="exact"/>
        <w:rPr>
          <w:sz w:val="20"/>
          <w:szCs w:val="20"/>
          <w:color w:val="auto"/>
        </w:rPr>
      </w:pPr>
    </w:p>
    <w:p>
      <w:pPr>
        <w:ind w:left="-920" w:right="40" w:firstLine="921"/>
        <w:spacing w:after="0" w:line="276" w:lineRule="auto"/>
        <w:tabs>
          <w:tab w:leader="none" w:pos="237" w:val="left"/>
        </w:tabs>
        <w:numPr>
          <w:ilvl w:val="0"/>
          <w:numId w:val="154"/>
        </w:numPr>
        <w:rPr>
          <w:rFonts w:ascii="Arial" w:cs="Arial" w:eastAsia="Arial" w:hAnsi="Arial"/>
          <w:sz w:val="17"/>
          <w:szCs w:val="17"/>
          <w:color w:val="auto"/>
        </w:rPr>
      </w:pPr>
      <w:r>
        <w:rPr>
          <w:rFonts w:ascii="Arial" w:cs="Arial" w:eastAsia="Arial" w:hAnsi="Arial"/>
          <w:sz w:val="17"/>
          <w:szCs w:val="17"/>
          <w:u w:val="single" w:color="auto"/>
          <w:color w:val="auto"/>
        </w:rPr>
        <w:t>Subsidiary Guarantors</w:t>
      </w:r>
      <w:r>
        <w:rPr>
          <w:rFonts w:ascii="Arial" w:cs="Arial" w:eastAsia="Arial" w:hAnsi="Arial"/>
          <w:sz w:val="17"/>
          <w:szCs w:val="17"/>
          <w:color w:val="auto"/>
        </w:rPr>
        <w:t xml:space="preserve">. In the event that the Borrower or any the Subsidiary Guarantors shall form or acquire any new Subsidiary (other than a Financing Subsidiary, a Foreign Subsidiary, an Immaterial Subsidiary or a Subsidiary of a Foreign Subsidiary) the Borrower will cause such new Subsidiary to become a “Subsidiary Guarantor” (and, thereby, an “Obligor”) under the Guarantee and Security Agreement pursuant to a Guarantee Assumption Agreement and to deliver such proof of corporate or other action, incumbency of officers, opinions of counsel and other documents as is consistent with those delivered by the Borrower pursuant to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upon the Effective Date or as the Administrative Agent shall have requested.</w:t>
      </w:r>
    </w:p>
    <w:p>
      <w:pPr>
        <w:spacing w:after="0" w:line="64" w:lineRule="exact"/>
        <w:rPr>
          <w:rFonts w:ascii="Arial" w:cs="Arial" w:eastAsia="Arial" w:hAnsi="Arial"/>
          <w:sz w:val="17"/>
          <w:szCs w:val="17"/>
          <w:color w:val="auto"/>
        </w:rPr>
      </w:pPr>
    </w:p>
    <w:p>
      <w:pPr>
        <w:ind w:left="-920" w:right="540" w:firstLine="921"/>
        <w:spacing w:after="0" w:line="277" w:lineRule="auto"/>
        <w:tabs>
          <w:tab w:leader="none" w:pos="248"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Ownership of Subsidiaries</w:t>
      </w:r>
      <w:r>
        <w:rPr>
          <w:rFonts w:ascii="Arial" w:cs="Arial" w:eastAsia="Arial" w:hAnsi="Arial"/>
          <w:sz w:val="18"/>
          <w:szCs w:val="18"/>
          <w:color w:val="auto"/>
        </w:rPr>
        <w:t>. The Borrower will, and will cause each of its Subsidiaries to, take such action from time to time as shall be necessary to ensure that each of its Subsidiaries is a wholly owned Subsidiary.</w:t>
      </w:r>
    </w:p>
    <w:p>
      <w:pPr>
        <w:spacing w:after="0" w:line="62" w:lineRule="exact"/>
        <w:rPr>
          <w:rFonts w:ascii="Arial" w:cs="Arial" w:eastAsia="Arial" w:hAnsi="Arial"/>
          <w:sz w:val="18"/>
          <w:szCs w:val="18"/>
          <w:color w:val="auto"/>
        </w:rPr>
      </w:pPr>
    </w:p>
    <w:p>
      <w:pPr>
        <w:ind w:left="-920" w:right="40" w:firstLine="921"/>
        <w:spacing w:after="0" w:line="285" w:lineRule="auto"/>
        <w:tabs>
          <w:tab w:leader="none" w:pos="237" w:val="left"/>
        </w:tabs>
        <w:numPr>
          <w:ilvl w:val="0"/>
          <w:numId w:val="154"/>
        </w:numPr>
        <w:rPr>
          <w:rFonts w:ascii="Arial" w:cs="Arial" w:eastAsia="Arial" w:hAnsi="Arial"/>
          <w:sz w:val="16"/>
          <w:szCs w:val="16"/>
          <w:color w:val="auto"/>
        </w:rPr>
      </w:pPr>
      <w:r>
        <w:rPr>
          <w:rFonts w:ascii="Arial" w:cs="Arial" w:eastAsia="Arial" w:hAnsi="Arial"/>
          <w:sz w:val="16"/>
          <w:szCs w:val="16"/>
          <w:u w:val="single" w:color="auto"/>
          <w:color w:val="auto"/>
        </w:rPr>
        <w:t>Further Assurances</w:t>
      </w:r>
      <w:r>
        <w:rPr>
          <w:rFonts w:ascii="Arial" w:cs="Arial" w:eastAsia="Arial" w:hAnsi="Arial"/>
          <w:sz w:val="16"/>
          <w:szCs w:val="16"/>
          <w:color w:val="auto"/>
        </w:rPr>
        <w:t xml:space="preserve">. The Borrower will, and will cause each of the Subsidiary Guarantors to, take such action from time to time as shall reasonably be requested by the Administrative Agent to effectuate the purposes and objectives of this Agreement. Without limiting the generality of the foregoing, the Borrower will, and will cause each of the Subsidiary Guarantors to, take such action from time to time (including filing appropriate Uniform Commercial Code financing statements and executing and delivering such assignments, security agreements and other instruments) as shall be reasonably requested by the Administrative Agent: (i) to create, in favor of the Collateral Agent for the benefit of the Lenders (and any affiliate thereof that is a party to any Hedging Agreement entered into with the Borrower) and the holders of any Secured Longer-Term Indebtedness or Secured Shorter-Term Indebtedness, perfected security interests and Liens in the Collateral;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security interest or Lien shall be subject to the relevant requirements of the Security Documents, (ii) in the case of any Portfolio Investment consisting of a Bank Loan (as defined in </w:t>
      </w:r>
      <w:r>
        <w:rPr>
          <w:rFonts w:ascii="Arial" w:cs="Arial" w:eastAsia="Arial" w:hAnsi="Arial"/>
          <w:sz w:val="16"/>
          <w:szCs w:val="16"/>
          <w:u w:val="single" w:color="auto"/>
          <w:color w:val="auto"/>
        </w:rPr>
        <w:t>Section 5.13</w:t>
      </w:r>
      <w:r>
        <w:rPr>
          <w:rFonts w:ascii="Arial" w:cs="Arial" w:eastAsia="Arial" w:hAnsi="Arial"/>
          <w:sz w:val="16"/>
          <w:szCs w:val="16"/>
          <w:color w:val="auto"/>
        </w:rPr>
        <w:t>) that does not constitute all of the credit extended to the underlying borrower under the relevant underlying loan documents and a Financing Subsidiary holds any interest in the loans or other extensions of credit under such loan documents, (x) to cause such Financing Subsidiary to be party to such underlying loan documents as a “lender” having a direct interest (or a participation not acquired from an Obligor) in such underlying loan documents and the extensions of credit thereunder and (y) to ensure that all amounts owing to such Obligor or Financing Subsidiary by the underlying borrower or other obligated party are remitted by such borrower or obligated party directly to separate accounts of such Obligor and such Financing Subsidiary, (iii) in the event that any Obligor is acting as an agent or administrative agent under any loan documents with respect to any Bank Loan that does not constitute all of the credit extended to the underlying borrower under the relevant underlying loan documents, to ensure that all funds held by such Obligor in such capacity as agent or administrative agent is segregated from all other funds of such Obligor and clearly identified as being held in an agency capacity and (iv) to cause the closing sets and all executed amendments, consents, forbearances and other modifications and assignment agreements relating to any Portfolio Investment and any other documents relating to any Portfolio Investment requested by the Collateral Agent, in each case, to be held by the Collateral Agent or a custodian pursuant to the terms of a custodian agreement reasonably satisfactory to the Collateral Agent.</w:t>
      </w:r>
    </w:p>
    <w:p>
      <w:pPr>
        <w:spacing w:after="0" w:line="103" w:lineRule="exact"/>
        <w:rPr>
          <w:sz w:val="20"/>
          <w:szCs w:val="20"/>
          <w:color w:val="auto"/>
        </w:rPr>
      </w:pPr>
    </w:p>
    <w:p>
      <w:pPr>
        <w:jc w:val="both"/>
        <w:ind w:left="4940"/>
        <w:spacing w:after="0"/>
        <w:tabs>
          <w:tab w:leader="none" w:pos="844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500"/>
          </w:cols>
          <w:pgMar w:left="1160" w:top="274" w:right="239" w:bottom="1440" w:gutter="0" w:footer="0" w:header="0"/>
        </w:sectPr>
      </w:pPr>
    </w:p>
    <w:bookmarkStart w:id="165" w:name="page166"/>
    <w:bookmarkEnd w:id="165"/>
    <w:p>
      <w:pPr>
        <w:ind w:right="60" w:firstLine="913"/>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5.09. </w:t>
      </w:r>
      <w:r>
        <w:rPr>
          <w:rFonts w:ascii="Arial" w:cs="Arial" w:eastAsia="Arial" w:hAnsi="Arial"/>
          <w:sz w:val="16"/>
          <w:szCs w:val="16"/>
          <w:u w:val="single" w:color="auto"/>
          <w:color w:val="auto"/>
        </w:rPr>
        <w:t>Use of Proceeds</w:t>
      </w:r>
      <w:r>
        <w:rPr>
          <w:rFonts w:ascii="Arial" w:cs="Arial" w:eastAsia="Arial" w:hAnsi="Arial"/>
          <w:sz w:val="16"/>
          <w:szCs w:val="16"/>
          <w:color w:val="auto"/>
        </w:rPr>
        <w:t xml:space="preserve">. The Borrower will use the proceeds of the Loans only for general corporate purposes of the Borrower in the ordinary course of business, including the acquisition and funding (either directly or through one or more wholly-owned Subsidiaries) of leveraged loans, mezzanine loans, high-yield securities, convertible securities, preferred stock, common stock and other Portfolio Investments;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neither the Administrative Agent nor any Lender shall have any responsibility as to the use of any of such proceeds. No part of the proceeds of any Loan will be used in violation of (a) applicable law or, directly or indirectly, for the purpose, whether immediate, incidental or ultimate, of buying or carrying any Margin Stock or</w:t>
      </w:r>
    </w:p>
    <w:p>
      <w:pPr>
        <w:spacing w:after="0" w:line="2" w:lineRule="exact"/>
        <w:rPr>
          <w:sz w:val="20"/>
          <w:szCs w:val="20"/>
          <w:color w:val="auto"/>
        </w:rPr>
      </w:pPr>
    </w:p>
    <w:p>
      <w:pPr>
        <w:ind w:right="100" w:firstLine="8"/>
        <w:spacing w:after="0" w:line="261" w:lineRule="auto"/>
        <w:tabs>
          <w:tab w:leader="none" w:pos="255"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Section 3.16</w:t>
      </w:r>
      <w:r>
        <w:rPr>
          <w:rFonts w:ascii="Arial" w:cs="Arial" w:eastAsia="Arial" w:hAnsi="Arial"/>
          <w:sz w:val="18"/>
          <w:szCs w:val="18"/>
          <w:color w:val="auto"/>
        </w:rPr>
        <w:t>. Margin Stock shall be purchased by the Obligors only with the proceeds of Indebtedness not directly or indirectly secured by Margin Stock, or with the proceeds of equity capital of the Borrower.</w:t>
      </w:r>
    </w:p>
    <w:p>
      <w:pPr>
        <w:spacing w:after="0" w:line="184"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Status of RIC and BDC</w:t>
      </w:r>
      <w:r>
        <w:rPr>
          <w:rFonts w:ascii="Arial" w:cs="Arial" w:eastAsia="Arial" w:hAnsi="Arial"/>
          <w:sz w:val="18"/>
          <w:szCs w:val="18"/>
          <w:color w:val="auto"/>
        </w:rPr>
        <w:t>. The Borrower shall at all times, subject to applicable grace periods set forth in the Code, maintain its status as a RIC under the Code, and as a “business development company” under the Investment Company Act.</w:t>
      </w:r>
    </w:p>
    <w:p>
      <w:pPr>
        <w:spacing w:after="0" w:line="170"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Investment Policies</w:t>
      </w:r>
      <w:r>
        <w:rPr>
          <w:rFonts w:ascii="Arial" w:cs="Arial" w:eastAsia="Arial" w:hAnsi="Arial"/>
          <w:sz w:val="18"/>
          <w:szCs w:val="18"/>
          <w:color w:val="auto"/>
        </w:rPr>
        <w:t>. The Borrower shall at all times be in compliance in all material respects with its Investment Policies (after giving effect to any Permitted Policy Amendments).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Portfolio Valuation and Diversification Etc</w:t>
      </w:r>
      <w:r>
        <w:rPr>
          <w:rFonts w:ascii="Arial" w:cs="Arial" w:eastAsia="Arial" w:hAnsi="Arial"/>
          <w:sz w:val="18"/>
          <w:szCs w:val="18"/>
          <w:color w:val="auto"/>
        </w:rPr>
        <w:t>.</w:t>
      </w:r>
    </w:p>
    <w:p>
      <w:pPr>
        <w:spacing w:after="0" w:line="117" w:lineRule="exact"/>
        <w:rPr>
          <w:sz w:val="20"/>
          <w:szCs w:val="20"/>
          <w:color w:val="auto"/>
        </w:rPr>
      </w:pPr>
    </w:p>
    <w:p>
      <w:pPr>
        <w:ind w:right="60" w:firstLine="921"/>
        <w:spacing w:after="0" w:line="257" w:lineRule="auto"/>
        <w:tabs>
          <w:tab w:leader="none" w:pos="1157" w:val="left"/>
        </w:tabs>
        <w:numPr>
          <w:ilvl w:val="1"/>
          <w:numId w:val="156"/>
        </w:numPr>
        <w:rPr>
          <w:rFonts w:ascii="Arial" w:cs="Arial" w:eastAsia="Arial" w:hAnsi="Arial"/>
          <w:sz w:val="18"/>
          <w:szCs w:val="18"/>
          <w:color w:val="auto"/>
        </w:rPr>
      </w:pPr>
      <w:r>
        <w:rPr>
          <w:rFonts w:ascii="Arial" w:cs="Arial" w:eastAsia="Arial" w:hAnsi="Arial"/>
          <w:sz w:val="18"/>
          <w:szCs w:val="18"/>
          <w:u w:val="single" w:color="auto"/>
          <w:color w:val="auto"/>
        </w:rPr>
        <w:t>Industry Classification Groups</w:t>
      </w:r>
      <w:r>
        <w:rPr>
          <w:rFonts w:ascii="Arial" w:cs="Arial" w:eastAsia="Arial" w:hAnsi="Arial"/>
          <w:sz w:val="18"/>
          <w:szCs w:val="18"/>
          <w:color w:val="auto"/>
        </w:rPr>
        <w:t>. For purposes of this Agreement, the Borrower shall assign each Portfolio Investment to an Industry Classification Group. To the extent that any Portfolio Investment is not correlated with the risks of other Portfolio Investments in an Industry Classification Group, such Portfolio Investment may be assigned by the Borrower to an Industry Classification Group that is more closely correlated to such Portfolio Investment. In the absence of any correlation, the Borrower shall be permitted, upon prior notice to the Administrative Agent and each Lender, to create up to three additional industry classification groups for purposes of this Agreement.</w:t>
      </w:r>
    </w:p>
    <w:p>
      <w:pPr>
        <w:spacing w:after="0" w:line="80" w:lineRule="exact"/>
        <w:rPr>
          <w:rFonts w:ascii="Arial" w:cs="Arial" w:eastAsia="Arial" w:hAnsi="Arial"/>
          <w:sz w:val="18"/>
          <w:szCs w:val="18"/>
          <w:color w:val="auto"/>
        </w:rPr>
      </w:pPr>
    </w:p>
    <w:p>
      <w:pPr>
        <w:ind w:left="1180" w:hanging="259"/>
        <w:spacing w:after="0"/>
        <w:tabs>
          <w:tab w:leader="none" w:pos="1180" w:val="left"/>
        </w:tabs>
        <w:numPr>
          <w:ilvl w:val="1"/>
          <w:numId w:val="156"/>
        </w:numPr>
        <w:rPr>
          <w:rFonts w:ascii="Arial" w:cs="Arial" w:eastAsia="Arial" w:hAnsi="Arial"/>
          <w:sz w:val="18"/>
          <w:szCs w:val="18"/>
          <w:color w:val="auto"/>
        </w:rPr>
      </w:pPr>
      <w:r>
        <w:rPr>
          <w:rFonts w:ascii="Arial" w:cs="Arial" w:eastAsia="Arial" w:hAnsi="Arial"/>
          <w:sz w:val="18"/>
          <w:szCs w:val="18"/>
          <w:u w:val="single" w:color="auto"/>
          <w:color w:val="auto"/>
        </w:rPr>
        <w:t>Portfolio Valuation Etc</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firstLine="443"/>
        <w:spacing w:after="0" w:line="302" w:lineRule="auto"/>
        <w:tabs>
          <w:tab w:leader="none" w:pos="1113"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Settlement Date Basis</w:t>
      </w:r>
      <w:r>
        <w:rPr>
          <w:rFonts w:ascii="Arial" w:cs="Arial" w:eastAsia="Arial" w:hAnsi="Arial"/>
          <w:sz w:val="16"/>
          <w:szCs w:val="16"/>
          <w:color w:val="auto"/>
        </w:rPr>
        <w:t xml:space="preserve">. For purposes of this Agreement, all determinations of whether an investment is to be included as a Portfolio Investment shall be determined on a settlement-date basis (meaning that any investment that has been purchased will not be treated as a Portfolio Investment until such purchase has settled, and any Portfolio Investment which has been sold will not be excluded as a Portfolio Investment until such sale has settled);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investment shall be included as a Portfolio Investment to the extent it has not been paid for in full.</w:t>
      </w:r>
    </w:p>
    <w:p>
      <w:pPr>
        <w:spacing w:after="0" w:line="46" w:lineRule="exact"/>
        <w:rPr>
          <w:rFonts w:ascii="Arial" w:cs="Arial" w:eastAsia="Arial" w:hAnsi="Arial"/>
          <w:sz w:val="16"/>
          <w:szCs w:val="16"/>
          <w:color w:val="auto"/>
        </w:rPr>
      </w:pPr>
    </w:p>
    <w:p>
      <w:pPr>
        <w:ind w:left="1160" w:hanging="257"/>
        <w:spacing w:after="0"/>
        <w:tabs>
          <w:tab w:leader="none" w:pos="1160" w:val="left"/>
        </w:tabs>
        <w:numPr>
          <w:ilvl w:val="0"/>
          <w:numId w:val="157"/>
        </w:numPr>
        <w:rPr>
          <w:rFonts w:ascii="Arial" w:cs="Arial" w:eastAsia="Arial" w:hAnsi="Arial"/>
          <w:sz w:val="17"/>
          <w:szCs w:val="17"/>
          <w:color w:val="auto"/>
        </w:rPr>
      </w:pPr>
      <w:r>
        <w:rPr>
          <w:rFonts w:ascii="Arial" w:cs="Arial" w:eastAsia="Arial" w:hAnsi="Arial"/>
          <w:sz w:val="17"/>
          <w:szCs w:val="17"/>
          <w:u w:val="single" w:color="auto"/>
          <w:color w:val="auto"/>
        </w:rPr>
        <w:t>Determination of Values</w:t>
      </w:r>
      <w:r>
        <w:rPr>
          <w:rFonts w:ascii="Arial" w:cs="Arial" w:eastAsia="Arial" w:hAnsi="Arial"/>
          <w:sz w:val="17"/>
          <w:szCs w:val="17"/>
          <w:color w:val="auto"/>
        </w:rPr>
        <w:t>. The Borrower will conduct reviews of the value to be assigned to each of its Portfolio Investments as follows:</w:t>
      </w:r>
    </w:p>
    <w:p>
      <w:pPr>
        <w:spacing w:after="0" w:line="169"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66" w:name="page167"/>
    <w:bookmarkEnd w:id="166"/>
    <w:p>
      <w:pPr>
        <w:ind w:left="-280" w:right="580" w:firstLine="421"/>
        <w:spacing w:after="0" w:line="259" w:lineRule="auto"/>
        <w:tabs>
          <w:tab w:leader="none" w:pos="435"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Quoted Investments—External Review</w:t>
      </w:r>
      <w:r>
        <w:rPr>
          <w:rFonts w:ascii="Arial" w:cs="Arial" w:eastAsia="Arial" w:hAnsi="Arial"/>
          <w:sz w:val="18"/>
          <w:szCs w:val="18"/>
          <w:color w:val="auto"/>
        </w:rPr>
        <w:t>. With respect to Portfolio Investments (including Cash Equivalents) for which market quotations are readily available, the Borrower shall, not less frequently than once each calendar week, determine the market value of such Portfolio Investments which shall, in each case, be determined in accordance with one of the following methodologies (as selected by the Borrower):</w:t>
      </w:r>
    </w:p>
    <w:p>
      <w:pPr>
        <w:spacing w:after="0" w:line="78" w:lineRule="exact"/>
        <w:rPr>
          <w:rFonts w:ascii="Arial" w:cs="Arial" w:eastAsia="Arial" w:hAnsi="Arial"/>
          <w:sz w:val="18"/>
          <w:szCs w:val="18"/>
          <w:color w:val="auto"/>
        </w:rPr>
      </w:pPr>
    </w:p>
    <w:p>
      <w:pPr>
        <w:ind w:left="300" w:right="120" w:firstLine="389"/>
        <w:spacing w:after="0" w:line="277" w:lineRule="auto"/>
        <w:tabs>
          <w:tab w:leader="none" w:pos="992" w:val="left"/>
        </w:tabs>
        <w:numPr>
          <w:ilvl w:val="1"/>
          <w:numId w:val="158"/>
        </w:numPr>
        <w:rPr>
          <w:rFonts w:ascii="Arial" w:cs="Arial" w:eastAsia="Arial" w:hAnsi="Arial"/>
          <w:sz w:val="18"/>
          <w:szCs w:val="18"/>
          <w:color w:val="auto"/>
        </w:rPr>
      </w:pPr>
      <w:r>
        <w:rPr>
          <w:rFonts w:ascii="Arial" w:cs="Arial" w:eastAsia="Arial" w:hAnsi="Arial"/>
          <w:sz w:val="18"/>
          <w:szCs w:val="18"/>
          <w:color w:val="auto"/>
        </w:rPr>
        <w:t>in the case of public and 144A securities, the average of the bid prices as determined by two Approved Dealers selected by the Borrower,</w:t>
      </w:r>
    </w:p>
    <w:p>
      <w:pPr>
        <w:spacing w:after="0" w:line="62" w:lineRule="exact"/>
        <w:rPr>
          <w:rFonts w:ascii="Arial" w:cs="Arial" w:eastAsia="Arial" w:hAnsi="Arial"/>
          <w:sz w:val="18"/>
          <w:szCs w:val="18"/>
          <w:color w:val="auto"/>
        </w:rPr>
      </w:pPr>
    </w:p>
    <w:p>
      <w:pPr>
        <w:ind w:left="940" w:hanging="251"/>
        <w:spacing w:after="0"/>
        <w:tabs>
          <w:tab w:leader="none" w:pos="94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in the case of bank loans, the bid price as determined by one Approved Dealer selected by the Borrower,</w:t>
      </w:r>
    </w:p>
    <w:p>
      <w:pPr>
        <w:spacing w:after="0" w:line="117" w:lineRule="exact"/>
        <w:rPr>
          <w:rFonts w:ascii="Arial" w:cs="Arial" w:eastAsia="Arial" w:hAnsi="Arial"/>
          <w:sz w:val="18"/>
          <w:szCs w:val="18"/>
          <w:color w:val="auto"/>
        </w:rPr>
      </w:pPr>
    </w:p>
    <w:p>
      <w:pPr>
        <w:ind w:left="300" w:right="360" w:firstLine="389"/>
        <w:spacing w:after="0" w:line="277" w:lineRule="auto"/>
        <w:tabs>
          <w:tab w:leader="none" w:pos="952" w:val="left"/>
        </w:tabs>
        <w:numPr>
          <w:ilvl w:val="1"/>
          <w:numId w:val="158"/>
        </w:numPr>
        <w:rPr>
          <w:rFonts w:ascii="Arial" w:cs="Arial" w:eastAsia="Arial" w:hAnsi="Arial"/>
          <w:sz w:val="18"/>
          <w:szCs w:val="18"/>
          <w:color w:val="auto"/>
        </w:rPr>
      </w:pPr>
      <w:r>
        <w:rPr>
          <w:rFonts w:ascii="Arial" w:cs="Arial" w:eastAsia="Arial" w:hAnsi="Arial"/>
          <w:sz w:val="18"/>
          <w:szCs w:val="18"/>
          <w:color w:val="auto"/>
        </w:rPr>
        <w:t>in the case of any Portfolio Investment traded on an exchange, the closing price for such Portfolio Investment most recently posted on such exchange, and</w:t>
      </w:r>
    </w:p>
    <w:p>
      <w:pPr>
        <w:spacing w:after="0" w:line="62" w:lineRule="exact"/>
        <w:rPr>
          <w:rFonts w:ascii="Arial" w:cs="Arial" w:eastAsia="Arial" w:hAnsi="Arial"/>
          <w:sz w:val="18"/>
          <w:szCs w:val="18"/>
          <w:color w:val="auto"/>
        </w:rPr>
      </w:pPr>
    </w:p>
    <w:p>
      <w:pPr>
        <w:ind w:left="940" w:hanging="251"/>
        <w:spacing w:after="0"/>
        <w:tabs>
          <w:tab w:leader="none" w:pos="940" w:val="left"/>
        </w:tabs>
        <w:numPr>
          <w:ilvl w:val="1"/>
          <w:numId w:val="158"/>
        </w:numPr>
        <w:rPr>
          <w:rFonts w:ascii="Arial" w:cs="Arial" w:eastAsia="Arial" w:hAnsi="Arial"/>
          <w:sz w:val="16"/>
          <w:szCs w:val="16"/>
          <w:color w:val="auto"/>
        </w:rPr>
      </w:pPr>
      <w:r>
        <w:rPr>
          <w:rFonts w:ascii="Arial" w:cs="Arial" w:eastAsia="Arial" w:hAnsi="Arial"/>
          <w:sz w:val="16"/>
          <w:szCs w:val="16"/>
          <w:color w:val="auto"/>
        </w:rPr>
        <w:t>in the case of any other Portfolio Investment, the fair market value thereof as determined by an Approved Pricing Service; and</w:t>
      </w:r>
    </w:p>
    <w:p>
      <w:pPr>
        <w:spacing w:after="0" w:line="140" w:lineRule="exact"/>
        <w:rPr>
          <w:rFonts w:ascii="Arial" w:cs="Arial" w:eastAsia="Arial" w:hAnsi="Arial"/>
          <w:sz w:val="16"/>
          <w:szCs w:val="16"/>
          <w:color w:val="auto"/>
        </w:rPr>
      </w:pPr>
    </w:p>
    <w:p>
      <w:pPr>
        <w:ind w:left="-280" w:right="100" w:firstLine="421"/>
        <w:spacing w:after="0" w:line="257" w:lineRule="auto"/>
        <w:tabs>
          <w:tab w:leader="none" w:pos="425"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Unquoted Investments- External Review</w:t>
      </w:r>
      <w:r>
        <w:rPr>
          <w:rFonts w:ascii="Arial" w:cs="Arial" w:eastAsia="Arial" w:hAnsi="Arial"/>
          <w:sz w:val="18"/>
          <w:szCs w:val="18"/>
          <w:color w:val="auto"/>
        </w:rPr>
        <w:t>. With respect to each Portfolio Investment for which market quotations are not readily available, the Borrower shall request an Approved Third-Party Appraiser to assist the Board of Directors of the Borrower in determining the fair market value of such Portfolio Investment, as at the last day of two non-consecutive fiscal quarters each calendar year in each case, and with respect to each calendar year, as selected by the Borrower in its sole discretion (with respect to such Portfolio Investment) (each, a “</w:t>
      </w:r>
      <w:r>
        <w:rPr>
          <w:rFonts w:ascii="Arial" w:cs="Arial" w:eastAsia="Arial" w:hAnsi="Arial"/>
          <w:sz w:val="18"/>
          <w:szCs w:val="18"/>
          <w:u w:val="single" w:color="auto"/>
          <w:color w:val="auto"/>
        </w:rPr>
        <w:t>Testing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Quarter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80" w:lineRule="exact"/>
        <w:rPr>
          <w:rFonts w:ascii="Arial" w:cs="Arial" w:eastAsia="Arial" w:hAnsi="Arial"/>
          <w:sz w:val="18"/>
          <w:szCs w:val="18"/>
          <w:color w:val="auto"/>
        </w:rPr>
      </w:pPr>
    </w:p>
    <w:p>
      <w:pPr>
        <w:ind w:left="940" w:hanging="251"/>
        <w:spacing w:after="0"/>
        <w:tabs>
          <w:tab w:leader="none" w:pos="94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Value of any such Portfolio Investment (i.e., a Portfolio Investment for which market quotations are not readily</w:t>
      </w:r>
    </w:p>
    <w:p>
      <w:pPr>
        <w:spacing w:after="0" w:line="23" w:lineRule="exact"/>
        <w:rPr>
          <w:sz w:val="20"/>
          <w:szCs w:val="20"/>
          <w:color w:val="auto"/>
        </w:rPr>
      </w:pPr>
    </w:p>
    <w:p>
      <w:pPr>
        <w:ind w:left="300" w:right="220"/>
        <w:spacing w:after="0" w:line="255" w:lineRule="auto"/>
        <w:rPr>
          <w:sz w:val="20"/>
          <w:szCs w:val="20"/>
          <w:color w:val="auto"/>
        </w:rPr>
      </w:pPr>
      <w:r>
        <w:rPr>
          <w:rFonts w:ascii="Arial" w:cs="Arial" w:eastAsia="Arial" w:hAnsi="Arial"/>
          <w:sz w:val="18"/>
          <w:szCs w:val="18"/>
          <w:color w:val="auto"/>
        </w:rPr>
        <w:t xml:space="preserve">available) acquired shall be deemed to be equal to the cost of such Portfolio Investment until such time as the fair market value of such Portfolio Investment is determined in accordance with the foregoing provisions of this </w:t>
      </w:r>
      <w:r>
        <w:rPr>
          <w:rFonts w:ascii="Arial" w:cs="Arial" w:eastAsia="Arial" w:hAnsi="Arial"/>
          <w:sz w:val="18"/>
          <w:szCs w:val="18"/>
          <w:u w:val="single" w:color="auto"/>
          <w:color w:val="auto"/>
        </w:rPr>
        <w:t>sub-clause (B)</w:t>
      </w:r>
      <w:r>
        <w:rPr>
          <w:rFonts w:ascii="Arial" w:cs="Arial" w:eastAsia="Arial" w:hAnsi="Arial"/>
          <w:sz w:val="18"/>
          <w:szCs w:val="18"/>
          <w:color w:val="auto"/>
        </w:rPr>
        <w:t xml:space="preserve"> as at the last day of the next succeeding Testing Quarter with respect to such Portfolio Investment;</w:t>
      </w:r>
    </w:p>
    <w:p>
      <w:pPr>
        <w:spacing w:after="0" w:line="82" w:lineRule="exact"/>
        <w:rPr>
          <w:sz w:val="20"/>
          <w:szCs w:val="20"/>
          <w:color w:val="auto"/>
        </w:rPr>
      </w:pPr>
    </w:p>
    <w:p>
      <w:pPr>
        <w:ind w:left="300" w:right="60" w:firstLine="389"/>
        <w:spacing w:after="0" w:line="276" w:lineRule="auto"/>
        <w:tabs>
          <w:tab w:leader="none" w:pos="952" w:val="left"/>
        </w:tabs>
        <w:numPr>
          <w:ilvl w:val="0"/>
          <w:numId w:val="160"/>
        </w:numPr>
        <w:rPr>
          <w:rFonts w:ascii="Arial" w:cs="Arial" w:eastAsia="Arial" w:hAnsi="Arial"/>
          <w:sz w:val="17"/>
          <w:szCs w:val="17"/>
          <w:color w:val="auto"/>
        </w:rPr>
      </w:pPr>
      <w:r>
        <w:rPr>
          <w:rFonts w:ascii="Arial" w:cs="Arial" w:eastAsia="Arial" w:hAnsi="Arial"/>
          <w:sz w:val="17"/>
          <w:szCs w:val="17"/>
          <w:color w:val="auto"/>
        </w:rPr>
        <w:t>notwithstanding the foregoing, the Board of Directors of the Borrower may, without the assistance of an Approved Third-Party Appraiser, determine the fair market value of such unquoted Portfolio Investment so long as the aggregate Value thereof of all such Portfolio Investments so determined does not at any time exceed 10% of the aggregate Borrowing Base, except that the fair market value of any Portfolio Investment that has been determined without the assistance of an Approved Third-Party Appraiser as at the last day of any Testing Quarter with respect to such Portfolio Investment shall be deemed to be zero as at</w:t>
      </w:r>
    </w:p>
    <w:p>
      <w:pPr>
        <w:spacing w:after="0" w:line="105" w:lineRule="exact"/>
        <w:rPr>
          <w:sz w:val="20"/>
          <w:szCs w:val="20"/>
          <w:color w:val="auto"/>
        </w:rPr>
      </w:pPr>
    </w:p>
    <w:p>
      <w:pPr>
        <w:jc w:val="both"/>
        <w:ind w:left="4660"/>
        <w:spacing w:after="0"/>
        <w:tabs>
          <w:tab w:leader="none" w:pos="8160" w:val="left"/>
        </w:tabs>
        <w:rPr>
          <w:sz w:val="20"/>
          <w:szCs w:val="20"/>
          <w:color w:val="auto"/>
        </w:rPr>
      </w:pPr>
      <w:r>
        <w:rPr>
          <w:rFonts w:ascii="Arial" w:cs="Arial" w:eastAsia="Arial" w:hAnsi="Arial"/>
          <w:sz w:val="18"/>
          <w:szCs w:val="18"/>
          <w:color w:val="auto"/>
        </w:rPr>
        <w:t>80</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220"/>
          </w:cols>
          <w:pgMar w:left="1440" w:top="274" w:right="239" w:bottom="1440" w:gutter="0" w:footer="0" w:header="0"/>
        </w:sectPr>
      </w:pPr>
    </w:p>
    <w:bookmarkStart w:id="167" w:name="page168"/>
    <w:bookmarkEnd w:id="167"/>
    <w:p>
      <w:pPr>
        <w:ind w:left="300"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last day of the immediately succeeding Testing Quarter with respect to such Portfolio Investment (but effective upon the date upon which the Borrowing Base Certificate for such last day is required to be delivered hereunder) if an Approved Third-Party Appraiser has not assisted the Board of Directors of the Borrower in determining the fair market value of such Portfolio Investments, as at such date; and</w:t>
      </w:r>
    </w:p>
    <w:p>
      <w:pPr>
        <w:spacing w:after="0" w:line="79" w:lineRule="exact"/>
        <w:rPr>
          <w:sz w:val="20"/>
          <w:szCs w:val="20"/>
          <w:color w:val="auto"/>
        </w:rPr>
      </w:pPr>
    </w:p>
    <w:p>
      <w:pPr>
        <w:ind w:left="300" w:right="40" w:firstLine="389"/>
        <w:spacing w:after="0" w:line="308" w:lineRule="auto"/>
        <w:tabs>
          <w:tab w:leader="none" w:pos="942" w:val="left"/>
        </w:tabs>
        <w:numPr>
          <w:ilvl w:val="1"/>
          <w:numId w:val="161"/>
        </w:numPr>
        <w:rPr>
          <w:rFonts w:ascii="Arial" w:cs="Arial" w:eastAsia="Arial" w:hAnsi="Arial"/>
          <w:sz w:val="17"/>
          <w:szCs w:val="17"/>
          <w:color w:val="auto"/>
        </w:rPr>
      </w:pPr>
      <w:r>
        <w:rPr>
          <w:rFonts w:ascii="Arial" w:cs="Arial" w:eastAsia="Arial" w:hAnsi="Arial"/>
          <w:sz w:val="17"/>
          <w:szCs w:val="17"/>
          <w:color w:val="auto"/>
        </w:rPr>
        <w:t>no Testing Quarter with respect to any Portfolio Investment for which market quotations are not readily available shall end more than six months following the end of the immediately preceding Testing Quarter for such Portfolio Investment.</w:t>
      </w:r>
    </w:p>
    <w:p>
      <w:pPr>
        <w:spacing w:after="0" w:line="38" w:lineRule="exact"/>
        <w:rPr>
          <w:rFonts w:ascii="Arial" w:cs="Arial" w:eastAsia="Arial" w:hAnsi="Arial"/>
          <w:sz w:val="17"/>
          <w:szCs w:val="17"/>
          <w:color w:val="auto"/>
        </w:rPr>
      </w:pPr>
    </w:p>
    <w:p>
      <w:pPr>
        <w:ind w:left="-280" w:right="60" w:firstLine="421"/>
        <w:spacing w:after="0" w:line="270" w:lineRule="auto"/>
        <w:tabs>
          <w:tab w:leader="none" w:pos="425" w:val="left"/>
        </w:tabs>
        <w:numPr>
          <w:ilvl w:val="0"/>
          <w:numId w:val="162"/>
        </w:numPr>
        <w:rPr>
          <w:rFonts w:ascii="Arial" w:cs="Arial" w:eastAsia="Arial" w:hAnsi="Arial"/>
          <w:sz w:val="17"/>
          <w:szCs w:val="17"/>
          <w:color w:val="auto"/>
        </w:rPr>
      </w:pPr>
      <w:r>
        <w:rPr>
          <w:rFonts w:ascii="Arial" w:cs="Arial" w:eastAsia="Arial" w:hAnsi="Arial"/>
          <w:sz w:val="17"/>
          <w:szCs w:val="17"/>
          <w:u w:val="single" w:color="auto"/>
          <w:color w:val="auto"/>
        </w:rPr>
        <w:t>Internal Review</w:t>
      </w:r>
      <w:r>
        <w:rPr>
          <w:rFonts w:ascii="Arial" w:cs="Arial" w:eastAsia="Arial" w:hAnsi="Arial"/>
          <w:sz w:val="17"/>
          <w:szCs w:val="17"/>
          <w:color w:val="auto"/>
        </w:rPr>
        <w:t xml:space="preserve">. The Borrower shall conduct internal reviews of all Portfolio Investments at least once each calendar week which shall take into account any events of which the Borrower has knowledge that adversely affect the value of the Portfolio Investments. If the value of any Portfolio Investment as most recently determined by the Borrower pursuant to this </w:t>
      </w:r>
      <w:r>
        <w:rPr>
          <w:rFonts w:ascii="Arial" w:cs="Arial" w:eastAsia="Arial" w:hAnsi="Arial"/>
          <w:sz w:val="17"/>
          <w:szCs w:val="17"/>
          <w:u w:val="single" w:color="auto"/>
          <w:color w:val="auto"/>
        </w:rPr>
        <w:t>Section 5.12(b)(ii)(C)</w:t>
      </w:r>
      <w:r>
        <w:rPr>
          <w:rFonts w:ascii="Arial" w:cs="Arial" w:eastAsia="Arial" w:hAnsi="Arial"/>
          <w:sz w:val="17"/>
          <w:szCs w:val="17"/>
          <w:color w:val="auto"/>
        </w:rPr>
        <w:t xml:space="preserve"> is lower than the value of such Portfolio Investment as most recently determined pursuant to </w:t>
      </w:r>
      <w:r>
        <w:rPr>
          <w:rFonts w:ascii="Arial" w:cs="Arial" w:eastAsia="Arial" w:hAnsi="Arial"/>
          <w:sz w:val="17"/>
          <w:szCs w:val="17"/>
          <w:u w:val="single" w:color="auto"/>
          <w:color w:val="auto"/>
        </w:rPr>
        <w:t>Section 5.12(b)(ii)(A)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such lower value shall be deemed to be the “Value” of such Portfolio Investment for purposes 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Value of any Portfolio Investment of the Borrower and its Subsidiaries shall be increased by the net unrealized gain as at the date such Value is determined of any Hedging Agreement entered into to hedge risks associated with such Portfolio Investment and reduced by the net unrealized loss as at such date of any such Hedging Agreement (such net unrealized gain or net unrealized loss, on any date, to be equal to the aggregate amount receivable or payable under the related Hedging Agreement if the same were terminated on such date).</w:t>
      </w:r>
    </w:p>
    <w:p>
      <w:pPr>
        <w:spacing w:after="0" w:line="73" w:lineRule="exact"/>
        <w:rPr>
          <w:rFonts w:ascii="Arial" w:cs="Arial" w:eastAsia="Arial" w:hAnsi="Arial"/>
          <w:sz w:val="17"/>
          <w:szCs w:val="17"/>
          <w:color w:val="auto"/>
        </w:rPr>
      </w:pPr>
    </w:p>
    <w:p>
      <w:pPr>
        <w:jc w:val="both"/>
        <w:ind w:left="-280" w:right="40" w:firstLine="421"/>
        <w:spacing w:after="0" w:line="264" w:lineRule="auto"/>
        <w:tabs>
          <w:tab w:leader="none" w:pos="435"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Failure to Determine Values</w:t>
      </w:r>
      <w:r>
        <w:rPr>
          <w:rFonts w:ascii="Arial" w:cs="Arial" w:eastAsia="Arial" w:hAnsi="Arial"/>
          <w:sz w:val="18"/>
          <w:szCs w:val="18"/>
          <w:color w:val="auto"/>
        </w:rPr>
        <w:t xml:space="preserve">. If the Borrower shall fail to (x) determine the value of any Portfolio Investment as at any date pursuant to the requirements of the foregoing </w:t>
      </w:r>
      <w:r>
        <w:rPr>
          <w:rFonts w:ascii="Arial" w:cs="Arial" w:eastAsia="Arial" w:hAnsi="Arial"/>
          <w:sz w:val="18"/>
          <w:szCs w:val="18"/>
          <w:u w:val="single" w:color="auto"/>
          <w:color w:val="auto"/>
        </w:rPr>
        <w:t>sub-clauses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then the “Value” of such Portfolio Investment as at such date shall be deemed to be zero.</w:t>
      </w:r>
    </w:p>
    <w:p>
      <w:pPr>
        <w:spacing w:after="0" w:line="73" w:lineRule="exact"/>
        <w:rPr>
          <w:rFonts w:ascii="Arial" w:cs="Arial" w:eastAsia="Arial" w:hAnsi="Arial"/>
          <w:sz w:val="18"/>
          <w:szCs w:val="18"/>
          <w:color w:val="auto"/>
        </w:rPr>
      </w:pPr>
    </w:p>
    <w:p>
      <w:pPr>
        <w:ind w:left="420" w:hanging="279"/>
        <w:spacing w:after="0"/>
        <w:tabs>
          <w:tab w:leader="none" w:pos="420"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Testing of Values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300" w:right="60" w:firstLine="389"/>
        <w:spacing w:after="0" w:line="255" w:lineRule="auto"/>
        <w:tabs>
          <w:tab w:leader="none" w:pos="952" w:val="left"/>
        </w:tabs>
        <w:numPr>
          <w:ilvl w:val="1"/>
          <w:numId w:val="162"/>
        </w:numPr>
        <w:rPr>
          <w:rFonts w:ascii="Arial" w:cs="Arial" w:eastAsia="Arial" w:hAnsi="Arial"/>
          <w:sz w:val="18"/>
          <w:szCs w:val="18"/>
          <w:color w:val="auto"/>
        </w:rPr>
      </w:pPr>
      <w:r>
        <w:rPr>
          <w:rFonts w:ascii="Arial" w:cs="Arial" w:eastAsia="Arial" w:hAnsi="Arial"/>
          <w:sz w:val="18"/>
          <w:szCs w:val="18"/>
          <w:color w:val="auto"/>
        </w:rPr>
        <w:t>For the second calendar month immediately following the end of each fiscal quarter (the last such fiscal quarter is referred to herein as, the “</w:t>
      </w:r>
      <w:r>
        <w:rPr>
          <w:rFonts w:ascii="Arial" w:cs="Arial" w:eastAsia="Arial" w:hAnsi="Arial"/>
          <w:sz w:val="18"/>
          <w:szCs w:val="18"/>
          <w:u w:val="single" w:color="auto"/>
          <w:color w:val="auto"/>
        </w:rPr>
        <w:t>Testing Period</w:t>
      </w:r>
      <w:r>
        <w:rPr>
          <w:rFonts w:ascii="Arial" w:cs="Arial" w:eastAsia="Arial" w:hAnsi="Arial"/>
          <w:sz w:val="18"/>
          <w:szCs w:val="18"/>
          <w:color w:val="auto"/>
        </w:rPr>
        <w:t xml:space="preserve">”), the Administrative Agent shall cause an Approved Third-Party Appraiser selected by the Administrative Agent to value such number of Unquoted Investments (selected by the Administrative Agent) that collectively have an aggregate Value approximately equal to the Calculation Amount. If there is a difference between the Borrower’s valuation and the Approved Third-Party Appraiser’s valuation of any Unquoted Investment, the Value of such Unquoted Investment for Borrowing Base purposes shall be established as set forth in </w:t>
      </w:r>
      <w:r>
        <w:rPr>
          <w:rFonts w:ascii="Arial" w:cs="Arial" w:eastAsia="Arial" w:hAnsi="Arial"/>
          <w:sz w:val="18"/>
          <w:szCs w:val="18"/>
          <w:u w:val="single" w:color="auto"/>
          <w:color w:val="auto"/>
        </w:rPr>
        <w:t>sub-clause (F)</w:t>
      </w:r>
      <w:r>
        <w:rPr>
          <w:rFonts w:ascii="Arial" w:cs="Arial" w:eastAsia="Arial" w:hAnsi="Arial"/>
          <w:sz w:val="18"/>
          <w:szCs w:val="18"/>
          <w:color w:val="auto"/>
        </w:rPr>
        <w:t xml:space="preserve"> below.</w:t>
      </w:r>
    </w:p>
    <w:p>
      <w:pPr>
        <w:spacing w:after="0" w:line="126" w:lineRule="exact"/>
        <w:rPr>
          <w:sz w:val="20"/>
          <w:szCs w:val="20"/>
          <w:color w:val="auto"/>
        </w:rPr>
      </w:pPr>
    </w:p>
    <w:p>
      <w:pPr>
        <w:jc w:val="both"/>
        <w:ind w:left="4660"/>
        <w:spacing w:after="0"/>
        <w:tabs>
          <w:tab w:leader="none" w:pos="816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220"/>
          </w:cols>
          <w:pgMar w:left="1440" w:top="274" w:right="239" w:bottom="1440" w:gutter="0" w:footer="0" w:header="0"/>
        </w:sectPr>
      </w:pPr>
    </w:p>
    <w:bookmarkStart w:id="168" w:name="page169"/>
    <w:bookmarkEnd w:id="168"/>
    <w:p>
      <w:pPr>
        <w:ind w:left="300" w:firstLine="389"/>
        <w:spacing w:after="0" w:line="284" w:lineRule="auto"/>
        <w:tabs>
          <w:tab w:leader="none" w:pos="952" w:val="left"/>
        </w:tabs>
        <w:numPr>
          <w:ilvl w:val="1"/>
          <w:numId w:val="16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avoidance of doubt, the valuation of any Approved Third-Party Appraiser selected by the Administrative Agent would not be as of, or delivered at, the end of any fiscal quarter. Any such valuation would be as of the end of the second month immediately following any fiscal quarter (the “</w:t>
      </w:r>
      <w:r>
        <w:rPr>
          <w:rFonts w:ascii="Arial" w:cs="Arial" w:eastAsia="Arial" w:hAnsi="Arial"/>
          <w:sz w:val="16"/>
          <w:szCs w:val="16"/>
          <w:u w:val="single" w:color="auto"/>
          <w:color w:val="auto"/>
        </w:rPr>
        <w:t>Administrative Agent Appraisal Testing Period</w:t>
      </w:r>
      <w:r>
        <w:rPr>
          <w:rFonts w:ascii="Arial" w:cs="Arial" w:eastAsia="Arial" w:hAnsi="Arial"/>
          <w:sz w:val="16"/>
          <w:szCs w:val="16"/>
          <w:color w:val="auto"/>
        </w:rPr>
        <w:t>”) and would be reflected in the Borrowing Base Certificate for such month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Approved Third-Party Appraiser delivers such valuation at least seven (7) Business Days before the 20</w:t>
      </w:r>
      <w:r>
        <w:rPr>
          <w:rFonts w:ascii="Arial" w:cs="Arial" w:eastAsia="Arial" w:hAnsi="Arial"/>
          <w:sz w:val="13"/>
          <w:szCs w:val="13"/>
          <w:color w:val="auto"/>
        </w:rPr>
        <w:t>th</w:t>
      </w:r>
      <w:r>
        <w:rPr>
          <w:rFonts w:ascii="Arial" w:cs="Arial" w:eastAsia="Arial" w:hAnsi="Arial"/>
          <w:sz w:val="16"/>
          <w:szCs w:val="16"/>
          <w:color w:val="auto"/>
        </w:rPr>
        <w:t xml:space="preserve"> day after the end of the applicable monthly accounting period and, if such valuation is delivered after such time, it shall be included in the Borrowing Base Certificate for the following monthly period and applied to the then applicable balance of the related Portfolio Investment). For illustrative purposes, if the given fiscal quarter is the fourth quarter ending on December 31, 2012, then</w:t>
      </w:r>
    </w:p>
    <w:p>
      <w:pPr>
        <w:spacing w:after="0" w:line="2" w:lineRule="exact"/>
        <w:rPr>
          <w:rFonts w:ascii="Arial" w:cs="Arial" w:eastAsia="Arial" w:hAnsi="Arial"/>
          <w:sz w:val="16"/>
          <w:szCs w:val="16"/>
          <w:color w:val="auto"/>
        </w:rPr>
      </w:pPr>
    </w:p>
    <w:p>
      <w:pPr>
        <w:ind w:left="580" w:hanging="288"/>
        <w:spacing w:after="0"/>
        <w:tabs>
          <w:tab w:leader="none" w:pos="58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the Administrative Agent would initiate the testing of Values (using the December 31, 2012 Calculation Values for purposes of</w:t>
      </w:r>
    </w:p>
    <w:p>
      <w:pPr>
        <w:spacing w:after="0" w:line="20" w:lineRule="exact"/>
        <w:rPr>
          <w:rFonts w:ascii="Arial" w:cs="Arial" w:eastAsia="Arial" w:hAnsi="Arial"/>
          <w:sz w:val="17"/>
          <w:szCs w:val="17"/>
          <w:color w:val="auto"/>
        </w:rPr>
      </w:pPr>
    </w:p>
    <w:p>
      <w:pPr>
        <w:ind w:left="300" w:right="20"/>
        <w:spacing w:after="0" w:line="253" w:lineRule="auto"/>
        <w:rPr>
          <w:rFonts w:ascii="Arial" w:cs="Arial" w:eastAsia="Arial" w:hAnsi="Arial"/>
          <w:sz w:val="17"/>
          <w:szCs w:val="17"/>
          <w:color w:val="auto"/>
        </w:rPr>
      </w:pPr>
      <w:r>
        <w:rPr>
          <w:rFonts w:ascii="Arial" w:cs="Arial" w:eastAsia="Arial" w:hAnsi="Arial"/>
          <w:sz w:val="18"/>
          <w:szCs w:val="18"/>
          <w:color w:val="auto"/>
        </w:rPr>
        <w:t>determining the scope of the testing under clauses (E)(x) during the month of February with the anticipation of receiving the valuations from the applicable Approved Third-Party Appraiser(s) on or after February 28, 2013 and (B)(xx) if such valuations were received before the 7th Business Day before March 20, 2013, such valuations would be included in the March 20, 2013 Borrowing Base Certificate covering the month of February, or (yy) if such valuations were received after such time, they would be included in the April 20, 2013 Borrowing Base Certificate for the month of March.</w:t>
      </w:r>
    </w:p>
    <w:p>
      <w:pPr>
        <w:spacing w:after="0" w:line="83" w:lineRule="exact"/>
        <w:rPr>
          <w:sz w:val="20"/>
          <w:szCs w:val="20"/>
          <w:color w:val="auto"/>
        </w:rPr>
      </w:pPr>
    </w:p>
    <w:p>
      <w:pPr>
        <w:ind w:left="300" w:right="80"/>
        <w:spacing w:after="0" w:line="277" w:lineRule="auto"/>
        <w:rPr>
          <w:sz w:val="20"/>
          <w:szCs w:val="20"/>
          <w:color w:val="auto"/>
        </w:rPr>
      </w:pPr>
      <w:r>
        <w:rPr>
          <w:rFonts w:ascii="Arial" w:cs="Arial" w:eastAsia="Arial" w:hAnsi="Arial"/>
          <w:sz w:val="18"/>
          <w:szCs w:val="18"/>
          <w:color w:val="auto"/>
        </w:rPr>
        <w:t xml:space="preserve">For the avoidance of doubt, all calculations of value pursuant to this </w:t>
      </w:r>
      <w:r>
        <w:rPr>
          <w:rFonts w:ascii="Arial" w:cs="Arial" w:eastAsia="Arial" w:hAnsi="Arial"/>
          <w:sz w:val="18"/>
          <w:szCs w:val="18"/>
          <w:u w:val="single" w:color="auto"/>
          <w:color w:val="auto"/>
        </w:rPr>
        <w:t>Section 5.12(b)(ii)(E)</w:t>
      </w:r>
      <w:r>
        <w:rPr>
          <w:rFonts w:ascii="Arial" w:cs="Arial" w:eastAsia="Arial" w:hAnsi="Arial"/>
          <w:sz w:val="18"/>
          <w:szCs w:val="18"/>
          <w:color w:val="auto"/>
        </w:rPr>
        <w:t xml:space="preserve"> shall be determined without application of the Advance Rates.</w:t>
      </w:r>
    </w:p>
    <w:p>
      <w:pPr>
        <w:spacing w:after="0" w:line="62" w:lineRule="exact"/>
        <w:rPr>
          <w:sz w:val="20"/>
          <w:szCs w:val="20"/>
          <w:color w:val="auto"/>
        </w:rPr>
      </w:pPr>
    </w:p>
    <w:p>
      <w:pPr>
        <w:ind w:left="-280" w:right="160" w:firstLine="421"/>
        <w:spacing w:after="0" w:line="288" w:lineRule="auto"/>
        <w:tabs>
          <w:tab w:leader="none" w:pos="405" w:val="left"/>
        </w:tabs>
        <w:numPr>
          <w:ilvl w:val="0"/>
          <w:numId w:val="165"/>
        </w:numPr>
        <w:rPr>
          <w:rFonts w:ascii="Arial" w:cs="Arial" w:eastAsia="Arial" w:hAnsi="Arial"/>
          <w:sz w:val="16"/>
          <w:szCs w:val="16"/>
          <w:color w:val="auto"/>
        </w:rPr>
      </w:pPr>
      <w:r>
        <w:rPr>
          <w:rFonts w:ascii="Arial" w:cs="Arial" w:eastAsia="Arial" w:hAnsi="Arial"/>
          <w:sz w:val="16"/>
          <w:szCs w:val="16"/>
          <w:u w:val="single" w:color="auto"/>
          <w:color w:val="auto"/>
        </w:rPr>
        <w:t>Valuation Dispute Resolution</w:t>
      </w:r>
      <w:r>
        <w:rPr>
          <w:rFonts w:ascii="Arial" w:cs="Arial" w:eastAsia="Arial" w:hAnsi="Arial"/>
          <w:sz w:val="16"/>
          <w:szCs w:val="16"/>
          <w:color w:val="auto"/>
        </w:rPr>
        <w:t xml:space="preserve">. Notwithstanding the foregoing, the Administrative Agent shall at any time have the right to request any Unquoted Investment be independently valued by an Approved Third-Party Appraiser selected by the Administrative Agent. There shall be no limit on the number of such appraisals requested by the Administrative Agent and the costs of any such valuation shall be at the expense of the Borrower. If the difference between the Borrower’s valuation pursuant to </w:t>
      </w:r>
      <w:r>
        <w:rPr>
          <w:rFonts w:ascii="Arial" w:cs="Arial" w:eastAsia="Arial" w:hAnsi="Arial"/>
          <w:sz w:val="16"/>
          <w:szCs w:val="16"/>
          <w:u w:val="single" w:color="auto"/>
          <w:color w:val="auto"/>
        </w:rPr>
        <w:t>Section 5.12(b)(ii)(B)</w:t>
      </w:r>
      <w:r>
        <w:rPr>
          <w:rFonts w:ascii="Arial" w:cs="Arial" w:eastAsia="Arial" w:hAnsi="Arial"/>
          <w:sz w:val="16"/>
          <w:szCs w:val="16"/>
          <w:color w:val="auto"/>
        </w:rPr>
        <w:t xml:space="preserve"> and the valuation of any Approved Third-Party Appraiser selected by the Administrative Agent pursuant to </w:t>
      </w:r>
      <w:r>
        <w:rPr>
          <w:rFonts w:ascii="Arial" w:cs="Arial" w:eastAsia="Arial" w:hAnsi="Arial"/>
          <w:sz w:val="16"/>
          <w:szCs w:val="16"/>
          <w:u w:val="single" w:color="auto"/>
          <w:color w:val="auto"/>
        </w:rPr>
        <w:t>Section 5.12(b)(ii)(E)</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(F)</w:t>
      </w:r>
      <w:r>
        <w:rPr>
          <w:rFonts w:ascii="Arial" w:cs="Arial" w:eastAsia="Arial" w:hAnsi="Arial"/>
          <w:sz w:val="16"/>
          <w:szCs w:val="16"/>
          <w:color w:val="auto"/>
        </w:rPr>
        <w:t xml:space="preserve"> is (1) less than 5% of the value thereof, then the Borrower’s valuation shall be used, (2) between 5% and 20% of the value thereof, then the valuation of such Portfolio Investment shall be the average of the value determined by the Borrower and the value determined by the Approved Third-Party Appraiser retained by the Administrative Agent and (3) greater than 20% of the value thereof, then the Borrower and the Administrative Agent shall select an additional Approved Third-Party Appraiser and the valuation of such Portfolio Investment shall be the average of the three valuations (with the Administrative Agent’s Approved Third-Party Appraiser’s valuation to be used until the third valuation is obtained).</w:t>
      </w:r>
    </w:p>
    <w:p>
      <w:pPr>
        <w:spacing w:after="0" w:line="102" w:lineRule="exact"/>
        <w:rPr>
          <w:sz w:val="20"/>
          <w:szCs w:val="20"/>
          <w:color w:val="auto"/>
        </w:rPr>
      </w:pPr>
    </w:p>
    <w:p>
      <w:pPr>
        <w:jc w:val="both"/>
        <w:ind w:left="4660"/>
        <w:spacing w:after="0"/>
        <w:tabs>
          <w:tab w:leader="none" w:pos="81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220"/>
          </w:cols>
          <w:pgMar w:left="1440" w:top="274" w:right="239" w:bottom="1440" w:gutter="0" w:footer="0" w:header="0"/>
        </w:sectPr>
      </w:pPr>
    </w:p>
    <w:bookmarkStart w:id="169" w:name="page170"/>
    <w:bookmarkEnd w:id="169"/>
    <w:p>
      <w:pPr>
        <w:ind w:right="20" w:firstLine="921"/>
        <w:spacing w:after="0" w:line="264" w:lineRule="auto"/>
        <w:tabs>
          <w:tab w:leader="none" w:pos="1157"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RIC Diversification Requirements</w:t>
      </w:r>
      <w:r>
        <w:rPr>
          <w:rFonts w:ascii="Arial" w:cs="Arial" w:eastAsia="Arial" w:hAnsi="Arial"/>
          <w:sz w:val="18"/>
          <w:szCs w:val="18"/>
          <w:color w:val="auto"/>
        </w:rPr>
        <w:t>. The Borrower will, and will cause its Subsidiaries (other than Financing Subsidiaries that are exempt from the Investment Company Act) at all times to, subject to applicable grace periods set forth in the Code, comply with the portfolio diversification requirements set forth in the Code applicable to RICs, to the extent applicable.</w:t>
      </w:r>
    </w:p>
    <w:p>
      <w:pPr>
        <w:spacing w:after="0" w:line="181" w:lineRule="exact"/>
        <w:rPr>
          <w:sz w:val="20"/>
          <w:szCs w:val="20"/>
          <w:color w:val="auto"/>
        </w:rPr>
      </w:pPr>
    </w:p>
    <w:p>
      <w:pPr>
        <w:jc w:val="both"/>
        <w:ind w:right="220" w:firstLine="913"/>
        <w:spacing w:after="0" w:line="264"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Calculation of Borrowing Base</w:t>
      </w:r>
      <w:r>
        <w:rPr>
          <w:rFonts w:ascii="Arial" w:cs="Arial" w:eastAsia="Arial" w:hAnsi="Arial"/>
          <w:sz w:val="18"/>
          <w:szCs w:val="18"/>
          <w:color w:val="auto"/>
        </w:rPr>
        <w:t>. For purposes of this Agreement, the “</w:t>
      </w:r>
      <w:r>
        <w:rPr>
          <w:rFonts w:ascii="Arial" w:cs="Arial" w:eastAsia="Arial" w:hAnsi="Arial"/>
          <w:sz w:val="18"/>
          <w:szCs w:val="18"/>
          <w:u w:val="single" w:color="auto"/>
          <w:color w:val="auto"/>
        </w:rPr>
        <w:t>Borrowing Base</w:t>
      </w:r>
      <w:r>
        <w:rPr>
          <w:rFonts w:ascii="Arial" w:cs="Arial" w:eastAsia="Arial" w:hAnsi="Arial"/>
          <w:sz w:val="18"/>
          <w:szCs w:val="18"/>
          <w:color w:val="auto"/>
        </w:rPr>
        <w:t xml:space="preserve">” shall be determined, as at any date of determination, as the sum of the Advance Rates of the Value of each Portfolio Investment (excluding any Cash Collateral held by the Administrative Agent pursuant to </w:t>
      </w:r>
      <w:r>
        <w:rPr>
          <w:rFonts w:ascii="Arial" w:cs="Arial" w:eastAsia="Arial" w:hAnsi="Arial"/>
          <w:sz w:val="18"/>
          <w:szCs w:val="18"/>
          <w:u w:val="single" w:color="auto"/>
          <w:color w:val="auto"/>
        </w:rPr>
        <w:t>Section 2.05(k)</w:t>
      </w:r>
      <w:r>
        <w:rPr>
          <w:rFonts w:ascii="Arial" w:cs="Arial" w:eastAsia="Arial" w:hAnsi="Arial"/>
          <w:sz w:val="18"/>
          <w:szCs w:val="18"/>
          <w:color w:val="auto"/>
        </w:rPr>
        <w:t xml:space="preserve"> or the last paragraph of </w:t>
      </w:r>
      <w:r>
        <w:rPr>
          <w:rFonts w:ascii="Arial" w:cs="Arial" w:eastAsia="Arial" w:hAnsi="Arial"/>
          <w:sz w:val="18"/>
          <w:szCs w:val="18"/>
          <w:u w:val="single" w:color="auto"/>
          <w:color w:val="auto"/>
        </w:rPr>
        <w:t>Section 2.09(a)</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73" w:lineRule="exact"/>
        <w:rPr>
          <w:sz w:val="20"/>
          <w:szCs w:val="20"/>
          <w:color w:val="auto"/>
        </w:rPr>
      </w:pPr>
    </w:p>
    <w:p>
      <w:pPr>
        <w:ind w:right="40" w:firstLine="921"/>
        <w:spacing w:after="0" w:line="257" w:lineRule="auto"/>
        <w:tabs>
          <w:tab w:leader="none" w:pos="1158"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Advance Rate applicable to that portion of the aggregate Value of the Portfolio Investments in a consolidated group of corporations or other entities (collectively, a “</w:t>
      </w:r>
      <w:r>
        <w:rPr>
          <w:rFonts w:ascii="Arial" w:cs="Arial" w:eastAsia="Arial" w:hAnsi="Arial"/>
          <w:sz w:val="18"/>
          <w:szCs w:val="18"/>
          <w:u w:val="single" w:color="auto"/>
          <w:color w:val="auto"/>
        </w:rPr>
        <w:t>Consolidated Group</w:t>
      </w:r>
      <w:r>
        <w:rPr>
          <w:rFonts w:ascii="Arial" w:cs="Arial" w:eastAsia="Arial" w:hAnsi="Arial"/>
          <w:sz w:val="18"/>
          <w:szCs w:val="18"/>
          <w:color w:val="auto"/>
        </w:rPr>
        <w:t xml:space="preserve">”), in accordance with GAAP, that exceeds 10% of Shareholders’ Equity of the Borrower (which, for purposes of this calculation shall exclude the aggregate amount of investments in, and advances to, Financing Subsidiaries) shall be 50% of the Advance Rate otherwise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the Portfolio Investments in a single Consolidated Group designated by the Borrower to the Administrative Agent such 10% figure shall be increased to 12.5%;</w:t>
      </w:r>
    </w:p>
    <w:p>
      <w:pPr>
        <w:spacing w:after="0" w:line="80" w:lineRule="exact"/>
        <w:rPr>
          <w:rFonts w:ascii="Arial" w:cs="Arial" w:eastAsia="Arial" w:hAnsi="Arial"/>
          <w:sz w:val="18"/>
          <w:szCs w:val="18"/>
          <w:color w:val="auto"/>
        </w:rPr>
      </w:pPr>
    </w:p>
    <w:p>
      <w:pPr>
        <w:ind w:right="260" w:firstLine="921"/>
        <w:spacing w:after="0" w:line="264" w:lineRule="auto"/>
        <w:tabs>
          <w:tab w:leader="none" w:pos="1168"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Advance Rate applicable to that portion of the aggregate Value of the Portfolio Investments of all issuers in a Consolidated Group exceeding 20% of Shareholders’ Equity of the Borrower (which, for purposes of this calculation shall exclude the aggregate amount of investments in, and advances to, Financing Subsidiaries) shall be 0%;</w:t>
      </w:r>
    </w:p>
    <w:p>
      <w:pPr>
        <w:spacing w:after="0" w:line="73" w:lineRule="exact"/>
        <w:rPr>
          <w:rFonts w:ascii="Arial" w:cs="Arial" w:eastAsia="Arial" w:hAnsi="Arial"/>
          <w:sz w:val="18"/>
          <w:szCs w:val="18"/>
          <w:color w:val="auto"/>
        </w:rPr>
      </w:pPr>
    </w:p>
    <w:p>
      <w:pPr>
        <w:ind w:right="80" w:firstLine="921"/>
        <w:spacing w:after="0" w:line="297" w:lineRule="auto"/>
        <w:tabs>
          <w:tab w:leader="none" w:pos="1158" w:val="left"/>
        </w:tabs>
        <w:numPr>
          <w:ilvl w:val="0"/>
          <w:numId w:val="167"/>
        </w:numPr>
        <w:rPr>
          <w:rFonts w:ascii="Arial" w:cs="Arial" w:eastAsia="Arial" w:hAnsi="Arial"/>
          <w:sz w:val="16"/>
          <w:szCs w:val="16"/>
          <w:color w:val="auto"/>
        </w:rPr>
      </w:pPr>
      <w:r>
        <w:rPr>
          <w:rFonts w:ascii="Arial" w:cs="Arial" w:eastAsia="Arial" w:hAnsi="Arial"/>
          <w:sz w:val="16"/>
          <w:szCs w:val="16"/>
          <w:color w:val="auto"/>
        </w:rPr>
        <w:t xml:space="preserve">the Advance Rate applicable to that portion of the aggregate Value of the Portfolio Investments in any single Industry Classification Group that exceeds 20% of Shareholders’ Equity of the Borrower (which for purposes of this calculation shall exclude the aggregate amount of investments in, and advances to, Financing Subsidiaries) shall be 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the Portfolio Investments in a single Industry Classification Group from time to time designated by the Borrower to the Administrative Agent such 20% figure shall be increased to 30% and, accordingly, only to the extent that the Value for such single Industry Classification Group exceeds 30% of the Shareholders’ Equity shall the Advance Rate applicable to such excess Value be 0%;</w:t>
      </w:r>
    </w:p>
    <w:p>
      <w:pPr>
        <w:spacing w:after="0" w:line="50" w:lineRule="exact"/>
        <w:rPr>
          <w:rFonts w:ascii="Arial" w:cs="Arial" w:eastAsia="Arial" w:hAnsi="Arial"/>
          <w:sz w:val="16"/>
          <w:szCs w:val="16"/>
          <w:color w:val="auto"/>
        </w:rPr>
      </w:pPr>
    </w:p>
    <w:p>
      <w:pPr>
        <w:jc w:val="both"/>
        <w:ind w:right="100" w:firstLine="921"/>
        <w:spacing w:after="0" w:line="286" w:lineRule="auto"/>
        <w:tabs>
          <w:tab w:leader="none" w:pos="1168" w:val="left"/>
        </w:tabs>
        <w:numPr>
          <w:ilvl w:val="0"/>
          <w:numId w:val="167"/>
        </w:numPr>
        <w:rPr>
          <w:rFonts w:ascii="Arial" w:cs="Arial" w:eastAsia="Arial" w:hAnsi="Arial"/>
          <w:sz w:val="17"/>
          <w:szCs w:val="17"/>
          <w:color w:val="auto"/>
        </w:rPr>
      </w:pPr>
      <w:r>
        <w:rPr>
          <w:rFonts w:ascii="Arial" w:cs="Arial" w:eastAsia="Arial" w:hAnsi="Arial"/>
          <w:sz w:val="17"/>
          <w:szCs w:val="17"/>
          <w:color w:val="auto"/>
        </w:rPr>
        <w:t>no Portfolio Investment may be included in the Borrowing Base unless the Collateral Agent maintains a first priority, perfected Lien (subject to Permitted Liens) on such Portfolio Investment and such Portfolio Investment has been Delivered (as defined in the Guarantee and Security Agreement) to the Collateral Agent, and then only for so long as such Portfolio Investment continues to be Delivered as contemplated therein;</w:t>
      </w:r>
    </w:p>
    <w:p>
      <w:pPr>
        <w:spacing w:after="0" w:line="57" w:lineRule="exact"/>
        <w:rPr>
          <w:rFonts w:ascii="Arial" w:cs="Arial" w:eastAsia="Arial" w:hAnsi="Arial"/>
          <w:sz w:val="17"/>
          <w:szCs w:val="17"/>
          <w:color w:val="auto"/>
        </w:rPr>
      </w:pPr>
    </w:p>
    <w:p>
      <w:pPr>
        <w:ind w:right="360" w:firstLine="921"/>
        <w:spacing w:after="0" w:line="277" w:lineRule="auto"/>
        <w:tabs>
          <w:tab w:leader="none" w:pos="1158"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portion of the Borrowing Base attributable to Performing Non-Cash Pay High Yield Securities, Performing Non-Cash Pay Mezzanine Investments, Equity Interests and Non-Performing Portfolio Investments shall not exceed 20%;</w:t>
      </w:r>
    </w:p>
    <w:p>
      <w:pPr>
        <w:spacing w:after="0" w:line="103"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70" w:name="page171"/>
    <w:bookmarkEnd w:id="170"/>
    <w:p>
      <w:pPr>
        <w:ind w:right="440" w:firstLine="921"/>
        <w:spacing w:after="0" w:line="277" w:lineRule="auto"/>
        <w:tabs>
          <w:tab w:leader="none" w:pos="1138" w:val="left"/>
        </w:tabs>
        <w:numPr>
          <w:ilvl w:val="0"/>
          <w:numId w:val="1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portion of the Borrowing Base attributable to Equity Interests shall not exceed 10% (it being understood that in no event shall Equity Interests of Financing Subsidiaries be included in the Borrowing Base);</w:t>
      </w:r>
    </w:p>
    <w:p>
      <w:pPr>
        <w:spacing w:after="0" w:line="62" w:lineRule="exact"/>
        <w:rPr>
          <w:rFonts w:ascii="Arial" w:cs="Arial" w:eastAsia="Arial" w:hAnsi="Arial"/>
          <w:sz w:val="18"/>
          <w:szCs w:val="18"/>
          <w:color w:val="auto"/>
        </w:rPr>
      </w:pPr>
    </w:p>
    <w:p>
      <w:pPr>
        <w:ind w:right="200" w:firstLine="921"/>
        <w:spacing w:after="0" w:line="264" w:lineRule="auto"/>
        <w:tabs>
          <w:tab w:leader="none" w:pos="116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portion of the Borrowing Base attributable to Non-Performing Portfolio Investments shall not exceed 15% and the portion of the Borrowing Base attributable to Portfolio Investments that were Non-Performing Portfolio Investments at the time such Portfolio Investments were acquired shall not exceed 5%; and</w:t>
      </w:r>
    </w:p>
    <w:p>
      <w:pPr>
        <w:spacing w:after="0" w:line="73" w:lineRule="exact"/>
        <w:rPr>
          <w:rFonts w:ascii="Arial" w:cs="Arial" w:eastAsia="Arial" w:hAnsi="Arial"/>
          <w:sz w:val="18"/>
          <w:szCs w:val="18"/>
          <w:color w:val="auto"/>
        </w:rPr>
      </w:pPr>
    </w:p>
    <w:p>
      <w:pPr>
        <w:ind w:right="180" w:firstLine="921"/>
        <w:spacing w:after="0" w:line="264" w:lineRule="auto"/>
        <w:tabs>
          <w:tab w:leader="none" w:pos="116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portion of the Borrowing Base attributable to Portfolio Investments invested outside the United States, Canada, the United Kingdom, Australia, Germany, France, Belgium, the Netherlands, Luxembourg, Switzerland, Denmark, Finland, Norway and Sweden shall not exceed 5% without the consent of the Administrative Agent and JPMorgan Chase Bank, N.A.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used herein, the following terms have the following meanings:</w:t>
      </w:r>
    </w:p>
    <w:p>
      <w:pPr>
        <w:spacing w:after="0" w:line="117" w:lineRule="exact"/>
        <w:rPr>
          <w:sz w:val="20"/>
          <w:szCs w:val="20"/>
          <w:color w:val="auto"/>
        </w:rPr>
      </w:pPr>
    </w:p>
    <w:p>
      <w:pPr>
        <w:ind w:right="5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Advance Rate</w:t>
      </w:r>
      <w:r>
        <w:rPr>
          <w:rFonts w:ascii="Arial" w:cs="Arial" w:eastAsia="Arial" w:hAnsi="Arial"/>
          <w:sz w:val="18"/>
          <w:szCs w:val="18"/>
          <w:color w:val="auto"/>
        </w:rPr>
        <w:t xml:space="preserve">” means, as to any Portfolio Investment and subject to adjustment as provided in </w:t>
      </w:r>
      <w:r>
        <w:rPr>
          <w:rFonts w:ascii="Arial" w:cs="Arial" w:eastAsia="Arial" w:hAnsi="Arial"/>
          <w:sz w:val="18"/>
          <w:szCs w:val="18"/>
          <w:u w:val="single" w:color="auto"/>
          <w:color w:val="auto"/>
        </w:rPr>
        <w:t>Section 5.13(a)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the following percentages with respect to such Portfolio Investment:</w:t>
      </w:r>
    </w:p>
    <w:p>
      <w:pPr>
        <w:spacing w:after="0" w:line="193"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6500" w:type="dxa"/>
            <w:vAlign w:val="bottom"/>
            <w:gridSpan w:val="2"/>
          </w:tcPr>
          <w:p>
            <w:pPr>
              <w:spacing w:after="0"/>
              <w:rPr>
                <w:sz w:val="20"/>
                <w:szCs w:val="20"/>
                <w:color w:val="auto"/>
              </w:rPr>
            </w:pPr>
            <w:r>
              <w:rPr>
                <w:rFonts w:ascii="Arial" w:cs="Arial" w:eastAsia="Arial" w:hAnsi="Arial"/>
                <w:sz w:val="14"/>
                <w:szCs w:val="14"/>
                <w:color w:val="auto"/>
              </w:rPr>
              <w:t>Portfolio Investment</w:t>
            </w:r>
          </w:p>
        </w:tc>
        <w:tc>
          <w:tcPr>
            <w:tcW w:w="1180" w:type="dxa"/>
            <w:vAlign w:val="bottom"/>
            <w:gridSpan w:val="3"/>
          </w:tcPr>
          <w:p>
            <w:pPr>
              <w:jc w:val="right"/>
              <w:ind w:right="360"/>
              <w:spacing w:after="0"/>
              <w:rPr>
                <w:sz w:val="20"/>
                <w:szCs w:val="20"/>
                <w:color w:val="auto"/>
              </w:rPr>
            </w:pPr>
            <w:r>
              <w:rPr>
                <w:rFonts w:ascii="Arial" w:cs="Arial" w:eastAsia="Arial" w:hAnsi="Arial"/>
                <w:sz w:val="14"/>
                <w:szCs w:val="14"/>
                <w:color w:val="auto"/>
              </w:rPr>
              <w:t>Quoted</w:t>
            </w: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Unquoted</w:t>
            </w: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53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203"/>
        </w:trPr>
        <w:tc>
          <w:tcPr>
            <w:tcW w:w="65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Cash, Cash Equivalents and Short-Term U.S. Government Securities</w:t>
            </w:r>
          </w:p>
        </w:tc>
        <w:tc>
          <w:tcPr>
            <w:tcW w:w="4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w:t>
            </w: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Long-Term U.S. Government Securities</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95%</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Performing First Lien Bank Loans</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85%</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Performing Unitranche Loans</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80%</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70%</w:t>
            </w: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Performing Second Lien Bank Loans</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75%</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Performing Cash Pay High Yield Securities</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70%</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60%</w:t>
            </w: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Performing Cash Pay Mezzanine Investments</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65%</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Performing Non-Cash Pay High Yield Securities</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60%</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50%</w:t>
            </w: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Performing Non-Cash Pay Mezzanine Investments</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55%</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Non-Performing First Lien Bank Loans</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45%</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45%</w:t>
            </w: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Non-Performing Unitranche Loans</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40%</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Non-Performing Second Lien Bank Loans</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40%</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30%</w:t>
            </w: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Non-Performing High Yield Securities</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Non-Performing Cash Pay Mezzanine Investments</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30%</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25%</w:t>
            </w: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Performing Common Equity (and zero cost or penny warrants with performing debt)</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Non-Performing Common Equity</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0%</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Structured Finance Obligations and Finance Leases</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Loans</w:t>
      </w:r>
      <w:r>
        <w:rPr>
          <w:rFonts w:ascii="Arial" w:cs="Arial" w:eastAsia="Arial" w:hAnsi="Arial"/>
          <w:sz w:val="18"/>
          <w:szCs w:val="18"/>
          <w:color w:val="auto"/>
        </w:rPr>
        <w:t>” means debt obligations (including term loans, revolving loans, debtor-in-possession financings, the funded and unfunded portion of revolving credit lines and letter of credit facilities and other similar loans and investments including interim loans and senior subordinated loans) which are generally under a loan or credit facility (whether or not syndicated).</w:t>
      </w:r>
    </w:p>
    <w:p>
      <w:pPr>
        <w:spacing w:after="0" w:line="114"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71" w:name="page172"/>
    <w:bookmarkEnd w:id="171"/>
    <w:p>
      <w:pPr>
        <w:ind w:right="320" w:firstLine="913"/>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Capital Stock</w:t>
      </w:r>
      <w:r>
        <w:rPr>
          <w:rFonts w:ascii="Arial" w:cs="Arial" w:eastAsia="Arial" w:hAnsi="Arial"/>
          <w:sz w:val="16"/>
          <w:szCs w:val="16"/>
          <w:color w:val="auto"/>
        </w:rPr>
        <w:t>” of any Person means any and all shares of corporate stock (however designated) of and any and all other Equity Interests and participations representing ownership interests (including membership interests and limited liability company interests) in, such Person.</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Credit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Credit Agreement.</w:t>
      </w:r>
    </w:p>
    <w:p>
      <w:pPr>
        <w:spacing w:after="0" w:line="225"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Finance Lease</w:t>
      </w:r>
      <w:r>
        <w:rPr>
          <w:rFonts w:ascii="Arial" w:cs="Arial" w:eastAsia="Arial" w:hAnsi="Arial"/>
          <w:sz w:val="18"/>
          <w:szCs w:val="18"/>
          <w:color w:val="auto"/>
        </w:rPr>
        <w:t>” means any transaction representing the obligation of a lessee to pay rent or other amounts under a lease which is required to be classified and accounted for as a capital lease on the balance sheet of such lessee under GAAP.</w:t>
      </w:r>
    </w:p>
    <w:p>
      <w:pPr>
        <w:spacing w:after="0" w:line="170"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Bank Loan</w:t>
      </w:r>
      <w:r>
        <w:rPr>
          <w:rFonts w:ascii="Arial" w:cs="Arial" w:eastAsia="Arial" w:hAnsi="Arial"/>
          <w:sz w:val="18"/>
          <w:szCs w:val="18"/>
          <w:color w:val="auto"/>
        </w:rPr>
        <w:t>” means a Bank Loan that is entitled to the benefit of a first lien and first priority perfected security interest (subject to Liens for “ABL” revolvers and customary encumbrances) on a substantial portion of the assets of the respective borrower and guarantors obligated in respect thereof.</w:t>
      </w:r>
    </w:p>
    <w:p>
      <w:pPr>
        <w:spacing w:after="0" w:line="181"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High Yield Securities</w:t>
      </w:r>
      <w:r>
        <w:rPr>
          <w:rFonts w:ascii="Arial" w:cs="Arial" w:eastAsia="Arial" w:hAnsi="Arial"/>
          <w:sz w:val="18"/>
          <w:szCs w:val="18"/>
          <w:color w:val="auto"/>
        </w:rPr>
        <w:t>” means debt Securities and Preferred Stock, in each case (a) issued by public or private issuers, (b) issued pursuant to an effective registration statement or pursuant to Rule 144A under the Securities Act (or any successor provision thereunder) or other exemption to the Securities Act and (c) that are not Cash Equivalents, Mezzanine Investments or Bank Loans.</w:t>
      </w:r>
    </w:p>
    <w:p>
      <w:pPr>
        <w:spacing w:after="0" w:line="181" w:lineRule="exact"/>
        <w:rPr>
          <w:sz w:val="20"/>
          <w:szCs w:val="20"/>
          <w:color w:val="auto"/>
        </w:rPr>
      </w:pPr>
    </w:p>
    <w:p>
      <w:pPr>
        <w:ind w:right="7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Long-Term U.S. Government Securities</w:t>
      </w:r>
      <w:r>
        <w:rPr>
          <w:rFonts w:ascii="Arial" w:cs="Arial" w:eastAsia="Arial" w:hAnsi="Arial"/>
          <w:sz w:val="18"/>
          <w:szCs w:val="18"/>
          <w:color w:val="auto"/>
        </w:rPr>
        <w:t>” means U.S. Government Securities maturing more than one year from the applicable date of determination.</w:t>
      </w:r>
    </w:p>
    <w:p>
      <w:pPr>
        <w:spacing w:after="0" w:line="170"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Mezzanine Investments</w:t>
      </w:r>
      <w:r>
        <w:rPr>
          <w:rFonts w:ascii="Arial" w:cs="Arial" w:eastAsia="Arial" w:hAnsi="Arial"/>
          <w:sz w:val="18"/>
          <w:szCs w:val="18"/>
          <w:color w:val="auto"/>
        </w:rPr>
        <w:t>” means debt Securities (including convertible debt Securities (other than the “in-the-money” equity component thereof)) and Preferred Stock in each case (a) issued by public or private issuers, (b) issued without registration under the Securities Act, (c) not issued pursuant to Rule 144A under the Securities Act (or any successor provision thereunder), (d) that are not Cash Equivalents and (e) contractually subordinated in right of payment to other debt of the same issuer.</w:t>
      </w:r>
    </w:p>
    <w:p>
      <w:pPr>
        <w:spacing w:after="0" w:line="187"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Non-Performing Common Equity</w:t>
      </w:r>
      <w:r>
        <w:rPr>
          <w:rFonts w:ascii="Arial" w:cs="Arial" w:eastAsia="Arial" w:hAnsi="Arial"/>
          <w:sz w:val="18"/>
          <w:szCs w:val="18"/>
          <w:color w:val="auto"/>
        </w:rPr>
        <w:t>” means Capital Stock (other than Preferred Stock) and warrants of an issuer having any debt outstanding that is non-Performing.</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Non-Performing First Lien Bank Loans</w:t>
      </w:r>
      <w:r>
        <w:rPr>
          <w:rFonts w:ascii="Arial" w:cs="Arial" w:eastAsia="Arial" w:hAnsi="Arial"/>
          <w:sz w:val="18"/>
          <w:szCs w:val="18"/>
          <w:color w:val="auto"/>
        </w:rPr>
        <w:t>” means First Lien Bank Loans other than Performing First Lien Bank Loans.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Non-Performing High Yield Securities</w:t>
      </w:r>
      <w:r>
        <w:rPr>
          <w:rFonts w:ascii="Arial" w:cs="Arial" w:eastAsia="Arial" w:hAnsi="Arial"/>
          <w:sz w:val="18"/>
          <w:szCs w:val="18"/>
          <w:color w:val="auto"/>
        </w:rPr>
        <w:t>” means High Yield Securities other than Performing High Yield Securities.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Non-Performing Mezzanine Investments</w:t>
      </w:r>
      <w:r>
        <w:rPr>
          <w:rFonts w:ascii="Arial" w:cs="Arial" w:eastAsia="Arial" w:hAnsi="Arial"/>
          <w:sz w:val="18"/>
          <w:szCs w:val="18"/>
          <w:color w:val="auto"/>
        </w:rPr>
        <w:t>” means Mezzanine Investments other than Performing Mezzanine Investments.</w:t>
      </w:r>
    </w:p>
    <w:p>
      <w:pPr>
        <w:spacing w:after="0" w:line="158"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72" w:name="page173"/>
    <w:bookmarkEnd w:id="172"/>
    <w:p>
      <w:pPr>
        <w:ind w:right="6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Non-Performing Portfolio Investment</w:t>
      </w:r>
      <w:r>
        <w:rPr>
          <w:rFonts w:ascii="Arial" w:cs="Arial" w:eastAsia="Arial" w:hAnsi="Arial"/>
          <w:sz w:val="18"/>
          <w:szCs w:val="18"/>
          <w:color w:val="auto"/>
        </w:rPr>
        <w:t>” means Portfolio Investments for which the issuer is in default of any payment obligations of principal or interest in respect thereof after the expiration of any applicable grace period.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Non-Performing Second Lien Bank Loans</w:t>
      </w:r>
      <w:r>
        <w:rPr>
          <w:rFonts w:ascii="Arial" w:cs="Arial" w:eastAsia="Arial" w:hAnsi="Arial"/>
          <w:sz w:val="18"/>
          <w:szCs w:val="18"/>
          <w:color w:val="auto"/>
        </w:rPr>
        <w:t>” means Second Lien Bank Loans other than Performing Second Lien Bank Loans.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Non-Performing Unitranche Loans</w:t>
      </w:r>
      <w:r>
        <w:rPr>
          <w:rFonts w:ascii="Arial" w:cs="Arial" w:eastAsia="Arial" w:hAnsi="Arial"/>
          <w:sz w:val="18"/>
          <w:szCs w:val="18"/>
          <w:color w:val="auto"/>
        </w:rPr>
        <w:t>” means Unitranche Loans other than Performing Unitranche Loans.</w:t>
      </w:r>
    </w:p>
    <w:p>
      <w:pPr>
        <w:spacing w:after="0" w:line="225"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Performing</w:t>
      </w:r>
      <w:r>
        <w:rPr>
          <w:rFonts w:ascii="Arial" w:cs="Arial" w:eastAsia="Arial" w:hAnsi="Arial"/>
          <w:sz w:val="18"/>
          <w:szCs w:val="18"/>
          <w:color w:val="auto"/>
        </w:rPr>
        <w:t>” means (a) with respect to any Portfolio Investment that is debt, the issuer of such Portfolio Investment is not in default of any payment obligations in respect thereof after the expiration of any applicable grace period and (b) with respect to any Portfolio Investment that is Preferred Stock, the issuer of such Portfolio Investment has not failed to meet any scheduled redemption obligations or to pay its latest declared cash dividend, after the expiration of any applicable grace period.</w:t>
      </w:r>
    </w:p>
    <w:p>
      <w:pPr>
        <w:spacing w:after="0" w:line="187"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Performing Cash Pay High Yield Securities</w:t>
      </w:r>
      <w:r>
        <w:rPr>
          <w:rFonts w:ascii="Arial" w:cs="Arial" w:eastAsia="Arial" w:hAnsi="Arial"/>
          <w:sz w:val="18"/>
          <w:szCs w:val="18"/>
          <w:color w:val="auto"/>
        </w:rPr>
        <w:t>” means High Yield Securities (a) as to which, at the time of determination, not less than 2/3rds of the interest (including accretions and “pay-in-kind” interest) for the current monthly, quarterly, semiannual or annual period (as applicable) is payable in cash and (b) which are Performing.</w:t>
      </w:r>
    </w:p>
    <w:p>
      <w:pPr>
        <w:spacing w:after="0" w:line="181" w:lineRule="exact"/>
        <w:rPr>
          <w:sz w:val="20"/>
          <w:szCs w:val="20"/>
          <w:color w:val="auto"/>
        </w:rPr>
      </w:pPr>
    </w:p>
    <w:p>
      <w:pPr>
        <w:jc w:val="both"/>
        <w:ind w:right="1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Performing Cash Pay Mezzanine Investments</w:t>
      </w:r>
      <w:r>
        <w:rPr>
          <w:rFonts w:ascii="Arial" w:cs="Arial" w:eastAsia="Arial" w:hAnsi="Arial"/>
          <w:sz w:val="18"/>
          <w:szCs w:val="18"/>
          <w:color w:val="auto"/>
        </w:rPr>
        <w:t>” means Mezzanine Investments (a) as to which, at the time of determination, not less than 2/3rds of the interest (including accretions and “pay-in-kind” interest) for the current monthly, quarterly, semi-annual or annual period (as applicable) is payable in cash and (b) which are Performing.</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Performing Common Equity</w:t>
      </w:r>
      <w:r>
        <w:rPr>
          <w:rFonts w:ascii="Arial" w:cs="Arial" w:eastAsia="Arial" w:hAnsi="Arial"/>
          <w:sz w:val="17"/>
          <w:szCs w:val="17"/>
          <w:color w:val="auto"/>
        </w:rPr>
        <w:t>” means Capital Stock (other than Preferred Stock) and warrants of an issuer all of whose outstanding debt 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Performing.</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Performing First Lien Bank Loans</w:t>
      </w:r>
      <w:r>
        <w:rPr>
          <w:rFonts w:ascii="Arial" w:cs="Arial" w:eastAsia="Arial" w:hAnsi="Arial"/>
          <w:sz w:val="18"/>
          <w:szCs w:val="18"/>
          <w:color w:val="auto"/>
        </w:rPr>
        <w:t>” means First Lien Bank Loans which are Performing.</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Performing Non-Cash Pay High Yield Securities</w:t>
      </w:r>
      <w:r>
        <w:rPr>
          <w:rFonts w:ascii="Arial" w:cs="Arial" w:eastAsia="Arial" w:hAnsi="Arial"/>
          <w:sz w:val="17"/>
          <w:szCs w:val="17"/>
          <w:color w:val="auto"/>
        </w:rPr>
        <w:t>” means Performing High Yield Securities other than Performing Cash Pay High Yield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Securities.</w:t>
      </w:r>
    </w:p>
    <w:p>
      <w:pPr>
        <w:spacing w:after="0" w:line="211"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Performing Non-Cash Pay Mezzanine Investments</w:t>
      </w:r>
      <w:r>
        <w:rPr>
          <w:rFonts w:ascii="Arial" w:cs="Arial" w:eastAsia="Arial" w:hAnsi="Arial"/>
          <w:sz w:val="18"/>
          <w:szCs w:val="18"/>
          <w:color w:val="auto"/>
        </w:rPr>
        <w:t>” means Performing Mezzanine Investments other than Performing Cash Pay Mezzanine Investments.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Performing Second Lien Bank Loans</w:t>
      </w:r>
      <w:r>
        <w:rPr>
          <w:rFonts w:ascii="Arial" w:cs="Arial" w:eastAsia="Arial" w:hAnsi="Arial"/>
          <w:sz w:val="18"/>
          <w:szCs w:val="18"/>
          <w:color w:val="auto"/>
        </w:rPr>
        <w:t>” means Second Lien Bank Loans which are Performing.</w:t>
      </w:r>
    </w:p>
    <w:p>
      <w:pPr>
        <w:spacing w:after="0" w:line="225"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w:t>
      </w:r>
      <w:r>
        <w:rPr>
          <w:rFonts w:ascii="Arial" w:cs="Arial" w:eastAsia="Arial" w:hAnsi="Arial"/>
          <w:sz w:val="18"/>
          <w:szCs w:val="18"/>
          <w:color w:val="auto"/>
        </w:rPr>
        <w:t>,” as applied to the Capital Stock of any Person, means Capital Stock of such Person of any class or classes (however designated) that ranks prior, as to the payment of dividends or as to the distribution of assets upon any voluntary or involuntary liquidation, dissolution or winding up of such Person, to any shares (or other interests) of other Capital Stock of such Person, and shall include, without limitation, cumulative preferred, non-cumulative preferred, participating preferred and convertible preferred Capital Stock.</w:t>
      </w:r>
    </w:p>
    <w:p>
      <w:pPr>
        <w:spacing w:after="0" w:line="119"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73" w:name="page174"/>
    <w:bookmarkEnd w:id="173"/>
    <w:p>
      <w:pPr>
        <w:ind w:right="540" w:firstLine="913"/>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Second Lien Bank Loan</w:t>
      </w:r>
      <w:r>
        <w:rPr>
          <w:rFonts w:ascii="Arial" w:cs="Arial" w:eastAsia="Arial" w:hAnsi="Arial"/>
          <w:sz w:val="17"/>
          <w:szCs w:val="17"/>
          <w:color w:val="auto"/>
        </w:rPr>
        <w:t>” means a Bank Loan that is entitled to the benefit of a second lien and second priority perfected security interest (subject to customary encumbrances) on specified assets of the respective Borrower and guarantors obligated in respect thereof.</w:t>
      </w:r>
    </w:p>
    <w:p>
      <w:pPr>
        <w:spacing w:after="0" w:line="147"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means common and preferred stock, units and participations, member interests in limited liability companies, partnership interests in partnerships, notes, bonds, debentures, trust receipts and other obligations, instruments or evidences of indebtedness, including debt instruments of public and private issuers and tax-exempt securities (including warrants, rights, put and call options and other options relating thereto, representing rights, or any combination thereof) and other property or interests commonly regarded as securities or any form of interest or participation therein, but not including Bank Loans.</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United States Securities Act of 1933, as amended.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Short-Term U.S. Government Securities</w:t>
      </w:r>
      <w:r>
        <w:rPr>
          <w:rFonts w:ascii="Arial" w:cs="Arial" w:eastAsia="Arial" w:hAnsi="Arial"/>
          <w:sz w:val="16"/>
          <w:szCs w:val="16"/>
          <w:color w:val="auto"/>
        </w:rPr>
        <w:t>” means U.S. Government Securities maturing within one year of the applicable date of determination.</w:t>
      </w:r>
    </w:p>
    <w:p>
      <w:pPr>
        <w:spacing w:after="0" w:line="248"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Structured Finance Obligation</w:t>
      </w:r>
      <w:r>
        <w:rPr>
          <w:rFonts w:ascii="Arial" w:cs="Arial" w:eastAsia="Arial" w:hAnsi="Arial"/>
          <w:sz w:val="18"/>
          <w:szCs w:val="18"/>
          <w:color w:val="auto"/>
        </w:rPr>
        <w:t>” means any obligation issued by a special purpose vehicle and secured directly by, referenced to, or representing ownership of, a pool of receivables or other financial assets of any obligor, including collateralized debt obligations and mortgaged-backed securities. For the avoidance of doubt, if an obligation satisfies the definition of “Structured Finance Obligation”, such obligation shall not (a) qualify as any other category of Portfolio Investment and (b) be included in the Borrowing Base.</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Government Securities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25" w:lineRule="exact"/>
        <w:rPr>
          <w:sz w:val="20"/>
          <w:szCs w:val="20"/>
          <w:color w:val="auto"/>
        </w:rPr>
      </w:pPr>
    </w:p>
    <w:p>
      <w:pPr>
        <w:ind w:right="38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Unitranche Loan</w:t>
      </w:r>
      <w:r>
        <w:rPr>
          <w:rFonts w:ascii="Arial" w:cs="Arial" w:eastAsia="Arial" w:hAnsi="Arial"/>
          <w:sz w:val="17"/>
          <w:szCs w:val="17"/>
          <w:color w:val="auto"/>
        </w:rPr>
        <w:t>” means a Bank Loan that is a First Lien Bank Loan, a portion of which is, in effect, subject to superpriority rights of other lenders following an event of default (such portion, a “second out” portion). The Borrower’s investment in the second out portion shall be treated as a Unitranche Loan for purposes of determining the applicable Advance Rate for such Portfolio Investment under the Facility.</w:t>
      </w:r>
    </w:p>
    <w:p>
      <w:pPr>
        <w:spacing w:after="0" w:line="16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Value</w:t>
      </w:r>
      <w:r>
        <w:rPr>
          <w:rFonts w:ascii="Arial" w:cs="Arial" w:eastAsia="Arial" w:hAnsi="Arial"/>
          <w:sz w:val="18"/>
          <w:szCs w:val="18"/>
          <w:color w:val="auto"/>
        </w:rPr>
        <w:t>” means, with respect to any Portfolio Investment, the lower of:</w:t>
      </w:r>
    </w:p>
    <w:p>
      <w:pPr>
        <w:spacing w:after="0" w:line="117" w:lineRule="exact"/>
        <w:rPr>
          <w:sz w:val="20"/>
          <w:szCs w:val="20"/>
          <w:color w:val="auto"/>
        </w:rPr>
      </w:pPr>
    </w:p>
    <w:p>
      <w:pPr>
        <w:ind w:left="1120" w:hanging="217"/>
        <w:spacing w:after="0"/>
        <w:tabs>
          <w:tab w:leader="none" w:pos="11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the most recent internal market value as determined pursuant to </w:t>
      </w:r>
      <w:r>
        <w:rPr>
          <w:rFonts w:ascii="Arial" w:cs="Arial" w:eastAsia="Arial" w:hAnsi="Arial"/>
          <w:sz w:val="18"/>
          <w:szCs w:val="18"/>
          <w:u w:val="single" w:color="auto"/>
          <w:color w:val="auto"/>
        </w:rPr>
        <w:t>Section 5.12(b)(ii)(C)</w:t>
      </w:r>
      <w:r>
        <w:rPr>
          <w:rFonts w:ascii="Arial" w:cs="Arial" w:eastAsia="Arial" w:hAnsi="Arial"/>
          <w:sz w:val="18"/>
          <w:szCs w:val="18"/>
          <w:color w:val="auto"/>
        </w:rPr>
        <w:t xml:space="preserve"> and</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the most recent external market value as determined pursuant to </w:t>
      </w:r>
      <w:r>
        <w:rPr>
          <w:rFonts w:ascii="Arial" w:cs="Arial" w:eastAsia="Arial" w:hAnsi="Arial"/>
          <w:sz w:val="18"/>
          <w:szCs w:val="18"/>
          <w:u w:val="single" w:color="auto"/>
          <w:color w:val="auto"/>
        </w:rPr>
        <w:t>Section 5.12(b)(ii)(A)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NEGATIVE COVENANTS</w:t>
      </w:r>
    </w:p>
    <w:p>
      <w:pPr>
        <w:spacing w:after="0" w:line="225" w:lineRule="exact"/>
        <w:rPr>
          <w:sz w:val="20"/>
          <w:szCs w:val="20"/>
          <w:color w:val="auto"/>
        </w:rPr>
      </w:pPr>
    </w:p>
    <w:p>
      <w:pPr>
        <w:jc w:val="both"/>
        <w:ind w:right="120" w:firstLine="913"/>
        <w:spacing w:after="0" w:line="264" w:lineRule="auto"/>
        <w:rPr>
          <w:sz w:val="20"/>
          <w:szCs w:val="20"/>
          <w:color w:val="auto"/>
        </w:rPr>
      </w:pPr>
      <w:r>
        <w:rPr>
          <w:rFonts w:ascii="Arial" w:cs="Arial" w:eastAsia="Arial" w:hAnsi="Arial"/>
          <w:sz w:val="18"/>
          <w:szCs w:val="18"/>
          <w:color w:val="auto"/>
        </w:rPr>
        <w:t>Until the Commitments have expired or terminated and the principal of and interest on each Loan and all fees payable hereunder have been paid in full and all Letters of Credit have expired, been terminated, Cash Collateralized or backstopped and all LC Disbursements shall have been reimbursed, the Borrower covenants and agrees with the Lenders that:</w:t>
      </w:r>
    </w:p>
    <w:p>
      <w:pPr>
        <w:spacing w:after="0" w:line="114"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74" w:name="page175"/>
    <w:bookmarkEnd w:id="174"/>
    <w:p>
      <w:pPr>
        <w:ind w:right="32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6.01. </w:t>
      </w:r>
      <w:r>
        <w:rPr>
          <w:rFonts w:ascii="Arial" w:cs="Arial" w:eastAsia="Arial" w:hAnsi="Arial"/>
          <w:sz w:val="18"/>
          <w:szCs w:val="18"/>
          <w:u w:val="single" w:color="auto"/>
          <w:color w:val="auto"/>
        </w:rPr>
        <w:t>Indebtedness</w:t>
      </w:r>
      <w:r>
        <w:rPr>
          <w:rFonts w:ascii="Arial" w:cs="Arial" w:eastAsia="Arial" w:hAnsi="Arial"/>
          <w:sz w:val="18"/>
          <w:szCs w:val="18"/>
          <w:color w:val="auto"/>
        </w:rPr>
        <w:t xml:space="preserve">. Subject to the last sentence of this </w:t>
      </w:r>
      <w:r>
        <w:rPr>
          <w:rFonts w:ascii="Arial" w:cs="Arial" w:eastAsia="Arial" w:hAnsi="Arial"/>
          <w:sz w:val="18"/>
          <w:szCs w:val="18"/>
          <w:u w:val="single" w:color="auto"/>
          <w:color w:val="auto"/>
        </w:rPr>
        <w:t>Section 6.01</w:t>
      </w:r>
      <w:r>
        <w:rPr>
          <w:rFonts w:ascii="Arial" w:cs="Arial" w:eastAsia="Arial" w:hAnsi="Arial"/>
          <w:sz w:val="18"/>
          <w:szCs w:val="18"/>
          <w:color w:val="auto"/>
        </w:rPr>
        <w:t>, the Borrower will not, nor will it permit any of the Subsidiary Guarantors to, create, incur, assume or permit to exist any Indebtedness, except:</w:t>
      </w:r>
    </w:p>
    <w:p>
      <w:pPr>
        <w:spacing w:after="0" w:line="62" w:lineRule="exact"/>
        <w:rPr>
          <w:sz w:val="20"/>
          <w:szCs w:val="20"/>
          <w:color w:val="auto"/>
        </w:rPr>
      </w:pPr>
    </w:p>
    <w:p>
      <w:pPr>
        <w:ind w:left="1160" w:hanging="239"/>
        <w:spacing w:after="0"/>
        <w:tabs>
          <w:tab w:leader="none" w:pos="116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Indebtedness created hereunder;</w:t>
      </w:r>
    </w:p>
    <w:p>
      <w:pPr>
        <w:spacing w:after="0" w:line="117" w:lineRule="exact"/>
        <w:rPr>
          <w:rFonts w:ascii="Arial" w:cs="Arial" w:eastAsia="Arial" w:hAnsi="Arial"/>
          <w:sz w:val="18"/>
          <w:szCs w:val="18"/>
          <w:color w:val="auto"/>
        </w:rPr>
      </w:pPr>
    </w:p>
    <w:p>
      <w:pPr>
        <w:ind w:right="140" w:firstLine="921"/>
        <w:spacing w:after="0" w:line="257" w:lineRule="auto"/>
        <w:tabs>
          <w:tab w:leader="none" w:pos="1168" w:val="left"/>
        </w:tabs>
        <w:numPr>
          <w:ilvl w:val="1"/>
          <w:numId w:val="170"/>
        </w:numPr>
        <w:rPr>
          <w:rFonts w:ascii="Arial" w:cs="Arial" w:eastAsia="Arial" w:hAnsi="Arial"/>
          <w:sz w:val="18"/>
          <w:szCs w:val="18"/>
          <w:color w:val="auto"/>
        </w:rPr>
      </w:pPr>
      <w:r>
        <w:rPr>
          <w:rFonts w:ascii="Arial" w:cs="Arial" w:eastAsia="Arial" w:hAnsi="Arial"/>
          <w:sz w:val="18"/>
          <w:szCs w:val="18"/>
          <w:color w:val="auto"/>
        </w:rPr>
        <w:t xml:space="preserve">Secured Longer-Term Indebtedness and Unsecured Longer-Term Indebtedness so long as (i) no Default exists at the time of the incurrence thereof, (ii) the aggregate amount of such Secured Longer-Term Indebtedness and Unsecured Longer-Term Indebtedness, taken together with other then-outstanding Indebtedness, does not exceed the amount required to comply with the provisions of </w:t>
      </w:r>
      <w:r>
        <w:rPr>
          <w:rFonts w:ascii="Arial" w:cs="Arial" w:eastAsia="Arial" w:hAnsi="Arial"/>
          <w:sz w:val="18"/>
          <w:szCs w:val="18"/>
          <w:u w:val="single" w:color="auto"/>
          <w:color w:val="auto"/>
        </w:rPr>
        <w:t>Section 6.07(b)</w:t>
      </w:r>
      <w:r>
        <w:rPr>
          <w:rFonts w:ascii="Arial" w:cs="Arial" w:eastAsia="Arial" w:hAnsi="Arial"/>
          <w:sz w:val="18"/>
          <w:szCs w:val="18"/>
          <w:color w:val="auto"/>
        </w:rPr>
        <w:t>, and (iii) prior to and immediately after giving effect to the incurrence of any Secured Longer-Term Indebtedness, the Covered Debt Amount does not or would not exceed the Borrowing Base then in effect;</w:t>
      </w:r>
    </w:p>
    <w:p>
      <w:pPr>
        <w:spacing w:after="0" w:line="80" w:lineRule="exact"/>
        <w:rPr>
          <w:rFonts w:ascii="Arial" w:cs="Arial" w:eastAsia="Arial" w:hAnsi="Arial"/>
          <w:sz w:val="18"/>
          <w:szCs w:val="18"/>
          <w:color w:val="auto"/>
        </w:rPr>
      </w:pPr>
    </w:p>
    <w:p>
      <w:pPr>
        <w:ind w:left="1160" w:hanging="239"/>
        <w:spacing w:after="0"/>
        <w:tabs>
          <w:tab w:leader="none" w:pos="116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Other Permitted Indebtedness;</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Guarantees of Indebtedness otherwise permitted hereunder;</w:t>
      </w:r>
    </w:p>
    <w:p>
      <w:pPr>
        <w:spacing w:after="0" w:line="117" w:lineRule="exact"/>
        <w:rPr>
          <w:rFonts w:ascii="Arial" w:cs="Arial" w:eastAsia="Arial" w:hAnsi="Arial"/>
          <w:sz w:val="18"/>
          <w:szCs w:val="18"/>
          <w:color w:val="auto"/>
        </w:rPr>
      </w:pPr>
    </w:p>
    <w:p>
      <w:pPr>
        <w:ind w:right="400" w:firstLine="921"/>
        <w:spacing w:after="0" w:line="277" w:lineRule="auto"/>
        <w:tabs>
          <w:tab w:leader="none" w:pos="1158" w:val="left"/>
        </w:tabs>
        <w:numPr>
          <w:ilvl w:val="1"/>
          <w:numId w:val="170"/>
        </w:numPr>
        <w:rPr>
          <w:rFonts w:ascii="Arial" w:cs="Arial" w:eastAsia="Arial" w:hAnsi="Arial"/>
          <w:sz w:val="18"/>
          <w:szCs w:val="18"/>
          <w:color w:val="auto"/>
        </w:rPr>
      </w:pPr>
      <w:r>
        <w:rPr>
          <w:rFonts w:ascii="Arial" w:cs="Arial" w:eastAsia="Arial" w:hAnsi="Arial"/>
          <w:sz w:val="18"/>
          <w:szCs w:val="18"/>
          <w:color w:val="auto"/>
        </w:rPr>
        <w:t>Indebtedness of any Obligor owing to any other Obligor or, if such Indebtedness is subject to subordination terms and conditions that are satisfactory to the Administrative Agent, any other Subsidiary of the Borrower;</w:t>
      </w:r>
    </w:p>
    <w:p>
      <w:pPr>
        <w:spacing w:after="0" w:line="62" w:lineRule="exact"/>
        <w:rPr>
          <w:rFonts w:ascii="Arial" w:cs="Arial" w:eastAsia="Arial" w:hAnsi="Arial"/>
          <w:sz w:val="18"/>
          <w:szCs w:val="18"/>
          <w:color w:val="auto"/>
        </w:rPr>
      </w:pPr>
    </w:p>
    <w:p>
      <w:pPr>
        <w:ind w:left="1140" w:hanging="219"/>
        <w:spacing w:after="0"/>
        <w:tabs>
          <w:tab w:leader="none" w:pos="114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Indebtedness of Financing Subsidiaries;</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repurchase obligations arising in the ordinary course of business with respect to U.S. Government Securities;</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obligations payable to clearing agencies, brokers or dealers in connection with the purchase or sale of securities in the ordinary course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102" w:lineRule="exact"/>
        <w:rPr>
          <w:rFonts w:ascii="Arial" w:cs="Arial" w:eastAsia="Arial" w:hAnsi="Arial"/>
          <w:sz w:val="16"/>
          <w:szCs w:val="16"/>
          <w:color w:val="auto"/>
        </w:rPr>
      </w:pPr>
    </w:p>
    <w:p>
      <w:pPr>
        <w:ind w:right="280" w:firstLine="921"/>
        <w:spacing w:after="0" w:line="291" w:lineRule="auto"/>
        <w:tabs>
          <w:tab w:leader="none" w:pos="1128" w:val="left"/>
        </w:tabs>
        <w:numPr>
          <w:ilvl w:val="1"/>
          <w:numId w:val="170"/>
        </w:numPr>
        <w:rPr>
          <w:rFonts w:ascii="Arial" w:cs="Arial" w:eastAsia="Arial" w:hAnsi="Arial"/>
          <w:sz w:val="16"/>
          <w:szCs w:val="16"/>
          <w:color w:val="auto"/>
        </w:rPr>
      </w:pPr>
      <w:r>
        <w:rPr>
          <w:rFonts w:ascii="Arial" w:cs="Arial" w:eastAsia="Arial" w:hAnsi="Arial"/>
          <w:sz w:val="16"/>
          <w:szCs w:val="16"/>
          <w:color w:val="auto"/>
        </w:rPr>
        <w:t>Secured Shorter-Term Indebtedness and Unsecured Shorter-Term Indebtedness so long as (i) no Default exists at the time of the incurrence thereof, (ii) the aggregate amount (determined at the time of the incurrence of such Indebtedness) of such Indebtedness does not exceed the greater of</w:t>
      </w:r>
    </w:p>
    <w:p>
      <w:pPr>
        <w:ind w:right="200" w:firstLine="8"/>
        <w:spacing w:after="0" w:line="277" w:lineRule="auto"/>
        <w:tabs>
          <w:tab w:leader="none" w:pos="295" w:val="left"/>
        </w:tabs>
        <w:numPr>
          <w:ilvl w:val="0"/>
          <w:numId w:val="171"/>
        </w:numPr>
        <w:rPr>
          <w:rFonts w:ascii="Arial" w:cs="Arial" w:eastAsia="Arial" w:hAnsi="Arial"/>
          <w:sz w:val="17"/>
          <w:szCs w:val="17"/>
          <w:color w:val="auto"/>
        </w:rPr>
      </w:pPr>
      <w:r>
        <w:rPr>
          <w:rFonts w:ascii="Arial" w:cs="Arial" w:eastAsia="Arial" w:hAnsi="Arial"/>
          <w:sz w:val="17"/>
          <w:szCs w:val="17"/>
          <w:color w:val="auto"/>
        </w:rPr>
        <w:t xml:space="preserve">$20,000,000 and (B) 5% of Shareholders’ Equity, (iii) the aggregate amount of such Indebtedness, taken together with other then-outstanding Indebtedness, does not exceed the amount required to comply with the provisions of </w:t>
      </w:r>
      <w:r>
        <w:rPr>
          <w:rFonts w:ascii="Arial" w:cs="Arial" w:eastAsia="Arial" w:hAnsi="Arial"/>
          <w:sz w:val="17"/>
          <w:szCs w:val="17"/>
          <w:u w:val="single" w:color="auto"/>
          <w:color w:val="auto"/>
        </w:rPr>
        <w:t>Sections 6.07(b)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(d)</w:t>
      </w:r>
      <w:r>
        <w:rPr>
          <w:rFonts w:ascii="Arial" w:cs="Arial" w:eastAsia="Arial" w:hAnsi="Arial"/>
          <w:sz w:val="17"/>
          <w:szCs w:val="17"/>
          <w:color w:val="auto"/>
        </w:rPr>
        <w:t>, and (iv) prior to and immediately after giving effect to the incurrence of any such Indebtedness, the Covered Debt Amount does not or would not exceed the Borrowing Base then in effect;</w:t>
      </w:r>
    </w:p>
    <w:p>
      <w:pPr>
        <w:spacing w:after="0" w:line="65" w:lineRule="exact"/>
        <w:rPr>
          <w:rFonts w:ascii="Arial" w:cs="Arial" w:eastAsia="Arial" w:hAnsi="Arial"/>
          <w:sz w:val="17"/>
          <w:szCs w:val="17"/>
          <w:color w:val="auto"/>
        </w:rPr>
      </w:pPr>
    </w:p>
    <w:p>
      <w:pPr>
        <w:ind w:left="1140" w:hanging="219"/>
        <w:spacing w:after="0"/>
        <w:tabs>
          <w:tab w:leader="none" w:pos="114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obligations (including Guarantees) in respect of Standard Securitization Undertakings;</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Permitted SBIC Guarantees;</w:t>
      </w:r>
    </w:p>
    <w:p>
      <w:pPr>
        <w:spacing w:after="0" w:line="158"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75" w:name="page176"/>
    <w:bookmarkEnd w:id="175"/>
    <w:p>
      <w:pPr>
        <w:ind w:left="1140" w:hanging="219"/>
        <w:spacing w:after="0"/>
        <w:tabs>
          <w:tab w:leader="none" w:pos="11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Indebtedness incurred pursuant to the 2019 Convertible Notes; and</w:t>
      </w:r>
    </w:p>
    <w:p>
      <w:pPr>
        <w:spacing w:after="0" w:line="117" w:lineRule="exact"/>
        <w:rPr>
          <w:rFonts w:ascii="Arial" w:cs="Arial" w:eastAsia="Arial" w:hAnsi="Arial"/>
          <w:sz w:val="18"/>
          <w:szCs w:val="18"/>
          <w:color w:val="auto"/>
        </w:rPr>
      </w:pPr>
    </w:p>
    <w:p>
      <w:pPr>
        <w:ind w:left="1220" w:hanging="299"/>
        <w:spacing w:after="0"/>
        <w:tabs>
          <w:tab w:leader="none" w:pos="12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other Indebtedness not to exceed $2,000,000 at any time.</w:t>
      </w:r>
    </w:p>
    <w:p>
      <w:pPr>
        <w:spacing w:after="0" w:line="225"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Liens</w:t>
      </w:r>
      <w:r>
        <w:rPr>
          <w:rFonts w:ascii="Arial" w:cs="Arial" w:eastAsia="Arial" w:hAnsi="Arial"/>
          <w:sz w:val="18"/>
          <w:szCs w:val="18"/>
          <w:color w:val="auto"/>
        </w:rPr>
        <w:t>. The Borrower will not, nor will it permit any of the Subsidiary Guarantors to, create, incur, assume or permit to exist any Lien on any property or asset now owned or hereafter acquired by it, or assign or sell any income or revenues (including accounts receivable) or rights in respect of any thereof except:</w:t>
      </w:r>
    </w:p>
    <w:p>
      <w:pPr>
        <w:spacing w:after="0" w:line="73" w:lineRule="exact"/>
        <w:rPr>
          <w:sz w:val="20"/>
          <w:szCs w:val="20"/>
          <w:color w:val="auto"/>
        </w:rPr>
      </w:pPr>
    </w:p>
    <w:p>
      <w:pPr>
        <w:jc w:val="both"/>
        <w:ind w:right="160" w:firstLine="921"/>
        <w:spacing w:after="0" w:line="259" w:lineRule="auto"/>
        <w:tabs>
          <w:tab w:leader="none" w:pos="115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any Lien on any property or asset of the Borrower existing on the Original Effective Date and set forth in </w:t>
      </w:r>
      <w:r>
        <w:rPr>
          <w:rFonts w:ascii="Arial" w:cs="Arial" w:eastAsia="Arial" w:hAnsi="Arial"/>
          <w:sz w:val="18"/>
          <w:szCs w:val="18"/>
          <w:u w:val="single" w:color="auto"/>
          <w:color w:val="auto"/>
        </w:rPr>
        <w:t>Part 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3.11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no such Lien shall extend to any other property or asset of the Borrower or any of the Subsidiary Guarantors, and (ii) any such Lien shall secure only those obligations which it secures on the Original Effective Date and extensions, renewals and replacements thereof that do not increase the outstanding principal amount thereof;</w:t>
      </w:r>
    </w:p>
    <w:p>
      <w:pPr>
        <w:spacing w:after="0" w:line="78" w:lineRule="exact"/>
        <w:rPr>
          <w:rFonts w:ascii="Arial" w:cs="Arial" w:eastAsia="Arial" w:hAnsi="Arial"/>
          <w:sz w:val="18"/>
          <w:szCs w:val="18"/>
          <w:color w:val="auto"/>
        </w:rPr>
      </w:pPr>
    </w:p>
    <w:p>
      <w:pPr>
        <w:ind w:right="720" w:firstLine="921"/>
        <w:spacing w:after="0" w:line="277" w:lineRule="auto"/>
        <w:tabs>
          <w:tab w:leader="none" w:pos="116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Liens created pursuant to this Agreement (including </w:t>
      </w:r>
      <w:r>
        <w:rPr>
          <w:rFonts w:ascii="Arial" w:cs="Arial" w:eastAsia="Arial" w:hAnsi="Arial"/>
          <w:sz w:val="18"/>
          <w:szCs w:val="18"/>
          <w:u w:val="single" w:color="auto"/>
          <w:color w:val="auto"/>
        </w:rPr>
        <w:t>Section 2.19</w:t>
      </w:r>
      <w:r>
        <w:rPr>
          <w:rFonts w:ascii="Arial" w:cs="Arial" w:eastAsia="Arial" w:hAnsi="Arial"/>
          <w:sz w:val="18"/>
          <w:szCs w:val="18"/>
          <w:color w:val="auto"/>
        </w:rPr>
        <w:t>) or any of the Security Documents (including Liens in favor of the Designated Indebtedness Holders (as defined in the Guarantee and Security Agreement));</w:t>
      </w:r>
    </w:p>
    <w:p>
      <w:pPr>
        <w:spacing w:after="0" w:line="62" w:lineRule="exact"/>
        <w:rPr>
          <w:rFonts w:ascii="Arial" w:cs="Arial" w:eastAsia="Arial" w:hAnsi="Arial"/>
          <w:sz w:val="18"/>
          <w:szCs w:val="18"/>
          <w:color w:val="auto"/>
        </w:rPr>
      </w:pPr>
    </w:p>
    <w:p>
      <w:pPr>
        <w:ind w:left="1160" w:hanging="239"/>
        <w:spacing w:after="0"/>
        <w:tabs>
          <w:tab w:leader="none" w:pos="11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Liens on the assets of a Financing Subsidiary securing obligations of such Financing Subsidiary;</w:t>
      </w:r>
    </w:p>
    <w:p>
      <w:pPr>
        <w:spacing w:after="0" w:line="117" w:lineRule="exact"/>
        <w:rPr>
          <w:rFonts w:ascii="Arial" w:cs="Arial" w:eastAsia="Arial" w:hAnsi="Arial"/>
          <w:sz w:val="18"/>
          <w:szCs w:val="18"/>
          <w:color w:val="auto"/>
        </w:rPr>
      </w:pPr>
    </w:p>
    <w:p>
      <w:pPr>
        <w:ind w:right="440" w:firstLine="921"/>
        <w:spacing w:after="0" w:line="277" w:lineRule="auto"/>
        <w:tabs>
          <w:tab w:leader="none" w:pos="116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Liens on Special Equity Interests included in the Portfolio Investments of the Borrower but only to the extent securing obligations in the manner provided in the definition of “</w:t>
      </w:r>
      <w:r>
        <w:rPr>
          <w:rFonts w:ascii="Arial" w:cs="Arial" w:eastAsia="Arial" w:hAnsi="Arial"/>
          <w:sz w:val="18"/>
          <w:szCs w:val="18"/>
          <w:u w:val="single" w:color="auto"/>
          <w:color w:val="auto"/>
        </w:rPr>
        <w:t>Special Equity Interests</w:t>
      </w:r>
      <w:r>
        <w:rPr>
          <w:rFonts w:ascii="Arial" w:cs="Arial" w:eastAsia="Arial" w:hAnsi="Arial"/>
          <w:sz w:val="18"/>
          <w:szCs w:val="18"/>
          <w:color w:val="auto"/>
        </w:rPr>
        <w:t xml:space="preserve">”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180" w:firstLine="921"/>
        <w:spacing w:after="0" w:line="257" w:lineRule="auto"/>
        <w:tabs>
          <w:tab w:leader="none" w:pos="115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Liens securing Indebtedness or other obligations in an aggregate principal amount not exceeding $10,000,000 at any one time outstanding (which may cover Portfolio Investments, but only to the extent released from the Lien in favor of the Collateral Agent pursuant to Section 10.03 of the Guarantee and Security Agreement), so long as at the time of incurrence of such Indebtedness or other obligations, the aggregate amount of Indebtedness permitted under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does not exceed the lesser of (i) the Borrowing Base and (ii) the amount required to comply with the provisions of </w:t>
      </w:r>
      <w:r>
        <w:rPr>
          <w:rFonts w:ascii="Arial" w:cs="Arial" w:eastAsia="Arial" w:hAnsi="Arial"/>
          <w:sz w:val="18"/>
          <w:szCs w:val="18"/>
          <w:u w:val="single" w:color="auto"/>
          <w:color w:val="auto"/>
        </w:rPr>
        <w:t>Section 6.07(b)</w:t>
      </w:r>
      <w:r>
        <w:rPr>
          <w:rFonts w:ascii="Arial" w:cs="Arial" w:eastAsia="Arial" w:hAnsi="Arial"/>
          <w:sz w:val="18"/>
          <w:szCs w:val="18"/>
          <w:color w:val="auto"/>
        </w:rPr>
        <w:t>;</w:t>
      </w:r>
    </w:p>
    <w:p>
      <w:pPr>
        <w:spacing w:after="0" w:line="80" w:lineRule="exact"/>
        <w:rPr>
          <w:rFonts w:ascii="Arial" w:cs="Arial" w:eastAsia="Arial" w:hAnsi="Arial"/>
          <w:sz w:val="18"/>
          <w:szCs w:val="18"/>
          <w:color w:val="auto"/>
        </w:rPr>
      </w:pPr>
    </w:p>
    <w:p>
      <w:pPr>
        <w:ind w:left="1140" w:hanging="219"/>
        <w:spacing w:after="0"/>
        <w:tabs>
          <w:tab w:leader="none" w:pos="11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Liens on Equity Interests in any SBIC Subsidiary created in favor of the SBA;</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right="180" w:firstLine="921"/>
        <w:spacing w:after="0" w:line="279" w:lineRule="auto"/>
        <w:tabs>
          <w:tab w:leader="none" w:pos="1128" w:val="left"/>
        </w:tabs>
        <w:numPr>
          <w:ilvl w:val="0"/>
          <w:numId w:val="173"/>
        </w:numPr>
        <w:rPr>
          <w:rFonts w:ascii="Arial" w:cs="Arial" w:eastAsia="Arial" w:hAnsi="Arial"/>
          <w:sz w:val="17"/>
          <w:szCs w:val="17"/>
          <w:color w:val="auto"/>
        </w:rPr>
      </w:pPr>
      <w:r>
        <w:rPr>
          <w:rFonts w:ascii="Arial" w:cs="Arial" w:eastAsia="Arial" w:hAnsi="Arial"/>
          <w:sz w:val="17"/>
          <w:szCs w:val="17"/>
          <w:color w:val="auto"/>
        </w:rPr>
        <w:t xml:space="preserve">(x) Liens securing Hedging Agreements permitted under </w:t>
      </w:r>
      <w:r>
        <w:rPr>
          <w:rFonts w:ascii="Arial" w:cs="Arial" w:eastAsia="Arial" w:hAnsi="Arial"/>
          <w:sz w:val="17"/>
          <w:szCs w:val="17"/>
          <w:u w:val="single" w:color="auto"/>
          <w:color w:val="auto"/>
        </w:rPr>
        <w:t>Section 6.04(c)</w:t>
      </w:r>
      <w:r>
        <w:rPr>
          <w:rFonts w:ascii="Arial" w:cs="Arial" w:eastAsia="Arial" w:hAnsi="Arial"/>
          <w:sz w:val="17"/>
          <w:szCs w:val="17"/>
          <w:color w:val="auto"/>
        </w:rPr>
        <w:t xml:space="preserve"> and not otherwise permitted under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above in an aggregate amount not to exceed $5,000,000 at any time and (y) Liens incurred in connection with any Hedging Agreement either entered into with a Lender (or an Affiliate of a Lender) on an uncleared basis or cleared through a Lender (or Affiliate of a Lender) as futures commission merchant in the ordinary course of business and not for speculative purposes (it being understood that such Lien shall continue to be</w:t>
      </w:r>
    </w:p>
    <w:p>
      <w:pPr>
        <w:spacing w:after="0" w:line="104"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76" w:name="page177"/>
    <w:bookmarkEnd w:id="176"/>
    <w:p>
      <w:pPr>
        <w:ind w:right="8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permitted pursuant to this </w:t>
      </w:r>
      <w:r>
        <w:rPr>
          <w:rFonts w:ascii="Arial" w:cs="Arial" w:eastAsia="Arial" w:hAnsi="Arial"/>
          <w:sz w:val="17"/>
          <w:szCs w:val="17"/>
          <w:u w:val="single" w:color="auto"/>
          <w:color w:val="auto"/>
        </w:rPr>
        <w:t>sub-clause (y)</w:t>
      </w:r>
      <w:r>
        <w:rPr>
          <w:rFonts w:ascii="Arial" w:cs="Arial" w:eastAsia="Arial" w:hAnsi="Arial"/>
          <w:sz w:val="17"/>
          <w:szCs w:val="17"/>
          <w:color w:val="auto"/>
        </w:rPr>
        <w:t xml:space="preserve"> even if such Lender has assigned all of its Loans and other interests in the Credit Agreement and thus has ceased to be a Lender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any Obligor be permitted to create, incur or assume any Lien pursuant to this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or increase the aggregate amount of collateral securing any Liens previously permitted under this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unless both before and after giving effect to the creation, incurrence or assumption of such Lien or such increase in the aggregate amount of collateral securing such Lien the Covered Debt Amount does not exceed the Borrowing Base (after giving effect to the exclusion of all such collateral from the Borrowing Base); and</w:t>
      </w:r>
    </w:p>
    <w:p>
      <w:pPr>
        <w:spacing w:after="0" w:line="6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(j) Liens securing repurchase obligations arising in the ordinary course of business with respect to U.S. Government Securities.</w:t>
      </w:r>
    </w:p>
    <w:p>
      <w:pPr>
        <w:spacing w:after="0" w:line="225"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u w:val="single" w:color="auto"/>
          <w:color w:val="auto"/>
        </w:rPr>
        <w:t>Fundamental Changes</w:t>
      </w:r>
      <w:r>
        <w:rPr>
          <w:rFonts w:ascii="Arial" w:cs="Arial" w:eastAsia="Arial" w:hAnsi="Arial"/>
          <w:sz w:val="17"/>
          <w:szCs w:val="17"/>
          <w:color w:val="auto"/>
        </w:rPr>
        <w:t xml:space="preserve">. The Borrower will not, nor will it permit any of the Subsidiary Guarantors to, enter into any transaction of merger or consolidation or amalgamation, or liquidate, wind up or dissolve itself (or suffer any liquidation or dissolution). The Borrower will not, nor will it permit any of the Subsidiary Guarantors to, acquire any business or property from, or capital stock of, or be a party to any acquisition of, any Person, except for purchases or acquisitions of Portfolio Investments and other assets in the normal course of the day-to-day business activities of the Borrower and its Subsidiaries and not in violation of the terms and conditions of this Agreement or any other Loan Document. The Borrower will not, nor will it permit any of the Subsidiary Guarantors to, convey, sell, lease, transfer or otherwise dispose of, in one transaction or a series of transactions, any part of its assets, whether now owned or hereafter acquired, but excluding (x) assets (other than Portfolio Investments) sold or disposed of in the ordinary course of business (including to make expenditures of cash in the normal course of the day-to-day business activities of the Borrower and its Subsidiaries) and (y) subject to the provisions of </w:t>
      </w:r>
      <w:r>
        <w:rPr>
          <w:rFonts w:ascii="Arial" w:cs="Arial" w:eastAsia="Arial" w:hAnsi="Arial"/>
          <w:sz w:val="17"/>
          <w:szCs w:val="17"/>
          <w:u w:val="single" w:color="auto"/>
          <w:color w:val="auto"/>
        </w:rPr>
        <w:t>clauses (d)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(e)</w:t>
      </w:r>
      <w:r>
        <w:rPr>
          <w:rFonts w:ascii="Arial" w:cs="Arial" w:eastAsia="Arial" w:hAnsi="Arial"/>
          <w:sz w:val="17"/>
          <w:szCs w:val="17"/>
          <w:color w:val="auto"/>
        </w:rPr>
        <w:t xml:space="preserve"> below, Portfolio Investments.</w:t>
      </w:r>
    </w:p>
    <w:p>
      <w:pPr>
        <w:spacing w:after="0" w:line="18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Notwithstanding the foregoing provisions of this Section:</w:t>
      </w:r>
    </w:p>
    <w:p>
      <w:pPr>
        <w:spacing w:after="0" w:line="117" w:lineRule="exact"/>
        <w:rPr>
          <w:sz w:val="20"/>
          <w:szCs w:val="20"/>
          <w:color w:val="auto"/>
        </w:rPr>
      </w:pPr>
    </w:p>
    <w:p>
      <w:pPr>
        <w:ind w:right="480" w:firstLine="921"/>
        <w:spacing w:after="0" w:line="264" w:lineRule="auto"/>
        <w:tabs>
          <w:tab w:leader="none" w:pos="115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any Subsidiary Guarantor of the Borrower may be merged or consolidated with or into the Borrower or any other Subsidiary Guarantor;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such transaction shall be between a Subsidiary Guarantor and a wholly owned Subsidiary Guarantor, the wholly owned Subsidiary Guarantor shall be the continuing or surviving corporation;</w:t>
      </w:r>
    </w:p>
    <w:p>
      <w:pPr>
        <w:spacing w:after="0" w:line="73" w:lineRule="exact"/>
        <w:rPr>
          <w:rFonts w:ascii="Arial" w:cs="Arial" w:eastAsia="Arial" w:hAnsi="Arial"/>
          <w:sz w:val="18"/>
          <w:szCs w:val="18"/>
          <w:color w:val="auto"/>
        </w:rPr>
      </w:pPr>
    </w:p>
    <w:p>
      <w:pPr>
        <w:ind w:right="120" w:firstLine="921"/>
        <w:spacing w:after="0" w:line="277" w:lineRule="auto"/>
        <w:tabs>
          <w:tab w:leader="none" w:pos="116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any Subsidiary Guarantor of the Borrower may sell, lease, transfer or otherwise dispose of any or all of its assets (upon voluntary liquidation or otherwise) to the Borrower or any wholly owned Subsidiary Guarantor of the Borrower;</w:t>
      </w:r>
    </w:p>
    <w:p>
      <w:pPr>
        <w:spacing w:after="0" w:line="62" w:lineRule="exact"/>
        <w:rPr>
          <w:rFonts w:ascii="Arial" w:cs="Arial" w:eastAsia="Arial" w:hAnsi="Arial"/>
          <w:sz w:val="18"/>
          <w:szCs w:val="18"/>
          <w:color w:val="auto"/>
        </w:rPr>
      </w:pPr>
    </w:p>
    <w:p>
      <w:pPr>
        <w:ind w:right="220" w:firstLine="921"/>
        <w:spacing w:after="0" w:line="277" w:lineRule="auto"/>
        <w:tabs>
          <w:tab w:leader="none" w:pos="115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capital stock of any Subsidiary of the Borrower may be sold, transferred or otherwise disposed of to the Borrower or any wholly owned Subsidiary Guarantor of the Borrower;</w:t>
      </w:r>
    </w:p>
    <w:p>
      <w:pPr>
        <w:spacing w:after="0" w:line="62" w:lineRule="exact"/>
        <w:rPr>
          <w:rFonts w:ascii="Arial" w:cs="Arial" w:eastAsia="Arial" w:hAnsi="Arial"/>
          <w:sz w:val="18"/>
          <w:szCs w:val="18"/>
          <w:color w:val="auto"/>
        </w:rPr>
      </w:pPr>
    </w:p>
    <w:p>
      <w:pPr>
        <w:ind w:right="120" w:firstLine="921"/>
        <w:spacing w:after="0" w:line="264" w:lineRule="auto"/>
        <w:tabs>
          <w:tab w:leader="none" w:pos="116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Obligors may sell, transfer or otherwise dispose of Portfolio Investments (other than to a Financing Subsidiary) so long as after giving effect to such sale, transfer or other disposition (and any concurrent acquisitions of Portfolio Investments or payment of outstanding Loans or Other Covered Indebtedness) the Covered Debt Amount does not exceed the Borrowing Base;</w:t>
      </w:r>
    </w:p>
    <w:p>
      <w:pPr>
        <w:spacing w:after="0" w:line="114"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90</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77" w:name="page178"/>
    <w:bookmarkEnd w:id="177"/>
    <w:p>
      <w:pPr>
        <w:ind w:right="140" w:firstLine="921"/>
        <w:spacing w:after="0" w:line="255" w:lineRule="auto"/>
        <w:tabs>
          <w:tab w:leader="none" w:pos="1158" w:val="left"/>
        </w:tabs>
        <w:numPr>
          <w:ilvl w:val="0"/>
          <w:numId w:val="1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Obligors may sell, transfer or otherwise dispose of Portfolio Investments to a Financing Subsidiary so long as (i) after giving effect to such sale, transfer or other disposition (and any concurrent acquisitions of Portfolio Investments or payment of outstanding Loans or Other Covered Indebtedness) the Covered Debt Amount does not exceed the Borrowing Base and the Borrower delivers to the Administrative Agent a certificate of a Financial Officer to such effect and (ii) either (x) the amount by which the Borrowing Base exceeds the Covered Debt Amount immediately prior to such release is not diminished as a result of such release or (y) the Borrowing Base immediately after giving effect to such release is at least 110% of the Covered Debt Amount;</w:t>
      </w:r>
    </w:p>
    <w:p>
      <w:pPr>
        <w:spacing w:after="0" w:line="85" w:lineRule="exact"/>
        <w:rPr>
          <w:rFonts w:ascii="Arial" w:cs="Arial" w:eastAsia="Arial" w:hAnsi="Arial"/>
          <w:sz w:val="18"/>
          <w:szCs w:val="18"/>
          <w:color w:val="auto"/>
        </w:rPr>
      </w:pPr>
    </w:p>
    <w:p>
      <w:pPr>
        <w:ind w:right="640" w:firstLine="921"/>
        <w:spacing w:after="0" w:line="277" w:lineRule="auto"/>
        <w:tabs>
          <w:tab w:leader="none" w:pos="1138"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Borrower may merge or consolidate with any other Person so long as (i) the Borrower is the continuing or surviving entity in such transaction and (ii) at the time thereof and after giving effect thereto, no Default shall have occurred or be continuing; and</w:t>
      </w:r>
    </w:p>
    <w:p>
      <w:pPr>
        <w:spacing w:after="0" w:line="62" w:lineRule="exact"/>
        <w:rPr>
          <w:rFonts w:ascii="Arial" w:cs="Arial" w:eastAsia="Arial" w:hAnsi="Arial"/>
          <w:sz w:val="18"/>
          <w:szCs w:val="18"/>
          <w:color w:val="auto"/>
        </w:rPr>
      </w:pPr>
    </w:p>
    <w:p>
      <w:pPr>
        <w:ind w:right="140" w:firstLine="921"/>
        <w:spacing w:after="0" w:line="264" w:lineRule="auto"/>
        <w:tabs>
          <w:tab w:leader="none" w:pos="1168"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Borrower and each of the Subsidiary Guarantors may sell, lease, transfer or otherwise dispose of equipment or other property or assets that do not consist of Portfolio Investments so long as the aggregate amount of all such sales, leases, transfer and dispositions does not exceed $5,000,000 in any fiscal year.</w:t>
      </w:r>
    </w:p>
    <w:p>
      <w:pPr>
        <w:spacing w:after="0" w:line="181"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Investments</w:t>
      </w:r>
      <w:r>
        <w:rPr>
          <w:rFonts w:ascii="Arial" w:cs="Arial" w:eastAsia="Arial" w:hAnsi="Arial"/>
          <w:sz w:val="18"/>
          <w:szCs w:val="18"/>
          <w:color w:val="auto"/>
        </w:rPr>
        <w:t>. The Borrower will not, nor will it permit any of the Subsidiary Guarantors to, acquire, make or enter into, or hold, any Investments except:</w:t>
      </w:r>
    </w:p>
    <w:p>
      <w:pPr>
        <w:spacing w:after="0" w:line="62" w:lineRule="exact"/>
        <w:rPr>
          <w:sz w:val="20"/>
          <w:szCs w:val="20"/>
          <w:color w:val="auto"/>
        </w:rPr>
      </w:pPr>
    </w:p>
    <w:p>
      <w:pPr>
        <w:ind w:left="1160" w:hanging="239"/>
        <w:spacing w:after="0"/>
        <w:tabs>
          <w:tab w:leader="none" w:pos="116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operating deposit accounts with banks;</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Investments by the Borrower and the Subsidiary Guarantors in the Borrower and the Subsidiary Guarantors;</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Hedging Agreements entered into in the ordinary course of the Borrower’s financial planning and not for speculative purposes;</w:t>
      </w:r>
    </w:p>
    <w:p>
      <w:pPr>
        <w:spacing w:after="0" w:line="117" w:lineRule="exact"/>
        <w:rPr>
          <w:rFonts w:ascii="Arial" w:cs="Arial" w:eastAsia="Arial" w:hAnsi="Arial"/>
          <w:sz w:val="18"/>
          <w:szCs w:val="18"/>
          <w:color w:val="auto"/>
        </w:rPr>
      </w:pPr>
    </w:p>
    <w:p>
      <w:pPr>
        <w:ind w:right="540" w:firstLine="921"/>
        <w:spacing w:after="0" w:line="277" w:lineRule="auto"/>
        <w:tabs>
          <w:tab w:leader="none" w:pos="1168" w:val="left"/>
        </w:tabs>
        <w:numPr>
          <w:ilvl w:val="1"/>
          <w:numId w:val="176"/>
        </w:numPr>
        <w:rPr>
          <w:rFonts w:ascii="Arial" w:cs="Arial" w:eastAsia="Arial" w:hAnsi="Arial"/>
          <w:sz w:val="18"/>
          <w:szCs w:val="18"/>
          <w:color w:val="auto"/>
        </w:rPr>
      </w:pPr>
      <w:r>
        <w:rPr>
          <w:rFonts w:ascii="Arial" w:cs="Arial" w:eastAsia="Arial" w:hAnsi="Arial"/>
          <w:sz w:val="18"/>
          <w:szCs w:val="18"/>
          <w:color w:val="auto"/>
        </w:rPr>
        <w:t>Portfolio Investments by the Borrower and its Subsidiaries to the extent such Portfolio Investments are permitted under the Investment Company Act and the Borrower’s Investment Policies as in effect as of the date such Portfolio Investments are acquired;</w:t>
      </w:r>
    </w:p>
    <w:p>
      <w:pPr>
        <w:spacing w:after="0" w:line="62" w:lineRule="exact"/>
        <w:rPr>
          <w:rFonts w:ascii="Arial" w:cs="Arial" w:eastAsia="Arial" w:hAnsi="Arial"/>
          <w:sz w:val="18"/>
          <w:szCs w:val="18"/>
          <w:color w:val="auto"/>
        </w:rPr>
      </w:pPr>
    </w:p>
    <w:p>
      <w:pPr>
        <w:ind w:right="120" w:firstLine="921"/>
        <w:spacing w:after="0" w:line="264" w:lineRule="auto"/>
        <w:tabs>
          <w:tab w:leader="none" w:pos="1158" w:val="left"/>
        </w:tabs>
        <w:numPr>
          <w:ilvl w:val="1"/>
          <w:numId w:val="176"/>
        </w:numPr>
        <w:rPr>
          <w:rFonts w:ascii="Arial" w:cs="Arial" w:eastAsia="Arial" w:hAnsi="Arial"/>
          <w:sz w:val="18"/>
          <w:szCs w:val="18"/>
          <w:color w:val="auto"/>
        </w:rPr>
      </w:pPr>
      <w:r>
        <w:rPr>
          <w:rFonts w:ascii="Arial" w:cs="Arial" w:eastAsia="Arial" w:hAnsi="Arial"/>
          <w:sz w:val="18"/>
          <w:szCs w:val="18"/>
          <w:color w:val="auto"/>
        </w:rPr>
        <w:t xml:space="preserve">Investments in Financing Subsidiaries so long as, (i) after giving effect to such Investment, the Covered Debt Amount does not exceed the Borrowing Base and (ii) the sum of (x) all Investments under this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that occur after the Commitment Termination Date and (y) all Investments under </w:t>
      </w:r>
      <w:r>
        <w:rPr>
          <w:rFonts w:ascii="Arial" w:cs="Arial" w:eastAsia="Arial" w:hAnsi="Arial"/>
          <w:sz w:val="18"/>
          <w:szCs w:val="18"/>
          <w:u w:val="single" w:color="auto"/>
          <w:color w:val="auto"/>
        </w:rPr>
        <w:t>clause (f)</w:t>
      </w:r>
      <w:r>
        <w:rPr>
          <w:rFonts w:ascii="Arial" w:cs="Arial" w:eastAsia="Arial" w:hAnsi="Arial"/>
          <w:sz w:val="18"/>
          <w:szCs w:val="18"/>
          <w:color w:val="auto"/>
        </w:rPr>
        <w:t xml:space="preserve"> below that occur after the Commitment Termination Date, shall not exceed $10,000,000 in the aggregate;</w:t>
      </w:r>
    </w:p>
    <w:p>
      <w:pPr>
        <w:spacing w:after="0" w:line="73" w:lineRule="exact"/>
        <w:rPr>
          <w:rFonts w:ascii="Arial" w:cs="Arial" w:eastAsia="Arial" w:hAnsi="Arial"/>
          <w:sz w:val="18"/>
          <w:szCs w:val="18"/>
          <w:color w:val="auto"/>
        </w:rPr>
      </w:pPr>
    </w:p>
    <w:p>
      <w:pPr>
        <w:ind w:left="1140" w:hanging="219"/>
        <w:spacing w:after="0"/>
        <w:tabs>
          <w:tab w:leader="none" w:pos="1140" w:val="left"/>
        </w:tabs>
        <w:numPr>
          <w:ilvl w:val="1"/>
          <w:numId w:val="176"/>
        </w:numPr>
        <w:rPr>
          <w:rFonts w:ascii="Arial" w:cs="Arial" w:eastAsia="Arial" w:hAnsi="Arial"/>
          <w:sz w:val="16"/>
          <w:szCs w:val="16"/>
          <w:color w:val="auto"/>
        </w:rPr>
      </w:pPr>
      <w:r>
        <w:rPr>
          <w:rFonts w:ascii="Arial" w:cs="Arial" w:eastAsia="Arial" w:hAnsi="Arial"/>
          <w:sz w:val="16"/>
          <w:szCs w:val="16"/>
          <w:color w:val="auto"/>
        </w:rPr>
        <w:t xml:space="preserve">additional Investments up to but not exceeding $15,000,000 in the aggregate;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sum of (x) all Investments under this </w:t>
      </w:r>
      <w:r>
        <w:rPr>
          <w:rFonts w:ascii="Arial" w:cs="Arial" w:eastAsia="Arial" w:hAnsi="Arial"/>
          <w:sz w:val="16"/>
          <w:szCs w:val="16"/>
          <w:u w:val="single" w:color="auto"/>
          <w:color w:val="auto"/>
        </w:rPr>
        <w:t>clause</w:t>
      </w:r>
    </w:p>
    <w:p>
      <w:pPr>
        <w:spacing w:after="0" w:line="46" w:lineRule="exact"/>
        <w:rPr>
          <w:rFonts w:ascii="Arial" w:cs="Arial" w:eastAsia="Arial" w:hAnsi="Arial"/>
          <w:sz w:val="16"/>
          <w:szCs w:val="16"/>
          <w:color w:val="auto"/>
        </w:rPr>
      </w:pPr>
    </w:p>
    <w:p>
      <w:pPr>
        <w:ind w:right="40" w:firstLine="8"/>
        <w:spacing w:after="0" w:line="261" w:lineRule="auto"/>
        <w:tabs>
          <w:tab w:leader="none" w:pos="225" w:val="left"/>
        </w:tabs>
        <w:numPr>
          <w:ilvl w:val="0"/>
          <w:numId w:val="177"/>
        </w:numPr>
        <w:rPr>
          <w:rFonts w:ascii="Arial" w:cs="Arial" w:eastAsia="Arial" w:hAnsi="Arial"/>
          <w:sz w:val="18"/>
          <w:szCs w:val="18"/>
          <w:u w:val="single" w:color="auto"/>
          <w:color w:val="auto"/>
        </w:rPr>
      </w:pPr>
      <w:r>
        <w:rPr>
          <w:rFonts w:ascii="Arial" w:cs="Arial" w:eastAsia="Arial" w:hAnsi="Arial"/>
          <w:sz w:val="18"/>
          <w:szCs w:val="18"/>
          <w:color w:val="auto"/>
        </w:rPr>
        <w:t xml:space="preserve">that occur after the Commitment Termination Date and (y) all Investments under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above that occur after the Commitment Termination Date, shall not exceed $10,000,000 in the aggregate;</w:t>
      </w:r>
    </w:p>
    <w:p>
      <w:pPr>
        <w:spacing w:after="0" w:line="116"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78" w:name="page179"/>
    <w:bookmarkEnd w:id="178"/>
    <w:p>
      <w:pPr>
        <w:ind w:left="1180" w:hanging="259"/>
        <w:spacing w:after="0"/>
        <w:tabs>
          <w:tab w:leader="none" w:pos="11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Investments in Cash and Cash Equivalents;</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Investments described on </w:t>
      </w:r>
      <w:r>
        <w:rPr>
          <w:rFonts w:ascii="Arial" w:cs="Arial" w:eastAsia="Arial" w:hAnsi="Arial"/>
          <w:sz w:val="18"/>
          <w:szCs w:val="18"/>
          <w:u w:val="single" w:color="auto"/>
          <w:color w:val="auto"/>
        </w:rPr>
        <w:t>Schedule 3.12(b)</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40" w:hanging="219"/>
        <w:spacing w:after="0"/>
        <w:tabs>
          <w:tab w:leader="none" w:pos="11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Investments by a Financing Subsidiary; and</w:t>
      </w:r>
    </w:p>
    <w:p>
      <w:pPr>
        <w:spacing w:after="0" w:line="117" w:lineRule="exact"/>
        <w:rPr>
          <w:rFonts w:ascii="Arial" w:cs="Arial" w:eastAsia="Arial" w:hAnsi="Arial"/>
          <w:sz w:val="18"/>
          <w:szCs w:val="18"/>
          <w:color w:val="auto"/>
        </w:rPr>
      </w:pPr>
    </w:p>
    <w:p>
      <w:pPr>
        <w:ind w:left="1140" w:hanging="219"/>
        <w:spacing w:after="0"/>
        <w:tabs>
          <w:tab w:leader="none" w:pos="11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Investments in the form of Guarantees permitted pursuant to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For purposes of </w:t>
      </w:r>
      <w:r>
        <w:rPr>
          <w:rFonts w:ascii="Arial" w:cs="Arial" w:eastAsia="Arial" w:hAnsi="Arial"/>
          <w:sz w:val="18"/>
          <w:szCs w:val="18"/>
          <w:u w:val="single" w:color="auto"/>
          <w:color w:val="auto"/>
        </w:rPr>
        <w:t>clause (f)</w:t>
      </w:r>
      <w:r>
        <w:rPr>
          <w:rFonts w:ascii="Arial" w:cs="Arial" w:eastAsia="Arial" w:hAnsi="Arial"/>
          <w:sz w:val="18"/>
          <w:szCs w:val="18"/>
          <w:color w:val="auto"/>
        </w:rPr>
        <w:t xml:space="preserve"> of this Section, the aggregate amount of an Investment at any time shall be deemed to be equal to (A) the aggregate amount of cash, together with the aggregate fair market value of property, loaned, advanced, contributed, transferred or otherwise invested that gives rise to such Investment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aggregate amount of dividends, distributions or other payments received in cash in respect of such Investment;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the aggregate amount of such Investment be deemed to be less than zero; the amount of an Investment shall not in any event be reduced by reason of any write-off of such Investment nor increased by any increase in the amount of earnings retained in the Person in which such Investment is made that have not been dividended, distributed or otherwise paid out.</w:t>
      </w:r>
    </w:p>
    <w:p>
      <w:pPr>
        <w:spacing w:after="0" w:line="193"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Restricted Payments</w:t>
      </w:r>
      <w:r>
        <w:rPr>
          <w:rFonts w:ascii="Arial" w:cs="Arial" w:eastAsia="Arial" w:hAnsi="Arial"/>
          <w:sz w:val="18"/>
          <w:szCs w:val="18"/>
          <w:color w:val="auto"/>
        </w:rPr>
        <w:t>. The Borrower will not, nor will it permit any of the Subsidiary Guarantors to, declare or make, or agree to pay or make, directly or indirectly, any Restricted Payment, except that the Borrower may declare and pay:</w:t>
      </w:r>
    </w:p>
    <w:p>
      <w:pPr>
        <w:spacing w:after="0" w:line="62" w:lineRule="exact"/>
        <w:rPr>
          <w:sz w:val="20"/>
          <w:szCs w:val="20"/>
          <w:color w:val="auto"/>
        </w:rPr>
      </w:pPr>
    </w:p>
    <w:p>
      <w:pPr>
        <w:ind w:left="1160" w:hanging="239"/>
        <w:spacing w:after="0"/>
        <w:tabs>
          <w:tab w:leader="none" w:pos="1160" w:val="left"/>
        </w:tabs>
        <w:numPr>
          <w:ilvl w:val="2"/>
          <w:numId w:val="179"/>
        </w:numPr>
        <w:rPr>
          <w:rFonts w:ascii="Arial" w:cs="Arial" w:eastAsia="Arial" w:hAnsi="Arial"/>
          <w:sz w:val="18"/>
          <w:szCs w:val="18"/>
          <w:color w:val="auto"/>
        </w:rPr>
      </w:pPr>
      <w:r>
        <w:rPr>
          <w:rFonts w:ascii="Arial" w:cs="Arial" w:eastAsia="Arial" w:hAnsi="Arial"/>
          <w:sz w:val="18"/>
          <w:szCs w:val="18"/>
          <w:color w:val="auto"/>
        </w:rPr>
        <w:t>dividends with respect to the capital stock of the Borrower payable solely in additional shares of the Borrower’s common stock;</w:t>
      </w:r>
    </w:p>
    <w:p>
      <w:pPr>
        <w:spacing w:after="0" w:line="117" w:lineRule="exact"/>
        <w:rPr>
          <w:rFonts w:ascii="Arial" w:cs="Arial" w:eastAsia="Arial" w:hAnsi="Arial"/>
          <w:sz w:val="18"/>
          <w:szCs w:val="18"/>
          <w:color w:val="auto"/>
        </w:rPr>
      </w:pPr>
    </w:p>
    <w:p>
      <w:pPr>
        <w:ind w:right="160" w:firstLine="921"/>
        <w:spacing w:after="0" w:line="264" w:lineRule="auto"/>
        <w:tabs>
          <w:tab w:leader="none" w:pos="1168" w:val="left"/>
        </w:tabs>
        <w:numPr>
          <w:ilvl w:val="2"/>
          <w:numId w:val="179"/>
        </w:numPr>
        <w:rPr>
          <w:rFonts w:ascii="Arial" w:cs="Arial" w:eastAsia="Arial" w:hAnsi="Arial"/>
          <w:sz w:val="18"/>
          <w:szCs w:val="18"/>
          <w:color w:val="auto"/>
        </w:rPr>
      </w:pPr>
      <w:r>
        <w:rPr>
          <w:rFonts w:ascii="Arial" w:cs="Arial" w:eastAsia="Arial" w:hAnsi="Arial"/>
          <w:sz w:val="18"/>
          <w:szCs w:val="18"/>
          <w:color w:val="auto"/>
        </w:rPr>
        <w:t>dividends and distributions in either case in cash or other property (excluding for this purpose the Borrower’s common stock) in any taxable year of the Borrower in amounts not to exceed the amount that is determined in good faith by the Borrower to be required to (i) maintain the status of the Borrower as a RIC, and (ii) avoid federal excise taxes for such taxable year imposed by Section 4982 of the Code;</w:t>
      </w:r>
    </w:p>
    <w:p>
      <w:pPr>
        <w:spacing w:after="0" w:line="73" w:lineRule="exact"/>
        <w:rPr>
          <w:rFonts w:ascii="Arial" w:cs="Arial" w:eastAsia="Arial" w:hAnsi="Arial"/>
          <w:sz w:val="18"/>
          <w:szCs w:val="18"/>
          <w:color w:val="auto"/>
        </w:rPr>
      </w:pPr>
    </w:p>
    <w:p>
      <w:pPr>
        <w:ind w:right="20" w:firstLine="921"/>
        <w:spacing w:after="0" w:line="264" w:lineRule="auto"/>
        <w:tabs>
          <w:tab w:leader="none" w:pos="1158" w:val="left"/>
        </w:tabs>
        <w:numPr>
          <w:ilvl w:val="2"/>
          <w:numId w:val="179"/>
        </w:numPr>
        <w:rPr>
          <w:rFonts w:ascii="Arial" w:cs="Arial" w:eastAsia="Arial" w:hAnsi="Arial"/>
          <w:sz w:val="18"/>
          <w:szCs w:val="18"/>
          <w:color w:val="auto"/>
        </w:rPr>
      </w:pPr>
      <w:r>
        <w:rPr>
          <w:rFonts w:ascii="Arial" w:cs="Arial" w:eastAsia="Arial" w:hAnsi="Arial"/>
          <w:sz w:val="18"/>
          <w:szCs w:val="18"/>
          <w:color w:val="auto"/>
        </w:rPr>
        <w:t xml:space="preserve">dividends and distributions in each case in cash or other property (excluding for this purpose the Borrower’s common stock) in addition to the dividends and distributions permitted under the foregoing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so long as on the date of such Restricted Payment and after giving effect thereto:</w:t>
      </w:r>
    </w:p>
    <w:p>
      <w:pPr>
        <w:spacing w:after="0" w:line="73" w:lineRule="exact"/>
        <w:rPr>
          <w:rFonts w:ascii="Arial" w:cs="Arial" w:eastAsia="Arial" w:hAnsi="Arial"/>
          <w:sz w:val="18"/>
          <w:szCs w:val="18"/>
          <w:color w:val="auto"/>
        </w:rPr>
      </w:pPr>
    </w:p>
    <w:p>
      <w:pPr>
        <w:ind w:left="1120" w:hanging="217"/>
        <w:spacing w:after="0"/>
        <w:tabs>
          <w:tab w:leader="none" w:pos="112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no Default shall have occurred and be continuing or would result therefrom; and</w:t>
      </w:r>
    </w:p>
    <w:p>
      <w:pPr>
        <w:spacing w:after="0" w:line="117" w:lineRule="exact"/>
        <w:rPr>
          <w:rFonts w:ascii="Arial" w:cs="Arial" w:eastAsia="Arial" w:hAnsi="Arial"/>
          <w:sz w:val="18"/>
          <w:szCs w:val="18"/>
          <w:color w:val="auto"/>
        </w:rPr>
      </w:pPr>
    </w:p>
    <w:p>
      <w:pPr>
        <w:ind w:left="460" w:right="160" w:firstLine="443"/>
        <w:spacing w:after="0" w:line="291" w:lineRule="auto"/>
        <w:tabs>
          <w:tab w:leader="none" w:pos="1163" w:val="left"/>
        </w:tabs>
        <w:numPr>
          <w:ilvl w:val="1"/>
          <w:numId w:val="180"/>
        </w:numPr>
        <w:rPr>
          <w:rFonts w:ascii="Arial" w:cs="Arial" w:eastAsia="Arial" w:hAnsi="Arial"/>
          <w:sz w:val="16"/>
          <w:szCs w:val="16"/>
          <w:color w:val="auto"/>
        </w:rPr>
      </w:pPr>
      <w:r>
        <w:rPr>
          <w:rFonts w:ascii="Arial" w:cs="Arial" w:eastAsia="Arial" w:hAnsi="Arial"/>
          <w:sz w:val="16"/>
          <w:szCs w:val="16"/>
          <w:color w:val="auto"/>
        </w:rPr>
        <w:t xml:space="preserve">the aggregate amount of Restricted Payments made during any taxable year of the Borrower after the date hereof under this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shall not exceed the difference of (x) an amount equal to 10% of the taxable income of the Borrower for such taxable year determined under section 852(b)</w:t>
      </w:r>
    </w:p>
    <w:p>
      <w:pPr>
        <w:ind w:left="460" w:right="180" w:firstLine="4"/>
        <w:spacing w:after="0" w:line="254" w:lineRule="auto"/>
        <w:tabs>
          <w:tab w:leader="none" w:pos="71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of the Code, but without regard to </w:t>
      </w:r>
      <w:r>
        <w:rPr>
          <w:rFonts w:ascii="Arial" w:cs="Arial" w:eastAsia="Arial" w:hAnsi="Arial"/>
          <w:sz w:val="18"/>
          <w:szCs w:val="18"/>
          <w:u w:val="single" w:color="auto"/>
          <w:color w:val="auto"/>
        </w:rPr>
        <w:t>subparagraphs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thereof,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(y) the amount, if any, by which dividends and distributions made during such taxable year pursuant to the foregoing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(whether in respect of such taxable year or the previous taxable year) based upon the Borrower’s estimate of taxable income exceeded the actual amounts specified in </w:t>
      </w:r>
      <w:r>
        <w:rPr>
          <w:rFonts w:ascii="Arial" w:cs="Arial" w:eastAsia="Arial" w:hAnsi="Arial"/>
          <w:sz w:val="18"/>
          <w:szCs w:val="18"/>
          <w:u w:val="single" w:color="auto"/>
          <w:color w:val="auto"/>
        </w:rPr>
        <w:t>subclauses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of such foregoing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for such taxable year.</w:t>
      </w:r>
    </w:p>
    <w:p>
      <w:pPr>
        <w:spacing w:after="0" w:line="122"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79" w:name="page180"/>
    <w:bookmarkEnd w:id="179"/>
    <w:p>
      <w:pPr>
        <w:ind w:right="140" w:firstLine="921"/>
        <w:spacing w:after="0" w:line="286" w:lineRule="auto"/>
        <w:tabs>
          <w:tab w:leader="none" w:pos="1168" w:val="left"/>
        </w:tabs>
        <w:numPr>
          <w:ilvl w:val="1"/>
          <w:numId w:val="18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other Restricted Payments so long as (i) on the date of such other Restricted Payment and after giving effect thereto (x) the Covered Debt Amount does not exceed 90% of the Borrowing Base and (y) no Default shall have occurred and be continuing or would result therefrom and (ii) on the date of such other Restricted Payment the Borrower delivers to the Administrative Agent and each Lender a Borrowing Base Certificate as at such date demonstrating compliance with </w:t>
      </w:r>
      <w:r>
        <w:rPr>
          <w:rFonts w:ascii="Arial" w:cs="Arial" w:eastAsia="Arial" w:hAnsi="Arial"/>
          <w:sz w:val="16"/>
          <w:szCs w:val="16"/>
          <w:u w:val="single" w:color="auto"/>
          <w:color w:val="auto"/>
        </w:rPr>
        <w:t>subclause (x)</w:t>
      </w:r>
      <w:r>
        <w:rPr>
          <w:rFonts w:ascii="Arial" w:cs="Arial" w:eastAsia="Arial" w:hAnsi="Arial"/>
          <w:sz w:val="16"/>
          <w:szCs w:val="16"/>
          <w:color w:val="auto"/>
        </w:rPr>
        <w:t xml:space="preserve"> after giving effect to such Restricted Payment. For purposes of preparing such Borrowing Base Certificate,</w:t>
      </w:r>
    </w:p>
    <w:p>
      <w:pPr>
        <w:spacing w:after="0" w:line="1" w:lineRule="exact"/>
        <w:rPr>
          <w:rFonts w:ascii="Arial" w:cs="Arial" w:eastAsia="Arial" w:hAnsi="Arial"/>
          <w:sz w:val="16"/>
          <w:szCs w:val="16"/>
          <w:color w:val="auto"/>
        </w:rPr>
      </w:pPr>
    </w:p>
    <w:p>
      <w:pPr>
        <w:ind w:firstLine="8"/>
        <w:spacing w:after="0" w:line="271" w:lineRule="auto"/>
        <w:tabs>
          <w:tab w:leader="none" w:pos="295" w:val="left"/>
        </w:tabs>
        <w:numPr>
          <w:ilvl w:val="0"/>
          <w:numId w:val="183"/>
        </w:numPr>
        <w:rPr>
          <w:rFonts w:ascii="Arial" w:cs="Arial" w:eastAsia="Arial" w:hAnsi="Arial"/>
          <w:sz w:val="17"/>
          <w:szCs w:val="17"/>
          <w:color w:val="auto"/>
        </w:rPr>
      </w:pPr>
      <w:r>
        <w:rPr>
          <w:rFonts w:ascii="Arial" w:cs="Arial" w:eastAsia="Arial" w:hAnsi="Arial"/>
          <w:sz w:val="17"/>
          <w:szCs w:val="17"/>
          <w:color w:val="auto"/>
        </w:rPr>
        <w:t xml:space="preserve">the fair market value of Portfolio Investments for which market quotations are readily available shall be the most recent quotation available for such Portfolio Investment and (B) the fair market value of Portfolio Investments for which market quotations are not readily available shall be the Value set forth in the Borrowing Base Certificate most recently delivered by the Borrower to the Administrative Agent and the Lenders pursuant to </w:t>
      </w:r>
      <w:r>
        <w:rPr>
          <w:rFonts w:ascii="Arial" w:cs="Arial" w:eastAsia="Arial" w:hAnsi="Arial"/>
          <w:sz w:val="17"/>
          <w:szCs w:val="17"/>
          <w:u w:val="single" w:color="auto"/>
          <w:color w:val="auto"/>
        </w:rPr>
        <w:t>Section 5.01(d)</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reduce the Value of any Portfolio Investment referred to in this </w:t>
      </w:r>
      <w:r>
        <w:rPr>
          <w:rFonts w:ascii="Arial" w:cs="Arial" w:eastAsia="Arial" w:hAnsi="Arial"/>
          <w:sz w:val="17"/>
          <w:szCs w:val="17"/>
          <w:u w:val="single" w:color="auto"/>
          <w:color w:val="auto"/>
        </w:rPr>
        <w:t>sub-clause (B)</w:t>
      </w:r>
      <w:r>
        <w:rPr>
          <w:rFonts w:ascii="Arial" w:cs="Arial" w:eastAsia="Arial" w:hAnsi="Arial"/>
          <w:sz w:val="17"/>
          <w:szCs w:val="17"/>
          <w:color w:val="auto"/>
        </w:rPr>
        <w:t xml:space="preserve"> to the extent necessary to take into account any events of which the Borrower has knowledge that adversely affect the value of such Portfolio Investment.</w:t>
      </w:r>
    </w:p>
    <w:p>
      <w:pPr>
        <w:spacing w:after="0" w:line="179"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Nothing herein shall be deemed to prohibit the payment of Restricted Payments by any Subsidiary of the Borrower to the Borrower or to any other Subsidiary Guarantor.</w:t>
      </w:r>
    </w:p>
    <w:p>
      <w:pPr>
        <w:spacing w:after="0" w:line="170" w:lineRule="exact"/>
        <w:rPr>
          <w:sz w:val="20"/>
          <w:szCs w:val="20"/>
          <w:color w:val="auto"/>
        </w:rPr>
      </w:pPr>
    </w:p>
    <w:p>
      <w:pPr>
        <w:ind w:right="80" w:firstLine="913"/>
        <w:spacing w:after="0" w:line="284" w:lineRule="auto"/>
        <w:rPr>
          <w:sz w:val="20"/>
          <w:szCs w:val="20"/>
          <w:color w:val="auto"/>
        </w:rPr>
      </w:pPr>
      <w:r>
        <w:rPr>
          <w:rFonts w:ascii="Arial" w:cs="Arial" w:eastAsia="Arial" w:hAnsi="Arial"/>
          <w:sz w:val="16"/>
          <w:szCs w:val="16"/>
          <w:color w:val="auto"/>
        </w:rPr>
        <w:t xml:space="preserve">SECTION 6.06. </w:t>
      </w:r>
      <w:r>
        <w:rPr>
          <w:rFonts w:ascii="Arial" w:cs="Arial" w:eastAsia="Arial" w:hAnsi="Arial"/>
          <w:sz w:val="16"/>
          <w:szCs w:val="16"/>
          <w:u w:val="single" w:color="auto"/>
          <w:color w:val="auto"/>
        </w:rPr>
        <w:t>Certain Restrictions on Subsidiaries</w:t>
      </w:r>
      <w:r>
        <w:rPr>
          <w:rFonts w:ascii="Arial" w:cs="Arial" w:eastAsia="Arial" w:hAnsi="Arial"/>
          <w:sz w:val="16"/>
          <w:szCs w:val="16"/>
          <w:color w:val="auto"/>
        </w:rPr>
        <w:t xml:space="preserve">. The Borrower will not permit any of its Subsidiaries (other than Financing Subsidiaries) to enter into or suffer to exist any indenture, agreement, instrument or other arrangement (other than the Loan Documents) that prohibits or restrains, in each case in any material respect, or imposes materially adverse conditions upon, the incurrence or payment of Indebtedness, the declaration or payment of dividends, the making of loans, advances, guarantees or Investments or the sale, assignment, transfer or other disposition of property to the Borrower by any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(i) indentures, agreements, instruments or other arrangements pertaining to other Indebtedness permitted hereby (provided that such restrictions would not adversely affect the exercise of rights or remedies of the Administrative Agent or the Lenders hereunder or under the Security Documents or restrict any Subsidiary in any manner from performing its obligations under the Loan Documents) and</w:t>
      </w:r>
    </w:p>
    <w:p>
      <w:pPr>
        <w:spacing w:after="0" w:line="3" w:lineRule="exact"/>
        <w:rPr>
          <w:sz w:val="20"/>
          <w:szCs w:val="20"/>
          <w:color w:val="auto"/>
        </w:rPr>
      </w:pPr>
    </w:p>
    <w:p>
      <w:pPr>
        <w:ind w:right="100" w:firstLine="8"/>
        <w:spacing w:after="0" w:line="255" w:lineRule="auto"/>
        <w:tabs>
          <w:tab w:leader="none" w:pos="26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indentures, agreements, instruments or other arrangements pertaining to any lease, sale or other disposition of any asset permitted by this Agreement or any Lien permitted by this Agreement on such asset so long as the applicable restrictions only apply to the assets subject to such lease, sale, other disposition or Lien.</w:t>
      </w:r>
    </w:p>
    <w:p>
      <w:pPr>
        <w:spacing w:after="0" w:line="1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Certain Financial Covenants</w:t>
      </w:r>
      <w:r>
        <w:rPr>
          <w:rFonts w:ascii="Arial" w:cs="Arial" w:eastAsia="Arial" w:hAnsi="Arial"/>
          <w:sz w:val="18"/>
          <w:szCs w:val="18"/>
          <w:color w:val="auto"/>
        </w:rPr>
        <w:t>.</w:t>
      </w:r>
    </w:p>
    <w:p>
      <w:pPr>
        <w:spacing w:after="0" w:line="117" w:lineRule="exact"/>
        <w:rPr>
          <w:sz w:val="20"/>
          <w:szCs w:val="20"/>
          <w:color w:val="auto"/>
        </w:rPr>
      </w:pPr>
    </w:p>
    <w:p>
      <w:pPr>
        <w:ind w:right="60" w:firstLine="921"/>
        <w:spacing w:after="0" w:line="264" w:lineRule="auto"/>
        <w:tabs>
          <w:tab w:leader="none" w:pos="1157"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Minimum Shareholders’ Equity</w:t>
      </w:r>
      <w:r>
        <w:rPr>
          <w:rFonts w:ascii="Arial" w:cs="Arial" w:eastAsia="Arial" w:hAnsi="Arial"/>
          <w:sz w:val="18"/>
          <w:szCs w:val="18"/>
          <w:color w:val="auto"/>
        </w:rPr>
        <w:t xml:space="preserve">. The Borrower will not permit Shareholders’ Equity at the last day of any fiscal quarter of the Borrower to be less than $500,000,000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25% of the net proceeds of the sale of Equity Interests by the Borrower and its Subsidiaries after October 17, 2014 (other than proceeds of sales of Equity Interests by and among the Borrower and its Subsidiaries).</w:t>
      </w:r>
    </w:p>
    <w:p>
      <w:pPr>
        <w:spacing w:after="0" w:line="73" w:lineRule="exact"/>
        <w:rPr>
          <w:rFonts w:ascii="Arial" w:cs="Arial" w:eastAsia="Arial" w:hAnsi="Arial"/>
          <w:sz w:val="18"/>
          <w:szCs w:val="18"/>
          <w:color w:val="auto"/>
        </w:rPr>
      </w:pPr>
    </w:p>
    <w:p>
      <w:pPr>
        <w:ind w:right="140" w:firstLine="921"/>
        <w:spacing w:after="0" w:line="277" w:lineRule="auto"/>
        <w:tabs>
          <w:tab w:leader="none" w:pos="1168"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Asset Coverage Ratio</w:t>
      </w:r>
      <w:r>
        <w:rPr>
          <w:rFonts w:ascii="Arial" w:cs="Arial" w:eastAsia="Arial" w:hAnsi="Arial"/>
          <w:sz w:val="18"/>
          <w:szCs w:val="18"/>
          <w:color w:val="auto"/>
        </w:rPr>
        <w:t>. The Borrower will not permit the Asset Coverage Ratio at the last day of any fiscal quarter of the Borrower to be less than 2.00 to 1 at any time.</w:t>
      </w:r>
    </w:p>
    <w:p>
      <w:pPr>
        <w:spacing w:after="0" w:line="103"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80" w:name="page181"/>
    <w:bookmarkEnd w:id="180"/>
    <w:p>
      <w:pPr>
        <w:ind w:right="20" w:firstLine="921"/>
        <w:spacing w:after="0" w:line="291" w:lineRule="auto"/>
        <w:tabs>
          <w:tab w:leader="none" w:pos="1157" w:val="left"/>
        </w:tabs>
        <w:numPr>
          <w:ilvl w:val="1"/>
          <w:numId w:val="18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Liquidity Test</w:t>
      </w:r>
      <w:r>
        <w:rPr>
          <w:rFonts w:ascii="Arial" w:cs="Arial" w:eastAsia="Arial" w:hAnsi="Arial"/>
          <w:sz w:val="16"/>
          <w:szCs w:val="16"/>
          <w:color w:val="auto"/>
        </w:rPr>
        <w:t xml:space="preserve">. The Borrower will not permit (a) the sum of (i) the aggregate Value of the Portfolio Investments that are Cash (excluding Cash Collateral for outstanding Letters of Credit) or that can be converted to Cash in fewer than 10 Business Days without more than a 5% change in price, </w:t>
      </w:r>
      <w:r>
        <w:rPr>
          <w:rFonts w:ascii="Arial" w:cs="Arial" w:eastAsia="Arial" w:hAnsi="Arial"/>
          <w:sz w:val="16"/>
          <w:szCs w:val="16"/>
          <w:u w:val="single" w:color="auto"/>
          <w:color w:val="auto"/>
        </w:rPr>
        <w:t>plus</w:t>
      </w:r>
    </w:p>
    <w:p>
      <w:pPr>
        <w:jc w:val="both"/>
        <w:ind w:right="160" w:firstLine="8"/>
        <w:spacing w:after="0" w:line="255" w:lineRule="auto"/>
        <w:tabs>
          <w:tab w:leader="none" w:pos="26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aggregate amount of Relevant Available Funds that can be converted to Cash in fewer than 10 Business Days, to be less than (b) 10% of the Covered Debt Amount, for more than 30 consecutive Business Days during any period when the Adjusted Covered Debt Balance is greater than 90% of the Adjusted Borrowing Base.</w:t>
      </w:r>
    </w:p>
    <w:p>
      <w:pPr>
        <w:spacing w:after="0" w:line="190" w:lineRule="exact"/>
        <w:rPr>
          <w:sz w:val="20"/>
          <w:szCs w:val="20"/>
          <w:color w:val="auto"/>
        </w:rPr>
      </w:pPr>
    </w:p>
    <w:p>
      <w:pPr>
        <w:ind w:right="80" w:firstLine="913"/>
        <w:spacing w:after="0" w:line="271" w:lineRule="auto"/>
        <w:rPr>
          <w:sz w:val="20"/>
          <w:szCs w:val="20"/>
          <w:color w:val="auto"/>
        </w:rPr>
      </w:pPr>
      <w:r>
        <w:rPr>
          <w:rFonts w:ascii="Arial" w:cs="Arial" w:eastAsia="Arial" w:hAnsi="Arial"/>
          <w:sz w:val="17"/>
          <w:szCs w:val="17"/>
          <w:color w:val="auto"/>
        </w:rPr>
        <w:t xml:space="preserve">SECTION 6.08. </w:t>
      </w:r>
      <w:r>
        <w:rPr>
          <w:rFonts w:ascii="Arial" w:cs="Arial" w:eastAsia="Arial" w:hAnsi="Arial"/>
          <w:sz w:val="17"/>
          <w:szCs w:val="17"/>
          <w:u w:val="single" w:color="auto"/>
          <w:color w:val="auto"/>
        </w:rPr>
        <w:t>Transactions with Affiliates</w:t>
      </w:r>
      <w:r>
        <w:rPr>
          <w:rFonts w:ascii="Arial" w:cs="Arial" w:eastAsia="Arial" w:hAnsi="Arial"/>
          <w:sz w:val="17"/>
          <w:szCs w:val="17"/>
          <w:color w:val="auto"/>
        </w:rPr>
        <w:t xml:space="preserve">. The Borrower will not, and will not permit any of its Subsidiaries to enter into any transactions with any of its Affiliates, even if otherwise permitted under this Agreement, except (a) transactions in the ordinary course of business at prices and on terms and conditions not less favorable to the Borrower or such Subsidiary (other than a SBIC Subsidiary) than could be obtained on an arm’s-length basis from unrelated third parties, (b) transactions between or among the Borrower and its Subsidiaries not involving any other Affiliate, (c) Restricted Payments permitted by </w:t>
      </w:r>
      <w:r>
        <w:rPr>
          <w:rFonts w:ascii="Arial" w:cs="Arial" w:eastAsia="Arial" w:hAnsi="Arial"/>
          <w:sz w:val="17"/>
          <w:szCs w:val="17"/>
          <w:u w:val="single" w:color="auto"/>
          <w:color w:val="auto"/>
        </w:rPr>
        <w:t>Section 6.05</w:t>
      </w:r>
      <w:r>
        <w:rPr>
          <w:rFonts w:ascii="Arial" w:cs="Arial" w:eastAsia="Arial" w:hAnsi="Arial"/>
          <w:sz w:val="17"/>
          <w:szCs w:val="17"/>
          <w:color w:val="auto"/>
        </w:rPr>
        <w:t xml:space="preserve">, (d) the transactions provided in the Affiliate Agreements, (e) transactions described on </w:t>
      </w:r>
      <w:r>
        <w:rPr>
          <w:rFonts w:ascii="Arial" w:cs="Arial" w:eastAsia="Arial" w:hAnsi="Arial"/>
          <w:sz w:val="17"/>
          <w:szCs w:val="17"/>
          <w:u w:val="single" w:color="auto"/>
          <w:color w:val="auto"/>
        </w:rPr>
        <w:t>Schedule 6.08</w:t>
      </w:r>
      <w:r>
        <w:rPr>
          <w:rFonts w:ascii="Arial" w:cs="Arial" w:eastAsia="Arial" w:hAnsi="Arial"/>
          <w:sz w:val="17"/>
          <w:szCs w:val="17"/>
          <w:color w:val="auto"/>
        </w:rPr>
        <w:t>, (f) any Investment that results in the creation of an Affiliate or (g) transactions between or among the Obligors and any SBIC Subsidiary or any “downstream affiliate” (as such term is used under the rules promulgated under the Investment Company Act) company of an Obligor at prices and on terms and conditions not less favorable to the Obligors than could be obtained at the time on an arm’s-length basis from unrelated third parties.</w:t>
      </w:r>
    </w:p>
    <w:p>
      <w:pPr>
        <w:spacing w:after="0" w:line="179" w:lineRule="exact"/>
        <w:rPr>
          <w:sz w:val="20"/>
          <w:szCs w:val="20"/>
          <w:color w:val="auto"/>
        </w:rPr>
      </w:pPr>
    </w:p>
    <w:p>
      <w:pPr>
        <w:jc w:val="both"/>
        <w:ind w:right="480" w:firstLine="913"/>
        <w:spacing w:after="0" w:line="264" w:lineRule="auto"/>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Lines of Business</w:t>
      </w:r>
      <w:r>
        <w:rPr>
          <w:rFonts w:ascii="Arial" w:cs="Arial" w:eastAsia="Arial" w:hAnsi="Arial"/>
          <w:sz w:val="18"/>
          <w:szCs w:val="18"/>
          <w:color w:val="auto"/>
        </w:rPr>
        <w:t>. The Borrower will not, nor will it permit any of its Subsidiaries (other than Immaterial Subsidiaries) to, engage to any material extent in any business other than in accordance with its Investment Policies. The Borrower will not, nor will it permit any of its Subsidiaries to amend or modify the Investment Policies (other than a Permitted Policy Amendment).</w:t>
      </w:r>
    </w:p>
    <w:p>
      <w:pPr>
        <w:spacing w:after="0" w:line="181" w:lineRule="exact"/>
        <w:rPr>
          <w:sz w:val="20"/>
          <w:szCs w:val="20"/>
          <w:color w:val="auto"/>
        </w:rPr>
      </w:pPr>
    </w:p>
    <w:p>
      <w:pPr>
        <w:ind w:right="40" w:firstLine="913"/>
        <w:spacing w:after="0" w:line="287" w:lineRule="auto"/>
        <w:rPr>
          <w:sz w:val="20"/>
          <w:szCs w:val="20"/>
          <w:color w:val="auto"/>
        </w:rPr>
      </w:pPr>
      <w:r>
        <w:rPr>
          <w:rFonts w:ascii="Arial" w:cs="Arial" w:eastAsia="Arial" w:hAnsi="Arial"/>
          <w:sz w:val="16"/>
          <w:szCs w:val="16"/>
          <w:color w:val="auto"/>
        </w:rPr>
        <w:t xml:space="preserve">SECTION 6.10. </w:t>
      </w:r>
      <w:r>
        <w:rPr>
          <w:rFonts w:ascii="Arial" w:cs="Arial" w:eastAsia="Arial" w:hAnsi="Arial"/>
          <w:sz w:val="16"/>
          <w:szCs w:val="16"/>
          <w:u w:val="single" w:color="auto"/>
          <w:color w:val="auto"/>
        </w:rPr>
        <w:t>No Further Negative Pledge</w:t>
      </w:r>
      <w:r>
        <w:rPr>
          <w:rFonts w:ascii="Arial" w:cs="Arial" w:eastAsia="Arial" w:hAnsi="Arial"/>
          <w:sz w:val="16"/>
          <w:szCs w:val="16"/>
          <w:color w:val="auto"/>
        </w:rPr>
        <w:t xml:space="preserve">. The Borrower will not, and will not permit any of the Subsidiary Guarantors to, enter into any agreement, instrument, deed or lease which prohibits or limits the ability of any Obligor to create, incur, assume or suffer to exist any Lien upon any of its properties, assets or revenues, whether now owned or hereafter acquired, or which requires the grant of any security for an obligation if security is granted for another obligation, except the following: (a) this Agreement, the other Loan Documents and documents with respect to Indebtedness permitted under </w:t>
      </w:r>
      <w:r>
        <w:rPr>
          <w:rFonts w:ascii="Arial" w:cs="Arial" w:eastAsia="Arial" w:hAnsi="Arial"/>
          <w:sz w:val="16"/>
          <w:szCs w:val="16"/>
          <w:u w:val="single" w:color="auto"/>
          <w:color w:val="auto"/>
        </w:rPr>
        <w:t>Section 6.01(b) or (i)</w:t>
      </w:r>
      <w:r>
        <w:rPr>
          <w:rFonts w:ascii="Arial" w:cs="Arial" w:eastAsia="Arial" w:hAnsi="Arial"/>
          <w:sz w:val="16"/>
          <w:szCs w:val="16"/>
          <w:color w:val="auto"/>
        </w:rPr>
        <w:t xml:space="preserve">; (b) covenants in documents creating Liens permitted by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(including covenants with respect to the Designated Indebtedness Obligations or Designated Indebtedness Holders under (and, in each case, as defined in) the Security Documents) prohibiting further Liens on the assets encumbered thereby; (c) customary restrictions contained in leases not subject to a waiver; (d) any such agreement that imposes restrictions on investments or other interests in Financing Subsidiaries (but no other assets of any Obligor); and (e) any other agreement that does not restrict in any manner (directly or indirectly) Liens created pursuant to the Loan Documents on any Collateral securing the “Secured Obligations” under and as defined in the Guarantee and Security Agreement and does not require the direct or indirect granting of any Lien securing any Indebtedness or other obligation by virtue of the granting of Liens on or pledge of property of any Obligor to secure the Loans or any Hedging Agreement.</w:t>
      </w:r>
    </w:p>
    <w:p>
      <w:pPr>
        <w:spacing w:after="0" w:line="105"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81" w:name="page182"/>
    <w:bookmarkEnd w:id="181"/>
    <w:p>
      <w:pPr>
        <w:ind w:left="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6.11. </w:t>
      </w:r>
      <w:r>
        <w:rPr>
          <w:rFonts w:ascii="Arial" w:cs="Arial" w:eastAsia="Arial" w:hAnsi="Arial"/>
          <w:sz w:val="17"/>
          <w:szCs w:val="17"/>
          <w:u w:val="single" w:color="auto"/>
          <w:color w:val="auto"/>
        </w:rPr>
        <w:t>Modifications of Longer-Term Indebtedness Documents</w:t>
      </w:r>
      <w:r>
        <w:rPr>
          <w:rFonts w:ascii="Arial" w:cs="Arial" w:eastAsia="Arial" w:hAnsi="Arial"/>
          <w:sz w:val="17"/>
          <w:szCs w:val="17"/>
          <w:color w:val="auto"/>
        </w:rPr>
        <w:t>. The Borrower will not consent to any modification, supplement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waiver of:</w:t>
      </w:r>
    </w:p>
    <w:p>
      <w:pPr>
        <w:spacing w:after="0" w:line="103" w:lineRule="exact"/>
        <w:rPr>
          <w:sz w:val="20"/>
          <w:szCs w:val="20"/>
          <w:color w:val="auto"/>
        </w:rPr>
      </w:pPr>
    </w:p>
    <w:p>
      <w:pPr>
        <w:ind w:right="220" w:firstLine="921"/>
        <w:spacing w:after="0" w:line="289" w:lineRule="auto"/>
        <w:tabs>
          <w:tab w:leader="none" w:pos="1158" w:val="left"/>
        </w:tabs>
        <w:numPr>
          <w:ilvl w:val="0"/>
          <w:numId w:val="188"/>
        </w:numPr>
        <w:rPr>
          <w:rFonts w:ascii="Arial" w:cs="Arial" w:eastAsia="Arial" w:hAnsi="Arial"/>
          <w:sz w:val="16"/>
          <w:szCs w:val="16"/>
          <w:color w:val="auto"/>
        </w:rPr>
      </w:pPr>
      <w:r>
        <w:rPr>
          <w:rFonts w:ascii="Arial" w:cs="Arial" w:eastAsia="Arial" w:hAnsi="Arial"/>
          <w:sz w:val="16"/>
          <w:szCs w:val="16"/>
          <w:color w:val="auto"/>
        </w:rPr>
        <w:t xml:space="preserve">any of the provisions of any agreement, instrument or other document evidencing or relating to any Secured Longer-Term Indebtedness or Unsecured Longer-Term Indebtedness that would result in such Indebtedness not meeting the requirements of the definition of “Secured Longer-Term Secured Indebtedness” and “Unsecured Longer-Term Indebtedness”, as applicable, set forth in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of this Agreement, unless (i) in the case of Secured Longer Term Indebtedness, such Indebtedness would have been permitted to be incurred as Secured Shorter-Term Indebtedness at the time of such modification, supplement or waiver and the Borrower so designates such Indebtedness as “Secured Shorter-Term Indebtedness” (whereupon such Indebtedness shall be deemed to constitute “Secured Shorter-Term Indebtedness” for all purposes of this Agreement) and (ii) in the case of Unsecured Longer-Term Indebtedness, such Indebtedness would have been permitted to be incurred as Unsecured Shorter-Term Indebtedness at the time of such modification, supplement or waiver and the Borrower so designates such Indebtedness as “Unsecured Shorter-Term Indebtedness” (whereupon such Indebtedness shall be deemed to constitute “Unsecured Shorter-Term Indebtedness” for all purposes of this Agreement); or</w:t>
      </w:r>
    </w:p>
    <w:p>
      <w:pPr>
        <w:spacing w:after="0" w:line="58" w:lineRule="exact"/>
        <w:rPr>
          <w:rFonts w:ascii="Arial" w:cs="Arial" w:eastAsia="Arial" w:hAnsi="Arial"/>
          <w:sz w:val="16"/>
          <w:szCs w:val="16"/>
          <w:color w:val="auto"/>
        </w:rPr>
      </w:pPr>
    </w:p>
    <w:p>
      <w:pPr>
        <w:ind w:right="20" w:firstLine="921"/>
        <w:spacing w:after="0" w:line="264" w:lineRule="auto"/>
        <w:tabs>
          <w:tab w:leader="none" w:pos="1168"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any of the Affiliate Agreements, unless such modification, supplement or waiver is not materially less favorable to the Borrower than could be obtained on an arm’s-length basis from unrelated third parties, in each case, without the prior consent of the Administrative Agent (with the approval of the Required Lenders).</w:t>
      </w:r>
    </w:p>
    <w:p>
      <w:pPr>
        <w:spacing w:after="0" w:line="181" w:lineRule="exact"/>
        <w:rPr>
          <w:sz w:val="20"/>
          <w:szCs w:val="20"/>
          <w:color w:val="auto"/>
        </w:rPr>
      </w:pPr>
    </w:p>
    <w:p>
      <w:pPr>
        <w:ind w:right="20" w:firstLine="913"/>
        <w:spacing w:after="0" w:line="284" w:lineRule="auto"/>
        <w:rPr>
          <w:sz w:val="20"/>
          <w:szCs w:val="20"/>
          <w:color w:val="auto"/>
        </w:rPr>
      </w:pPr>
      <w:r>
        <w:rPr>
          <w:rFonts w:ascii="Arial" w:cs="Arial" w:eastAsia="Arial" w:hAnsi="Arial"/>
          <w:sz w:val="16"/>
          <w:szCs w:val="16"/>
          <w:color w:val="auto"/>
        </w:rPr>
        <w:t xml:space="preserve">SECTION 6.12. </w:t>
      </w:r>
      <w:r>
        <w:rPr>
          <w:rFonts w:ascii="Arial" w:cs="Arial" w:eastAsia="Arial" w:hAnsi="Arial"/>
          <w:sz w:val="16"/>
          <w:szCs w:val="16"/>
          <w:u w:val="single" w:color="auto"/>
          <w:color w:val="auto"/>
        </w:rPr>
        <w:t>Payments of Longer-Term Indebtedness and 2019 Convertible Notes</w:t>
      </w:r>
      <w:r>
        <w:rPr>
          <w:rFonts w:ascii="Arial" w:cs="Arial" w:eastAsia="Arial" w:hAnsi="Arial"/>
          <w:sz w:val="16"/>
          <w:szCs w:val="16"/>
          <w:color w:val="auto"/>
        </w:rPr>
        <w:t xml:space="preserve">. The Borrower will not, nor will it permit any of the Subsidiary Guarantors to, purchase, redeem, retire or otherwise acquire for value, or set apart any money for a sinking, defeasance or other analogous fund for the purchase, redemption, retirement or other acquisition of or make any voluntary payment or prepayment of the principal of or interest on, or any other amount owing in respect of, any Secured Longer-Term Indebtedness, Unsecured Longer-Term Indebtedness or the 2019 Convertible Notes (other than the refinancing of Secured Longer-Term Indebtedness, Unsecured Longer-Term Indebtedness or the 2019 Convertible Notes with Indebtedness permitted under </w:t>
      </w:r>
      <w:r>
        <w:rPr>
          <w:rFonts w:ascii="Arial" w:cs="Arial" w:eastAsia="Arial" w:hAnsi="Arial"/>
          <w:sz w:val="16"/>
          <w:szCs w:val="16"/>
          <w:u w:val="single" w:color="auto"/>
          <w:color w:val="auto"/>
        </w:rPr>
        <w:t>Section 6.01</w:t>
      </w:r>
      <w:r>
        <w:rPr>
          <w:rFonts w:ascii="Arial" w:cs="Arial" w:eastAsia="Arial" w:hAnsi="Arial"/>
          <w:sz w:val="16"/>
          <w:szCs w:val="16"/>
          <w:color w:val="auto"/>
        </w:rPr>
        <w:t>), except for (a) regularly scheduled payments, prepayments or redemptions of principal and interest in respect thereof required pursuant to the instruments evidencing such Indebtedness (it being understood that: (w) the conversion features into Permitted Equity Interests under convertible notes;</w:t>
      </w:r>
    </w:p>
    <w:p>
      <w:pPr>
        <w:spacing w:after="0" w:line="3" w:lineRule="exact"/>
        <w:rPr>
          <w:sz w:val="20"/>
          <w:szCs w:val="20"/>
          <w:color w:val="auto"/>
        </w:rPr>
      </w:pPr>
    </w:p>
    <w:p>
      <w:pPr>
        <w:jc w:val="both"/>
        <w:ind w:right="380" w:firstLine="8"/>
        <w:spacing w:after="0" w:line="281" w:lineRule="auto"/>
        <w:tabs>
          <w:tab w:leader="none" w:pos="255" w:val="left"/>
        </w:tabs>
        <w:numPr>
          <w:ilvl w:val="0"/>
          <w:numId w:val="189"/>
        </w:numPr>
        <w:rPr>
          <w:rFonts w:ascii="Arial" w:cs="Arial" w:eastAsia="Arial" w:hAnsi="Arial"/>
          <w:sz w:val="16"/>
          <w:szCs w:val="16"/>
          <w:color w:val="auto"/>
        </w:rPr>
      </w:pPr>
      <w:r>
        <w:rPr>
          <w:rFonts w:ascii="Arial" w:cs="Arial" w:eastAsia="Arial" w:hAnsi="Arial"/>
          <w:sz w:val="16"/>
          <w:szCs w:val="16"/>
          <w:color w:val="auto"/>
        </w:rPr>
        <w:t xml:space="preserve">the triggering of such conversion and/or settlement thereof solely with Permitted Equity Interests; and (y) any cash payment on account of interest or expenses on such convertible notes made by the Borrower in respect of such triggering and/or settlement thereof shall be permitted under this </w:t>
      </w:r>
      <w:r>
        <w:rPr>
          <w:rFonts w:ascii="Arial" w:cs="Arial" w:eastAsia="Arial" w:hAnsi="Arial"/>
          <w:sz w:val="16"/>
          <w:szCs w:val="16"/>
          <w:u w:val="single" w:color="auto"/>
          <w:color w:val="auto"/>
        </w:rPr>
        <w:t>clause (a)</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right="20" w:firstLine="8"/>
        <w:spacing w:after="0" w:line="292" w:lineRule="auto"/>
        <w:tabs>
          <w:tab w:leader="none" w:pos="255" w:val="left"/>
        </w:tabs>
        <w:numPr>
          <w:ilvl w:val="0"/>
          <w:numId w:val="190"/>
        </w:numPr>
        <w:rPr>
          <w:rFonts w:ascii="Arial" w:cs="Arial" w:eastAsia="Arial" w:hAnsi="Arial"/>
          <w:sz w:val="16"/>
          <w:szCs w:val="16"/>
          <w:color w:val="auto"/>
        </w:rPr>
      </w:pPr>
      <w:r>
        <w:rPr>
          <w:rFonts w:ascii="Arial" w:cs="Arial" w:eastAsia="Arial" w:hAnsi="Arial"/>
          <w:sz w:val="16"/>
          <w:szCs w:val="16"/>
          <w:color w:val="auto"/>
        </w:rPr>
        <w:t xml:space="preserve">so long as no Default shall exist or be continuing, any payment that, if treated as a Restricted Payment for purposes of </w:t>
      </w:r>
      <w:r>
        <w:rPr>
          <w:rFonts w:ascii="Arial" w:cs="Arial" w:eastAsia="Arial" w:hAnsi="Arial"/>
          <w:sz w:val="16"/>
          <w:szCs w:val="16"/>
          <w:u w:val="single" w:color="auto"/>
          <w:color w:val="auto"/>
        </w:rPr>
        <w:t>Section 6.05(d)</w:t>
      </w:r>
      <w:r>
        <w:rPr>
          <w:rFonts w:ascii="Arial" w:cs="Arial" w:eastAsia="Arial" w:hAnsi="Arial"/>
          <w:sz w:val="16"/>
          <w:szCs w:val="16"/>
          <w:color w:val="auto"/>
        </w:rPr>
        <w:t xml:space="preserve">, would be permitted to be made pursuant to the provisions set forth in </w:t>
      </w:r>
      <w:r>
        <w:rPr>
          <w:rFonts w:ascii="Arial" w:cs="Arial" w:eastAsia="Arial" w:hAnsi="Arial"/>
          <w:sz w:val="16"/>
          <w:szCs w:val="16"/>
          <w:u w:val="single" w:color="auto"/>
          <w:color w:val="auto"/>
        </w:rPr>
        <w:t>Section 6.05(d)</w:t>
      </w:r>
      <w:r>
        <w:rPr>
          <w:rFonts w:ascii="Arial" w:cs="Arial" w:eastAsia="Arial" w:hAnsi="Arial"/>
          <w:sz w:val="16"/>
          <w:szCs w:val="16"/>
          <w:color w:val="auto"/>
        </w:rPr>
        <w:t xml:space="preserve">; (c) voluntary payments or prepayments of Secured Longer-Term Indebtedness, so long as both before and after giving effect to such voluntary payment or prepayment (i) the Borrower is in pro forma compliance with the financial covenants set forth in </w:t>
      </w:r>
      <w:r>
        <w:rPr>
          <w:rFonts w:ascii="Arial" w:cs="Arial" w:eastAsia="Arial" w:hAnsi="Arial"/>
          <w:sz w:val="16"/>
          <w:szCs w:val="16"/>
          <w:u w:val="single" w:color="auto"/>
          <w:color w:val="auto"/>
        </w:rPr>
        <w:t>Section 6.07</w:t>
      </w:r>
      <w:r>
        <w:rPr>
          <w:rFonts w:ascii="Arial" w:cs="Arial" w:eastAsia="Arial" w:hAnsi="Arial"/>
          <w:sz w:val="16"/>
          <w:szCs w:val="16"/>
          <w:color w:val="auto"/>
        </w:rPr>
        <w:t xml:space="preserve"> and (ii) no Default shall exist or be continuing; and (d) mandatory payments, required prepayments or mandatory redemptions of the 2019 Convertible Notes and any other convertible notes constituting Unsecured Longer-Term Indebtedness in Cash (including any cash</w:t>
      </w:r>
    </w:p>
    <w:p>
      <w:pPr>
        <w:spacing w:after="0" w:line="95"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82" w:name="page183"/>
    <w:bookmarkEnd w:id="182"/>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 elected to be paid in connection with the settlement by the Borrower of any conversion at the option of any holder of such 2019 Convertible Notes or other convertible notes pursuant to the conversion features thereunder), so long as both before and after giving effect to such payment (i) no Event of Default shall exist or be continuing and (ii) the Covered Debt Amount does not exceed the Borrowing Base.</w:t>
      </w:r>
    </w:p>
    <w:p>
      <w:pPr>
        <w:spacing w:after="0" w:line="181" w:lineRule="exact"/>
        <w:rPr>
          <w:sz w:val="20"/>
          <w:szCs w:val="20"/>
          <w:color w:val="auto"/>
        </w:rPr>
      </w:pPr>
    </w:p>
    <w:p>
      <w:pPr>
        <w:ind w:right="80" w:firstLine="913"/>
        <w:spacing w:after="0" w:line="342" w:lineRule="auto"/>
        <w:rPr>
          <w:sz w:val="20"/>
          <w:szCs w:val="20"/>
          <w:color w:val="auto"/>
        </w:rPr>
      </w:pPr>
      <w:r>
        <w:rPr>
          <w:rFonts w:ascii="Arial" w:cs="Arial" w:eastAsia="Arial" w:hAnsi="Arial"/>
          <w:sz w:val="16"/>
          <w:szCs w:val="16"/>
          <w:color w:val="auto"/>
        </w:rPr>
        <w:t xml:space="preserve">SECTION 6.13. </w:t>
      </w:r>
      <w:r>
        <w:rPr>
          <w:rFonts w:ascii="Arial" w:cs="Arial" w:eastAsia="Arial" w:hAnsi="Arial"/>
          <w:sz w:val="16"/>
          <w:szCs w:val="16"/>
          <w:u w:val="single" w:color="auto"/>
          <w:color w:val="auto"/>
        </w:rPr>
        <w:t>Accounting Changes</w:t>
      </w:r>
      <w:r>
        <w:rPr>
          <w:rFonts w:ascii="Arial" w:cs="Arial" w:eastAsia="Arial" w:hAnsi="Arial"/>
          <w:sz w:val="16"/>
          <w:szCs w:val="16"/>
          <w:color w:val="auto"/>
        </w:rPr>
        <w:t>. The Borrower will not, nor will it permit any of its Subsidiaries to, make any change in (a) accounting policies or reporting practices, except as permitted under GAAP or required by law or rule or regulation of any Governmental Authority, or (b) its fiscal year.</w:t>
      </w:r>
    </w:p>
    <w:p>
      <w:pPr>
        <w:spacing w:after="0" w:line="124"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SBIC Guarantee</w:t>
      </w:r>
      <w:r>
        <w:rPr>
          <w:rFonts w:ascii="Arial" w:cs="Arial" w:eastAsia="Arial" w:hAnsi="Arial"/>
          <w:sz w:val="18"/>
          <w:szCs w:val="18"/>
          <w:color w:val="auto"/>
        </w:rPr>
        <w:t>. The Borrower will not, nor will it permit any of its Subsidiaries to, cause or permit the occurrence of any event or condition that would result in any recourse to any Obligor under any Permitted SBIC Guarantee.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EVENTS OF DEFAULT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any of the following events (“</w:t>
      </w:r>
      <w:r>
        <w:rPr>
          <w:rFonts w:ascii="Arial" w:cs="Arial" w:eastAsia="Arial" w:hAnsi="Arial"/>
          <w:sz w:val="18"/>
          <w:szCs w:val="18"/>
          <w:u w:val="single" w:color="auto"/>
          <w:color w:val="auto"/>
        </w:rPr>
        <w:t>Events of Default</w:t>
      </w:r>
      <w:r>
        <w:rPr>
          <w:rFonts w:ascii="Arial" w:cs="Arial" w:eastAsia="Arial" w:hAnsi="Arial"/>
          <w:sz w:val="18"/>
          <w:szCs w:val="18"/>
          <w:color w:val="auto"/>
        </w:rPr>
        <w:t>”) shall occur and be continuing:</w:t>
      </w:r>
    </w:p>
    <w:p>
      <w:pPr>
        <w:spacing w:after="0" w:line="117" w:lineRule="exact"/>
        <w:rPr>
          <w:sz w:val="20"/>
          <w:szCs w:val="20"/>
          <w:color w:val="auto"/>
        </w:rPr>
      </w:pPr>
    </w:p>
    <w:p>
      <w:pPr>
        <w:ind w:right="120" w:firstLine="921"/>
        <w:spacing w:after="0" w:line="286" w:lineRule="auto"/>
        <w:tabs>
          <w:tab w:leader="none" w:pos="1158" w:val="left"/>
        </w:tabs>
        <w:numPr>
          <w:ilvl w:val="0"/>
          <w:numId w:val="191"/>
        </w:numPr>
        <w:rPr>
          <w:rFonts w:ascii="Arial" w:cs="Arial" w:eastAsia="Arial" w:hAnsi="Arial"/>
          <w:sz w:val="17"/>
          <w:szCs w:val="17"/>
          <w:color w:val="auto"/>
        </w:rPr>
      </w:pPr>
      <w:r>
        <w:rPr>
          <w:rFonts w:ascii="Arial" w:cs="Arial" w:eastAsia="Arial" w:hAnsi="Arial"/>
          <w:sz w:val="17"/>
          <w:szCs w:val="17"/>
          <w:color w:val="auto"/>
        </w:rPr>
        <w:t xml:space="preserve">the Borrower shall (i) fail to pay any principal of any Loan or any reimbursement obligation in respect of any LC Disbursement when and as the same shall become due and payable, whether at the due date thereof or at a date fixed for prepayment thereof or otherwise or (ii) fail to deposit any amount into the Letter of Credit Collateral Account as required by </w:t>
      </w:r>
      <w:r>
        <w:rPr>
          <w:rFonts w:ascii="Arial" w:cs="Arial" w:eastAsia="Arial" w:hAnsi="Arial"/>
          <w:sz w:val="17"/>
          <w:szCs w:val="17"/>
          <w:u w:val="single" w:color="auto"/>
          <w:color w:val="auto"/>
        </w:rPr>
        <w:t>Section 2.09(a)</w:t>
      </w:r>
      <w:r>
        <w:rPr>
          <w:rFonts w:ascii="Arial" w:cs="Arial" w:eastAsia="Arial" w:hAnsi="Arial"/>
          <w:sz w:val="17"/>
          <w:szCs w:val="17"/>
          <w:color w:val="auto"/>
        </w:rPr>
        <w:t xml:space="preserve"> on the Commitment Termination Date;</w:t>
      </w:r>
    </w:p>
    <w:p>
      <w:pPr>
        <w:spacing w:after="0" w:line="57" w:lineRule="exact"/>
        <w:rPr>
          <w:rFonts w:ascii="Arial" w:cs="Arial" w:eastAsia="Arial" w:hAnsi="Arial"/>
          <w:sz w:val="17"/>
          <w:szCs w:val="17"/>
          <w:color w:val="auto"/>
        </w:rPr>
      </w:pPr>
    </w:p>
    <w:p>
      <w:pPr>
        <w:ind w:right="180" w:firstLine="921"/>
        <w:spacing w:after="0" w:line="264" w:lineRule="auto"/>
        <w:tabs>
          <w:tab w:leader="none" w:pos="1168"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xml:space="preserve">the Borrower shall fail to pay any interest on any Loan or any fee or any other amount (other than an amount referred to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this Article) payable under this Agreement or under any other Loan Document, when and as the same shall become due and payable, and such failure shall continue unremedied for a period of five or more Business Days;</w:t>
      </w:r>
    </w:p>
    <w:p>
      <w:pPr>
        <w:spacing w:after="0" w:line="73" w:lineRule="exact"/>
        <w:rPr>
          <w:rFonts w:ascii="Arial" w:cs="Arial" w:eastAsia="Arial" w:hAnsi="Arial"/>
          <w:sz w:val="18"/>
          <w:szCs w:val="18"/>
          <w:color w:val="auto"/>
        </w:rPr>
      </w:pPr>
    </w:p>
    <w:p>
      <w:pPr>
        <w:ind w:right="40" w:firstLine="921"/>
        <w:spacing w:after="0" w:line="259" w:lineRule="auto"/>
        <w:tabs>
          <w:tab w:leader="none" w:pos="1158"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any representation or warranty made or deemed made by or on behalf of the Borrower or any of its Subsidiaries in or in connection with this Agreement or any other Loan Document or any amendment or modification hereof or thereof, or in any report, certificate, financial statement or other document furnished pursuant to or in connection with this Agreement or any other Loan Document or any amendment or modification hereof or thereof, shall prove to have been incorrect when made or deemed made in any material respect;</w:t>
      </w:r>
    </w:p>
    <w:p>
      <w:pPr>
        <w:spacing w:after="0" w:line="78" w:lineRule="exact"/>
        <w:rPr>
          <w:rFonts w:ascii="Arial" w:cs="Arial" w:eastAsia="Arial" w:hAnsi="Arial"/>
          <w:sz w:val="18"/>
          <w:szCs w:val="18"/>
          <w:color w:val="auto"/>
        </w:rPr>
      </w:pPr>
    </w:p>
    <w:p>
      <w:pPr>
        <w:ind w:right="220" w:firstLine="921"/>
        <w:spacing w:after="0" w:line="279" w:lineRule="auto"/>
        <w:tabs>
          <w:tab w:leader="none" w:pos="1168" w:val="left"/>
        </w:tabs>
        <w:numPr>
          <w:ilvl w:val="0"/>
          <w:numId w:val="191"/>
        </w:numPr>
        <w:rPr>
          <w:rFonts w:ascii="Arial" w:cs="Arial" w:eastAsia="Arial" w:hAnsi="Arial"/>
          <w:sz w:val="17"/>
          <w:szCs w:val="17"/>
          <w:color w:val="auto"/>
        </w:rPr>
      </w:pPr>
      <w:r>
        <w:rPr>
          <w:rFonts w:ascii="Arial" w:cs="Arial" w:eastAsia="Arial" w:hAnsi="Arial"/>
          <w:sz w:val="17"/>
          <w:szCs w:val="17"/>
          <w:color w:val="auto"/>
        </w:rPr>
        <w:t xml:space="preserve">the Borrower shall fail to observe or perform any covenant, condition or agreement contained in (i) </w:t>
      </w:r>
      <w:r>
        <w:rPr>
          <w:rFonts w:ascii="Arial" w:cs="Arial" w:eastAsia="Arial" w:hAnsi="Arial"/>
          <w:sz w:val="17"/>
          <w:szCs w:val="17"/>
          <w:u w:val="single" w:color="auto"/>
          <w:color w:val="auto"/>
        </w:rPr>
        <w:t>Section 5.03</w:t>
      </w:r>
      <w:r>
        <w:rPr>
          <w:rFonts w:ascii="Arial" w:cs="Arial" w:eastAsia="Arial" w:hAnsi="Arial"/>
          <w:sz w:val="17"/>
          <w:szCs w:val="17"/>
          <w:color w:val="auto"/>
        </w:rPr>
        <w:t xml:space="preserve"> (with respect to the Borrower’s existence) or </w:t>
      </w:r>
      <w:r>
        <w:rPr>
          <w:rFonts w:ascii="Arial" w:cs="Arial" w:eastAsia="Arial" w:hAnsi="Arial"/>
          <w:sz w:val="17"/>
          <w:szCs w:val="17"/>
          <w:u w:val="single" w:color="auto"/>
          <w:color w:val="auto"/>
        </w:rPr>
        <w:t>Sections 5.08(a)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or in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or any Obligor shall default in the performance of any of its obligations contained in Sections 3 and 7 of the Guarantee and Security Agreement or (ii) </w:t>
      </w:r>
      <w:r>
        <w:rPr>
          <w:rFonts w:ascii="Arial" w:cs="Arial" w:eastAsia="Arial" w:hAnsi="Arial"/>
          <w:sz w:val="17"/>
          <w:szCs w:val="17"/>
          <w:u w:val="single" w:color="auto"/>
          <w:color w:val="auto"/>
        </w:rPr>
        <w:t>Sections 5.01(e)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(f)</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5.02</w:t>
      </w:r>
      <w:r>
        <w:rPr>
          <w:rFonts w:ascii="Arial" w:cs="Arial" w:eastAsia="Arial" w:hAnsi="Arial"/>
          <w:sz w:val="17"/>
          <w:szCs w:val="17"/>
          <w:color w:val="auto"/>
        </w:rPr>
        <w:t xml:space="preserve"> and such failure shall continue unremedied for a period of five or more days after notice thereof by the Administrative Agent (given at the request of any Lender) to the Borrower;</w:t>
      </w:r>
    </w:p>
    <w:p>
      <w:pPr>
        <w:spacing w:after="0" w:line="104"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83" w:name="page184"/>
    <w:bookmarkEnd w:id="183"/>
    <w:p>
      <w:pPr>
        <w:ind w:left="-8" w:right="40" w:firstLine="921"/>
        <w:spacing w:after="0" w:line="276" w:lineRule="auto"/>
        <w:tabs>
          <w:tab w:leader="none" w:pos="1150" w:val="left"/>
        </w:tabs>
        <w:numPr>
          <w:ilvl w:val="1"/>
          <w:numId w:val="19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 Borrowing Base Deficiency shall occur and continue unremedied for a period of five or more Business Days after delivery of a Borrowing Base Certificate demonstrating such Borrowing Base Deficiency pursuant to </w:t>
      </w:r>
      <w:r>
        <w:rPr>
          <w:rFonts w:ascii="Arial" w:cs="Arial" w:eastAsia="Arial" w:hAnsi="Arial"/>
          <w:sz w:val="17"/>
          <w:szCs w:val="17"/>
          <w:u w:val="single" w:color="auto"/>
          <w:color w:val="auto"/>
        </w:rPr>
        <w:t>Section 5.01(e)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it shall not be an Event of Default hereunder if the Borrower shall present the Administrative Agent with a reasonably feasible plan acceptable to the Required Lenders in their sole discretion to enable such Borrowing Base Deficiency to be cured within 30 Business Days (which 30-Business Day period shall include the five Business Days permitted for delivery of such plan), so long as such Borrowing Base Deficiency is cured within such 30-Business Day period;</w:t>
      </w:r>
    </w:p>
    <w:p>
      <w:pPr>
        <w:spacing w:after="0" w:line="64" w:lineRule="exact"/>
        <w:rPr>
          <w:rFonts w:ascii="Arial" w:cs="Arial" w:eastAsia="Arial" w:hAnsi="Arial"/>
          <w:sz w:val="17"/>
          <w:szCs w:val="17"/>
          <w:color w:val="auto"/>
        </w:rPr>
      </w:pPr>
    </w:p>
    <w:p>
      <w:pPr>
        <w:jc w:val="both"/>
        <w:ind w:left="-8" w:right="20" w:firstLine="921"/>
        <w:spacing w:after="0" w:line="286" w:lineRule="auto"/>
        <w:tabs>
          <w:tab w:leader="none" w:pos="1130" w:val="left"/>
        </w:tabs>
        <w:numPr>
          <w:ilvl w:val="1"/>
          <w:numId w:val="192"/>
        </w:numPr>
        <w:rPr>
          <w:rFonts w:ascii="Arial" w:cs="Arial" w:eastAsia="Arial" w:hAnsi="Arial"/>
          <w:sz w:val="17"/>
          <w:szCs w:val="17"/>
          <w:color w:val="auto"/>
        </w:rPr>
      </w:pPr>
      <w:r>
        <w:rPr>
          <w:rFonts w:ascii="Arial" w:cs="Arial" w:eastAsia="Arial" w:hAnsi="Arial"/>
          <w:sz w:val="17"/>
          <w:szCs w:val="17"/>
          <w:color w:val="auto"/>
        </w:rPr>
        <w:t xml:space="preserve">the Borrower or any Obligor, as applicable, shall fail to observe or perform any covenant, condition or agreement contained in this Agreement (other than those specified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t>
      </w:r>
      <w:r>
        <w:rPr>
          <w:rFonts w:ascii="Arial" w:cs="Arial" w:eastAsia="Arial" w:hAnsi="Arial"/>
          <w:sz w:val="17"/>
          <w:szCs w:val="17"/>
          <w:u w:val="single" w:color="auto"/>
          <w:color w:val="auto"/>
        </w:rPr>
        <w:t>(d)</w:t>
      </w:r>
      <w:r>
        <w:rPr>
          <w:rFonts w:ascii="Arial" w:cs="Arial" w:eastAsia="Arial" w:hAnsi="Arial"/>
          <w:sz w:val="17"/>
          <w:szCs w:val="17"/>
          <w:color w:val="auto"/>
        </w:rPr>
        <w:t xml:space="preserve">, </w:t>
      </w:r>
      <w:r>
        <w:rPr>
          <w:rFonts w:ascii="Arial" w:cs="Arial" w:eastAsia="Arial" w:hAnsi="Arial"/>
          <w:sz w:val="17"/>
          <w:szCs w:val="17"/>
          <w:u w:val="single" w:color="auto"/>
          <w:color w:val="auto"/>
        </w:rPr>
        <w:t>(e)</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w:t>
      </w:r>
      <w:r>
        <w:rPr>
          <w:rFonts w:ascii="Arial" w:cs="Arial" w:eastAsia="Arial" w:hAnsi="Arial"/>
          <w:sz w:val="17"/>
          <w:szCs w:val="17"/>
          <w:color w:val="auto"/>
        </w:rPr>
        <w:t xml:space="preserve"> of this Article) or any other Loan Document and such failure shall continue unremedied for a period of 30 or more days after notice thereof from the Administrative Agent (given at the request of any Lender) to the Borrower;</w:t>
      </w:r>
    </w:p>
    <w:p>
      <w:pPr>
        <w:spacing w:after="0" w:line="57" w:lineRule="exact"/>
        <w:rPr>
          <w:rFonts w:ascii="Arial" w:cs="Arial" w:eastAsia="Arial" w:hAnsi="Arial"/>
          <w:sz w:val="17"/>
          <w:szCs w:val="17"/>
          <w:color w:val="auto"/>
        </w:rPr>
      </w:pPr>
    </w:p>
    <w:p>
      <w:pPr>
        <w:ind w:left="-8" w:firstLine="921"/>
        <w:spacing w:after="0" w:line="308" w:lineRule="auto"/>
        <w:tabs>
          <w:tab w:leader="none" w:pos="1160" w:val="left"/>
        </w:tabs>
        <w:numPr>
          <w:ilvl w:val="1"/>
          <w:numId w:val="192"/>
        </w:numPr>
        <w:rPr>
          <w:rFonts w:ascii="Arial" w:cs="Arial" w:eastAsia="Arial" w:hAnsi="Arial"/>
          <w:sz w:val="17"/>
          <w:szCs w:val="17"/>
          <w:color w:val="auto"/>
        </w:rPr>
      </w:pPr>
      <w:r>
        <w:rPr>
          <w:rFonts w:ascii="Arial" w:cs="Arial" w:eastAsia="Arial" w:hAnsi="Arial"/>
          <w:sz w:val="17"/>
          <w:szCs w:val="17"/>
          <w:color w:val="auto"/>
        </w:rPr>
        <w:t>the Borrower or any of its Subsidiaries shall fail to make any payment (whether of principal or interest and regardless of amount) in respect of any Material Indebtedness, when and as the same shall become due and payable, taking into account any applicable grace period;</w:t>
      </w:r>
    </w:p>
    <w:p>
      <w:pPr>
        <w:spacing w:after="0" w:line="38" w:lineRule="exact"/>
        <w:rPr>
          <w:rFonts w:ascii="Arial" w:cs="Arial" w:eastAsia="Arial" w:hAnsi="Arial"/>
          <w:sz w:val="17"/>
          <w:szCs w:val="17"/>
          <w:color w:val="auto"/>
        </w:rPr>
      </w:pPr>
    </w:p>
    <w:p>
      <w:pPr>
        <w:ind w:left="-8" w:right="60" w:firstLine="921"/>
        <w:spacing w:after="0" w:line="273" w:lineRule="auto"/>
        <w:tabs>
          <w:tab w:leader="none" w:pos="1160" w:val="left"/>
        </w:tabs>
        <w:numPr>
          <w:ilvl w:val="1"/>
          <w:numId w:val="192"/>
        </w:numPr>
        <w:rPr>
          <w:rFonts w:ascii="Arial" w:cs="Arial" w:eastAsia="Arial" w:hAnsi="Arial"/>
          <w:sz w:val="17"/>
          <w:szCs w:val="17"/>
          <w:color w:val="auto"/>
        </w:rPr>
      </w:pPr>
      <w:r>
        <w:rPr>
          <w:rFonts w:ascii="Arial" w:cs="Arial" w:eastAsia="Arial" w:hAnsi="Arial"/>
          <w:sz w:val="17"/>
          <w:szCs w:val="17"/>
          <w:color w:val="auto"/>
        </w:rPr>
        <w:t xml:space="preserve">any event or condition occurs that results in any Material Indebtedness becoming due prior to its scheduled maturity or shall continue unremedied for any applicable period of time sufficient to enable or permit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w:t>
      </w:r>
      <w:r>
        <w:rPr>
          <w:rFonts w:ascii="Arial" w:cs="Arial" w:eastAsia="Arial" w:hAnsi="Arial"/>
          <w:sz w:val="17"/>
          <w:szCs w:val="17"/>
          <w:u w:val="single" w:color="auto"/>
          <w:color w:val="auto"/>
        </w:rPr>
        <w:t>clause (h)</w:t>
      </w:r>
      <w:r>
        <w:rPr>
          <w:rFonts w:ascii="Arial" w:cs="Arial" w:eastAsia="Arial" w:hAnsi="Arial"/>
          <w:sz w:val="17"/>
          <w:szCs w:val="17"/>
          <w:color w:val="auto"/>
        </w:rPr>
        <w:t xml:space="preserve"> shall not apply to (1) secured Indebtedness that becomes due as a result of the voluntary sale or transfer of the property or assets securing such Indebtedness; or (2) convertible debt that becomes due as a result of a conversion or redemption event, other than as a result of an “event of default” (as defined in the documents governing such convertible Material Indebtedness);</w:t>
      </w:r>
    </w:p>
    <w:p>
      <w:pPr>
        <w:spacing w:after="0" w:line="70" w:lineRule="exact"/>
        <w:rPr>
          <w:rFonts w:ascii="Arial" w:cs="Arial" w:eastAsia="Arial" w:hAnsi="Arial"/>
          <w:sz w:val="17"/>
          <w:szCs w:val="17"/>
          <w:color w:val="auto"/>
        </w:rPr>
      </w:pPr>
    </w:p>
    <w:p>
      <w:pPr>
        <w:ind w:left="-8" w:firstLine="921"/>
        <w:spacing w:after="0" w:line="255" w:lineRule="auto"/>
        <w:tabs>
          <w:tab w:leader="none" w:pos="112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an involuntary proceeding shall be commenced or an involuntary petition shall be filed seeking (i) liquidation, reorganization or other relief in respect of the Borrower or any of its Subsidiaries (other than Immaterial Subsidiaries) or its debts, or of a substantial part of its assets, under any Federal, state or foreign bankruptcy, insolvency, receivership or similar law now or hereafter in effect or (ii) the appointment of a receiver, trustee, custodian, sequestrator, conservator or similar official for the Borrower or any of its Subsidiaries (other than Immaterial Subsidiaries) or for a substantial part of its assets, and, in any such case, such proceeding or petition shall continue undismissed and unstayed for a period of 60 or more days or an order or decree approving or ordering any of the foregoing shall be entered;</w:t>
      </w:r>
    </w:p>
    <w:p>
      <w:pPr>
        <w:spacing w:after="0" w:line="85" w:lineRule="exact"/>
        <w:rPr>
          <w:rFonts w:ascii="Arial" w:cs="Arial" w:eastAsia="Arial" w:hAnsi="Arial"/>
          <w:sz w:val="18"/>
          <w:szCs w:val="18"/>
          <w:color w:val="auto"/>
        </w:rPr>
      </w:pPr>
    </w:p>
    <w:p>
      <w:pPr>
        <w:ind w:left="-8" w:right="60" w:firstLine="921"/>
        <w:spacing w:after="0" w:line="288" w:lineRule="auto"/>
        <w:tabs>
          <w:tab w:leader="none" w:pos="1120" w:val="left"/>
        </w:tabs>
        <w:numPr>
          <w:ilvl w:val="1"/>
          <w:numId w:val="192"/>
        </w:numPr>
        <w:rPr>
          <w:rFonts w:ascii="Arial" w:cs="Arial" w:eastAsia="Arial" w:hAnsi="Arial"/>
          <w:sz w:val="16"/>
          <w:szCs w:val="16"/>
          <w:color w:val="auto"/>
        </w:rPr>
      </w:pPr>
      <w:r>
        <w:rPr>
          <w:rFonts w:ascii="Arial" w:cs="Arial" w:eastAsia="Arial" w:hAnsi="Arial"/>
          <w:sz w:val="16"/>
          <w:szCs w:val="16"/>
          <w:color w:val="auto"/>
        </w:rPr>
        <w:t xml:space="preserve">the Borrower or any of its Subsidiaries (other than Immaterial Subsidiaries)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this Article,</w:t>
      </w:r>
    </w:p>
    <w:p>
      <w:pPr>
        <w:ind w:left="312" w:hanging="312"/>
        <w:spacing w:after="0"/>
        <w:tabs>
          <w:tab w:leader="none" w:pos="312"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apply for or consent to the appointment of a receiver, trustee,</w:t>
      </w:r>
    </w:p>
    <w:p>
      <w:pPr>
        <w:spacing w:after="0" w:line="143" w:lineRule="exact"/>
        <w:rPr>
          <w:sz w:val="20"/>
          <w:szCs w:val="20"/>
          <w:color w:val="auto"/>
        </w:rPr>
      </w:pPr>
    </w:p>
    <w:p>
      <w:pPr>
        <w:jc w:val="both"/>
        <w:ind w:left="5852"/>
        <w:spacing w:after="0"/>
        <w:tabs>
          <w:tab w:leader="none" w:pos="9352"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12"/>
          </w:cols>
          <w:pgMar w:left="248" w:top="274" w:right="239" w:bottom="1440" w:gutter="0" w:footer="0" w:header="0"/>
        </w:sectPr>
      </w:pPr>
    </w:p>
    <w:bookmarkStart w:id="184" w:name="page185"/>
    <w:bookmarkEnd w:id="184"/>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custodian, sequestrator, conservator or similar official for the Borrower or any of its Subsidiaries (other than Immaterial Subsidiaries)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73" w:lineRule="exact"/>
        <w:rPr>
          <w:sz w:val="20"/>
          <w:szCs w:val="20"/>
          <w:color w:val="auto"/>
        </w:rPr>
      </w:pPr>
    </w:p>
    <w:p>
      <w:pPr>
        <w:ind w:right="700" w:firstLine="921"/>
        <w:spacing w:after="0" w:line="277" w:lineRule="auto"/>
        <w:tabs>
          <w:tab w:leader="none" w:pos="1168"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Borrower or any of its Subsidiaries (other than Immaterial Subsidiaries) shall become unable, admit in writing its inability or fail generally to pay its debts as they become due;</w:t>
      </w:r>
    </w:p>
    <w:p>
      <w:pPr>
        <w:spacing w:after="0" w:line="62" w:lineRule="exact"/>
        <w:rPr>
          <w:rFonts w:ascii="Arial" w:cs="Arial" w:eastAsia="Arial" w:hAnsi="Arial"/>
          <w:sz w:val="18"/>
          <w:szCs w:val="18"/>
          <w:color w:val="auto"/>
        </w:rPr>
      </w:pPr>
    </w:p>
    <w:p>
      <w:pPr>
        <w:ind w:right="120" w:firstLine="921"/>
        <w:spacing w:after="0" w:line="259" w:lineRule="auto"/>
        <w:tabs>
          <w:tab w:leader="none" w:pos="1128" w:val="left"/>
        </w:tabs>
        <w:numPr>
          <w:ilvl w:val="0"/>
          <w:numId w:val="194"/>
        </w:numPr>
        <w:rPr>
          <w:rFonts w:ascii="Arial" w:cs="Arial" w:eastAsia="Arial" w:hAnsi="Arial"/>
          <w:sz w:val="18"/>
          <w:szCs w:val="18"/>
          <w:color w:val="auto"/>
        </w:rPr>
      </w:pPr>
      <w:r>
        <w:rPr>
          <w:rFonts w:ascii="Arial" w:cs="Arial" w:eastAsia="Arial" w:hAnsi="Arial"/>
          <w:sz w:val="18"/>
          <w:szCs w:val="18"/>
          <w:color w:val="auto"/>
        </w:rPr>
        <w:t>one or more judgments for the payment of money in an aggregate amount in excess of $25,000,000 shall be rendered against the Borrower or any of its Subsidiaries or any combination thereof and the same shall remain undischarged for a period of 30 consecutive days during which execution shall not be effectively stayed, or any action shall be legally taken by a judgment creditor to attach or levy upon any assets of the Borrower or any of its Subsidiaries (other than Immaterial Subsidiaries) to enforce any such judgment;</w:t>
      </w:r>
    </w:p>
    <w:p>
      <w:pPr>
        <w:spacing w:after="0" w:line="78" w:lineRule="exact"/>
        <w:rPr>
          <w:rFonts w:ascii="Arial" w:cs="Arial" w:eastAsia="Arial" w:hAnsi="Arial"/>
          <w:sz w:val="18"/>
          <w:szCs w:val="18"/>
          <w:color w:val="auto"/>
        </w:rPr>
      </w:pPr>
    </w:p>
    <w:p>
      <w:pPr>
        <w:ind w:firstLine="921"/>
        <w:spacing w:after="0" w:line="277" w:lineRule="auto"/>
        <w:tabs>
          <w:tab w:leader="none" w:pos="1218"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an ERISA Event shall have occurred that, in the opinion of the Required Lenders, when taken together with all other ERISA Events that have occurred, could reasonably be expected to result in a Material Adverse Effect;</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 Change in Control shall occur;</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Borrower shall cease to be managed by the External Manager or an Affiliate thereof;</w:t>
      </w:r>
    </w:p>
    <w:p>
      <w:pPr>
        <w:spacing w:after="0" w:line="117" w:lineRule="exact"/>
        <w:rPr>
          <w:rFonts w:ascii="Arial" w:cs="Arial" w:eastAsia="Arial" w:hAnsi="Arial"/>
          <w:sz w:val="18"/>
          <w:szCs w:val="18"/>
          <w:color w:val="auto"/>
        </w:rPr>
      </w:pPr>
    </w:p>
    <w:p>
      <w:pPr>
        <w:ind w:right="100" w:firstLine="921"/>
        <w:spacing w:after="0" w:line="302" w:lineRule="auto"/>
        <w:tabs>
          <w:tab w:leader="none" w:pos="1168" w:val="left"/>
        </w:tabs>
        <w:numPr>
          <w:ilvl w:val="0"/>
          <w:numId w:val="194"/>
        </w:numPr>
        <w:rPr>
          <w:rFonts w:ascii="Arial" w:cs="Arial" w:eastAsia="Arial" w:hAnsi="Arial"/>
          <w:sz w:val="16"/>
          <w:szCs w:val="16"/>
          <w:color w:val="auto"/>
        </w:rPr>
      </w:pPr>
      <w:r>
        <w:rPr>
          <w:rFonts w:ascii="Arial" w:cs="Arial" w:eastAsia="Arial" w:hAnsi="Arial"/>
          <w:sz w:val="16"/>
          <w:szCs w:val="16"/>
          <w:color w:val="auto"/>
        </w:rPr>
        <w:t>if, prior to the Final Maturity Date, both of the principals of the External Manager (who initially will be Alan Waxman and Joshua Easterly) fail to remain actively involved in the investment activities of the Borrower and the other investment vehicles managed by TPG Capital, L.P.; provided that the External Manager is permitted at any time to replace any person designated as a “principal” with a senior professional selected by the External Manager so long as such replacement has either been approved by a majority of the Borrower’s independent directors or by a majority of the Borrower’s shareholders;</w:t>
      </w:r>
    </w:p>
    <w:p>
      <w:pPr>
        <w:spacing w:after="0" w:line="46" w:lineRule="exact"/>
        <w:rPr>
          <w:rFonts w:ascii="Arial" w:cs="Arial" w:eastAsia="Arial" w:hAnsi="Arial"/>
          <w:sz w:val="16"/>
          <w:szCs w:val="16"/>
          <w:color w:val="auto"/>
        </w:rPr>
      </w:pPr>
    </w:p>
    <w:p>
      <w:pPr>
        <w:ind w:right="180" w:firstLine="921"/>
        <w:spacing w:after="0" w:line="276" w:lineRule="auto"/>
        <w:tabs>
          <w:tab w:leader="none" w:pos="1168" w:val="left"/>
        </w:tabs>
        <w:numPr>
          <w:ilvl w:val="0"/>
          <w:numId w:val="194"/>
        </w:numPr>
        <w:rPr>
          <w:rFonts w:ascii="Arial" w:cs="Arial" w:eastAsia="Arial" w:hAnsi="Arial"/>
          <w:sz w:val="17"/>
          <w:szCs w:val="17"/>
          <w:color w:val="auto"/>
        </w:rPr>
      </w:pPr>
      <w:r>
        <w:rPr>
          <w:rFonts w:ascii="Arial" w:cs="Arial" w:eastAsia="Arial" w:hAnsi="Arial"/>
          <w:sz w:val="17"/>
          <w:szCs w:val="17"/>
          <w:color w:val="auto"/>
        </w:rPr>
        <w:t xml:space="preserve">the Liens created by the Security Documents shall, at any time with respect to Portfolio Investments having an aggregate Value in excess of 5% of the aggregate Value of all Portfolio Investments, not be valid and perfected (to the extent perfection by filing, registration, recordation, possession or control is required herein or therein) in favor of the Administrative Agent, free and clear of all other Liens (other than Liens permitted under </w:t>
      </w:r>
      <w:r>
        <w:rPr>
          <w:rFonts w:ascii="Arial" w:cs="Arial" w:eastAsia="Arial" w:hAnsi="Arial"/>
          <w:sz w:val="17"/>
          <w:szCs w:val="17"/>
          <w:u w:val="single" w:color="auto"/>
          <w:color w:val="auto"/>
        </w:rPr>
        <w:t>Section 6.02</w:t>
      </w:r>
      <w:r>
        <w:rPr>
          <w:rFonts w:ascii="Arial" w:cs="Arial" w:eastAsia="Arial" w:hAnsi="Arial"/>
          <w:sz w:val="17"/>
          <w:szCs w:val="17"/>
          <w:color w:val="auto"/>
        </w:rPr>
        <w:t xml:space="preserve"> or under the respective Security Documents) except to the extent that any such loss of perfection results from the failure of the Collateral Agent to maintain possession of the certificates representing the securities pledged under the Loan Documents;</w:t>
      </w:r>
    </w:p>
    <w:p>
      <w:pPr>
        <w:spacing w:after="0" w:line="64" w:lineRule="exact"/>
        <w:rPr>
          <w:rFonts w:ascii="Arial" w:cs="Arial" w:eastAsia="Arial" w:hAnsi="Arial"/>
          <w:sz w:val="17"/>
          <w:szCs w:val="17"/>
          <w:color w:val="auto"/>
        </w:rPr>
      </w:pPr>
    </w:p>
    <w:p>
      <w:pPr>
        <w:ind w:right="220" w:firstLine="921"/>
        <w:spacing w:after="0" w:line="308" w:lineRule="auto"/>
        <w:tabs>
          <w:tab w:leader="none" w:pos="1138" w:val="left"/>
        </w:tabs>
        <w:numPr>
          <w:ilvl w:val="0"/>
          <w:numId w:val="194"/>
        </w:numPr>
        <w:rPr>
          <w:rFonts w:ascii="Arial" w:cs="Arial" w:eastAsia="Arial" w:hAnsi="Arial"/>
          <w:sz w:val="17"/>
          <w:szCs w:val="17"/>
          <w:color w:val="auto"/>
        </w:rPr>
      </w:pPr>
      <w:r>
        <w:rPr>
          <w:rFonts w:ascii="Arial" w:cs="Arial" w:eastAsia="Arial" w:hAnsi="Arial"/>
          <w:sz w:val="17"/>
          <w:szCs w:val="17"/>
          <w:color w:val="auto"/>
        </w:rPr>
        <w:t>except for expiration in accordance with its terms, any of the Loan Documents shall for whatever reason be terminated or cease to be in full force and effect in any material respect, or the enforceability thereof shall be contested by the Borrower or any other Obligor;</w:t>
      </w:r>
    </w:p>
    <w:p>
      <w:pPr>
        <w:spacing w:after="0" w:line="79"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98</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85" w:name="page186"/>
    <w:bookmarkEnd w:id="185"/>
    <w:p>
      <w:pPr>
        <w:ind w:right="160" w:firstLine="921"/>
        <w:spacing w:after="0" w:line="264" w:lineRule="auto"/>
        <w:tabs>
          <w:tab w:leader="none" w:pos="1148" w:val="left"/>
        </w:tabs>
        <w:numPr>
          <w:ilvl w:val="0"/>
          <w:numId w:val="1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Obligors shall at any time, without the consent of the Required Lenders fail to comply with the covenant contained in </w:t>
      </w:r>
      <w:r>
        <w:rPr>
          <w:rFonts w:ascii="Arial" w:cs="Arial" w:eastAsia="Arial" w:hAnsi="Arial"/>
          <w:sz w:val="18"/>
          <w:szCs w:val="18"/>
          <w:u w:val="single" w:color="auto"/>
          <w:color w:val="auto"/>
        </w:rPr>
        <w:t>Section 5.11</w:t>
      </w:r>
      <w:r>
        <w:rPr>
          <w:rFonts w:ascii="Arial" w:cs="Arial" w:eastAsia="Arial" w:hAnsi="Arial"/>
          <w:sz w:val="18"/>
          <w:szCs w:val="18"/>
          <w:color w:val="auto"/>
        </w:rPr>
        <w:t>, and such failure shall continue unremedied for a period of 30 or more days after the earlier of notice thereof by the Administrative Agent (given at the request of any Lender) to the Borrower or knowledge thereof by a Financial Officer; or</w:t>
      </w:r>
    </w:p>
    <w:p>
      <w:pPr>
        <w:spacing w:after="0" w:line="73" w:lineRule="exact"/>
        <w:rPr>
          <w:rFonts w:ascii="Arial" w:cs="Arial" w:eastAsia="Arial" w:hAnsi="Arial"/>
          <w:sz w:val="18"/>
          <w:szCs w:val="18"/>
          <w:color w:val="auto"/>
        </w:rPr>
      </w:pPr>
    </w:p>
    <w:p>
      <w:pPr>
        <w:ind w:right="120" w:firstLine="921"/>
        <w:spacing w:after="0" w:line="277" w:lineRule="auto"/>
        <w:tabs>
          <w:tab w:leader="none" w:pos="1128"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Borrower or any of its Subsidiaries shall cause or permit the occurrence of any condition or event that would result in any recourse to any Obligor under any Permitted SBIC Guarantee;</w:t>
      </w:r>
    </w:p>
    <w:p>
      <w:pPr>
        <w:spacing w:after="0" w:line="170" w:lineRule="exact"/>
        <w:rPr>
          <w:sz w:val="20"/>
          <w:szCs w:val="20"/>
          <w:color w:val="auto"/>
        </w:rPr>
      </w:pPr>
    </w:p>
    <w:p>
      <w:pPr>
        <w:jc w:val="both"/>
        <w:ind w:right="140"/>
        <w:spacing w:after="0" w:line="288" w:lineRule="auto"/>
        <w:rPr>
          <w:sz w:val="20"/>
          <w:szCs w:val="20"/>
          <w:color w:val="auto"/>
        </w:rPr>
      </w:pPr>
      <w:r>
        <w:rPr>
          <w:rFonts w:ascii="Arial" w:cs="Arial" w:eastAsia="Arial" w:hAnsi="Arial"/>
          <w:sz w:val="16"/>
          <w:szCs w:val="16"/>
          <w:color w:val="auto"/>
        </w:rPr>
        <w:t xml:space="preserve">then, and in every such event (other than an event with respect to the Borrower described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(j)</w:t>
      </w:r>
      <w:r>
        <w:rPr>
          <w:rFonts w:ascii="Arial" w:cs="Arial" w:eastAsia="Arial" w:hAnsi="Arial"/>
          <w:sz w:val="16"/>
          <w:szCs w:val="16"/>
          <w:color w:val="auto"/>
        </w:rPr>
        <w:t xml:space="preserve"> of this Article), and at any time thereafter during the continuance of such event, the Administrative Agent may, and at the request of the Required Lenders shall, by notice to the Borrower, take either or both of the following actions, at the same or different times: (i) terminate the Commitments, and thereupon the Commitments shall terminate immediately, and</w:t>
      </w:r>
    </w:p>
    <w:p>
      <w:pPr>
        <w:ind w:firstLine="8"/>
        <w:spacing w:after="0" w:line="252" w:lineRule="auto"/>
        <w:tabs>
          <w:tab w:leader="none" w:pos="26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and under the other Loan Documents, shall become due and payable immediately, without presentment, demand, protest or other notice of any kind, all of which are hereby waived by the Borrower; and in case of any event with respect to the Borrower described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(j)</w:t>
      </w:r>
      <w:r>
        <w:rPr>
          <w:rFonts w:ascii="Arial" w:cs="Arial" w:eastAsia="Arial" w:hAnsi="Arial"/>
          <w:sz w:val="18"/>
          <w:szCs w:val="18"/>
          <w:color w:val="auto"/>
        </w:rPr>
        <w:t xml:space="preserve"> of this Article, the Commitments shall automatically terminate and the principal of the Loans then outstanding, together with accrued interest thereon and all fees and other obligations of the Borrower accrued hereunder and under the other Loan Documents, shall automatically become due and payable, without presentment, demand, protest or other notice of any kind, all of which are hereby waived by the Borrower.</w:t>
      </w:r>
    </w:p>
    <w:p>
      <w:pPr>
        <w:spacing w:after="0" w:line="192" w:lineRule="exact"/>
        <w:rPr>
          <w:sz w:val="20"/>
          <w:szCs w:val="20"/>
          <w:color w:val="auto"/>
        </w:rPr>
      </w:pPr>
    </w:p>
    <w:p>
      <w:pPr>
        <w:ind w:right="160" w:firstLine="913"/>
        <w:spacing w:after="0" w:line="273" w:lineRule="auto"/>
        <w:rPr>
          <w:sz w:val="20"/>
          <w:szCs w:val="20"/>
          <w:color w:val="auto"/>
        </w:rPr>
      </w:pPr>
      <w:r>
        <w:rPr>
          <w:rFonts w:ascii="Arial" w:cs="Arial" w:eastAsia="Arial" w:hAnsi="Arial"/>
          <w:sz w:val="17"/>
          <w:szCs w:val="17"/>
          <w:color w:val="auto"/>
        </w:rPr>
        <w:t xml:space="preserve">In the event that the Loans shall be declared, or shall become, due and payable pursuant to the immediately preceding paragraph then, upon notice from the Administrative Agent or Lenders with LC Exposure representing more than 50% of the total LC Exposure demanding the deposit of Cash Collateral pursuant to this paragraph, the Borrower shall immediately deposit into the Letter of Credit Collateral Account cash in an amount equal to the LC Exposure as of such date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any accrued and unpaid interest thereon;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obligation to deposit such cash shall become effective immediately, and such deposit shall become immediately due and payable, without demand or other notice of any kind, upon the occurrence of any Event of Default with respect to the Borrower described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(j)</w:t>
      </w:r>
      <w:r>
        <w:rPr>
          <w:rFonts w:ascii="Arial" w:cs="Arial" w:eastAsia="Arial" w:hAnsi="Arial"/>
          <w:sz w:val="17"/>
          <w:szCs w:val="17"/>
          <w:color w:val="auto"/>
        </w:rPr>
        <w:t xml:space="preserve"> of this Article.</w:t>
      </w:r>
    </w:p>
    <w:p>
      <w:pPr>
        <w:spacing w:after="0" w:line="178" w:lineRule="exact"/>
        <w:rPr>
          <w:sz w:val="20"/>
          <w:szCs w:val="20"/>
          <w:color w:val="auto"/>
        </w:rPr>
      </w:pPr>
    </w:p>
    <w:p>
      <w:pPr>
        <w:ind w:right="160" w:firstLine="913"/>
        <w:spacing w:after="0" w:line="297" w:lineRule="auto"/>
        <w:rPr>
          <w:sz w:val="20"/>
          <w:szCs w:val="20"/>
          <w:color w:val="auto"/>
        </w:rPr>
      </w:pPr>
      <w:r>
        <w:rPr>
          <w:rFonts w:ascii="Arial" w:cs="Arial" w:eastAsia="Arial" w:hAnsi="Arial"/>
          <w:sz w:val="16"/>
          <w:szCs w:val="16"/>
          <w:color w:val="auto"/>
        </w:rPr>
        <w:t xml:space="preserve">Notwithstanding anything to the contrary contained herein, on the CAM Exchange Date, to the extent not otherwise prohibited by law, (a) the Lenders shall automatically and without further act be deemed to have exchanged interests in the Designated Obligations such that, in lieu of the interests of each Lender in the Designated Obligations under each Loan in which it shall participate as of such date, such Lender shall own an interest equal to such Lender’s CAM Percentage in the Designated Obligations under each of the Loans and (b) simultaneously with the deemed exchange of interests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the interests in the Designated Obligations to be received in such deemed exchange shall, automatically and</w:t>
      </w:r>
    </w:p>
    <w:p>
      <w:pPr>
        <w:spacing w:after="0" w:line="91" w:lineRule="exact"/>
        <w:rPr>
          <w:sz w:val="20"/>
          <w:szCs w:val="20"/>
          <w:color w:val="auto"/>
        </w:rPr>
      </w:pPr>
    </w:p>
    <w:p>
      <w:pPr>
        <w:jc w:val="both"/>
        <w:ind w:left="5860"/>
        <w:spacing w:after="0"/>
        <w:tabs>
          <w:tab w:leader="none" w:pos="936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86" w:name="page187"/>
    <w:bookmarkEnd w:id="186"/>
    <w:p>
      <w:pPr>
        <w:ind w:right="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with no further action required, be converted into the Dollar Equivalent of such amount (as of the Business Day immediately prior to the CAM Exchange Date) and on and after such date all amounts accruing and owed to the Lenders in respect of such Designated Obligations shall accrue and be payable in Dollars at the rate otherwise applicable hereunder. Each Lender, each Person acquiring a participation from any Lender as contemplated by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and the Borrower hereby consents and agrees to the CAM Exchange. The Borrower and the Lenders agree from time to time to execute and deliver to the Administrative Agent all such promissory notes and other instruments and documents as the Administrative Agent shall reasonably request to evidence and confirm the respective interests and obligations of the Lenders after giving effect to the CAM Exchange, and each Lender agrees to surrender any promissory notes originally received by it in connection with its Loans hereunder to the Administrative Agent against delivery of any promissory notes so executed and delivered; provided that the failure of the Borrower to execute or deliver or of any Lender to accept any such promissory note, instrument or document shall not affect the validity or effectiveness of the CAM Exchange. As a result of the CAM Exchange, on and after the CAM Exchange Date, each payment received by the Administrative Agent pursuant to any Loan Document in respect of the Designated Obligations shall be distributed to the Lenders pro rata in accordance with their respective CAM Percentages (to be redetermined as of each such date of payment).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ADMINISTRATIVE AGENT</w:t>
      </w:r>
    </w:p>
    <w:p>
      <w:pPr>
        <w:spacing w:after="0" w:line="225"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 xml:space="preserve">SECTION 8.01. </w:t>
      </w:r>
      <w:r>
        <w:rPr>
          <w:rFonts w:ascii="Arial" w:cs="Arial" w:eastAsia="Arial" w:hAnsi="Arial"/>
          <w:sz w:val="17"/>
          <w:szCs w:val="17"/>
          <w:u w:val="single" w:color="auto"/>
          <w:color w:val="auto"/>
        </w:rPr>
        <w:t>Appointment of the Administrative Agent</w:t>
      </w:r>
      <w:r>
        <w:rPr>
          <w:rFonts w:ascii="Arial" w:cs="Arial" w:eastAsia="Arial" w:hAnsi="Arial"/>
          <w:sz w:val="17"/>
          <w:szCs w:val="17"/>
          <w:color w:val="auto"/>
        </w:rPr>
        <w:t>. Each of the Lenders and the Issuing Bank hereby irrevocably appoints the Administrative Agent as its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Each of the Lenders and the Issuing Bank hereby irrevocably appoints the Collateral Agent as its agent hereunder and under the other Loan Documents and authorizes the Collateral Agent to take such actions on its behalf and to exercise such powers as are delegated to the Collateral Agent by the terms hereof or thereof, together with such actions and powers as are reasonably incidental thereto.</w:t>
      </w:r>
    </w:p>
    <w:p>
      <w:pPr>
        <w:spacing w:after="0" w:line="178"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Capacity as Lender</w:t>
      </w:r>
      <w:r>
        <w:rPr>
          <w:rFonts w:ascii="Arial" w:cs="Arial" w:eastAsia="Arial" w:hAnsi="Arial"/>
          <w:sz w:val="18"/>
          <w:szCs w:val="18"/>
          <w:color w:val="auto"/>
        </w:rPr>
        <w:t>. The Person serving as the Administrative Agent hereunder shall have the same rights and powers in its capacity as a Lender as any other Lender and may exercise the same as though it were not the Administrative Agent, and such Person and its Affiliates may accept deposits from, lend money to and generally engage in any kind of business with the Borrower or any Subsidiary or other Affiliate thereof as if it were not the Administrative Agent hereunder.</w:t>
      </w:r>
    </w:p>
    <w:p>
      <w:pPr>
        <w:spacing w:after="0" w:line="187"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Limitation of Duties; Exculpation</w:t>
      </w:r>
      <w:r>
        <w:rPr>
          <w:rFonts w:ascii="Arial" w:cs="Arial" w:eastAsia="Arial" w:hAnsi="Arial"/>
          <w:sz w:val="18"/>
          <w:szCs w:val="18"/>
          <w:color w:val="auto"/>
        </w:rPr>
        <w:t>. The Administrative Agent shall not have any duties or obligations except those expressly set forth herein and in the other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w:t>
      </w:r>
    </w:p>
    <w:p>
      <w:pPr>
        <w:spacing w:after="0" w:line="119" w:lineRule="exact"/>
        <w:rPr>
          <w:sz w:val="20"/>
          <w:szCs w:val="20"/>
          <w:color w:val="auto"/>
        </w:rPr>
      </w:pPr>
    </w:p>
    <w:p>
      <w:pPr>
        <w:jc w:val="both"/>
        <w:ind w:left="5820"/>
        <w:spacing w:after="0"/>
        <w:tabs>
          <w:tab w:leader="none" w:pos="9360" w:val="left"/>
        </w:tabs>
        <w:rPr>
          <w:sz w:val="20"/>
          <w:szCs w:val="20"/>
          <w:color w:val="auto"/>
        </w:rPr>
      </w:pPr>
      <w:r>
        <w:rPr>
          <w:rFonts w:ascii="Arial" w:cs="Arial" w:eastAsia="Arial" w:hAnsi="Arial"/>
          <w:sz w:val="18"/>
          <w:szCs w:val="18"/>
          <w:color w:val="auto"/>
        </w:rPr>
        <w:t>100</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87" w:name="page188"/>
    <w:bookmarkEnd w:id="18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expressly contemplated hereby or by the other Loan Documents that the Administrative Agent is required to exercise in writing by the Required Lenders, and</w:t>
      </w:r>
    </w:p>
    <w:p>
      <w:pPr>
        <w:spacing w:after="0" w:line="46" w:lineRule="exact"/>
        <w:rPr>
          <w:sz w:val="20"/>
          <w:szCs w:val="20"/>
          <w:color w:val="auto"/>
        </w:rPr>
      </w:pPr>
    </w:p>
    <w:p>
      <w:pPr>
        <w:ind w:right="40" w:firstLine="8"/>
        <w:spacing w:after="0" w:line="267" w:lineRule="auto"/>
        <w:tabs>
          <w:tab w:leader="none" w:pos="245" w:val="left"/>
        </w:tabs>
        <w:numPr>
          <w:ilvl w:val="0"/>
          <w:numId w:val="197"/>
        </w:numPr>
        <w:rPr>
          <w:rFonts w:ascii="Arial" w:cs="Arial" w:eastAsia="Arial" w:hAnsi="Arial"/>
          <w:sz w:val="17"/>
          <w:szCs w:val="17"/>
          <w:color w:val="auto"/>
        </w:rPr>
      </w:pPr>
      <w:r>
        <w:rPr>
          <w:rFonts w:ascii="Arial" w:cs="Arial" w:eastAsia="Arial" w:hAnsi="Arial"/>
          <w:sz w:val="17"/>
          <w:szCs w:val="17"/>
          <w:color w:val="auto"/>
        </w:rPr>
        <w:t xml:space="preserve">except as expressly set forth herein and in the other Loan Documents, the Administrative Agent shall not have any duty to disclose, and shall not be liable for the failure to disclose, any information relating to the Borrower or any of its Subsidiaries that is communicated to or obtained by the bank serving as Administrative Agent or any of its Affiliates in any capacity. The Administrative Agent shall not be liable for any action taken or not taken by it with the consent or at the request of the Required Lenders or in the absence of its own fraud, gross negligence or willful misconduct. The Administrative Agent shall be deemed not to have knowledge of any Default unless and until written notice thereof is given to the Administrative Agent by the Borrower or a Lender, and 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(iv) the validity, enforceability, effectiveness or genuineness of this Agreement, any other Loan Document or any other agreement, instrument or document, or (v) the satisfaction of any condition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or elsewhere herein or therein, other than to confirm receipt of items expressly required to be delivered to the Administrative Agent.</w:t>
      </w:r>
    </w:p>
    <w:p>
      <w:pPr>
        <w:spacing w:after="0" w:line="187" w:lineRule="exact"/>
        <w:rPr>
          <w:sz w:val="20"/>
          <w:szCs w:val="20"/>
          <w:color w:val="auto"/>
        </w:rPr>
      </w:pPr>
    </w:p>
    <w:p>
      <w:pPr>
        <w:ind w:right="120" w:firstLine="913"/>
        <w:spacing w:after="0" w:line="293" w:lineRule="auto"/>
        <w:rPr>
          <w:sz w:val="20"/>
          <w:szCs w:val="20"/>
          <w:color w:val="auto"/>
        </w:rPr>
      </w:pPr>
      <w:r>
        <w:rPr>
          <w:rFonts w:ascii="Arial" w:cs="Arial" w:eastAsia="Arial" w:hAnsi="Arial"/>
          <w:sz w:val="16"/>
          <w:szCs w:val="16"/>
          <w:color w:val="auto"/>
        </w:rPr>
        <w:t xml:space="preserve">SECTION 8.04. </w:t>
      </w:r>
      <w:r>
        <w:rPr>
          <w:rFonts w:ascii="Arial" w:cs="Arial" w:eastAsia="Arial" w:hAnsi="Arial"/>
          <w:sz w:val="16"/>
          <w:szCs w:val="16"/>
          <w:u w:val="single" w:color="auto"/>
          <w:color w:val="auto"/>
        </w:rPr>
        <w:t>Reliance</w:t>
      </w:r>
      <w:r>
        <w:rPr>
          <w:rFonts w:ascii="Arial" w:cs="Arial" w:eastAsia="Arial" w:hAnsi="Arial"/>
          <w:sz w:val="16"/>
          <w:szCs w:val="16"/>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65"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color w:val="auto"/>
        </w:rPr>
        <w:t xml:space="preserve">SECTION 8.05. </w:t>
      </w:r>
      <w:r>
        <w:rPr>
          <w:rFonts w:ascii="Arial" w:cs="Arial" w:eastAsia="Arial" w:hAnsi="Arial"/>
          <w:sz w:val="16"/>
          <w:szCs w:val="16"/>
          <w:u w:val="single" w:color="auto"/>
          <w:color w:val="auto"/>
        </w:rPr>
        <w:t>Sub-Agents</w:t>
      </w:r>
      <w:r>
        <w:rPr>
          <w:rFonts w:ascii="Arial" w:cs="Arial" w:eastAsia="Arial" w:hAnsi="Arial"/>
          <w:sz w:val="16"/>
          <w:szCs w:val="16"/>
          <w:color w:val="auto"/>
        </w:rPr>
        <w:t>. The Administrative Agent may perform any and all its duties and exercise its rights and powers by or through any one or more sub-agents appointed by the Administrative Agent. The Administrative Agent and any such sub-agent may perform any and all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count of competent jurisdiction determines in a final and non-appealable judgment that the Administrative Agent acted with fraud, gross negligence or willful misconduct in the selection of such sub-agents.</w:t>
      </w:r>
    </w:p>
    <w:p>
      <w:pPr>
        <w:spacing w:after="0" w:line="100" w:lineRule="exact"/>
        <w:rPr>
          <w:sz w:val="20"/>
          <w:szCs w:val="20"/>
          <w:color w:val="auto"/>
        </w:rPr>
      </w:pPr>
    </w:p>
    <w:p>
      <w:pPr>
        <w:jc w:val="both"/>
        <w:ind w:left="5820"/>
        <w:spacing w:after="0"/>
        <w:tabs>
          <w:tab w:leader="none" w:pos="93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88" w:name="page189"/>
    <w:bookmarkEnd w:id="188"/>
    <w:p>
      <w:pPr>
        <w:ind w:right="20" w:firstLine="913"/>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8.06. </w:t>
      </w:r>
      <w:r>
        <w:rPr>
          <w:rFonts w:ascii="Arial" w:cs="Arial" w:eastAsia="Arial" w:hAnsi="Arial"/>
          <w:sz w:val="17"/>
          <w:szCs w:val="17"/>
          <w:u w:val="single" w:color="auto"/>
          <w:color w:val="auto"/>
        </w:rPr>
        <w:t>Resignation; Successor Administrative Agent</w:t>
      </w:r>
      <w:r>
        <w:rPr>
          <w:rFonts w:ascii="Arial" w:cs="Arial" w:eastAsia="Arial" w:hAnsi="Arial"/>
          <w:sz w:val="17"/>
          <w:szCs w:val="17"/>
          <w:color w:val="auto"/>
        </w:rPr>
        <w:t xml:space="preserve">. The Administrative Agent may resign at any time by notifying the Lenders, the Issuing Bank and the Borrower. Upon any such resignation, the Required Lenders shall have the right, with the consent of the Borrower not to be unreasonably withheld (or, if an Event of Default has occurred and is continuing in consultation with the Borrower), to appoint a successor. If no successor shall have been so appointed by the Required Lenders and shall have accepted such appointment within 30 days after the retiring Administrative Agent gives notice of its resignation, then the retiring Administrative Agent’s resignation shall nonetheless become effective and (1) the retiring Administrative Agent shall be discharged from its duties and obligations hereunder and (2) the Required Lenders shall perform the duties of the Administrative Agent (and all payments and communications provided to be made by, to or through the Administrative Agent shall instead be made by or to each Lender directly) until such time as the Required Lenders appoint a successor agent as provided for above in this paragraph. Upon the acceptance of its appointment as Administrative Agent hereunder by a successor, such successor shall succeed to and become vested with all the rights, powers, privileges and duties of the retiring (or retired) Administrative Agent and the retiring Administrative Agent shall be discharged from its duties and obligations hereunder (if not already discharged therefrom as provided above in this paragraph). The fees payable by the Borrower to a successor Administrative Agent shall be the same as those payable to its predecessor unless otherwise agreed between the Borrower and such successor. After the Administrative Agent’s resignation hereunder, the provisions of this Article and </w:t>
      </w:r>
      <w:r>
        <w:rPr>
          <w:rFonts w:ascii="Arial" w:cs="Arial" w:eastAsia="Arial" w:hAnsi="Arial"/>
          <w:sz w:val="17"/>
          <w:szCs w:val="17"/>
          <w:u w:val="single" w:color="auto"/>
          <w:color w:val="auto"/>
        </w:rPr>
        <w:t>Section 9.03</w:t>
      </w:r>
      <w:r>
        <w:rPr>
          <w:rFonts w:ascii="Arial" w:cs="Arial" w:eastAsia="Arial" w:hAnsi="Arial"/>
          <w:sz w:val="17"/>
          <w:szCs w:val="17"/>
          <w:color w:val="auto"/>
        </w:rPr>
        <w:t xml:space="preserve"> shall continue in effect for its benefit in respect of any actions taken or omitted to be taken by it while it was acting as Administrative Agent.</w:t>
      </w:r>
    </w:p>
    <w:p>
      <w:pPr>
        <w:spacing w:after="0" w:line="185"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Any resignation by SunTrust as Administrative Agent pursuant to this Section shall also constitute its resignation as Issuing Bank and Swingline Lender. Upon the acceptance of a successor’s appointment as Administrative Agent hereunder, (a) such successor shall succeed to and become vested with all of the rights, powers, privileges and duties of the retiring Issuing Bank and Swingline Lender, (b) the retiring Issuing Bank and Swingline Lender shall be discharged from all of their respective duties and obligations hereunder or under the other Loan Documents, and (c) the successor Issuing Bank shall issue letters of credit in substitution for the Letters of Credit, if any, outstanding at the time of such succession or make other arrangements satisfactory to the retiring Issuing Bank to effectively assume the obligations of the retiring Issuing Bank with respect to such Letters of Credit.</w:t>
      </w:r>
    </w:p>
    <w:p>
      <w:pPr>
        <w:spacing w:after="0" w:line="165"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color w:val="auto"/>
        </w:rPr>
        <w:t xml:space="preserve">SECTION 8.07. </w:t>
      </w:r>
      <w:r>
        <w:rPr>
          <w:rFonts w:ascii="Arial" w:cs="Arial" w:eastAsia="Arial" w:hAnsi="Arial"/>
          <w:sz w:val="17"/>
          <w:szCs w:val="17"/>
          <w:u w:val="single" w:color="auto"/>
          <w:color w:val="auto"/>
        </w:rPr>
        <w:t>Reliance by Lenders</w:t>
      </w:r>
      <w:r>
        <w:rPr>
          <w:rFonts w:ascii="Arial" w:cs="Arial" w:eastAsia="Arial" w:hAnsi="Arial"/>
          <w:sz w:val="17"/>
          <w:szCs w:val="17"/>
          <w:color w:val="auto"/>
        </w:rPr>
        <w:t>. Each Lender acknowledges that it has, independently and without reliance upon the Administrative Agent or any other Lender and based on such documents and information as it has deemed appropriate, made its own credit analysis and decision to enter into this Agreement. Each Lender also acknowledges that it will, independently and without reliance upon the Administrative Agent or any other Lender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The Administrative Agent shall have no duty or responsibility, either initially or on a continuing basis, to make any such investigation or any such appraisal on behalf of Lenders or to provide any Lender with any credit or other information with respect thereto, whether coming into its possession before the making of the Loans or at any time or times thereafter, and the Administrative Agent shall have no responsibility with respect to the accuracy of or the completeness of any information provided to Lenders.</w:t>
      </w:r>
    </w:p>
    <w:p>
      <w:pPr>
        <w:spacing w:after="0" w:line="114" w:lineRule="exact"/>
        <w:rPr>
          <w:sz w:val="20"/>
          <w:szCs w:val="20"/>
          <w:color w:val="auto"/>
        </w:rPr>
      </w:pPr>
    </w:p>
    <w:p>
      <w:pPr>
        <w:jc w:val="both"/>
        <w:ind w:left="5820"/>
        <w:spacing w:after="0"/>
        <w:tabs>
          <w:tab w:leader="none" w:pos="93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89" w:name="page190"/>
    <w:bookmarkEnd w:id="189"/>
    <w:p>
      <w:pPr>
        <w:ind w:right="34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Lender, by delivering its signature page to this Agreement or any Assignment and Assumption and funding any Loan shall be deemed to have acknowledged receipt of, and consented to and approved, each Loan Document and each other document required to be approved by the Administrative Agent, Required Lenders or Lenders.</w:t>
      </w:r>
    </w:p>
    <w:p>
      <w:pPr>
        <w:spacing w:after="0" w:line="181"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SECTION 8.08. </w:t>
      </w:r>
      <w:r>
        <w:rPr>
          <w:rFonts w:ascii="Arial" w:cs="Arial" w:eastAsia="Arial" w:hAnsi="Arial"/>
          <w:sz w:val="16"/>
          <w:szCs w:val="16"/>
          <w:u w:val="single" w:color="auto"/>
          <w:color w:val="auto"/>
        </w:rPr>
        <w:t>Modifications to Loan Documents</w:t>
      </w:r>
      <w:r>
        <w:rPr>
          <w:rFonts w:ascii="Arial" w:cs="Arial" w:eastAsia="Arial" w:hAnsi="Arial"/>
          <w:sz w:val="16"/>
          <w:szCs w:val="16"/>
          <w:color w:val="auto"/>
        </w:rPr>
        <w:t xml:space="preserve">. Except as otherwise provided in </w:t>
      </w:r>
      <w:r>
        <w:rPr>
          <w:rFonts w:ascii="Arial" w:cs="Arial" w:eastAsia="Arial" w:hAnsi="Arial"/>
          <w:sz w:val="16"/>
          <w:szCs w:val="16"/>
          <w:u w:val="single" w:color="auto"/>
          <w:color w:val="auto"/>
        </w:rPr>
        <w:t>Section 9.02(b)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of this Agreement or the Security Documents with respect to this Agreement, the Administrative Agent may, with the prior consent of the Required Lenders (but not otherwise), consent to any modification, supplement or waiver under any of the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without the prior consent of each Lender, the Administrative Agent shall not (except as provided herein or in the Security Documents) release all or substantially all of the Collateral or otherwise terminate all or substantially all of the Liens under any Security Document providing for collateral security, agree to additional obligations being secured by all or substantially all of such collateral security, or alter the relative priorities of the obligations entitled to the benefits of the Liens created under the Security Documents with respect to all or substantially all of the Collateral, except that no such consent shall be required, and the Administrative Agent is hereby authorized, to release any Lien covering property that is the subject of either a disposition of property permitted hereunder or a disposition to which the Required Lenders have consented.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Notices; Electronic Communications</w:t>
      </w:r>
      <w:r>
        <w:rPr>
          <w:rFonts w:ascii="Arial" w:cs="Arial" w:eastAsia="Arial" w:hAnsi="Arial"/>
          <w:sz w:val="18"/>
          <w:szCs w:val="18"/>
          <w:color w:val="auto"/>
        </w:rPr>
        <w:t>.</w:t>
      </w:r>
    </w:p>
    <w:p>
      <w:pPr>
        <w:spacing w:after="0" w:line="117" w:lineRule="exact"/>
        <w:rPr>
          <w:sz w:val="20"/>
          <w:szCs w:val="20"/>
          <w:color w:val="auto"/>
        </w:rPr>
      </w:pPr>
    </w:p>
    <w:p>
      <w:pPr>
        <w:ind w:right="40" w:firstLine="921"/>
        <w:spacing w:after="0" w:line="264" w:lineRule="auto"/>
        <w:tabs>
          <w:tab w:leader="none" w:pos="1157" w:val="left"/>
        </w:tabs>
        <w:numPr>
          <w:ilvl w:val="1"/>
          <w:numId w:val="198"/>
        </w:numPr>
        <w:rPr>
          <w:rFonts w:ascii="Arial" w:cs="Arial" w:eastAsia="Arial" w:hAnsi="Arial"/>
          <w:sz w:val="18"/>
          <w:szCs w:val="18"/>
          <w:color w:val="auto"/>
        </w:rPr>
      </w:pPr>
      <w:r>
        <w:rPr>
          <w:rFonts w:ascii="Arial" w:cs="Arial" w:eastAsia="Arial" w:hAnsi="Arial"/>
          <w:sz w:val="18"/>
          <w:szCs w:val="18"/>
          <w:u w:val="single" w:color="auto"/>
          <w:color w:val="auto"/>
        </w:rPr>
        <w:t>Notices Generally</w:t>
      </w:r>
      <w:r>
        <w:rPr>
          <w:rFonts w:ascii="Arial" w:cs="Arial" w:eastAsia="Arial" w:hAnsi="Arial"/>
          <w:sz w:val="18"/>
          <w:szCs w:val="18"/>
          <w:color w:val="auto"/>
        </w:rPr>
        <w:t>. 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telecopy, as follows:</w:t>
      </w:r>
    </w:p>
    <w:p>
      <w:pPr>
        <w:spacing w:after="0" w:line="73" w:lineRule="exact"/>
        <w:rPr>
          <w:rFonts w:ascii="Arial" w:cs="Arial" w:eastAsia="Arial" w:hAnsi="Arial"/>
          <w:sz w:val="18"/>
          <w:szCs w:val="18"/>
          <w:color w:val="auto"/>
        </w:rPr>
      </w:pPr>
    </w:p>
    <w:p>
      <w:pPr>
        <w:ind w:left="1120" w:hanging="217"/>
        <w:spacing w:after="0"/>
        <w:tabs>
          <w:tab w:leader="none" w:pos="112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if to the Borrower, to it at:</w:t>
      </w:r>
    </w:p>
    <w:p>
      <w:pPr>
        <w:spacing w:after="0" w:line="11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TPG Specialty Lending, Inc.</w:t>
      </w:r>
    </w:p>
    <w:p>
      <w:pPr>
        <w:spacing w:after="0" w:line="2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888 Seventh Avenue, 35</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Attention: Alan Kirshenbaum</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Telecopy Number: (212) 430-7509</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Telephone: (212) 430-4109</w:t>
      </w:r>
    </w:p>
    <w:p>
      <w:pPr>
        <w:spacing w:after="0" w:line="10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(ii) if to the Administrative Agent or Swingline Lender, to it at:</w:t>
      </w:r>
    </w:p>
    <w:p>
      <w:pPr>
        <w:spacing w:after="0" w:line="11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SunTrust Bank</w:t>
      </w:r>
    </w:p>
    <w:p>
      <w:pPr>
        <w:spacing w:after="0" w:line="2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3333 Peachtree Road, 7</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Atlanta, Georgia 30326</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Attention: Doug Kennedy</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Telecopy Number: (404) 739-7390</w:t>
      </w:r>
    </w:p>
    <w:p>
      <w:pPr>
        <w:spacing w:after="0" w:line="143" w:lineRule="exact"/>
        <w:rPr>
          <w:sz w:val="20"/>
          <w:szCs w:val="20"/>
          <w:color w:val="auto"/>
        </w:rPr>
      </w:pPr>
    </w:p>
    <w:p>
      <w:pPr>
        <w:jc w:val="both"/>
        <w:ind w:left="5820"/>
        <w:spacing w:after="0"/>
        <w:tabs>
          <w:tab w:leader="none" w:pos="93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90" w:name="page191"/>
    <w:bookmarkEnd w:id="190"/>
    <w:p>
      <w:pPr>
        <w:ind w:left="1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a copy to:</w:t>
      </w:r>
    </w:p>
    <w:p>
      <w:pPr>
        <w:spacing w:after="0" w:line="11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SunTrust Bank</w:t>
      </w:r>
    </w:p>
    <w:p>
      <w:pPr>
        <w:spacing w:after="0" w:line="2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Agency Services</w:t>
      </w:r>
    </w:p>
    <w:p>
      <w:pPr>
        <w:spacing w:after="0" w:line="8"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303 Peachtree Street, N. E./ 25</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Atlanta, Georgia 30308</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Attention: Wanda Gregory</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Telecopy Number: (404) 658-4906</w:t>
      </w:r>
    </w:p>
    <w:p>
      <w:pPr>
        <w:spacing w:after="0" w:line="10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(iii) if to the Issuing Bank, to it at:</w:t>
      </w:r>
    </w:p>
    <w:p>
      <w:pPr>
        <w:spacing w:after="0" w:line="11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SunTrust Bank</w:t>
      </w:r>
    </w:p>
    <w:p>
      <w:pPr>
        <w:spacing w:after="0" w:line="2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303 Peachtree Street, N. E./ 25</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Atlanta, Georgia 30308</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Attention: Wanda Gregory</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Telecopy Number: (404) 658-4906</w:t>
      </w:r>
    </w:p>
    <w:p>
      <w:pPr>
        <w:spacing w:after="0" w:line="10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(iv) if to any other Lender, to it at its address (or telecopy number) set forth in its Administrative Questionnaire.</w:t>
      </w:r>
    </w:p>
    <w:p>
      <w:pPr>
        <w:spacing w:after="0" w:line="225"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Any party hereto may change its address or telecopy number for notices and other communications hereunder by notice to the other parties hereto All notices and other communications given to any party hereto in accordance with the provisions of this Agreement shall be deemed to have been given on the date of receipt. Notices delivered through electronic communications to the extent provided in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below, shall be effective as provided in said </w:t>
      </w:r>
      <w:r>
        <w:rPr>
          <w:rFonts w:ascii="Arial" w:cs="Arial" w:eastAsia="Arial" w:hAnsi="Arial"/>
          <w:sz w:val="18"/>
          <w:szCs w:val="18"/>
          <w:u w:val="single" w:color="auto"/>
          <w:color w:val="auto"/>
        </w:rPr>
        <w:t>paragraph (b)</w:t>
      </w:r>
      <w:r>
        <w:rPr>
          <w:rFonts w:ascii="Arial" w:cs="Arial" w:eastAsia="Arial" w:hAnsi="Arial"/>
          <w:sz w:val="18"/>
          <w:szCs w:val="18"/>
          <w:color w:val="auto"/>
        </w:rPr>
        <w:t>.</w:t>
      </w:r>
    </w:p>
    <w:p>
      <w:pPr>
        <w:spacing w:after="0" w:line="79" w:lineRule="exact"/>
        <w:rPr>
          <w:sz w:val="20"/>
          <w:szCs w:val="20"/>
          <w:color w:val="auto"/>
        </w:rPr>
      </w:pPr>
    </w:p>
    <w:p>
      <w:pPr>
        <w:ind w:right="40" w:firstLine="921"/>
        <w:spacing w:after="0" w:line="293" w:lineRule="auto"/>
        <w:tabs>
          <w:tab w:leader="none" w:pos="1168" w:val="left"/>
        </w:tabs>
        <w:numPr>
          <w:ilvl w:val="0"/>
          <w:numId w:val="200"/>
        </w:numPr>
        <w:rPr>
          <w:rFonts w:ascii="Arial" w:cs="Arial" w:eastAsia="Arial" w:hAnsi="Arial"/>
          <w:sz w:val="16"/>
          <w:szCs w:val="16"/>
          <w:color w:val="auto"/>
        </w:rPr>
      </w:pPr>
      <w:r>
        <w:rPr>
          <w:rFonts w:ascii="Arial" w:cs="Arial" w:eastAsia="Arial" w:hAnsi="Arial"/>
          <w:sz w:val="16"/>
          <w:szCs w:val="16"/>
          <w:u w:val="single" w:color="auto"/>
          <w:color w:val="auto"/>
        </w:rPr>
        <w:t>Electronic Communications</w:t>
      </w:r>
      <w:r>
        <w:rPr>
          <w:rFonts w:ascii="Arial" w:cs="Arial" w:eastAsia="Arial" w:hAnsi="Arial"/>
          <w:sz w:val="16"/>
          <w:szCs w:val="16"/>
          <w:color w:val="auto"/>
        </w:rPr>
        <w:t xml:space="preserve">. Notices and other communications to the Lenders and the Issuing Bank hereunder may be delivered or furnished by electronic communication (including e-mail and Internet or intranet websites) pursuant to procedures approved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notices to any Lender or the Issuing Bank pursuant to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if such Lender or the Issuing Bank,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approval of such procedures may be limited to particular notices or communications.</w:t>
      </w:r>
    </w:p>
    <w:p>
      <w:pPr>
        <w:spacing w:after="0" w:line="57" w:lineRule="exact"/>
        <w:rPr>
          <w:sz w:val="20"/>
          <w:szCs w:val="20"/>
          <w:color w:val="auto"/>
        </w:rPr>
      </w:pPr>
    </w:p>
    <w:p>
      <w:pPr>
        <w:ind w:firstLine="921"/>
        <w:spacing w:after="0" w:line="293" w:lineRule="auto"/>
        <w:tabs>
          <w:tab w:leader="none" w:pos="1128" w:val="left"/>
        </w:tabs>
        <w:numPr>
          <w:ilvl w:val="0"/>
          <w:numId w:val="201"/>
        </w:numPr>
        <w:rPr>
          <w:rFonts w:ascii="Arial" w:cs="Arial" w:eastAsia="Arial" w:hAnsi="Arial"/>
          <w:sz w:val="16"/>
          <w:szCs w:val="16"/>
          <w:color w:val="auto"/>
        </w:rPr>
      </w:pPr>
      <w:r>
        <w:rPr>
          <w:rFonts w:ascii="Arial" w:cs="Arial" w:eastAsia="Arial" w:hAnsi="Arial"/>
          <w:sz w:val="16"/>
          <w:szCs w:val="16"/>
          <w:color w:val="auto"/>
        </w:rPr>
        <w:t xml:space="preserve">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notification that such notice or communication is available and identifying the website address therefor.</w:t>
      </w:r>
    </w:p>
    <w:p>
      <w:pPr>
        <w:spacing w:after="0" w:line="97" w:lineRule="exact"/>
        <w:rPr>
          <w:sz w:val="20"/>
          <w:szCs w:val="20"/>
          <w:color w:val="auto"/>
        </w:rPr>
      </w:pPr>
    </w:p>
    <w:p>
      <w:pPr>
        <w:jc w:val="both"/>
        <w:ind w:left="5820"/>
        <w:spacing w:after="0"/>
        <w:tabs>
          <w:tab w:leader="none" w:pos="93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91" w:name="page192"/>
    <w:bookmarkEnd w:id="191"/>
    <w:p>
      <w:pPr>
        <w:ind w:firstLine="913"/>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party hereto understands that the distribution of material through an electronic medium is not necessarily secure and that there are confidentiality and other risks associated with such distribution and agrees and assumes the risks associated with such electronic distribution, except to the extent caused by the fraud, willful misconduct or gross negligence of Administrative Agent, any Lender or their respective Related Parties, as determined by a final, non-appealable judgment of a court of competent jurisdiction. The Platform and any electronic communications media approved by the Administrative Agent as provided herein are provided “as is” and “as available”. None of the Administrative Agent or its Related Parties warrant the accuracy, adequacy, or completeness of the such media or the Platform and each expressly disclaims liability for errors or omissions in the Platform and such media. No warranty of any kind, express, implied or statutory, including any warranty of merchantability, fitness for a particular purpose, non-infringement of third party rights or freedom from viruses or other code defects is made by the Administrative Agent and any of its Related Parties in connection with the Platform or the electronic communications media approved by the Administrative Agent as provided for herein.</w:t>
      </w:r>
    </w:p>
    <w:p>
      <w:pPr>
        <w:spacing w:after="0" w:line="74" w:lineRule="exact"/>
        <w:rPr>
          <w:sz w:val="20"/>
          <w:szCs w:val="20"/>
          <w:color w:val="auto"/>
        </w:rPr>
      </w:pPr>
    </w:p>
    <w:p>
      <w:pPr>
        <w:ind w:right="20" w:firstLine="921"/>
        <w:spacing w:after="0" w:line="290" w:lineRule="auto"/>
        <w:tabs>
          <w:tab w:leader="none" w:pos="1157" w:val="left"/>
        </w:tabs>
        <w:numPr>
          <w:ilvl w:val="0"/>
          <w:numId w:val="202"/>
        </w:numPr>
        <w:rPr>
          <w:rFonts w:ascii="Arial" w:cs="Arial" w:eastAsia="Arial" w:hAnsi="Arial"/>
          <w:sz w:val="16"/>
          <w:szCs w:val="16"/>
          <w:color w:val="auto"/>
        </w:rPr>
      </w:pPr>
      <w:r>
        <w:rPr>
          <w:rFonts w:ascii="Arial" w:cs="Arial" w:eastAsia="Arial" w:hAnsi="Arial"/>
          <w:sz w:val="16"/>
          <w:szCs w:val="16"/>
          <w:u w:val="single" w:color="auto"/>
          <w:color w:val="auto"/>
        </w:rPr>
        <w:t>Private Side Information Contacts</w:t>
      </w:r>
      <w:r>
        <w:rPr>
          <w:rFonts w:ascii="Arial" w:cs="Arial" w:eastAsia="Arial" w:hAnsi="Arial"/>
          <w:sz w:val="16"/>
          <w:szCs w:val="16"/>
          <w:color w:val="auto"/>
        </w:rPr>
        <w:t>.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information that is not made available through the “Public Side Information” portion of the Platform and that may contain Non-Public Information with respect to the Borrower, its Subsidiaries or their Securities for purposes of United States federal or state securities laws. In the event that any Public Lender has determined for itself to not access any information disclosed through the Platform or otherwise, such Public Lender acknowledges that (i) other Lenders may have availed themselves of such information and (ii) neither Borrower nor Administrative Agent has any responsibility for such Public Lender’s decision to limit the scope of the information it has obtained in connection with this Agreement and the other Loan Documents.</w:t>
      </w:r>
    </w:p>
    <w:p>
      <w:pPr>
        <w:spacing w:after="0" w:line="58" w:lineRule="exact"/>
        <w:rPr>
          <w:rFonts w:ascii="Arial" w:cs="Arial" w:eastAsia="Arial" w:hAnsi="Arial"/>
          <w:sz w:val="16"/>
          <w:szCs w:val="16"/>
          <w:color w:val="auto"/>
        </w:rPr>
      </w:pPr>
    </w:p>
    <w:p>
      <w:pPr>
        <w:ind w:right="120" w:firstLine="921"/>
        <w:spacing w:after="0" w:line="257" w:lineRule="auto"/>
        <w:tabs>
          <w:tab w:leader="none" w:pos="1168"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Documents to be Delivered under Sections 5.01 and 5.12(a)</w:t>
      </w:r>
      <w:r>
        <w:rPr>
          <w:rFonts w:ascii="Arial" w:cs="Arial" w:eastAsia="Arial" w:hAnsi="Arial"/>
          <w:sz w:val="18"/>
          <w:szCs w:val="18"/>
          <w:color w:val="auto"/>
        </w:rPr>
        <w:t xml:space="preserve">. For so long as an Intralinks™ or equivalent website is available to each of the Lenders hereunder, the Borrower may satisfy its obligation to deliver documents to the Administrative Agent or the Lenders under </w:t>
      </w:r>
      <w:r>
        <w:rPr>
          <w:rFonts w:ascii="Arial" w:cs="Arial" w:eastAsia="Arial" w:hAnsi="Arial"/>
          <w:sz w:val="18"/>
          <w:szCs w:val="18"/>
          <w:u w:val="single" w:color="auto"/>
          <w:color w:val="auto"/>
        </w:rPr>
        <w:t>Sections 5.01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5.12(a)</w:t>
      </w:r>
      <w:r>
        <w:rPr>
          <w:rFonts w:ascii="Arial" w:cs="Arial" w:eastAsia="Arial" w:hAnsi="Arial"/>
          <w:sz w:val="18"/>
          <w:szCs w:val="18"/>
          <w:color w:val="auto"/>
        </w:rPr>
        <w:t xml:space="preserve"> by delivering one hard copy thereof to the Administrative Agent and either an electronic copy or a notice identifying the website where such information is located for posting by the Administrative Agent on Intralinks™ or such equivalent website;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have no responsibility to maintain access to Intralinks™ or an equivalent website.</w:t>
      </w:r>
    </w:p>
    <w:p>
      <w:pPr>
        <w:spacing w:after="0" w:line="121" w:lineRule="exact"/>
        <w:rPr>
          <w:sz w:val="20"/>
          <w:szCs w:val="20"/>
          <w:color w:val="auto"/>
        </w:rPr>
      </w:pPr>
    </w:p>
    <w:p>
      <w:pPr>
        <w:jc w:val="both"/>
        <w:ind w:left="5820"/>
        <w:spacing w:after="0"/>
        <w:tabs>
          <w:tab w:leader="none" w:pos="93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92" w:name="page193"/>
    <w:bookmarkEnd w:id="192"/>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9.02. </w:t>
      </w:r>
      <w:r>
        <w:rPr>
          <w:rFonts w:ascii="Arial" w:cs="Arial" w:eastAsia="Arial" w:hAnsi="Arial"/>
          <w:sz w:val="18"/>
          <w:szCs w:val="18"/>
          <w:u w:val="single" w:color="auto"/>
          <w:color w:val="auto"/>
        </w:rPr>
        <w:t>Waivers; Amendments</w:t>
      </w:r>
      <w:r>
        <w:rPr>
          <w:rFonts w:ascii="Arial" w:cs="Arial" w:eastAsia="Arial" w:hAnsi="Arial"/>
          <w:sz w:val="18"/>
          <w:szCs w:val="18"/>
          <w:color w:val="auto"/>
        </w:rPr>
        <w:t>.</w:t>
      </w:r>
    </w:p>
    <w:p>
      <w:pPr>
        <w:spacing w:after="0" w:line="117" w:lineRule="exact"/>
        <w:rPr>
          <w:sz w:val="20"/>
          <w:szCs w:val="20"/>
          <w:color w:val="auto"/>
        </w:rPr>
      </w:pPr>
    </w:p>
    <w:p>
      <w:pPr>
        <w:ind w:right="140" w:firstLine="921"/>
        <w:spacing w:after="0" w:line="289" w:lineRule="auto"/>
        <w:tabs>
          <w:tab w:leader="none" w:pos="1157" w:val="left"/>
        </w:tabs>
        <w:numPr>
          <w:ilvl w:val="1"/>
          <w:numId w:val="203"/>
        </w:numPr>
        <w:rPr>
          <w:rFonts w:ascii="Arial" w:cs="Arial" w:eastAsia="Arial" w:hAnsi="Arial"/>
          <w:sz w:val="16"/>
          <w:szCs w:val="16"/>
          <w:color w:val="auto"/>
        </w:rPr>
      </w:pPr>
      <w:r>
        <w:rPr>
          <w:rFonts w:ascii="Arial" w:cs="Arial" w:eastAsia="Arial" w:hAnsi="Arial"/>
          <w:sz w:val="16"/>
          <w:szCs w:val="16"/>
          <w:u w:val="single" w:color="auto"/>
          <w:color w:val="auto"/>
        </w:rPr>
        <w:t>No Deemed Waivers Remedies Cumulative</w:t>
      </w:r>
      <w:r>
        <w:rPr>
          <w:rFonts w:ascii="Arial" w:cs="Arial" w:eastAsia="Arial" w:hAnsi="Arial"/>
          <w:sz w:val="16"/>
          <w:szCs w:val="16"/>
          <w:color w:val="auto"/>
        </w:rPr>
        <w:t xml:space="preserve">. No failure or delay by the Administrative Agent the Issuing Bank, the Swingline Lender or any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 the Swingline Lender and the Lenders hereunder are cumulative and are not exclusive of any rights or remedies that they would otherwise have. No waiver of any provision of this Agreement or consent to any departure by the Borrower therefrom shall in any event be effective unless the same shall be permitted by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and then such waiver or consent shall be effective only in the specific instance and for the purpose for which given. Without limiting the generality of the foregoing, the making of a Loan, Swingline Loan or issuance of a Letter of Credit shall not be construed as a waiver of any Default, regardless of whether the Administrative Agent, the Swingline Lender, any Lender or the Issuing Bank may have had notice or knowledge of such Default at the time.</w:t>
      </w:r>
    </w:p>
    <w:p>
      <w:pPr>
        <w:spacing w:after="0" w:line="58" w:lineRule="exact"/>
        <w:rPr>
          <w:rFonts w:ascii="Arial" w:cs="Arial" w:eastAsia="Arial" w:hAnsi="Arial"/>
          <w:sz w:val="16"/>
          <w:szCs w:val="16"/>
          <w:color w:val="auto"/>
        </w:rPr>
      </w:pPr>
    </w:p>
    <w:p>
      <w:pPr>
        <w:jc w:val="both"/>
        <w:ind w:firstLine="921"/>
        <w:spacing w:after="0" w:line="264" w:lineRule="auto"/>
        <w:tabs>
          <w:tab w:leader="none" w:pos="1168" w:val="left"/>
        </w:tabs>
        <w:numPr>
          <w:ilvl w:val="1"/>
          <w:numId w:val="203"/>
        </w:numPr>
        <w:rPr>
          <w:rFonts w:ascii="Arial" w:cs="Arial" w:eastAsia="Arial" w:hAnsi="Arial"/>
          <w:sz w:val="18"/>
          <w:szCs w:val="18"/>
          <w:color w:val="auto"/>
        </w:rPr>
      </w:pPr>
      <w:r>
        <w:rPr>
          <w:rFonts w:ascii="Arial" w:cs="Arial" w:eastAsia="Arial" w:hAnsi="Arial"/>
          <w:sz w:val="18"/>
          <w:szCs w:val="18"/>
          <w:u w:val="single" w:color="auto"/>
          <w:color w:val="auto"/>
        </w:rPr>
        <w:t>Amendments to this Agreement</w:t>
      </w:r>
      <w:r>
        <w:rPr>
          <w:rFonts w:ascii="Arial" w:cs="Arial" w:eastAsia="Arial" w:hAnsi="Arial"/>
          <w:sz w:val="18"/>
          <w:szCs w:val="18"/>
          <w:color w:val="auto"/>
        </w:rPr>
        <w:t xml:space="preserve">. Neither this Agreement nor any provision hereof may be waived, amended or modified except pursuant to an agreement or agreements in writing entered into by the Borrower and the Required Lenders or by the Borrower and the Administrative Agent with the consent of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agreement shall:</w:t>
      </w:r>
    </w:p>
    <w:p>
      <w:pPr>
        <w:spacing w:after="0" w:line="73" w:lineRule="exact"/>
        <w:rPr>
          <w:rFonts w:ascii="Arial" w:cs="Arial" w:eastAsia="Arial" w:hAnsi="Arial"/>
          <w:sz w:val="18"/>
          <w:szCs w:val="18"/>
          <w:color w:val="auto"/>
        </w:rPr>
      </w:pPr>
    </w:p>
    <w:p>
      <w:pPr>
        <w:ind w:left="1120" w:hanging="217"/>
        <w:spacing w:after="0"/>
        <w:tabs>
          <w:tab w:leader="none" w:pos="112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increase the Commitment of any Lender without the written consent of such Lender,</w:t>
      </w:r>
    </w:p>
    <w:p>
      <w:pPr>
        <w:spacing w:after="0" w:line="117" w:lineRule="exact"/>
        <w:rPr>
          <w:rFonts w:ascii="Arial" w:cs="Arial" w:eastAsia="Arial" w:hAnsi="Arial"/>
          <w:sz w:val="18"/>
          <w:szCs w:val="18"/>
          <w:color w:val="auto"/>
        </w:rPr>
      </w:pPr>
    </w:p>
    <w:p>
      <w:pPr>
        <w:ind w:left="460" w:right="340" w:firstLine="443"/>
        <w:spacing w:after="0" w:line="277" w:lineRule="auto"/>
        <w:tabs>
          <w:tab w:leader="none" w:pos="1163" w:val="left"/>
        </w:tabs>
        <w:numPr>
          <w:ilvl w:val="0"/>
          <w:numId w:val="204"/>
        </w:numPr>
        <w:rPr>
          <w:rFonts w:ascii="Arial" w:cs="Arial" w:eastAsia="Arial" w:hAnsi="Arial"/>
          <w:sz w:val="18"/>
          <w:szCs w:val="18"/>
          <w:color w:val="auto"/>
        </w:rPr>
      </w:pPr>
      <w:r>
        <w:rPr>
          <w:rFonts w:ascii="Arial" w:cs="Arial" w:eastAsia="Arial" w:hAnsi="Arial"/>
          <w:sz w:val="18"/>
          <w:szCs w:val="18"/>
          <w:color w:val="auto"/>
        </w:rPr>
        <w:t>reduce the principal amount of any Loan or LC Disbursement or reduce the rate of interest thereon, or reduce any fees payable hereunder, without the written consent of each Lender affected thereby,</w:t>
      </w:r>
    </w:p>
    <w:p>
      <w:pPr>
        <w:spacing w:after="0" w:line="62" w:lineRule="exact"/>
        <w:rPr>
          <w:rFonts w:ascii="Arial" w:cs="Arial" w:eastAsia="Arial" w:hAnsi="Arial"/>
          <w:sz w:val="18"/>
          <w:szCs w:val="18"/>
          <w:color w:val="auto"/>
        </w:rPr>
      </w:pPr>
    </w:p>
    <w:p>
      <w:pPr>
        <w:ind w:left="460" w:right="460" w:firstLine="443"/>
        <w:spacing w:after="0" w:line="264" w:lineRule="auto"/>
        <w:tabs>
          <w:tab w:leader="none" w:pos="1213" w:val="left"/>
        </w:tabs>
        <w:numPr>
          <w:ilvl w:val="0"/>
          <w:numId w:val="204"/>
        </w:numPr>
        <w:rPr>
          <w:rFonts w:ascii="Arial" w:cs="Arial" w:eastAsia="Arial" w:hAnsi="Arial"/>
          <w:sz w:val="18"/>
          <w:szCs w:val="18"/>
          <w:color w:val="auto"/>
        </w:rPr>
      </w:pPr>
      <w:r>
        <w:rPr>
          <w:rFonts w:ascii="Arial" w:cs="Arial" w:eastAsia="Arial" w:hAnsi="Arial"/>
          <w:sz w:val="18"/>
          <w:szCs w:val="18"/>
          <w:color w:val="auto"/>
        </w:rPr>
        <w:t>postpone the scheduled date of payment of the principal amount of any Loan or LC Disbursement, or any interest thereon, or any fees payable hereunder, or reduce the amount of waive or excuse any such payment, or postpone the scheduled date of expiration of any Commitment, without the written consent of each Lender affected thereby,</w:t>
      </w:r>
    </w:p>
    <w:p>
      <w:pPr>
        <w:spacing w:after="0" w:line="73" w:lineRule="exact"/>
        <w:rPr>
          <w:rFonts w:ascii="Arial" w:cs="Arial" w:eastAsia="Arial" w:hAnsi="Arial"/>
          <w:sz w:val="18"/>
          <w:szCs w:val="18"/>
          <w:color w:val="auto"/>
        </w:rPr>
      </w:pPr>
    </w:p>
    <w:p>
      <w:pPr>
        <w:ind w:left="460" w:right="140" w:firstLine="443"/>
        <w:spacing w:after="0" w:line="277" w:lineRule="auto"/>
        <w:tabs>
          <w:tab w:leader="none" w:pos="1203" w:val="left"/>
        </w:tabs>
        <w:numPr>
          <w:ilvl w:val="0"/>
          <w:numId w:val="204"/>
        </w:numPr>
        <w:rPr>
          <w:rFonts w:ascii="Arial" w:cs="Arial" w:eastAsia="Arial" w:hAnsi="Arial"/>
          <w:sz w:val="18"/>
          <w:szCs w:val="18"/>
          <w:color w:val="auto"/>
        </w:rPr>
      </w:pPr>
      <w:r>
        <w:rPr>
          <w:rFonts w:ascii="Arial" w:cs="Arial" w:eastAsia="Arial" w:hAnsi="Arial"/>
          <w:sz w:val="18"/>
          <w:szCs w:val="18"/>
          <w:color w:val="auto"/>
        </w:rPr>
        <w:t xml:space="preserve">change </w:t>
      </w:r>
      <w:r>
        <w:rPr>
          <w:rFonts w:ascii="Arial" w:cs="Arial" w:eastAsia="Arial" w:hAnsi="Arial"/>
          <w:sz w:val="18"/>
          <w:szCs w:val="18"/>
          <w:u w:val="single" w:color="auto"/>
          <w:color w:val="auto"/>
        </w:rPr>
        <w:t>Section 2.17(b)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in a manner that would alter the pro rata sharing of payments required thereby without the written consent of each Lender affected thereby, or</w:t>
      </w:r>
    </w:p>
    <w:p>
      <w:pPr>
        <w:spacing w:after="0" w:line="62" w:lineRule="exact"/>
        <w:rPr>
          <w:rFonts w:ascii="Arial" w:cs="Arial" w:eastAsia="Arial" w:hAnsi="Arial"/>
          <w:sz w:val="18"/>
          <w:szCs w:val="18"/>
          <w:color w:val="auto"/>
        </w:rPr>
      </w:pPr>
    </w:p>
    <w:p>
      <w:pPr>
        <w:ind w:left="460" w:right="120" w:firstLine="443"/>
        <w:spacing w:after="0" w:line="264" w:lineRule="auto"/>
        <w:tabs>
          <w:tab w:leader="none" w:pos="1153" w:val="left"/>
        </w:tabs>
        <w:numPr>
          <w:ilvl w:val="0"/>
          <w:numId w:val="204"/>
        </w:numPr>
        <w:rPr>
          <w:rFonts w:ascii="Arial" w:cs="Arial" w:eastAsia="Arial" w:hAnsi="Arial"/>
          <w:sz w:val="18"/>
          <w:szCs w:val="18"/>
          <w:color w:val="auto"/>
        </w:rPr>
      </w:pPr>
      <w:r>
        <w:rPr>
          <w:rFonts w:ascii="Arial" w:cs="Arial" w:eastAsia="Arial" w:hAnsi="Arial"/>
          <w:sz w:val="18"/>
          <w:szCs w:val="18"/>
          <w:color w:val="auto"/>
        </w:rPr>
        <w:t>change any of the provisions of this Section or the definition of the term “Required Lenders” or any other provision hereof specifying the number or percentage of Lenders required to waive, amend or modify any rights hereunder or make any determination or grant any consent hereunder, without the written consent of each Lender affected thereby;</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further that (x) no such agreement shall amend, modify or otherwise affect the rights or duties of the Administrative Agent, the Issuing Bank or the Swingline Lender hereunder without the prior written consent of the Administrative Agent, the Issuing Bank or the Swingline Lender, as the case may be and (y) the consent of Lenders holding not less than two-thirds of the</w:t>
      </w:r>
    </w:p>
    <w:p>
      <w:pPr>
        <w:spacing w:after="0" w:line="114" w:lineRule="exact"/>
        <w:rPr>
          <w:sz w:val="20"/>
          <w:szCs w:val="20"/>
          <w:color w:val="auto"/>
        </w:rPr>
      </w:pPr>
    </w:p>
    <w:p>
      <w:pPr>
        <w:jc w:val="both"/>
        <w:ind w:left="5820"/>
        <w:spacing w:after="0"/>
        <w:tabs>
          <w:tab w:leader="none" w:pos="93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93" w:name="page194"/>
    <w:bookmarkEnd w:id="193"/>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Revolving Credit Exposure and unused Commitments will be required (A) for any adverse change affecting the provisions of this Agreement relating to the determination of the Borrowing Base (excluding changes to the provisions of </w:t>
      </w:r>
      <w:r>
        <w:rPr>
          <w:rFonts w:ascii="Arial" w:cs="Arial" w:eastAsia="Arial" w:hAnsi="Arial"/>
          <w:sz w:val="18"/>
          <w:szCs w:val="18"/>
          <w:u w:val="single" w:color="auto"/>
          <w:color w:val="auto"/>
        </w:rPr>
        <w:t>Section 5.12(b)(ii)(E)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(F)</w:t>
      </w:r>
      <w:r>
        <w:rPr>
          <w:rFonts w:ascii="Arial" w:cs="Arial" w:eastAsia="Arial" w:hAnsi="Arial"/>
          <w:sz w:val="18"/>
          <w:szCs w:val="18"/>
          <w:color w:val="auto"/>
        </w:rPr>
        <w:t xml:space="preserve">, but including changes to the provisions of </w:t>
      </w:r>
      <w:r>
        <w:rPr>
          <w:rFonts w:ascii="Arial" w:cs="Arial" w:eastAsia="Arial" w:hAnsi="Arial"/>
          <w:sz w:val="18"/>
          <w:szCs w:val="18"/>
          <w:u w:val="single" w:color="auto"/>
          <w:color w:val="auto"/>
        </w:rPr>
        <w:t>Section 5.12(c)(ii)</w:t>
      </w:r>
      <w:r>
        <w:rPr>
          <w:rFonts w:ascii="Arial" w:cs="Arial" w:eastAsia="Arial" w:hAnsi="Arial"/>
          <w:sz w:val="18"/>
          <w:szCs w:val="18"/>
          <w:color w:val="auto"/>
        </w:rPr>
        <w:t xml:space="preserve"> and the definitions set forth in </w:t>
      </w:r>
      <w:r>
        <w:rPr>
          <w:rFonts w:ascii="Arial" w:cs="Arial" w:eastAsia="Arial" w:hAnsi="Arial"/>
          <w:sz w:val="18"/>
          <w:szCs w:val="18"/>
          <w:u w:val="single" w:color="auto"/>
          <w:color w:val="auto"/>
        </w:rPr>
        <w:t>Section 5.13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for any release of any material portion of the Collateral other than for fair value or as otherwise permitted hereunder or under the other Loan Documents.</w:t>
      </w:r>
    </w:p>
    <w:p>
      <w:pPr>
        <w:spacing w:after="0" w:line="187" w:lineRule="exact"/>
        <w:rPr>
          <w:sz w:val="20"/>
          <w:szCs w:val="20"/>
          <w:color w:val="auto"/>
        </w:rPr>
      </w:pPr>
    </w:p>
    <w:p>
      <w:pPr>
        <w:ind w:right="20" w:firstLine="913"/>
        <w:spacing w:after="0" w:line="286" w:lineRule="auto"/>
        <w:rPr>
          <w:sz w:val="20"/>
          <w:szCs w:val="20"/>
          <w:color w:val="auto"/>
        </w:rPr>
      </w:pPr>
      <w:r>
        <w:rPr>
          <w:rFonts w:ascii="Arial" w:cs="Arial" w:eastAsia="Arial" w:hAnsi="Arial"/>
          <w:sz w:val="17"/>
          <w:szCs w:val="17"/>
          <w:color w:val="auto"/>
        </w:rPr>
        <w:t>Anything in this Agreement to the contrary notwithstanding, no waiver or modification of any provision of this Agreement or any other Loan Document that could reasonably be expected to adversely affect the Lenders of any Class in a manner that does not affect all Classes equally shall be effective against the Lenders of such Class unless the Required Lenders of such Class shall have concurred with such waiver or modification.</w:t>
      </w:r>
    </w:p>
    <w:p>
      <w:pPr>
        <w:spacing w:after="0" w:line="57" w:lineRule="exact"/>
        <w:rPr>
          <w:sz w:val="20"/>
          <w:szCs w:val="20"/>
          <w:color w:val="auto"/>
        </w:rPr>
      </w:pPr>
    </w:p>
    <w:p>
      <w:pPr>
        <w:ind w:right="20" w:firstLine="921"/>
        <w:spacing w:after="0" w:line="287" w:lineRule="auto"/>
        <w:tabs>
          <w:tab w:leader="none" w:pos="1157" w:val="left"/>
        </w:tabs>
        <w:numPr>
          <w:ilvl w:val="0"/>
          <w:numId w:val="205"/>
        </w:numPr>
        <w:rPr>
          <w:rFonts w:ascii="Arial" w:cs="Arial" w:eastAsia="Arial" w:hAnsi="Arial"/>
          <w:sz w:val="16"/>
          <w:szCs w:val="16"/>
          <w:color w:val="auto"/>
        </w:rPr>
      </w:pPr>
      <w:r>
        <w:rPr>
          <w:rFonts w:ascii="Arial" w:cs="Arial" w:eastAsia="Arial" w:hAnsi="Arial"/>
          <w:sz w:val="16"/>
          <w:szCs w:val="16"/>
          <w:u w:val="single" w:color="auto"/>
          <w:color w:val="auto"/>
        </w:rPr>
        <w:t>Amendments to Security Documents</w:t>
      </w:r>
      <w:r>
        <w:rPr>
          <w:rFonts w:ascii="Arial" w:cs="Arial" w:eastAsia="Arial" w:hAnsi="Arial"/>
          <w:sz w:val="16"/>
          <w:szCs w:val="16"/>
          <w:color w:val="auto"/>
        </w:rPr>
        <w:t xml:space="preserve">. No Security Document nor any provision thereof may be waived, amended or modified, nor may the Liens thereof be spread to secure any additional obligations (including any increase in Loans hereunder, but excluding any such increase pursuant to a Commitment Increase under </w:t>
      </w:r>
      <w:r>
        <w:rPr>
          <w:rFonts w:ascii="Arial" w:cs="Arial" w:eastAsia="Arial" w:hAnsi="Arial"/>
          <w:sz w:val="16"/>
          <w:szCs w:val="16"/>
          <w:u w:val="single" w:color="auto"/>
          <w:color w:val="auto"/>
        </w:rPr>
        <w:t>Section 2.08(e)</w:t>
      </w:r>
      <w:r>
        <w:rPr>
          <w:rFonts w:ascii="Arial" w:cs="Arial" w:eastAsia="Arial" w:hAnsi="Arial"/>
          <w:sz w:val="16"/>
          <w:szCs w:val="16"/>
          <w:color w:val="auto"/>
        </w:rPr>
        <w:t xml:space="preserve"> to an amount not greater than $956,250,000) except pursuant to an agreement or agreements in writing entered into by the Borrower, and by the Collateral Agent with the consent of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without the written consent of each Lender, no such agreement shall release all or substantially all of the Obligors from their respective obligations under the Security Documents and (ii) without the written consent of each Lender, no such agreement shall release all or substantially all of the collateral security or otherwise terminate all or substantially all of the Liens under the Security Documents, alter the relative priorities of the obligations entitled to the Liens created under the Security Documents (except in connection with securing additional obligations equally and ratably with the Loans and other obligations hereunder) with respect to all or substantially all of the collateral security provided thereby, or release all or substantially all of the guarantors under the Guarantee and Security Agreement from their guarantee obligations thereunder, except that no such consent shall be required, and the Administrative Agent is hereby authorized (and so agrees with the Borrower) to direct the Collateral Agent under the Guarantee and Security Agreement, to release any Lien covering property (and to release any such guarantor) that is the subject of either a disposition of property permitted hereunder or a disposition to which the Required Lenders have consented.</w:t>
      </w:r>
    </w:p>
    <w:p>
      <w:pPr>
        <w:spacing w:after="0" w:line="60" w:lineRule="exact"/>
        <w:rPr>
          <w:rFonts w:ascii="Arial" w:cs="Arial" w:eastAsia="Arial" w:hAnsi="Arial"/>
          <w:sz w:val="16"/>
          <w:szCs w:val="16"/>
          <w:color w:val="auto"/>
        </w:rPr>
      </w:pPr>
    </w:p>
    <w:p>
      <w:pPr>
        <w:ind w:right="120" w:firstLine="921"/>
        <w:spacing w:after="0" w:line="273" w:lineRule="auto"/>
        <w:tabs>
          <w:tab w:leader="none" w:pos="1168" w:val="left"/>
        </w:tabs>
        <w:numPr>
          <w:ilvl w:val="0"/>
          <w:numId w:val="205"/>
        </w:numPr>
        <w:rPr>
          <w:rFonts w:ascii="Arial" w:cs="Arial" w:eastAsia="Arial" w:hAnsi="Arial"/>
          <w:sz w:val="17"/>
          <w:szCs w:val="17"/>
          <w:color w:val="auto"/>
        </w:rPr>
      </w:pPr>
      <w:r>
        <w:rPr>
          <w:rFonts w:ascii="Arial" w:cs="Arial" w:eastAsia="Arial" w:hAnsi="Arial"/>
          <w:sz w:val="17"/>
          <w:szCs w:val="17"/>
          <w:u w:val="single" w:color="auto"/>
          <w:color w:val="auto"/>
        </w:rPr>
        <w:t>Replacement of Non-Consenting Lender</w:t>
      </w:r>
      <w:r>
        <w:rPr>
          <w:rFonts w:ascii="Arial" w:cs="Arial" w:eastAsia="Arial" w:hAnsi="Arial"/>
          <w:sz w:val="17"/>
          <w:szCs w:val="17"/>
          <w:color w:val="auto"/>
        </w:rPr>
        <w:t xml:space="preserve">. If, in connection with any proposed change, waiver, discharge or termination to any of the provisions of this Agreement as contemplated by this </w:t>
      </w:r>
      <w:r>
        <w:rPr>
          <w:rFonts w:ascii="Arial" w:cs="Arial" w:eastAsia="Arial" w:hAnsi="Arial"/>
          <w:sz w:val="17"/>
          <w:szCs w:val="17"/>
          <w:u w:val="single" w:color="auto"/>
          <w:color w:val="auto"/>
        </w:rPr>
        <w:t>Section 9.02</w:t>
      </w:r>
      <w:r>
        <w:rPr>
          <w:rFonts w:ascii="Arial" w:cs="Arial" w:eastAsia="Arial" w:hAnsi="Arial"/>
          <w:sz w:val="17"/>
          <w:szCs w:val="17"/>
          <w:color w:val="auto"/>
        </w:rPr>
        <w:t xml:space="preserve">, the consent of the Required Lenders shall have been obtained but the consent of one or more Lenders (each a “Non-Consenting Lender”) whose consent is required for such proposed change, waiver, discharge or termination is not obtained, then (so long as no Event of Default has occurred and is continuing) the Borrower shall have the right, at its sole cost and expense, to replace each such Non-Consenting Lender or Lenders with one or more replacement Lenders pursuant to </w:t>
      </w:r>
      <w:r>
        <w:rPr>
          <w:rFonts w:ascii="Arial" w:cs="Arial" w:eastAsia="Arial" w:hAnsi="Arial"/>
          <w:sz w:val="17"/>
          <w:szCs w:val="17"/>
          <w:u w:val="single" w:color="auto"/>
          <w:color w:val="auto"/>
        </w:rPr>
        <w:t>Section 2.18(b)</w:t>
      </w:r>
      <w:r>
        <w:rPr>
          <w:rFonts w:ascii="Arial" w:cs="Arial" w:eastAsia="Arial" w:hAnsi="Arial"/>
          <w:sz w:val="17"/>
          <w:szCs w:val="17"/>
          <w:color w:val="auto"/>
        </w:rPr>
        <w:t xml:space="preserve"> so long as at the time of such replacement, each such replacement Lender consents to the proposed change, waiver, discharge or termination.</w:t>
      </w:r>
    </w:p>
    <w:p>
      <w:pPr>
        <w:spacing w:after="0" w:line="111" w:lineRule="exact"/>
        <w:rPr>
          <w:sz w:val="20"/>
          <w:szCs w:val="20"/>
          <w:color w:val="auto"/>
        </w:rPr>
      </w:pPr>
    </w:p>
    <w:p>
      <w:pPr>
        <w:jc w:val="both"/>
        <w:ind w:left="5820"/>
        <w:spacing w:after="0"/>
        <w:tabs>
          <w:tab w:leader="none" w:pos="936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94" w:name="page195"/>
    <w:bookmarkEnd w:id="19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9.03. </w:t>
      </w:r>
      <w:r>
        <w:rPr>
          <w:rFonts w:ascii="Arial" w:cs="Arial" w:eastAsia="Arial" w:hAnsi="Arial"/>
          <w:sz w:val="18"/>
          <w:szCs w:val="18"/>
          <w:u w:val="single" w:color="auto"/>
          <w:color w:val="auto"/>
        </w:rPr>
        <w:t>Expenses; Indemnity; Damage Waiver</w:t>
      </w:r>
      <w:r>
        <w:rPr>
          <w:rFonts w:ascii="Arial" w:cs="Arial" w:eastAsia="Arial" w:hAnsi="Arial"/>
          <w:sz w:val="18"/>
          <w:szCs w:val="18"/>
          <w:color w:val="auto"/>
        </w:rPr>
        <w:t>.</w:t>
      </w:r>
    </w:p>
    <w:p>
      <w:pPr>
        <w:spacing w:after="0" w:line="117" w:lineRule="exact"/>
        <w:rPr>
          <w:sz w:val="20"/>
          <w:szCs w:val="20"/>
          <w:color w:val="auto"/>
        </w:rPr>
      </w:pPr>
    </w:p>
    <w:p>
      <w:pPr>
        <w:ind w:left="-920" w:right="80" w:firstLine="921"/>
        <w:spacing w:after="0" w:line="286" w:lineRule="auto"/>
        <w:tabs>
          <w:tab w:leader="none" w:pos="237" w:val="left"/>
        </w:tabs>
        <w:numPr>
          <w:ilvl w:val="0"/>
          <w:numId w:val="206"/>
        </w:numPr>
        <w:rPr>
          <w:rFonts w:ascii="Arial" w:cs="Arial" w:eastAsia="Arial" w:hAnsi="Arial"/>
          <w:sz w:val="16"/>
          <w:szCs w:val="16"/>
          <w:color w:val="auto"/>
        </w:rPr>
      </w:pPr>
      <w:r>
        <w:rPr>
          <w:rFonts w:ascii="Arial" w:cs="Arial" w:eastAsia="Arial" w:hAnsi="Arial"/>
          <w:sz w:val="16"/>
          <w:szCs w:val="16"/>
          <w:u w:val="single" w:color="auto"/>
          <w:color w:val="auto"/>
        </w:rPr>
        <w:t>Costs and Expenses</w:t>
      </w:r>
      <w:r>
        <w:rPr>
          <w:rFonts w:ascii="Arial" w:cs="Arial" w:eastAsia="Arial" w:hAnsi="Arial"/>
          <w:sz w:val="16"/>
          <w:szCs w:val="16"/>
          <w:color w:val="auto"/>
        </w:rPr>
        <w:t>. The Borrower shall pay (i) all reasonable and documented out-of-pocket costs and expenses incurred by the Administrative Agent, the Collateral Agent and their Affiliates, including the reasonable and documented fees, charges and disbursements of counsel for the Administrative Agent and the Collateral Agent, in connection with the syndication of the credit facilities provided for herein, the preparation and administration of this Agreement and the other Loan Documents and any amendments, modifications or waivers of the provisions hereof or thereof (whether or not the transactions contemplated hereby or thereby shall be consummated), (ii) all reasonable and documented out-of-pocket expenses incurred by the Issuing Bank in connection with the issuance, amendment, renewal or extension of any Letter of Credit or any demand for payment thereunder, (iii) all documented out-of-pocket expenses incurred by the Administrative Agent, the Issuing Bank, the Swingline Lender or any Lender, including the reasonable and documented fees, charges and disbursements of one outside counsel for the Administrative Agent, the Issuing Bank and the Swingline Lender as well as one outside counsel for the Lenders and additional counsel should any conflict of interest arise, in connection with the enforcement or protection of its rights in connection with this Agreement and the other Loan Documents, including its rights under this Section, or in connection with the Loans made or Letters of Credit issued hereunder, including all such documented out-of-pocket expenses incurred during any workout, restructuring or negotiations in respect thereof and (iv) and all documented costs, expenses, taxes, assessments and other charges incurred in connection with any filing, registration, recording or perfection of any security interest contemplated by any Security Document or any other document referred to therein.</w:t>
      </w:r>
    </w:p>
    <w:p>
      <w:pPr>
        <w:spacing w:after="0" w:line="66" w:lineRule="exact"/>
        <w:rPr>
          <w:rFonts w:ascii="Arial" w:cs="Arial" w:eastAsia="Arial" w:hAnsi="Arial"/>
          <w:sz w:val="16"/>
          <w:szCs w:val="16"/>
          <w:color w:val="auto"/>
        </w:rPr>
      </w:pPr>
    </w:p>
    <w:p>
      <w:pPr>
        <w:ind w:left="-920" w:right="40" w:firstLine="921"/>
        <w:spacing w:after="0" w:line="268" w:lineRule="auto"/>
        <w:tabs>
          <w:tab w:leader="none" w:pos="248" w:val="left"/>
        </w:tabs>
        <w:numPr>
          <w:ilvl w:val="0"/>
          <w:numId w:val="206"/>
        </w:numPr>
        <w:rPr>
          <w:rFonts w:ascii="Arial" w:cs="Arial" w:eastAsia="Arial" w:hAnsi="Arial"/>
          <w:sz w:val="17"/>
          <w:szCs w:val="17"/>
          <w:color w:val="auto"/>
        </w:rPr>
      </w:pPr>
      <w:r>
        <w:rPr>
          <w:rFonts w:ascii="Arial" w:cs="Arial" w:eastAsia="Arial" w:hAnsi="Arial"/>
          <w:sz w:val="17"/>
          <w:szCs w:val="17"/>
          <w:u w:val="single" w:color="auto"/>
          <w:color w:val="auto"/>
        </w:rPr>
        <w:t>Indemnification by the Borrower</w:t>
      </w:r>
      <w:r>
        <w:rPr>
          <w:rFonts w:ascii="Arial" w:cs="Arial" w:eastAsia="Arial" w:hAnsi="Arial"/>
          <w:sz w:val="17"/>
          <w:szCs w:val="17"/>
          <w:color w:val="auto"/>
        </w:rPr>
        <w:t xml:space="preserve">. The Borrower shall indemnify the Administrative Agent, the Issuing Bank, the Swingline Lender and each Lender, and each Related Party of any of the foregoing Persons (each such Person being called an “Indemnitee”) against, and hold each Indemnitee harmless from, any and all losses, claims, damages, liabilities, actions, judgments, suits, costs, expenses and disbursements of any kind or nature whatsoever (including the reasonable and documented out-of-pocket fees and disbursements of one outside counsel for all Indemnitees (and, if reasonably necessary, of one local counsel in any relevant jurisdiction for all Indemnitees) unless, in the reasonable opinion of an Indemnitee, representation of all Indemnitees by such counsel would be inappropriate due to the existence of an actual or potential conflict of interest) in connection with any investigative, administrative or judicial proceeding or hearing commenced or threatened by any Person, whether or not any such Indemnitee shall be designated as a party or a potential party thereto, and any fees or expenses incurred by Indemnitees in enforcing this indemnity), whether based on any federal, state or foreign laws, statutes, rules or regulations (including securities and commercial laws, statutes, rules or regulations and laws, statutes, rules or regulations relating to environmental, occupational safety and health or land use matters), on common law or equitable cause or on contract or otherwise and related expenses or disbursements of any kind (other than Taxes or Other Taxes which shall only be indemnified by the Borrower to the extent provided in </w:t>
      </w:r>
      <w:r>
        <w:rPr>
          <w:rFonts w:ascii="Arial" w:cs="Arial" w:eastAsia="Arial" w:hAnsi="Arial"/>
          <w:sz w:val="17"/>
          <w:szCs w:val="17"/>
          <w:u w:val="single" w:color="auto"/>
          <w:color w:val="auto"/>
        </w:rPr>
        <w:t>Section 2.16</w:t>
      </w:r>
      <w:r>
        <w:rPr>
          <w:rFonts w:ascii="Arial" w:cs="Arial" w:eastAsia="Arial" w:hAnsi="Arial"/>
          <w:sz w:val="17"/>
          <w:szCs w:val="17"/>
          <w:color w:val="auto"/>
        </w:rPr>
        <w:t>), including the fees, charges and disbursements of any counsel for any Indemnitee, incurred by or asserted against any Indemnitee arising out of; in connection with, or as a result of (i) the execution or delivery of this Agreement or any agreement or instrument contemplated hereby, the performance by the parties hereto of their respective obligations hereunder or the</w:t>
      </w:r>
    </w:p>
    <w:p>
      <w:pPr>
        <w:spacing w:after="0" w:line="118" w:lineRule="exact"/>
        <w:rPr>
          <w:sz w:val="20"/>
          <w:szCs w:val="20"/>
          <w:color w:val="auto"/>
        </w:rPr>
      </w:pPr>
    </w:p>
    <w:p>
      <w:pPr>
        <w:jc w:val="both"/>
        <w:ind w:left="4900"/>
        <w:spacing w:after="0"/>
        <w:tabs>
          <w:tab w:leader="none" w:pos="84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500"/>
          </w:cols>
          <w:pgMar w:left="1160" w:top="274" w:right="239" w:bottom="1440" w:gutter="0" w:footer="0" w:header="0"/>
        </w:sectPr>
      </w:pPr>
    </w:p>
    <w:bookmarkStart w:id="195" w:name="page196"/>
    <w:bookmarkEnd w:id="195"/>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consummation of the Transactions or any other transactions contemplated hereby, (ii) any Loan, Swingline Loan or Letter of Credit or the use of the proceeds therefrom (including any refusal by the Issuing Bank to honor a demand for payment under a Letter of Credit if the documents presented in connection with such demand do not strictly comply with the terms of such Letter of Credit) or (iii) any actual or prospective claim, litigation, investigation or proceeding relating to any of the foregoing, whether based on contract, tort or any other theory and whether brought by the Borrower or a third party and regardless of whether any Indemnitee is a party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the fraud, willful misconduct or gross negligence of such Indemnitee. Notwithstanding the foregoing, it is understood and agreed that indemnification for Taxes is subject to the provisions of </w:t>
      </w:r>
      <w:r>
        <w:rPr>
          <w:rFonts w:ascii="Arial" w:cs="Arial" w:eastAsia="Arial" w:hAnsi="Arial"/>
          <w:sz w:val="18"/>
          <w:szCs w:val="18"/>
          <w:u w:val="single" w:color="auto"/>
          <w:color w:val="auto"/>
        </w:rPr>
        <w:t>Section 2.16</w:t>
      </w:r>
      <w:r>
        <w:rPr>
          <w:rFonts w:ascii="Arial" w:cs="Arial" w:eastAsia="Arial" w:hAnsi="Arial"/>
          <w:sz w:val="18"/>
          <w:szCs w:val="18"/>
          <w:color w:val="auto"/>
        </w:rPr>
        <w:t>.</w:t>
      </w:r>
    </w:p>
    <w:p>
      <w:pPr>
        <w:spacing w:after="0" w:line="192"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 xml:space="preserve">The Borrower shall not be liable to any Indemnitee for any special, indirect, consequential or punitive damages arising out of, in connection with, or as a result of the Transactions asserted by an Indemnitee against the Borrower or any other Obligor;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limitation shall not be deemed to impair or affect the Obligations of the Borrower under the preceding provisions of this subsection.</w:t>
      </w:r>
    </w:p>
    <w:p>
      <w:pPr>
        <w:spacing w:after="0" w:line="73" w:lineRule="exact"/>
        <w:rPr>
          <w:sz w:val="20"/>
          <w:szCs w:val="20"/>
          <w:color w:val="auto"/>
        </w:rPr>
      </w:pPr>
    </w:p>
    <w:p>
      <w:pPr>
        <w:ind w:right="40" w:firstLine="921"/>
        <w:spacing w:after="0" w:line="297" w:lineRule="auto"/>
        <w:tabs>
          <w:tab w:leader="none" w:pos="1157" w:val="left"/>
        </w:tabs>
        <w:numPr>
          <w:ilvl w:val="0"/>
          <w:numId w:val="207"/>
        </w:numPr>
        <w:rPr>
          <w:rFonts w:ascii="Arial" w:cs="Arial" w:eastAsia="Arial" w:hAnsi="Arial"/>
          <w:sz w:val="16"/>
          <w:szCs w:val="16"/>
          <w:color w:val="auto"/>
        </w:rPr>
      </w:pPr>
      <w:r>
        <w:rPr>
          <w:rFonts w:ascii="Arial" w:cs="Arial" w:eastAsia="Arial" w:hAnsi="Arial"/>
          <w:sz w:val="16"/>
          <w:szCs w:val="16"/>
          <w:u w:val="single" w:color="auto"/>
          <w:color w:val="auto"/>
        </w:rPr>
        <w:t>Reimbursement by Lenders</w:t>
      </w:r>
      <w:r>
        <w:rPr>
          <w:rFonts w:ascii="Arial" w:cs="Arial" w:eastAsia="Arial" w:hAnsi="Arial"/>
          <w:sz w:val="16"/>
          <w:szCs w:val="16"/>
          <w:color w:val="auto"/>
        </w:rPr>
        <w:t xml:space="preserve">. To the extent that the Borrower fails to pay any amount required to be paid by it to the Administrative Agent, the Issuing Bank or the Swingline Lender under </w:t>
      </w:r>
      <w:r>
        <w:rPr>
          <w:rFonts w:ascii="Arial" w:cs="Arial" w:eastAsia="Arial" w:hAnsi="Arial"/>
          <w:sz w:val="16"/>
          <w:szCs w:val="16"/>
          <w:u w:val="single" w:color="auto"/>
          <w:color w:val="auto"/>
        </w:rPr>
        <w:t>paragraph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Section, each Lender severally agrees to pay to the Administrative Agent, the Issuing Bank or the Swingline Lender, as the case may be, such Lender’s Applicable Percentage (determined as of the time that the applicable unreimbursed expense or indemnity payment is sought) of such unpaid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unreimbursed expense or indemnified loss, claim, damage, liability or related expense, as the case may be, was incurred by or asserted against the Administrative Agent, the Issuing Bank or the Swingline Lender in its capacity as such.</w:t>
      </w:r>
    </w:p>
    <w:p>
      <w:pPr>
        <w:spacing w:after="0" w:line="50" w:lineRule="exact"/>
        <w:rPr>
          <w:rFonts w:ascii="Arial" w:cs="Arial" w:eastAsia="Arial" w:hAnsi="Arial"/>
          <w:sz w:val="16"/>
          <w:szCs w:val="16"/>
          <w:color w:val="auto"/>
        </w:rPr>
      </w:pPr>
    </w:p>
    <w:p>
      <w:pPr>
        <w:ind w:right="420" w:firstLine="921"/>
        <w:spacing w:after="0" w:line="291" w:lineRule="auto"/>
        <w:tabs>
          <w:tab w:leader="none" w:pos="1168" w:val="left"/>
        </w:tabs>
        <w:numPr>
          <w:ilvl w:val="0"/>
          <w:numId w:val="207"/>
        </w:numPr>
        <w:rPr>
          <w:rFonts w:ascii="Arial" w:cs="Arial" w:eastAsia="Arial" w:hAnsi="Arial"/>
          <w:sz w:val="16"/>
          <w:szCs w:val="16"/>
          <w:color w:val="auto"/>
        </w:rPr>
      </w:pPr>
      <w:r>
        <w:rPr>
          <w:rFonts w:ascii="Arial" w:cs="Arial" w:eastAsia="Arial" w:hAnsi="Arial"/>
          <w:sz w:val="16"/>
          <w:szCs w:val="16"/>
          <w:u w:val="single" w:color="auto"/>
          <w:color w:val="auto"/>
        </w:rPr>
        <w:t>Waiver of Consequential Damages, Etc</w:t>
      </w:r>
      <w:r>
        <w:rPr>
          <w:rFonts w:ascii="Arial" w:cs="Arial" w:eastAsia="Arial" w:hAnsi="Arial"/>
          <w:sz w:val="16"/>
          <w:szCs w:val="16"/>
          <w:color w:val="auto"/>
        </w:rPr>
        <w:t>. To the extent permitted by applicable law, the Borrower shall not assert, and hereby waives, any claim against any Indemnitee, on any theory of liability, for special, indirect, consequential or punitive damages (as opposed to direct or actual</w:t>
      </w:r>
    </w:p>
    <w:p>
      <w:pPr>
        <w:ind w:right="20"/>
        <w:spacing w:after="0" w:line="292" w:lineRule="auto"/>
        <w:rPr>
          <w:rFonts w:ascii="Arial" w:cs="Arial" w:eastAsia="Arial" w:hAnsi="Arial"/>
          <w:sz w:val="16"/>
          <w:szCs w:val="16"/>
          <w:color w:val="auto"/>
        </w:rPr>
      </w:pPr>
      <w:r>
        <w:rPr>
          <w:rFonts w:ascii="Arial" w:cs="Arial" w:eastAsia="Arial" w:hAnsi="Arial"/>
          <w:sz w:val="16"/>
          <w:szCs w:val="16"/>
          <w:color w:val="auto"/>
        </w:rPr>
        <w:t>damages) arising out of, in connection with, or as a result of; this Agreement or any agreement or instrument contemplated hereby, the Transactions, any Loan or Letter of Credit or the use of the proceeds thereof. No Indemnitee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to the extent caused by the fraud, willful misconduct or gross negligence of such Indemnitee, as determined by a final, non-appealable judgment of a court of competent jurisdiction.</w:t>
      </w:r>
    </w:p>
    <w:p>
      <w:pPr>
        <w:spacing w:after="0" w:line="54" w:lineRule="exact"/>
        <w:rPr>
          <w:rFonts w:ascii="Arial" w:cs="Arial" w:eastAsia="Arial" w:hAnsi="Arial"/>
          <w:sz w:val="16"/>
          <w:szCs w:val="16"/>
          <w:color w:val="auto"/>
        </w:rPr>
      </w:pPr>
    </w:p>
    <w:p>
      <w:pPr>
        <w:ind w:left="1160" w:hanging="239"/>
        <w:spacing w:after="0"/>
        <w:tabs>
          <w:tab w:leader="none" w:pos="1160"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promptly after written demand therefor.</w:t>
      </w:r>
    </w:p>
    <w:p>
      <w:pPr>
        <w:spacing w:after="0" w:line="158" w:lineRule="exact"/>
        <w:rPr>
          <w:sz w:val="20"/>
          <w:szCs w:val="20"/>
          <w:color w:val="auto"/>
        </w:rPr>
      </w:pPr>
    </w:p>
    <w:p>
      <w:pPr>
        <w:jc w:val="both"/>
        <w:ind w:left="5820"/>
        <w:spacing w:after="0"/>
        <w:tabs>
          <w:tab w:leader="none" w:pos="936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196" w:name="page197"/>
    <w:bookmarkEnd w:id="196"/>
    <w:p>
      <w:pPr>
        <w:ind w:left="17"/>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9.04.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117" w:lineRule="exact"/>
        <w:rPr>
          <w:sz w:val="20"/>
          <w:szCs w:val="20"/>
          <w:color w:val="auto"/>
        </w:rPr>
      </w:pPr>
    </w:p>
    <w:p>
      <w:pPr>
        <w:ind w:left="-903" w:right="20" w:firstLine="921"/>
        <w:spacing w:after="0" w:line="271" w:lineRule="auto"/>
        <w:tabs>
          <w:tab w:leader="none" w:pos="255" w:val="left"/>
        </w:tabs>
        <w:numPr>
          <w:ilvl w:val="1"/>
          <w:numId w:val="208"/>
        </w:numPr>
        <w:rPr>
          <w:rFonts w:ascii="Arial" w:cs="Arial" w:eastAsia="Arial" w:hAnsi="Arial"/>
          <w:sz w:val="17"/>
          <w:szCs w:val="17"/>
          <w:color w:val="auto"/>
        </w:rPr>
      </w:pPr>
      <w:r>
        <w:rPr>
          <w:rFonts w:ascii="Arial" w:cs="Arial" w:eastAsia="Arial" w:hAnsi="Arial"/>
          <w:sz w:val="17"/>
          <w:szCs w:val="17"/>
          <w:u w:val="single" w:color="auto"/>
          <w:color w:val="auto"/>
        </w:rPr>
        <w:t>Assignments Generally</w:t>
      </w:r>
      <w:r>
        <w:rPr>
          <w:rFonts w:ascii="Arial" w:cs="Arial" w:eastAsia="Arial" w:hAnsi="Arial"/>
          <w:sz w:val="17"/>
          <w:szCs w:val="17"/>
          <w:color w:val="auto"/>
        </w:rPr>
        <w:t>. The provisions of this Agreement shall be binding upon and inure to the benefit of the parties hereto and their respective successors and assigns permitted hereby (including any Affiliate of the Issuing Bank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the Issuing Bank that issues any Letter of Credit) and, to the extent expressly contemplated hereby, the Related Parties of each of the Administrative Agent, the Issuing Bank and the Lenders) any legal or equitable right, remedy or claim under or by reason of this Agreement.</w:t>
      </w:r>
    </w:p>
    <w:p>
      <w:pPr>
        <w:spacing w:after="0" w:line="70" w:lineRule="exact"/>
        <w:rPr>
          <w:rFonts w:ascii="Arial" w:cs="Arial" w:eastAsia="Arial" w:hAnsi="Arial"/>
          <w:sz w:val="17"/>
          <w:szCs w:val="17"/>
          <w:color w:val="auto"/>
        </w:rPr>
      </w:pPr>
    </w:p>
    <w:p>
      <w:pPr>
        <w:ind w:left="277" w:hanging="259"/>
        <w:spacing w:after="0"/>
        <w:tabs>
          <w:tab w:leader="none" w:pos="277" w:val="left"/>
        </w:tabs>
        <w:numPr>
          <w:ilvl w:val="1"/>
          <w:numId w:val="208"/>
        </w:numPr>
        <w:rPr>
          <w:rFonts w:ascii="Arial" w:cs="Arial" w:eastAsia="Arial" w:hAnsi="Arial"/>
          <w:sz w:val="18"/>
          <w:szCs w:val="18"/>
          <w:color w:val="auto"/>
        </w:rPr>
      </w:pPr>
      <w:r>
        <w:rPr>
          <w:rFonts w:ascii="Arial" w:cs="Arial" w:eastAsia="Arial" w:hAnsi="Arial"/>
          <w:sz w:val="18"/>
          <w:szCs w:val="18"/>
          <w:u w:val="single" w:color="auto"/>
          <w:color w:val="auto"/>
        </w:rPr>
        <w:t>Assignments by Lenders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3" w:right="140" w:firstLine="443"/>
        <w:spacing w:after="0" w:line="259" w:lineRule="auto"/>
        <w:tabs>
          <w:tab w:leader="none" w:pos="210"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Assignments Generally</w:t>
      </w:r>
      <w:r>
        <w:rPr>
          <w:rFonts w:ascii="Arial" w:cs="Arial" w:eastAsia="Arial" w:hAnsi="Arial"/>
          <w:sz w:val="18"/>
          <w:szCs w:val="18"/>
          <w:color w:val="auto"/>
        </w:rPr>
        <w:t xml:space="preserve">. Subject to the conditions set forth in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below, any Lender may assign to one or more assignees (other than natural persons or any Defaulting Lender) all or a portion of its rights and obligations under this Agreement (including all or a portion of its Commitments and the Loans and LC Exposure at the time owing to it) with the prior written consent (such consent not to be unreasonably withheld or delayed) of:</w:t>
      </w:r>
    </w:p>
    <w:p>
      <w:pPr>
        <w:spacing w:after="0" w:line="78" w:lineRule="exact"/>
        <w:rPr>
          <w:rFonts w:ascii="Arial" w:cs="Arial" w:eastAsia="Arial" w:hAnsi="Arial"/>
          <w:sz w:val="18"/>
          <w:szCs w:val="18"/>
          <w:color w:val="auto"/>
        </w:rPr>
      </w:pPr>
    </w:p>
    <w:p>
      <w:pPr>
        <w:ind w:left="17" w:right="20" w:firstLine="421"/>
        <w:spacing w:after="0" w:line="259" w:lineRule="auto"/>
        <w:tabs>
          <w:tab w:leader="none" w:pos="732" w:val="left"/>
        </w:tabs>
        <w:numPr>
          <w:ilvl w:val="2"/>
          <w:numId w:val="209"/>
        </w:numPr>
        <w:rPr>
          <w:rFonts w:ascii="Arial" w:cs="Arial" w:eastAsia="Arial" w:hAnsi="Arial"/>
          <w:sz w:val="18"/>
          <w:szCs w:val="18"/>
          <w:color w:val="auto"/>
        </w:rPr>
      </w:pPr>
      <w:r>
        <w:rPr>
          <w:rFonts w:ascii="Arial" w:cs="Arial" w:eastAsia="Arial" w:hAnsi="Arial"/>
          <w:sz w:val="18"/>
          <w:szCs w:val="18"/>
          <w:color w:val="auto"/>
        </w:rPr>
        <w:t xml:space="preserve">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consent of the Borrower shall be required for an assignment to a Lender, an Affiliate of a Lender, or, if an Event of Default has occurred and is continuing, any other assignee;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Borrower shall be deemed to have consented to any such assignment unless it shall have objected thereto by written notice to the Administrative Agent within ten Business Days after having received notice thereof; and</w:t>
      </w:r>
    </w:p>
    <w:p>
      <w:pPr>
        <w:spacing w:after="0" w:line="78" w:lineRule="exact"/>
        <w:rPr>
          <w:rFonts w:ascii="Arial" w:cs="Arial" w:eastAsia="Arial" w:hAnsi="Arial"/>
          <w:sz w:val="18"/>
          <w:szCs w:val="18"/>
          <w:color w:val="auto"/>
        </w:rPr>
      </w:pPr>
    </w:p>
    <w:p>
      <w:pPr>
        <w:ind w:left="17" w:right="40" w:firstLine="421"/>
        <w:spacing w:after="0" w:line="277" w:lineRule="auto"/>
        <w:tabs>
          <w:tab w:leader="none" w:pos="722" w:val="left"/>
        </w:tabs>
        <w:numPr>
          <w:ilvl w:val="2"/>
          <w:numId w:val="209"/>
        </w:numPr>
        <w:rPr>
          <w:rFonts w:ascii="Arial" w:cs="Arial" w:eastAsia="Arial" w:hAnsi="Arial"/>
          <w:sz w:val="18"/>
          <w:szCs w:val="18"/>
          <w:color w:val="auto"/>
        </w:rPr>
      </w:pPr>
      <w:r>
        <w:rPr>
          <w:rFonts w:ascii="Arial" w:cs="Arial" w:eastAsia="Arial" w:hAnsi="Arial"/>
          <w:sz w:val="18"/>
          <w:szCs w:val="18"/>
          <w:color w:val="auto"/>
        </w:rPr>
        <w:t xml:space="preserve">the Administrative Agent and the Issuing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consent of the Administrative Agent or Issuing Bank shall be required for an assignment by a Lender to an Affiliate of such Lender.</w:t>
      </w:r>
    </w:p>
    <w:p>
      <w:pPr>
        <w:spacing w:after="0" w:line="62" w:lineRule="exact"/>
        <w:rPr>
          <w:rFonts w:ascii="Arial" w:cs="Arial" w:eastAsia="Arial" w:hAnsi="Arial"/>
          <w:sz w:val="18"/>
          <w:szCs w:val="18"/>
          <w:color w:val="auto"/>
        </w:rPr>
      </w:pPr>
    </w:p>
    <w:p>
      <w:pPr>
        <w:ind w:left="257" w:hanging="257"/>
        <w:spacing w:after="0"/>
        <w:tabs>
          <w:tab w:leader="none" w:pos="257"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Certain Conditions to Assignments</w:t>
      </w:r>
      <w:r>
        <w:rPr>
          <w:rFonts w:ascii="Arial" w:cs="Arial" w:eastAsia="Arial" w:hAnsi="Arial"/>
          <w:sz w:val="18"/>
          <w:szCs w:val="18"/>
          <w:color w:val="auto"/>
        </w:rPr>
        <w:t>. Assignments shall be subject to the following additional conditions:</w:t>
      </w:r>
    </w:p>
    <w:p>
      <w:pPr>
        <w:spacing w:after="0" w:line="117" w:lineRule="exact"/>
        <w:rPr>
          <w:rFonts w:ascii="Arial" w:cs="Arial" w:eastAsia="Arial" w:hAnsi="Arial"/>
          <w:sz w:val="18"/>
          <w:szCs w:val="18"/>
          <w:color w:val="auto"/>
        </w:rPr>
      </w:pPr>
    </w:p>
    <w:p>
      <w:pPr>
        <w:ind w:left="17" w:right="60" w:firstLine="421"/>
        <w:spacing w:after="0" w:line="297" w:lineRule="auto"/>
        <w:tabs>
          <w:tab w:leader="none" w:pos="732" w:val="left"/>
        </w:tabs>
        <w:numPr>
          <w:ilvl w:val="2"/>
          <w:numId w:val="209"/>
        </w:numPr>
        <w:rPr>
          <w:rFonts w:ascii="Arial" w:cs="Arial" w:eastAsia="Arial" w:hAnsi="Arial"/>
          <w:sz w:val="16"/>
          <w:szCs w:val="16"/>
          <w:color w:val="auto"/>
        </w:rPr>
      </w:pPr>
      <w:r>
        <w:rPr>
          <w:rFonts w:ascii="Arial" w:cs="Arial" w:eastAsia="Arial" w:hAnsi="Arial"/>
          <w:sz w:val="16"/>
          <w:szCs w:val="16"/>
          <w:color w:val="auto"/>
        </w:rPr>
        <w:t xml:space="preserve">except in the case of an Assignment to a Lender or an Affiliate of a Lender or an assignment of the entire remaining amount of the assigning Lender’s Commitment or Loans and LC Exposure of a Class, the amount of the Commitment or Loans and LC Exposure of such Class of the assigning Lender subject to each such assignment (determined as of the date the Assignment and Assumption with respect to such Assignment is delivered to the Administrative Agent) shall not be less than U.S. $5,000,000 unless each of the Borrower and the Administrative Agent otherwise consent;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consent of the Borrower shall be required if an Event of Default has occurred and is continuing;</w:t>
      </w:r>
    </w:p>
    <w:p>
      <w:pPr>
        <w:spacing w:after="0" w:line="91" w:lineRule="exact"/>
        <w:rPr>
          <w:sz w:val="20"/>
          <w:szCs w:val="20"/>
          <w:color w:val="auto"/>
        </w:rPr>
      </w:pPr>
    </w:p>
    <w:p>
      <w:pPr>
        <w:jc w:val="both"/>
        <w:ind w:left="4917"/>
        <w:spacing w:after="0"/>
        <w:tabs>
          <w:tab w:leader="none" w:pos="8457"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517"/>
          </w:cols>
          <w:pgMar w:left="1143" w:top="274" w:right="239" w:bottom="1440" w:gutter="0" w:footer="0" w:header="0"/>
        </w:sectPr>
      </w:pPr>
    </w:p>
    <w:bookmarkStart w:id="197" w:name="page198"/>
    <w:bookmarkEnd w:id="197"/>
    <w:p>
      <w:pPr>
        <w:ind w:left="17" w:right="180" w:firstLine="421"/>
        <w:spacing w:after="0" w:line="308" w:lineRule="auto"/>
        <w:tabs>
          <w:tab w:leader="none" w:pos="722" w:val="left"/>
        </w:tabs>
        <w:numPr>
          <w:ilvl w:val="1"/>
          <w:numId w:val="21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partial assignment of any Commitments or Loans and LC Exposure shall be made as an assignment of a proportionate part of all the assigning Lender’s rights and obligations under this Agreement in respect of such Commitments, Loans and LC Exposure;</w:t>
      </w:r>
    </w:p>
    <w:p>
      <w:pPr>
        <w:spacing w:after="0" w:line="38" w:lineRule="exact"/>
        <w:rPr>
          <w:rFonts w:ascii="Arial" w:cs="Arial" w:eastAsia="Arial" w:hAnsi="Arial"/>
          <w:sz w:val="17"/>
          <w:szCs w:val="17"/>
          <w:color w:val="auto"/>
        </w:rPr>
      </w:pPr>
    </w:p>
    <w:p>
      <w:pPr>
        <w:ind w:left="17" w:firstLine="421"/>
        <w:spacing w:after="0" w:line="286" w:lineRule="auto"/>
        <w:tabs>
          <w:tab w:leader="none" w:pos="722" w:val="left"/>
        </w:tabs>
        <w:numPr>
          <w:ilvl w:val="1"/>
          <w:numId w:val="210"/>
        </w:numPr>
        <w:rPr>
          <w:rFonts w:ascii="Arial" w:cs="Arial" w:eastAsia="Arial" w:hAnsi="Arial"/>
          <w:sz w:val="17"/>
          <w:szCs w:val="17"/>
          <w:color w:val="auto"/>
        </w:rPr>
      </w:pPr>
      <w:r>
        <w:rPr>
          <w:rFonts w:ascii="Arial" w:cs="Arial" w:eastAsia="Arial" w:hAnsi="Arial"/>
          <w:sz w:val="17"/>
          <w:szCs w:val="17"/>
          <w:color w:val="auto"/>
        </w:rPr>
        <w:t xml:space="preserve">the parties to each assignment shall execute and deliver to the Administrative Agent an Assignment and Assumption in substantially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together with a processing and recordation fee of U.S. $3,500 (which fee shall not be payable in connection with an assignment to a Lender or to an Affiliate of a Lender), for which the Borrower and the Guarantors shall not be obligated;</w:t>
      </w:r>
    </w:p>
    <w:p>
      <w:pPr>
        <w:spacing w:after="0" w:line="57" w:lineRule="exact"/>
        <w:rPr>
          <w:rFonts w:ascii="Arial" w:cs="Arial" w:eastAsia="Arial" w:hAnsi="Arial"/>
          <w:sz w:val="17"/>
          <w:szCs w:val="17"/>
          <w:color w:val="auto"/>
        </w:rPr>
      </w:pPr>
    </w:p>
    <w:p>
      <w:pPr>
        <w:ind w:left="17" w:right="380" w:firstLine="421"/>
        <w:spacing w:after="0" w:line="277" w:lineRule="auto"/>
        <w:tabs>
          <w:tab w:leader="none" w:pos="732" w:val="left"/>
        </w:tabs>
        <w:numPr>
          <w:ilvl w:val="1"/>
          <w:numId w:val="210"/>
        </w:numPr>
        <w:rPr>
          <w:rFonts w:ascii="Arial" w:cs="Arial" w:eastAsia="Arial" w:hAnsi="Arial"/>
          <w:sz w:val="18"/>
          <w:szCs w:val="18"/>
          <w:color w:val="auto"/>
        </w:rPr>
      </w:pPr>
      <w:r>
        <w:rPr>
          <w:rFonts w:ascii="Arial" w:cs="Arial" w:eastAsia="Arial" w:hAnsi="Arial"/>
          <w:sz w:val="18"/>
          <w:szCs w:val="18"/>
          <w:color w:val="auto"/>
        </w:rPr>
        <w:t>the assignee, if it shall not already be a Lender of the applicable Class, shall deliver to the Administrative Agent an Administrative Questionnaire; and</w:t>
      </w:r>
    </w:p>
    <w:p>
      <w:pPr>
        <w:spacing w:after="0" w:line="62" w:lineRule="exact"/>
        <w:rPr>
          <w:rFonts w:ascii="Arial" w:cs="Arial" w:eastAsia="Arial" w:hAnsi="Arial"/>
          <w:sz w:val="18"/>
          <w:szCs w:val="18"/>
          <w:color w:val="auto"/>
        </w:rPr>
      </w:pPr>
    </w:p>
    <w:p>
      <w:pPr>
        <w:ind w:left="717" w:hanging="279"/>
        <w:spacing w:after="0"/>
        <w:tabs>
          <w:tab w:leader="none" w:pos="717" w:val="left"/>
        </w:tabs>
        <w:numPr>
          <w:ilvl w:val="1"/>
          <w:numId w:val="210"/>
        </w:numPr>
        <w:rPr>
          <w:rFonts w:ascii="Arial" w:cs="Arial" w:eastAsia="Arial" w:hAnsi="Arial"/>
          <w:sz w:val="18"/>
          <w:szCs w:val="18"/>
          <w:color w:val="auto"/>
        </w:rPr>
      </w:pPr>
      <w:r>
        <w:rPr>
          <w:rFonts w:ascii="Arial" w:cs="Arial" w:eastAsia="Arial" w:hAnsi="Arial"/>
          <w:sz w:val="18"/>
          <w:szCs w:val="18"/>
          <w:color w:val="auto"/>
        </w:rPr>
        <w:t>the assignee shall deliver to the Borrower and the Administrative Agent those documents specified in Section 2.16(f).</w:t>
      </w:r>
    </w:p>
    <w:p>
      <w:pPr>
        <w:spacing w:after="0" w:line="117" w:lineRule="exact"/>
        <w:rPr>
          <w:rFonts w:ascii="Arial" w:cs="Arial" w:eastAsia="Arial" w:hAnsi="Arial"/>
          <w:sz w:val="18"/>
          <w:szCs w:val="18"/>
          <w:color w:val="auto"/>
        </w:rPr>
      </w:pPr>
    </w:p>
    <w:p>
      <w:pPr>
        <w:ind w:left="-443" w:firstLine="443"/>
        <w:spacing w:after="0" w:line="268" w:lineRule="auto"/>
        <w:tabs>
          <w:tab w:leader="none" w:pos="310" w:val="left"/>
        </w:tabs>
        <w:numPr>
          <w:ilvl w:val="0"/>
          <w:numId w:val="211"/>
        </w:numPr>
        <w:rPr>
          <w:rFonts w:ascii="Arial" w:cs="Arial" w:eastAsia="Arial" w:hAnsi="Arial"/>
          <w:sz w:val="17"/>
          <w:szCs w:val="17"/>
          <w:color w:val="auto"/>
        </w:rPr>
      </w:pPr>
      <w:r>
        <w:rPr>
          <w:rFonts w:ascii="Arial" w:cs="Arial" w:eastAsia="Arial" w:hAnsi="Arial"/>
          <w:sz w:val="17"/>
          <w:szCs w:val="17"/>
          <w:u w:val="single" w:color="auto"/>
          <w:color w:val="auto"/>
        </w:rPr>
        <w:t>Effectiveness of Assignments</w:t>
      </w:r>
      <w:r>
        <w:rPr>
          <w:rFonts w:ascii="Arial" w:cs="Arial" w:eastAsia="Arial" w:hAnsi="Arial"/>
          <w:sz w:val="17"/>
          <w:szCs w:val="17"/>
          <w:color w:val="auto"/>
        </w:rPr>
        <w:t xml:space="preserve">. Subject to acceptance and recording thereof pursuant to </w:t>
      </w:r>
      <w:r>
        <w:rPr>
          <w:rFonts w:ascii="Arial" w:cs="Arial" w:eastAsia="Arial" w:hAnsi="Arial"/>
          <w:sz w:val="17"/>
          <w:szCs w:val="17"/>
          <w:u w:val="single" w:color="auto"/>
          <w:color w:val="auto"/>
        </w:rPr>
        <w:t>paragraph (c)</w:t>
      </w:r>
      <w:r>
        <w:rPr>
          <w:rFonts w:ascii="Arial" w:cs="Arial" w:eastAsia="Arial" w:hAnsi="Arial"/>
          <w:sz w:val="17"/>
          <w:szCs w:val="17"/>
          <w:color w:val="auto"/>
        </w:rPr>
        <w:t xml:space="preserve">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7"/>
          <w:szCs w:val="17"/>
          <w:u w:val="single" w:color="auto"/>
          <w:color w:val="auto"/>
        </w:rPr>
        <w:t>Sections 2.14</w:t>
      </w:r>
      <w:r>
        <w:rPr>
          <w:rFonts w:ascii="Arial" w:cs="Arial" w:eastAsia="Arial" w:hAnsi="Arial"/>
          <w:sz w:val="17"/>
          <w:szCs w:val="17"/>
          <w:color w:val="auto"/>
        </w:rPr>
        <w:t xml:space="preserve">, </w:t>
      </w:r>
      <w:r>
        <w:rPr>
          <w:rFonts w:ascii="Arial" w:cs="Arial" w:eastAsia="Arial" w:hAnsi="Arial"/>
          <w:sz w:val="17"/>
          <w:szCs w:val="17"/>
          <w:u w:val="single" w:color="auto"/>
          <w:color w:val="auto"/>
        </w:rPr>
        <w:t>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9.03</w:t>
      </w:r>
      <w:r>
        <w:rPr>
          <w:rFonts w:ascii="Arial" w:cs="Arial" w:eastAsia="Arial" w:hAnsi="Arial"/>
          <w:sz w:val="17"/>
          <w:szCs w:val="17"/>
          <w:color w:val="auto"/>
        </w:rPr>
        <w:t xml:space="preserve"> with respect to facts and circumstances occurring prior to the effective date of such assignment). Any assignment or transfer by a Lender of rights or obligations under this Agreement that does not comply with this </w:t>
      </w:r>
      <w:r>
        <w:rPr>
          <w:rFonts w:ascii="Arial" w:cs="Arial" w:eastAsia="Arial" w:hAnsi="Arial"/>
          <w:sz w:val="17"/>
          <w:szCs w:val="17"/>
          <w:u w:val="single" w:color="auto"/>
          <w:color w:val="auto"/>
        </w:rPr>
        <w:t>Section 9.04</w:t>
      </w:r>
      <w:r>
        <w:rPr>
          <w:rFonts w:ascii="Arial" w:cs="Arial" w:eastAsia="Arial" w:hAnsi="Arial"/>
          <w:sz w:val="17"/>
          <w:szCs w:val="17"/>
          <w:color w:val="auto"/>
        </w:rPr>
        <w:t xml:space="preserve"> shall be treated for purposes of this Agreement as a sale by such Lender of a participation in such rights and obligations in accordance with </w:t>
      </w:r>
      <w:r>
        <w:rPr>
          <w:rFonts w:ascii="Arial" w:cs="Arial" w:eastAsia="Arial" w:hAnsi="Arial"/>
          <w:sz w:val="17"/>
          <w:szCs w:val="17"/>
          <w:u w:val="single" w:color="auto"/>
          <w:color w:val="auto"/>
        </w:rPr>
        <w:t>paragraph (e)</w:t>
      </w:r>
      <w:r>
        <w:rPr>
          <w:rFonts w:ascii="Arial" w:cs="Arial" w:eastAsia="Arial" w:hAnsi="Arial"/>
          <w:sz w:val="17"/>
          <w:szCs w:val="17"/>
          <w:color w:val="auto"/>
        </w:rPr>
        <w:t xml:space="preserve"> of this Section. Notwithstanding anything to the contrary herein, in connection with any assignment of rights and obligations of any Defaulting Lender hereunder, no such assignment shall be effective unless and until, in addition to the other conditions set forth in </w:t>
      </w:r>
      <w:r>
        <w:rPr>
          <w:rFonts w:ascii="Arial" w:cs="Arial" w:eastAsia="Arial" w:hAnsi="Arial"/>
          <w:sz w:val="17"/>
          <w:szCs w:val="17"/>
          <w:u w:val="single" w:color="auto"/>
          <w:color w:val="auto"/>
        </w:rPr>
        <w:t>Section 9.04(b)(ii)</w:t>
      </w:r>
      <w:r>
        <w:rPr>
          <w:rFonts w:ascii="Arial" w:cs="Arial" w:eastAsia="Arial" w:hAnsi="Arial"/>
          <w:sz w:val="17"/>
          <w:szCs w:val="17"/>
          <w:color w:val="auto"/>
        </w:rPr>
        <w:t xml:space="preserve"> or otherwise, the parties to the assignment shall make such additional payments to Administrative Agent in an aggregate amount sufficient, upon distribution thereof as appropriate (which may be outright payment, purchases by the assignee of participations or subparticipations, or other compensating actions, including funding, with the consent of Borrower and Administrative Agent, the Applicable Percentage of Loans previously requested but not funded by the Defaulting Lender, to each of which the applicable assignee and assignor hereby irrevocably consent), to (x) pay and satisfy in full all payment liabilities then owed by such</w:t>
      </w:r>
    </w:p>
    <w:p>
      <w:pPr>
        <w:spacing w:after="0" w:line="116" w:lineRule="exact"/>
        <w:rPr>
          <w:sz w:val="20"/>
          <w:szCs w:val="20"/>
          <w:color w:val="auto"/>
        </w:rPr>
      </w:pPr>
    </w:p>
    <w:p>
      <w:pPr>
        <w:jc w:val="both"/>
        <w:ind w:left="4917"/>
        <w:spacing w:after="0"/>
        <w:tabs>
          <w:tab w:leader="none" w:pos="8457"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517"/>
          </w:cols>
          <w:pgMar w:left="1143" w:top="274" w:right="239" w:bottom="1440" w:gutter="0" w:footer="0" w:header="0"/>
        </w:sectPr>
      </w:pPr>
    </w:p>
    <w:bookmarkStart w:id="198" w:name="page199"/>
    <w:bookmarkEnd w:id="198"/>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Defaulting Lender to Administrative Agent, Issuing Bank, Swingline Lender and each Lender hereunder (and interest accrued thereon), and (y) acquire (and fund as appropriate) its full Applicable Percentage of all Loans and participations in Letters of Credit and Swingline Loans.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80" w:lineRule="exact"/>
        <w:rPr>
          <w:sz w:val="20"/>
          <w:szCs w:val="20"/>
          <w:color w:val="auto"/>
        </w:rPr>
      </w:pPr>
    </w:p>
    <w:p>
      <w:pPr>
        <w:ind w:left="-460" w:right="60" w:firstLine="921"/>
        <w:spacing w:after="0" w:line="291" w:lineRule="auto"/>
        <w:tabs>
          <w:tab w:leader="none" w:pos="697" w:val="left"/>
        </w:tabs>
        <w:numPr>
          <w:ilvl w:val="0"/>
          <w:numId w:val="212"/>
        </w:numPr>
        <w:rPr>
          <w:rFonts w:ascii="Arial" w:cs="Arial" w:eastAsia="Arial" w:hAnsi="Arial"/>
          <w:sz w:val="16"/>
          <w:szCs w:val="16"/>
          <w:color w:val="auto"/>
        </w:rPr>
      </w:pPr>
      <w:r>
        <w:rPr>
          <w:rFonts w:ascii="Arial" w:cs="Arial" w:eastAsia="Arial" w:hAnsi="Arial"/>
          <w:sz w:val="16"/>
          <w:szCs w:val="16"/>
          <w:u w:val="single" w:color="auto"/>
          <w:color w:val="auto"/>
        </w:rPr>
        <w:t>Maintenance of Registers by Administrative Agent</w:t>
      </w:r>
      <w:r>
        <w:rPr>
          <w:rFonts w:ascii="Arial" w:cs="Arial" w:eastAsia="Arial" w:hAnsi="Arial"/>
          <w:sz w:val="16"/>
          <w:szCs w:val="16"/>
          <w:color w:val="auto"/>
        </w:rPr>
        <w:t>. The Administrative Agent, acting for this purpose as an agent of the Borrower, shall maintain at one of its offices in New York City a copy of each Assignment and Assumption delivered to it and a register for the recordation of the names and addresses of the Lenders, and the Commitments of, and principal amount (and stated interest) of the Loans and LC Disbursements owing to, each Lender pursuant to the terms hereof from time to time (the “</w:t>
      </w:r>
      <w:r>
        <w:rPr>
          <w:rFonts w:ascii="Arial" w:cs="Arial" w:eastAsia="Arial" w:hAnsi="Arial"/>
          <w:sz w:val="16"/>
          <w:szCs w:val="16"/>
          <w:u w:val="single" w:color="auto"/>
          <w:color w:val="auto"/>
        </w:rPr>
        <w:t>Registers</w:t>
      </w:r>
      <w:r>
        <w:rPr>
          <w:rFonts w:ascii="Arial" w:cs="Arial" w:eastAsia="Arial" w:hAnsi="Arial"/>
          <w:sz w:val="16"/>
          <w:szCs w:val="16"/>
          <w:color w:val="auto"/>
        </w:rPr>
        <w:t>” and each individually, a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Registers shall be conclusive absent manifest error, and the Borrower, the Administrative Agent, the Issuing Bank and the Lenders may treat each Person whose name is recorded in the Registers pursuant to the terms hereof as a Lender hereunder for all purposes of this Agreement, notwithstanding notice to the contrary. The Registers shall be available for inspection by the Borrower, the Issuing Bank and any Lender, at any reasonable time and from time to time upon reasonable prior notice.</w:t>
      </w:r>
    </w:p>
    <w:p>
      <w:pPr>
        <w:spacing w:after="0" w:line="59" w:lineRule="exact"/>
        <w:rPr>
          <w:rFonts w:ascii="Arial" w:cs="Arial" w:eastAsia="Arial" w:hAnsi="Arial"/>
          <w:sz w:val="16"/>
          <w:szCs w:val="16"/>
          <w:color w:val="auto"/>
        </w:rPr>
      </w:pPr>
    </w:p>
    <w:p>
      <w:pPr>
        <w:ind w:left="-460" w:right="60" w:firstLine="921"/>
        <w:spacing w:after="0" w:line="276" w:lineRule="auto"/>
        <w:tabs>
          <w:tab w:leader="none" w:pos="708" w:val="left"/>
        </w:tabs>
        <w:numPr>
          <w:ilvl w:val="0"/>
          <w:numId w:val="212"/>
        </w:numPr>
        <w:rPr>
          <w:rFonts w:ascii="Arial" w:cs="Arial" w:eastAsia="Arial" w:hAnsi="Arial"/>
          <w:sz w:val="17"/>
          <w:szCs w:val="17"/>
          <w:color w:val="auto"/>
        </w:rPr>
      </w:pPr>
      <w:r>
        <w:rPr>
          <w:rFonts w:ascii="Arial" w:cs="Arial" w:eastAsia="Arial" w:hAnsi="Arial"/>
          <w:sz w:val="17"/>
          <w:szCs w:val="17"/>
          <w:u w:val="single" w:color="auto"/>
          <w:color w:val="auto"/>
        </w:rPr>
        <w:t>Acceptance of Assignments by Administrative Agent</w:t>
      </w:r>
      <w:r>
        <w:rPr>
          <w:rFonts w:ascii="Arial" w:cs="Arial" w:eastAsia="Arial" w:hAnsi="Arial"/>
          <w:sz w:val="17"/>
          <w:szCs w:val="17"/>
          <w:color w:val="auto"/>
        </w:rPr>
        <w:t xml:space="preserve">. Upon its receipt of a duly completed Assignment and Assumption executed by an assigning Lender and an assignee, the assignee’s completed Administrative Questionnaire (unless the assignee shall already be a Lender hereunder), the processing and recordation fee referred to in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of this Section and any written consent to such assignment required by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64" w:lineRule="exact"/>
        <w:rPr>
          <w:rFonts w:ascii="Arial" w:cs="Arial" w:eastAsia="Arial" w:hAnsi="Arial"/>
          <w:sz w:val="17"/>
          <w:szCs w:val="17"/>
          <w:color w:val="auto"/>
        </w:rPr>
      </w:pPr>
    </w:p>
    <w:p>
      <w:pPr>
        <w:ind w:left="-460" w:right="120" w:firstLine="921"/>
        <w:spacing w:after="0" w:line="269" w:lineRule="auto"/>
        <w:tabs>
          <w:tab w:leader="none" w:pos="697" w:val="left"/>
        </w:tabs>
        <w:numPr>
          <w:ilvl w:val="0"/>
          <w:numId w:val="212"/>
        </w:numPr>
        <w:rPr>
          <w:rFonts w:ascii="Arial" w:cs="Arial" w:eastAsia="Arial" w:hAnsi="Arial"/>
          <w:sz w:val="17"/>
          <w:szCs w:val="17"/>
          <w:color w:val="auto"/>
        </w:rPr>
      </w:pPr>
      <w:r>
        <w:rPr>
          <w:rFonts w:ascii="Arial" w:cs="Arial" w:eastAsia="Arial" w:hAnsi="Arial"/>
          <w:sz w:val="17"/>
          <w:szCs w:val="17"/>
          <w:u w:val="single" w:color="auto"/>
          <w:color w:val="auto"/>
        </w:rPr>
        <w:t>Special Purposes Vehicles</w:t>
      </w:r>
      <w:r>
        <w:rPr>
          <w:rFonts w:ascii="Arial" w:cs="Arial" w:eastAsia="Arial" w:hAnsi="Arial"/>
          <w:sz w:val="17"/>
          <w:szCs w:val="17"/>
          <w:color w:val="auto"/>
        </w:rPr>
        <w:t>. Notwithstanding anything to the contrary contained herein, any Lender (a “</w:t>
      </w:r>
      <w:r>
        <w:rPr>
          <w:rFonts w:ascii="Arial" w:cs="Arial" w:eastAsia="Arial" w:hAnsi="Arial"/>
          <w:sz w:val="17"/>
          <w:szCs w:val="17"/>
          <w:u w:val="single" w:color="auto"/>
          <w:color w:val="auto"/>
        </w:rPr>
        <w:t>Granting Lender</w:t>
      </w:r>
      <w:r>
        <w:rPr>
          <w:rFonts w:ascii="Arial" w:cs="Arial" w:eastAsia="Arial" w:hAnsi="Arial"/>
          <w:sz w:val="17"/>
          <w:szCs w:val="17"/>
          <w:color w:val="auto"/>
        </w:rPr>
        <w:t>”) may grant to a special purpose funding vehicle (an “</w:t>
      </w:r>
      <w:r>
        <w:rPr>
          <w:rFonts w:ascii="Arial" w:cs="Arial" w:eastAsia="Arial" w:hAnsi="Arial"/>
          <w:sz w:val="17"/>
          <w:szCs w:val="17"/>
          <w:u w:val="single" w:color="auto"/>
          <w:color w:val="auto"/>
        </w:rPr>
        <w:t>SPC</w:t>
      </w:r>
      <w:r>
        <w:rPr>
          <w:rFonts w:ascii="Arial" w:cs="Arial" w:eastAsia="Arial" w:hAnsi="Arial"/>
          <w:sz w:val="17"/>
          <w:szCs w:val="17"/>
          <w:color w:val="auto"/>
        </w:rPr>
        <w:t xml:space="preserve">”) owned or administered by such Granting Lender, identified as such in writing from time to time by the Granting Lender to the Administrative Agent and the Borrower, the option to provide all or any part of any Loan that such Granting Lender would otherwise be obligated to make;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nothing herein shall constitute a commitment to make any Loan by any SPC, (ii) if an SPC elects not to exercise such option or otherwise fails to provide all or any part of such Loan, the Granting Lender shall, subject to the terms of this Agreement, make such Loan pursuant to the terms hereof, (iii) the rights of any such SPC shall be derivative of the rights of the Granting Lender, and such SPC shall be subject to all of the restrictions upon the Granting Lender herein contained, and (iv) no SPC shall be entitled to the benefits of </w:t>
      </w:r>
      <w:r>
        <w:rPr>
          <w:rFonts w:ascii="Arial" w:cs="Arial" w:eastAsia="Arial" w:hAnsi="Arial"/>
          <w:sz w:val="17"/>
          <w:szCs w:val="17"/>
          <w:u w:val="single" w:color="auto"/>
          <w:color w:val="auto"/>
        </w:rPr>
        <w:t>Sections 2.14</w:t>
      </w:r>
      <w:r>
        <w:rPr>
          <w:rFonts w:ascii="Arial" w:cs="Arial" w:eastAsia="Arial" w:hAnsi="Arial"/>
          <w:sz w:val="17"/>
          <w:szCs w:val="17"/>
          <w:color w:val="auto"/>
        </w:rPr>
        <w:t xml:space="preserve"> (or any other increased costs protection provision), 2.15 or 2.16. Each SPC shall be conclusively presumed to have made arrangements with its Granting Lender for the exercise of voting and other rights hereunder in a manner which is acceptable to the SPC, the Administrative Agent, the Lenders and the Borrower, and each of the Administrative Agent, the Lenders and the Obligors shall be entitled to rely upon and deal solely with the Granting Lender with respect to Loans made by or through its SPC. The making of a Loan by an SPC hereunder shall utilize the Commitment of the Granting Lender to the same extent, and as if, such Loan were made by the Granting Lender.</w:t>
      </w:r>
    </w:p>
    <w:p>
      <w:pPr>
        <w:spacing w:after="0" w:line="112" w:lineRule="exact"/>
        <w:rPr>
          <w:sz w:val="20"/>
          <w:szCs w:val="20"/>
          <w:color w:val="auto"/>
        </w:rPr>
      </w:pPr>
    </w:p>
    <w:p>
      <w:pPr>
        <w:jc w:val="both"/>
        <w:ind w:left="5360"/>
        <w:spacing w:after="0"/>
        <w:tabs>
          <w:tab w:leader="none" w:pos="890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0960"/>
          </w:cols>
          <w:pgMar w:left="700" w:top="274" w:right="239" w:bottom="1440" w:gutter="0" w:footer="0" w:header="0"/>
        </w:sectPr>
      </w:pPr>
    </w:p>
    <w:bookmarkStart w:id="199" w:name="page200"/>
    <w:bookmarkEnd w:id="199"/>
    <w:p>
      <w:pPr>
        <w:ind w:right="20" w:firstLine="913"/>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Each party hereto hereby agrees (which agreement shall survive the termination of this Agreement) that, prior to the date that is one year and one day after the payment in full of all outstanding senior indebtedness of any SPC, it will not institute against, or join any other person in instituting against, such SPC, any bankruptcy, reorganization, arrangement, insolvency or liquidation proceedings or similar proceedings under the laws of the United States or any State thereof, in respect of claims arising out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Granting Lender for each SPC hereby agrees to indemnify, save and hold harmless each other party hereto for any loss, cost, damage and expense arising out of their inability to institute any such proceeding against its SPC. In addition, notwithstanding anything to the contrary contained in this Section, any SPC may (i) without the prior written consent of the Borrower and the Administrative Agent and without paying any processing fee therefor, assign all or a portion of its interests in any Loans to its Granting Lender or to any financial institutions providing liquidity and/or credit facilities to or for the account of such SPC to fund the Loans made by such SPC or to support the securities (if any) issued by such SPC to fund such Loans (but nothing contained herein shall be construed in derogation of the obligation of the Granting Lender to make Loans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neither the consent of the SPC or of any such assignee shall be required for amendments or waivers hereunder except for those amendments or waivers for which the consent of participants is required under </w:t>
      </w:r>
      <w:r>
        <w:rPr>
          <w:rFonts w:ascii="Arial" w:cs="Arial" w:eastAsia="Arial" w:hAnsi="Arial"/>
          <w:sz w:val="17"/>
          <w:szCs w:val="17"/>
          <w:u w:val="single" w:color="auto"/>
          <w:color w:val="auto"/>
        </w:rPr>
        <w:t>paragraph (1)</w:t>
      </w:r>
      <w:r>
        <w:rPr>
          <w:rFonts w:ascii="Arial" w:cs="Arial" w:eastAsia="Arial" w:hAnsi="Arial"/>
          <w:sz w:val="17"/>
          <w:szCs w:val="17"/>
          <w:color w:val="auto"/>
        </w:rPr>
        <w:t xml:space="preserve"> below, and (ii) disclose on a confidential basis (in the same manner described in </w:t>
      </w:r>
      <w:r>
        <w:rPr>
          <w:rFonts w:ascii="Arial" w:cs="Arial" w:eastAsia="Arial" w:hAnsi="Arial"/>
          <w:sz w:val="17"/>
          <w:szCs w:val="17"/>
          <w:u w:val="single" w:color="auto"/>
          <w:color w:val="auto"/>
        </w:rPr>
        <w:t>Section 9.13(b)</w:t>
      </w:r>
      <w:r>
        <w:rPr>
          <w:rFonts w:ascii="Arial" w:cs="Arial" w:eastAsia="Arial" w:hAnsi="Arial"/>
          <w:sz w:val="17"/>
          <w:szCs w:val="17"/>
          <w:color w:val="auto"/>
        </w:rPr>
        <w:t>) any non-public information relating to its Loans to any rating agency, commercial paper dealer or provider of a surety, guarantee or credit or liquidity enhancement to such SPC.</w:t>
      </w:r>
    </w:p>
    <w:p>
      <w:pPr>
        <w:spacing w:after="0" w:line="80" w:lineRule="exact"/>
        <w:rPr>
          <w:sz w:val="20"/>
          <w:szCs w:val="20"/>
          <w:color w:val="auto"/>
        </w:rPr>
      </w:pPr>
    </w:p>
    <w:p>
      <w:pPr>
        <w:ind w:right="40" w:firstLine="921"/>
        <w:spacing w:after="0" w:line="286" w:lineRule="auto"/>
        <w:tabs>
          <w:tab w:leader="none" w:pos="1138" w:val="left"/>
        </w:tabs>
        <w:numPr>
          <w:ilvl w:val="0"/>
          <w:numId w:val="213"/>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Any Lender may, with the consent of the Borrower (such consent not to be unreasonably withheld or delayed), sell participations to one or more banks or other entities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 obligations under this Agreement and the other Loan Documents (including all or a portion of its Commitments and the Loans and LC Disbursements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consent of the Borrower shall not be required if such Participant does not have the right to receive any non-public information that may be provided pursuant to this Agreement (and the Lender selling such participation agrees with the Borrower at the time of the sale of such participation that it will not deliver such non-public information to the Participant), (ii) such Lender’s obligations under this Agreement and the other Loan Documents shall remain unchanged, (iii) such Lender shall remain solely responsible to the other parties hereto for the performance of such obligations and (iv) the Borrower, the Administrative Agent, the Issuing Bank and the other Lenders shall continue to deal solely and directly with such Lender in connection with such Lender’s rights and obligations under this Agreement and the other Loan Documents. Any agreement or instrument pursuant to which a Lender sells such a participation shall provide that such Lender shall retain the sole right to enforce this Agreement and the other Loan Documents and to approve any amendment, modification or waiver of any provision of this Agreement or any other Loan Document;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modification or waiver described in the first proviso to </w:t>
      </w:r>
      <w:r>
        <w:rPr>
          <w:rFonts w:ascii="Arial" w:cs="Arial" w:eastAsia="Arial" w:hAnsi="Arial"/>
          <w:sz w:val="16"/>
          <w:szCs w:val="16"/>
          <w:u w:val="single" w:color="auto"/>
          <w:color w:val="auto"/>
        </w:rPr>
        <w:t>Section 9.02(b)</w:t>
      </w:r>
      <w:r>
        <w:rPr>
          <w:rFonts w:ascii="Arial" w:cs="Arial" w:eastAsia="Arial" w:hAnsi="Arial"/>
          <w:sz w:val="16"/>
          <w:szCs w:val="16"/>
          <w:color w:val="auto"/>
        </w:rPr>
        <w:t xml:space="preserve"> that affects such Participant. Subject to </w:t>
      </w:r>
      <w:r>
        <w:rPr>
          <w:rFonts w:ascii="Arial" w:cs="Arial" w:eastAsia="Arial" w:hAnsi="Arial"/>
          <w:sz w:val="16"/>
          <w:szCs w:val="16"/>
          <w:u w:val="single" w:color="auto"/>
          <w:color w:val="auto"/>
        </w:rPr>
        <w:t>paragraph (g)</w:t>
      </w:r>
      <w:r>
        <w:rPr>
          <w:rFonts w:ascii="Arial" w:cs="Arial" w:eastAsia="Arial" w:hAnsi="Arial"/>
          <w:sz w:val="16"/>
          <w:szCs w:val="16"/>
          <w:color w:val="auto"/>
        </w:rPr>
        <w:t xml:space="preserve"> of this Section, the Borrower agrees that each Participant shall be entitled to the</w:t>
      </w:r>
    </w:p>
    <w:p>
      <w:pPr>
        <w:spacing w:after="0" w:line="107" w:lineRule="exact"/>
        <w:rPr>
          <w:sz w:val="20"/>
          <w:szCs w:val="20"/>
          <w:color w:val="auto"/>
        </w:rPr>
      </w:pPr>
    </w:p>
    <w:p>
      <w:pPr>
        <w:jc w:val="both"/>
        <w:ind w:left="5820"/>
        <w:spacing w:after="0"/>
        <w:tabs>
          <w:tab w:leader="none" w:pos="936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200" w:name="page201"/>
    <w:bookmarkEnd w:id="200"/>
    <w:p>
      <w:pPr>
        <w:ind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benefits of </w:t>
      </w:r>
      <w:r>
        <w:rPr>
          <w:rFonts w:ascii="Arial" w:cs="Arial" w:eastAsia="Arial" w:hAnsi="Arial"/>
          <w:sz w:val="16"/>
          <w:szCs w:val="16"/>
          <w:u w:val="single" w:color="auto"/>
          <w:color w:val="auto"/>
        </w:rPr>
        <w:t>Sections 2.14</w:t>
      </w:r>
      <w:r>
        <w:rPr>
          <w:rFonts w:ascii="Arial" w:cs="Arial" w:eastAsia="Arial" w:hAnsi="Arial"/>
          <w:sz w:val="16"/>
          <w:szCs w:val="16"/>
          <w:color w:val="auto"/>
        </w:rPr>
        <w:t xml:space="preserve">, </w:t>
      </w:r>
      <w:r>
        <w:rPr>
          <w:rFonts w:ascii="Arial" w:cs="Arial" w:eastAsia="Arial" w:hAnsi="Arial"/>
          <w:sz w:val="16"/>
          <w:szCs w:val="16"/>
          <w:u w:val="single" w:color="auto"/>
          <w:color w:val="auto"/>
        </w:rPr>
        <w:t>2.15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to the same extent as if it were a Lender and had acquired its interest by assignment pursuant to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shall not be entitled to receive any greater payment under </w:t>
      </w:r>
      <w:r>
        <w:rPr>
          <w:rFonts w:ascii="Arial" w:cs="Arial" w:eastAsia="Arial" w:hAnsi="Arial"/>
          <w:sz w:val="16"/>
          <w:szCs w:val="16"/>
          <w:u w:val="single" w:color="auto"/>
          <w:color w:val="auto"/>
        </w:rPr>
        <w:t>Sections 2.14</w:t>
      </w:r>
      <w:r>
        <w:rPr>
          <w:rFonts w:ascii="Arial" w:cs="Arial" w:eastAsia="Arial" w:hAnsi="Arial"/>
          <w:sz w:val="16"/>
          <w:szCs w:val="16"/>
          <w:color w:val="auto"/>
        </w:rPr>
        <w:t xml:space="preserve">, </w:t>
      </w:r>
      <w:r>
        <w:rPr>
          <w:rFonts w:ascii="Arial" w:cs="Arial" w:eastAsia="Arial" w:hAnsi="Arial"/>
          <w:sz w:val="16"/>
          <w:szCs w:val="16"/>
          <w:u w:val="single" w:color="auto"/>
          <w:color w:val="auto"/>
        </w:rPr>
        <w:t>2.15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with respect to any participation, than its participating Lenders would have been entitled to receive, except to the extent such entitlement to receive a greater payment results from a Change in Law that occurs after the Participant acquired the applicable participation;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no Participant shall be entitled to the benefits of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unless the Borrower is notified of the participation granted to such Participant and such Participant shall have complied with the requirements of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as if such Participant is a Lender. To the extent permitted by law, each Participant also shall be entitled to the benefits of </w:t>
      </w:r>
      <w:r>
        <w:rPr>
          <w:rFonts w:ascii="Arial" w:cs="Arial" w:eastAsia="Arial" w:hAnsi="Arial"/>
          <w:sz w:val="16"/>
          <w:szCs w:val="16"/>
          <w:u w:val="single" w:color="auto"/>
          <w:color w:val="auto"/>
        </w:rPr>
        <w:t>Section 9.08</w:t>
      </w:r>
      <w:r>
        <w:rPr>
          <w:rFonts w:ascii="Arial" w:cs="Arial" w:eastAsia="Arial" w:hAnsi="Arial"/>
          <w:sz w:val="16"/>
          <w:szCs w:val="16"/>
          <w:color w:val="auto"/>
        </w:rPr>
        <w:t xml:space="preserve"> as though it were a Lender; provided such Participant agrees to be subject to </w:t>
      </w:r>
      <w:r>
        <w:rPr>
          <w:rFonts w:ascii="Arial" w:cs="Arial" w:eastAsia="Arial" w:hAnsi="Arial"/>
          <w:sz w:val="16"/>
          <w:szCs w:val="16"/>
          <w:u w:val="single" w:color="auto"/>
          <w:color w:val="auto"/>
        </w:rPr>
        <w:t>Section 2.17(d)</w:t>
      </w:r>
      <w:r>
        <w:rPr>
          <w:rFonts w:ascii="Arial" w:cs="Arial" w:eastAsia="Arial" w:hAnsi="Arial"/>
          <w:sz w:val="16"/>
          <w:szCs w:val="16"/>
          <w:color w:val="auto"/>
        </w:rPr>
        <w:t xml:space="preserve"> as though it were a Lender hereunder.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provided that no Lender shall have any obligation to disclose all or any portion of the Participant Register (including the identity of any Participant or any other information relating to a Participant’s interest in any commitments, loans, letters of credit or is other obligations under any Loan Document) to any person except to the extent that such disclosures are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70" w:lineRule="exact"/>
        <w:rPr>
          <w:sz w:val="20"/>
          <w:szCs w:val="20"/>
          <w:color w:val="auto"/>
        </w:rPr>
      </w:pPr>
    </w:p>
    <w:p>
      <w:pPr>
        <w:ind w:right="100" w:firstLine="921"/>
        <w:spacing w:after="0" w:line="254" w:lineRule="auto"/>
        <w:tabs>
          <w:tab w:leader="none" w:pos="1168"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Limitations on Rights of Participants</w:t>
      </w:r>
      <w:r>
        <w:rPr>
          <w:rFonts w:ascii="Arial" w:cs="Arial" w:eastAsia="Arial" w:hAnsi="Arial"/>
          <w:sz w:val="18"/>
          <w:szCs w:val="18"/>
          <w:color w:val="auto"/>
        </w:rPr>
        <w:t xml:space="preserve">. A Participant shall not be entitled to receive any greater payment under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w:t>
      </w:r>
      <w:r>
        <w:rPr>
          <w:rFonts w:ascii="Arial" w:cs="Arial" w:eastAsia="Arial" w:hAnsi="Arial"/>
          <w:sz w:val="18"/>
          <w:szCs w:val="18"/>
          <w:u w:val="single" w:color="auto"/>
          <w:color w:val="auto"/>
        </w:rPr>
        <w:t>2.15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2.16</w:t>
      </w:r>
      <w:r>
        <w:rPr>
          <w:rFonts w:ascii="Arial" w:cs="Arial" w:eastAsia="Arial" w:hAnsi="Arial"/>
          <w:sz w:val="18"/>
          <w:szCs w:val="18"/>
          <w:color w:val="auto"/>
        </w:rPr>
        <w:t xml:space="preserve">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unless the Borrower is notified of the participation sold to such Participant and such Participant agrees, for the benefit of the Borrower, to comply with </w:t>
      </w:r>
      <w:r>
        <w:rPr>
          <w:rFonts w:ascii="Arial" w:cs="Arial" w:eastAsia="Arial" w:hAnsi="Arial"/>
          <w:sz w:val="18"/>
          <w:szCs w:val="18"/>
          <w:u w:val="single" w:color="auto"/>
          <w:color w:val="auto"/>
        </w:rPr>
        <w:t>paragraphs (e)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(f)</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as though it were a Lender and in the case of a Participant claiming exemption for portfolio interest under Section 871(h) or 881(c) of the Code, the applicable Lender shall provide the Borrower with satisfactory evidence that the participation is in registered form and shall permit the Borrower to review such register as reasonably needed for the Borrower to comply with its obligations under applicable laws and regulations.</w:t>
      </w:r>
    </w:p>
    <w:p>
      <w:pPr>
        <w:spacing w:after="0" w:line="84" w:lineRule="exact"/>
        <w:rPr>
          <w:rFonts w:ascii="Arial" w:cs="Arial" w:eastAsia="Arial" w:hAnsi="Arial"/>
          <w:sz w:val="18"/>
          <w:szCs w:val="18"/>
          <w:color w:val="auto"/>
        </w:rPr>
      </w:pPr>
    </w:p>
    <w:p>
      <w:pPr>
        <w:ind w:right="40" w:firstLine="921"/>
        <w:spacing w:after="0" w:line="279" w:lineRule="auto"/>
        <w:tabs>
          <w:tab w:leader="none" w:pos="1168" w:val="left"/>
        </w:tabs>
        <w:numPr>
          <w:ilvl w:val="0"/>
          <w:numId w:val="214"/>
        </w:numPr>
        <w:rPr>
          <w:rFonts w:ascii="Arial" w:cs="Arial" w:eastAsia="Arial" w:hAnsi="Arial"/>
          <w:sz w:val="17"/>
          <w:szCs w:val="17"/>
          <w:color w:val="auto"/>
        </w:rPr>
      </w:pPr>
      <w:r>
        <w:rPr>
          <w:rFonts w:ascii="Arial" w:cs="Arial" w:eastAsia="Arial" w:hAnsi="Arial"/>
          <w:sz w:val="17"/>
          <w:szCs w:val="17"/>
          <w:u w:val="single" w:color="auto"/>
          <w:color w:val="auto"/>
        </w:rPr>
        <w:t>Certain Pledges</w:t>
      </w:r>
      <w:r>
        <w:rPr>
          <w:rFonts w:ascii="Arial" w:cs="Arial" w:eastAsia="Arial" w:hAnsi="Arial"/>
          <w:sz w:val="17"/>
          <w:szCs w:val="17"/>
          <w:color w:val="auto"/>
        </w:rPr>
        <w:t xml:space="preserve">. Any Lender may at any time pledge or assign a security interest in all or any portion of its rights under this Agreement to secure obligations of such Lender, including any such pledge or assignment to a Federal Reserve Bank or any other central bank having jurisdiction over such Lender, and this Section shall not apply to any such pledge or assignment of a security interest;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pledge or assignment of a security interest shall release a Lender from any of its obligations hereunder or substitute any such assignee for such Lender as a party hereto.</w:t>
      </w:r>
    </w:p>
    <w:p>
      <w:pPr>
        <w:spacing w:after="0" w:line="104" w:lineRule="exact"/>
        <w:rPr>
          <w:sz w:val="20"/>
          <w:szCs w:val="20"/>
          <w:color w:val="auto"/>
        </w:rPr>
      </w:pPr>
    </w:p>
    <w:p>
      <w:pPr>
        <w:jc w:val="both"/>
        <w:ind w:left="5820"/>
        <w:spacing w:after="0"/>
        <w:tabs>
          <w:tab w:leader="none" w:pos="936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201" w:name="page202"/>
    <w:bookmarkEnd w:id="201"/>
    <w:p>
      <w:pPr>
        <w:ind w:right="40" w:firstLine="921"/>
        <w:spacing w:after="0" w:line="342" w:lineRule="auto"/>
        <w:tabs>
          <w:tab w:leader="none" w:pos="1128" w:val="left"/>
        </w:tabs>
        <w:numPr>
          <w:ilvl w:val="0"/>
          <w:numId w:val="21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Assignments to the Borrower or Affiliates</w:t>
      </w:r>
      <w:r>
        <w:rPr>
          <w:rFonts w:ascii="Arial" w:cs="Arial" w:eastAsia="Arial" w:hAnsi="Arial"/>
          <w:sz w:val="16"/>
          <w:szCs w:val="16"/>
          <w:color w:val="auto"/>
        </w:rPr>
        <w:t>. Anything in this Section to the contrary notwithstanding, no Lender may assign or participate any interest in any Loan or LC Exposure held by it hereunder to the Borrower or any of its Affiliates or Subsidiaries without the prior consent of each Lender.</w:t>
      </w:r>
    </w:p>
    <w:p>
      <w:pPr>
        <w:spacing w:after="0" w:line="124" w:lineRule="exact"/>
        <w:rPr>
          <w:sz w:val="20"/>
          <w:szCs w:val="20"/>
          <w:color w:val="auto"/>
        </w:rPr>
      </w:pPr>
    </w:p>
    <w:p>
      <w:pPr>
        <w:ind w:right="20" w:firstLine="913"/>
        <w:spacing w:after="0" w:line="253"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All covenants, agreements, representations and warranties made by the Borrower herein and in the certificates or other instruments delivered in connection with or pursuant to this Agreement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the Administrative Agent, the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w:t>
      </w:r>
      <w:r>
        <w:rPr>
          <w:rFonts w:ascii="Arial" w:cs="Arial" w:eastAsia="Arial" w:hAnsi="Arial"/>
          <w:sz w:val="18"/>
          <w:szCs w:val="18"/>
          <w:u w:val="single" w:color="auto"/>
          <w:color w:val="auto"/>
        </w:rPr>
        <w:t>Sections 2.14</w:t>
      </w:r>
      <w:r>
        <w:rPr>
          <w:rFonts w:ascii="Arial" w:cs="Arial" w:eastAsia="Arial" w:hAnsi="Arial"/>
          <w:sz w:val="18"/>
          <w:szCs w:val="18"/>
          <w:color w:val="auto"/>
        </w:rPr>
        <w:t xml:space="preserve">, </w:t>
      </w:r>
      <w:r>
        <w:rPr>
          <w:rFonts w:ascii="Arial" w:cs="Arial" w:eastAsia="Arial" w:hAnsi="Arial"/>
          <w:sz w:val="18"/>
          <w:szCs w:val="18"/>
          <w:u w:val="single" w:color="auto"/>
          <w:color w:val="auto"/>
        </w:rPr>
        <w:t>2.15</w:t>
      </w:r>
      <w:r>
        <w:rPr>
          <w:rFonts w:ascii="Arial" w:cs="Arial" w:eastAsia="Arial" w:hAnsi="Arial"/>
          <w:sz w:val="18"/>
          <w:szCs w:val="18"/>
          <w:color w:val="auto"/>
        </w:rPr>
        <w:t xml:space="preserve">, </w:t>
      </w:r>
      <w:r>
        <w:rPr>
          <w:rFonts w:ascii="Arial" w:cs="Arial" w:eastAsia="Arial" w:hAnsi="Arial"/>
          <w:sz w:val="18"/>
          <w:szCs w:val="18"/>
          <w:u w:val="single" w:color="auto"/>
          <w:color w:val="auto"/>
        </w:rPr>
        <w:t>2.16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shall survive and remain in full force and effect regardless of the consummation of the transactions contemplated hereby, the repayment of the Loans, the expiration or termination, Cash Collateralization or backstop of the Letters of Credit and the Commitments or the termination of this Agreement or any provision hereof.</w:t>
      </w:r>
    </w:p>
    <w:p>
      <w:pPr>
        <w:spacing w:after="0" w:line="19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Counterparts; Integration; Effectiveness; Electronic Execution</w:t>
      </w:r>
      <w:r>
        <w:rPr>
          <w:rFonts w:ascii="Arial" w:cs="Arial" w:eastAsia="Arial" w:hAnsi="Arial"/>
          <w:sz w:val="18"/>
          <w:szCs w:val="18"/>
          <w:color w:val="auto"/>
        </w:rPr>
        <w:t>.</w:t>
      </w:r>
    </w:p>
    <w:p>
      <w:pPr>
        <w:spacing w:after="0" w:line="117" w:lineRule="exact"/>
        <w:rPr>
          <w:sz w:val="20"/>
          <w:szCs w:val="20"/>
          <w:color w:val="auto"/>
        </w:rPr>
      </w:pPr>
    </w:p>
    <w:p>
      <w:pPr>
        <w:ind w:right="40" w:firstLine="921"/>
        <w:spacing w:after="0" w:line="290" w:lineRule="auto"/>
        <w:tabs>
          <w:tab w:leader="none" w:pos="1157" w:val="left"/>
        </w:tabs>
        <w:numPr>
          <w:ilvl w:val="0"/>
          <w:numId w:val="216"/>
        </w:numPr>
        <w:rPr>
          <w:rFonts w:ascii="Arial" w:cs="Arial" w:eastAsia="Arial" w:hAnsi="Arial"/>
          <w:sz w:val="16"/>
          <w:szCs w:val="16"/>
          <w:color w:val="auto"/>
        </w:rPr>
      </w:pPr>
      <w:r>
        <w:rPr>
          <w:rFonts w:ascii="Arial" w:cs="Arial" w:eastAsia="Arial" w:hAnsi="Arial"/>
          <w:sz w:val="16"/>
          <w:szCs w:val="16"/>
          <w:u w:val="single" w:color="auto"/>
          <w:color w:val="auto"/>
        </w:rPr>
        <w:t>Counterparts; Integration; Effectiveness</w:t>
      </w:r>
      <w:r>
        <w:rPr>
          <w:rFonts w:ascii="Arial" w:cs="Arial" w:eastAsia="Arial" w:hAnsi="Arial"/>
          <w:sz w:val="16"/>
          <w:szCs w:val="16"/>
          <w:color w:val="auto"/>
        </w:rPr>
        <w:t xml:space="preserve">. This Agreement may be executed in counterparts (and by different parties hereto on different counterparts), each of which shall constitute an original, but all of which when taken together shall constitute a single contract. This Agreement and any separate letter agreements with respect to fees payable to the Administrative Agent constitute the entire contract between and among the parties relating to the subject matter hereof and supersede any and all previous agreements and understandings, oral or written, relating to the subject matter hereof. Except as provided in </w:t>
      </w:r>
      <w:r>
        <w:rPr>
          <w:rFonts w:ascii="Arial" w:cs="Arial" w:eastAsia="Arial" w:hAnsi="Arial"/>
          <w:sz w:val="16"/>
          <w:szCs w:val="16"/>
          <w:u w:val="single" w:color="auto"/>
          <w:color w:val="auto"/>
        </w:rPr>
        <w:t>Section 4.01</w:t>
      </w:r>
      <w:r>
        <w:rPr>
          <w:rFonts w:ascii="Arial" w:cs="Arial" w:eastAsia="Arial" w:hAnsi="Arial"/>
          <w:sz w:val="16"/>
          <w:szCs w:val="16"/>
          <w:color w:val="auto"/>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to this Agreement by telecopy electronically (e.g. pdf) shall be effective as delivery of a manually executed counterpart of this Agreement.</w:t>
      </w:r>
    </w:p>
    <w:p>
      <w:pPr>
        <w:spacing w:after="0" w:line="58" w:lineRule="exact"/>
        <w:rPr>
          <w:rFonts w:ascii="Arial" w:cs="Arial" w:eastAsia="Arial" w:hAnsi="Arial"/>
          <w:sz w:val="16"/>
          <w:szCs w:val="16"/>
          <w:color w:val="auto"/>
        </w:rPr>
      </w:pPr>
    </w:p>
    <w:p>
      <w:pPr>
        <w:ind w:firstLine="921"/>
        <w:spacing w:after="0" w:line="276" w:lineRule="auto"/>
        <w:tabs>
          <w:tab w:leader="none" w:pos="1168" w:val="left"/>
        </w:tabs>
        <w:numPr>
          <w:ilvl w:val="0"/>
          <w:numId w:val="216"/>
        </w:numPr>
        <w:rPr>
          <w:rFonts w:ascii="Arial" w:cs="Arial" w:eastAsia="Arial" w:hAnsi="Arial"/>
          <w:sz w:val="17"/>
          <w:szCs w:val="17"/>
          <w:color w:val="auto"/>
        </w:rPr>
      </w:pPr>
      <w:r>
        <w:rPr>
          <w:rFonts w:ascii="Arial" w:cs="Arial" w:eastAsia="Arial" w:hAnsi="Arial"/>
          <w:sz w:val="17"/>
          <w:szCs w:val="17"/>
          <w:u w:val="single" w:color="auto"/>
          <w:color w:val="auto"/>
        </w:rPr>
        <w:t>Electronic Execution of Assignments</w:t>
      </w:r>
      <w:r>
        <w:rPr>
          <w:rFonts w:ascii="Arial" w:cs="Arial" w:eastAsia="Arial" w:hAnsi="Arial"/>
          <w:sz w:val="17"/>
          <w:szCs w:val="17"/>
          <w:color w:val="auto"/>
        </w:rPr>
        <w:t>.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05" w:lineRule="exact"/>
        <w:rPr>
          <w:sz w:val="20"/>
          <w:szCs w:val="20"/>
          <w:color w:val="auto"/>
        </w:rPr>
      </w:pPr>
    </w:p>
    <w:p>
      <w:pPr>
        <w:jc w:val="both"/>
        <w:ind w:left="5820"/>
        <w:spacing w:after="0"/>
        <w:tabs>
          <w:tab w:leader="none" w:pos="936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202" w:name="page203"/>
    <w:bookmarkEnd w:id="202"/>
    <w:p>
      <w:pPr>
        <w:ind w:firstLine="913"/>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9.07. </w:t>
      </w:r>
      <w:r>
        <w:rPr>
          <w:rFonts w:ascii="Arial" w:cs="Arial" w:eastAsia="Arial" w:hAnsi="Arial"/>
          <w:sz w:val="16"/>
          <w:szCs w:val="16"/>
          <w:u w:val="single" w:color="auto"/>
          <w:color w:val="auto"/>
        </w:rPr>
        <w:t>Severability</w:t>
      </w:r>
      <w:r>
        <w:rPr>
          <w:rFonts w:ascii="Arial" w:cs="Arial" w:eastAsia="Arial" w:hAnsi="Arial"/>
          <w:sz w:val="16"/>
          <w:szCs w:val="16"/>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47"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 xml:space="preserve">SECTION 9.08. </w:t>
      </w:r>
      <w:r>
        <w:rPr>
          <w:rFonts w:ascii="Arial" w:cs="Arial" w:eastAsia="Arial" w:hAnsi="Arial"/>
          <w:sz w:val="17"/>
          <w:szCs w:val="17"/>
          <w:u w:val="single" w:color="auto"/>
          <w:color w:val="auto"/>
        </w:rPr>
        <w:t>Right of Setoff</w:t>
      </w:r>
      <w:r>
        <w:rPr>
          <w:rFonts w:ascii="Arial" w:cs="Arial" w:eastAsia="Arial" w:hAnsi="Arial"/>
          <w:sz w:val="17"/>
          <w:szCs w:val="17"/>
          <w:color w:val="auto"/>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the Borrower against any of and all the obligations of the Borrower now or hereafter existing under this Agreement held by such Lender, irrespective of whether or not such Lender shall have made any demand under this Agreement and although such obligations may be unmatured;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that any Defaulting Lender shall exercise any such right of setoff, (x) all amounts so set off shall be paid over immediately to Administrative Agent for further application in accordance with the provisions of </w:t>
      </w:r>
      <w:r>
        <w:rPr>
          <w:rFonts w:ascii="Arial" w:cs="Arial" w:eastAsia="Arial" w:hAnsi="Arial"/>
          <w:sz w:val="17"/>
          <w:szCs w:val="17"/>
          <w:u w:val="single" w:color="auto"/>
          <w:color w:val="auto"/>
        </w:rPr>
        <w:t>Sections 2.17(d)</w:t>
      </w:r>
      <w:r>
        <w:rPr>
          <w:rFonts w:ascii="Arial" w:cs="Arial" w:eastAsia="Arial" w:hAnsi="Arial"/>
          <w:sz w:val="17"/>
          <w:szCs w:val="17"/>
          <w:color w:val="auto"/>
        </w:rPr>
        <w:t xml:space="preserve"> and, pending such payment, shall be segregated by such Defaulting Lender from its other funds and deemed held in trust for the benefit of Administrative Agent, the Issuing Bank, and the Lenders, and (y) the Defaulting Lender shall provide promptly to Administrative Agent a statement describing in reasonable detail the amounts owing to such Defaulting Lender hereunder as to which it exercised such right of setoff. The rights of each Lender under this Section are in addition to other rights and remedies (including other rights of setoff) which such Lender may have. Each Lender agrees to notify the Borrower and the Administrative Agent promptly after any such setoff and application;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give such notice shall not affect the validity of such setoff and application.</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9.09. </w:t>
      </w:r>
      <w:r>
        <w:rPr>
          <w:rFonts w:ascii="Arial" w:cs="Arial" w:eastAsia="Arial" w:hAnsi="Arial"/>
          <w:sz w:val="18"/>
          <w:szCs w:val="18"/>
          <w:u w:val="single" w:color="auto"/>
          <w:color w:val="auto"/>
        </w:rPr>
        <w:t>Governing Law; Jurisdiction; Etc</w:t>
      </w:r>
      <w:r>
        <w:rPr>
          <w:rFonts w:ascii="Arial" w:cs="Arial" w:eastAsia="Arial" w:hAnsi="Arial"/>
          <w:sz w:val="18"/>
          <w:szCs w:val="18"/>
          <w:color w:val="auto"/>
        </w:rPr>
        <w:t>.</w:t>
      </w:r>
    </w:p>
    <w:p>
      <w:pPr>
        <w:spacing w:after="0" w:line="117" w:lineRule="exact"/>
        <w:rPr>
          <w:sz w:val="20"/>
          <w:szCs w:val="20"/>
          <w:color w:val="auto"/>
        </w:rPr>
      </w:pPr>
    </w:p>
    <w:p>
      <w:pPr>
        <w:ind w:left="1160" w:hanging="239"/>
        <w:spacing w:after="0"/>
        <w:tabs>
          <w:tab w:leader="none" w:pos="1160"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in accordance with and governed by the law of the State of New York.</w:t>
      </w:r>
    </w:p>
    <w:p>
      <w:pPr>
        <w:spacing w:after="0" w:line="117" w:lineRule="exact"/>
        <w:rPr>
          <w:rFonts w:ascii="Arial" w:cs="Arial" w:eastAsia="Arial" w:hAnsi="Arial"/>
          <w:sz w:val="18"/>
          <w:szCs w:val="18"/>
          <w:color w:val="auto"/>
        </w:rPr>
      </w:pPr>
    </w:p>
    <w:p>
      <w:pPr>
        <w:ind w:right="100" w:firstLine="921"/>
        <w:spacing w:after="0" w:line="290" w:lineRule="auto"/>
        <w:tabs>
          <w:tab w:leader="none" w:pos="1168" w:val="left"/>
        </w:tabs>
        <w:numPr>
          <w:ilvl w:val="0"/>
          <w:numId w:val="217"/>
        </w:numPr>
        <w:rPr>
          <w:rFonts w:ascii="Arial" w:cs="Arial" w:eastAsia="Arial" w:hAnsi="Arial"/>
          <w:sz w:val="16"/>
          <w:szCs w:val="16"/>
          <w:color w:val="auto"/>
        </w:rPr>
      </w:pPr>
      <w:r>
        <w:rPr>
          <w:rFonts w:ascii="Arial" w:cs="Arial" w:eastAsia="Arial" w:hAnsi="Arial"/>
          <w:sz w:val="16"/>
          <w:szCs w:val="16"/>
          <w:u w:val="single" w:color="auto"/>
          <w:color w:val="auto"/>
        </w:rPr>
        <w:t>Submission to Jurisdiction</w:t>
      </w:r>
      <w:r>
        <w:rPr>
          <w:rFonts w:ascii="Arial" w:cs="Arial" w:eastAsia="Arial" w:hAnsi="Arial"/>
          <w:sz w:val="16"/>
          <w:szCs w:val="16"/>
          <w:color w:val="auto"/>
        </w:rPr>
        <w:t>. The Borrower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and any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Administrative Agent, the Issuing Bank or any Lender may otherwise have to bring any action or proceeding relating to this Agreement against the Borrower or its properties in the courts of any jurisdiction.</w:t>
      </w:r>
    </w:p>
    <w:p>
      <w:pPr>
        <w:spacing w:after="0" w:line="99" w:lineRule="exact"/>
        <w:rPr>
          <w:sz w:val="20"/>
          <w:szCs w:val="20"/>
          <w:color w:val="auto"/>
        </w:rPr>
      </w:pPr>
    </w:p>
    <w:p>
      <w:pPr>
        <w:jc w:val="both"/>
        <w:ind w:left="5820"/>
        <w:spacing w:after="0"/>
        <w:tabs>
          <w:tab w:leader="none" w:pos="936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203" w:name="page204"/>
    <w:bookmarkEnd w:id="203"/>
    <w:p>
      <w:pPr>
        <w:jc w:val="both"/>
        <w:ind w:right="120" w:firstLine="921"/>
        <w:spacing w:after="0" w:line="259" w:lineRule="auto"/>
        <w:tabs>
          <w:tab w:leader="none" w:pos="1157"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Waiver of Venue</w:t>
      </w:r>
      <w:r>
        <w:rPr>
          <w:rFonts w:ascii="Arial" w:cs="Arial" w:eastAsia="Arial" w:hAnsi="Arial"/>
          <w:sz w:val="18"/>
          <w:szCs w:val="18"/>
          <w:color w:val="auto"/>
        </w:rPr>
        <w:t xml:space="preserve">. The Borrower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of this Section. Each of the parties hereto hereby irrevocably waives, to the fullest extent permitted by law, the defense of an inconvenient forum to the maintenance of such action or proceeding in any such court.</w:t>
      </w:r>
    </w:p>
    <w:p>
      <w:pPr>
        <w:spacing w:after="0" w:line="78" w:lineRule="exact"/>
        <w:rPr>
          <w:rFonts w:ascii="Arial" w:cs="Arial" w:eastAsia="Arial" w:hAnsi="Arial"/>
          <w:sz w:val="18"/>
          <w:szCs w:val="18"/>
          <w:color w:val="auto"/>
        </w:rPr>
      </w:pPr>
    </w:p>
    <w:p>
      <w:pPr>
        <w:ind w:left="1180" w:hanging="259"/>
        <w:spacing w:after="0"/>
        <w:tabs>
          <w:tab w:leader="none" w:pos="1180" w:val="left"/>
        </w:tabs>
        <w:numPr>
          <w:ilvl w:val="0"/>
          <w:numId w:val="218"/>
        </w:numPr>
        <w:rPr>
          <w:rFonts w:ascii="Arial" w:cs="Arial" w:eastAsia="Arial" w:hAnsi="Arial"/>
          <w:sz w:val="17"/>
          <w:szCs w:val="17"/>
          <w:color w:val="auto"/>
        </w:rPr>
      </w:pPr>
      <w:r>
        <w:rPr>
          <w:rFonts w:ascii="Arial" w:cs="Arial" w:eastAsia="Arial" w:hAnsi="Arial"/>
          <w:sz w:val="17"/>
          <w:szCs w:val="17"/>
          <w:u w:val="single" w:color="auto"/>
          <w:color w:val="auto"/>
        </w:rPr>
        <w:t>Service of Process</w:t>
      </w:r>
      <w:r>
        <w:rPr>
          <w:rFonts w:ascii="Arial" w:cs="Arial" w:eastAsia="Arial" w:hAnsi="Arial"/>
          <w:sz w:val="17"/>
          <w:szCs w:val="17"/>
          <w:color w:val="auto"/>
        </w:rPr>
        <w:t>. Each party to this Agreement (i) irrevocably consents to service of process in the manner provided for notices in</w:t>
      </w:r>
    </w:p>
    <w:p>
      <w:pPr>
        <w:spacing w:after="0" w:line="35"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u w:val="single" w:color="auto"/>
          <w:color w:val="auto"/>
        </w:rPr>
        <w:t>Section 9.01</w:t>
      </w:r>
      <w:r>
        <w:rPr>
          <w:rFonts w:ascii="Arial" w:cs="Arial" w:eastAsia="Arial" w:hAnsi="Arial"/>
          <w:sz w:val="18"/>
          <w:szCs w:val="18"/>
          <w:color w:val="auto"/>
        </w:rPr>
        <w:t xml:space="preserve"> and (ii) agrees that service as provided in the manner provided for notices in </w:t>
      </w:r>
      <w:r>
        <w:rPr>
          <w:rFonts w:ascii="Arial" w:cs="Arial" w:eastAsia="Arial" w:hAnsi="Arial"/>
          <w:sz w:val="18"/>
          <w:szCs w:val="18"/>
          <w:u w:val="single" w:color="auto"/>
          <w:color w:val="auto"/>
        </w:rPr>
        <w:t>Section 9.01</w:t>
      </w:r>
      <w:r>
        <w:rPr>
          <w:rFonts w:ascii="Arial" w:cs="Arial" w:eastAsia="Arial" w:hAnsi="Arial"/>
          <w:sz w:val="18"/>
          <w:szCs w:val="18"/>
          <w:color w:val="auto"/>
        </w:rPr>
        <w:t xml:space="preserve"> is sufficient to confer personal jurisdiction over such party in any proceeding in any court and otherwise constitutes effective and binding service in every respect. Nothing in this Agreement will affect the right of any party to this Agreement to serve process in any other manner permitted by law.</w:t>
      </w:r>
    </w:p>
    <w:p>
      <w:pPr>
        <w:spacing w:after="0" w:line="190" w:lineRule="exact"/>
        <w:rPr>
          <w:sz w:val="20"/>
          <w:szCs w:val="20"/>
          <w:color w:val="auto"/>
        </w:rPr>
      </w:pPr>
    </w:p>
    <w:p>
      <w:pPr>
        <w:ind w:right="200" w:firstLine="913"/>
        <w:spacing w:after="0" w:line="254" w:lineRule="auto"/>
        <w:rPr>
          <w:sz w:val="20"/>
          <w:szCs w:val="20"/>
          <w:color w:val="auto"/>
        </w:rPr>
      </w:pPr>
      <w:r>
        <w:rPr>
          <w:rFonts w:ascii="Arial" w:cs="Arial" w:eastAsia="Arial" w:hAnsi="Arial"/>
          <w:sz w:val="18"/>
          <w:szCs w:val="18"/>
          <w:color w:val="auto"/>
        </w:rPr>
        <w:t xml:space="preserve">SECTION 9.10.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HERETO HEREBY WAIVES, TO THE FULLEST EXTENT PERMITTED BY APPLICABLE LAW, ANY RIGHT IT MAY HAVE TO A TRIAL BY JURY IN ANY LEGAL PROCEEDING DIRECTLY OR INDIRECTLY ARISING OUT OF OR RELATING TO THIS AGREEMENT, ANY LOAN DOCUMENT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92" w:lineRule="exact"/>
        <w:rPr>
          <w:sz w:val="20"/>
          <w:szCs w:val="20"/>
          <w:color w:val="auto"/>
        </w:rPr>
      </w:pPr>
    </w:p>
    <w:p>
      <w:pPr>
        <w:ind w:right="20" w:firstLine="913"/>
        <w:spacing w:after="0" w:line="283" w:lineRule="auto"/>
        <w:rPr>
          <w:sz w:val="20"/>
          <w:szCs w:val="20"/>
          <w:color w:val="auto"/>
        </w:rPr>
      </w:pPr>
      <w:r>
        <w:rPr>
          <w:rFonts w:ascii="Arial" w:cs="Arial" w:eastAsia="Arial" w:hAnsi="Arial"/>
          <w:sz w:val="16"/>
          <w:szCs w:val="16"/>
          <w:color w:val="auto"/>
        </w:rPr>
        <w:t xml:space="preserve">SECTION 9.11. </w:t>
      </w:r>
      <w:r>
        <w:rPr>
          <w:rFonts w:ascii="Arial" w:cs="Arial" w:eastAsia="Arial" w:hAnsi="Arial"/>
          <w:sz w:val="16"/>
          <w:szCs w:val="16"/>
          <w:u w:val="single" w:color="auto"/>
          <w:color w:val="auto"/>
        </w:rPr>
        <w:t>Judgment Currency</w:t>
      </w:r>
      <w:r>
        <w:rPr>
          <w:rFonts w:ascii="Arial" w:cs="Arial" w:eastAsia="Arial" w:hAnsi="Arial"/>
          <w:sz w:val="16"/>
          <w:szCs w:val="16"/>
          <w:color w:val="auto"/>
        </w:rPr>
        <w:t>. This is an international loan transaction in which the specification of Dollars or any Foreign Currency, as the case may be (the “</w:t>
      </w:r>
      <w:r>
        <w:rPr>
          <w:rFonts w:ascii="Arial" w:cs="Arial" w:eastAsia="Arial" w:hAnsi="Arial"/>
          <w:sz w:val="16"/>
          <w:szCs w:val="16"/>
          <w:u w:val="single" w:color="auto"/>
          <w:color w:val="auto"/>
        </w:rPr>
        <w:t>Specified Currency</w:t>
      </w:r>
      <w:r>
        <w:rPr>
          <w:rFonts w:ascii="Arial" w:cs="Arial" w:eastAsia="Arial" w:hAnsi="Arial"/>
          <w:sz w:val="16"/>
          <w:szCs w:val="16"/>
          <w:color w:val="auto"/>
        </w:rPr>
        <w:t>”), and payment in New York City or the country of the Specified Currency, as the case may be (the “</w:t>
      </w:r>
      <w:r>
        <w:rPr>
          <w:rFonts w:ascii="Arial" w:cs="Arial" w:eastAsia="Arial" w:hAnsi="Arial"/>
          <w:sz w:val="16"/>
          <w:szCs w:val="16"/>
          <w:u w:val="single" w:color="auto"/>
          <w:color w:val="auto"/>
        </w:rPr>
        <w:t>Specified</w:t>
      </w:r>
      <w:r>
        <w:rPr>
          <w:rFonts w:ascii="Arial" w:cs="Arial" w:eastAsia="Arial" w:hAnsi="Arial"/>
          <w:sz w:val="16"/>
          <w:szCs w:val="16"/>
          <w:color w:val="auto"/>
        </w:rPr>
        <w:t xml:space="preserve"> </w:t>
      </w:r>
      <w:r>
        <w:rPr>
          <w:rFonts w:ascii="Arial" w:cs="Arial" w:eastAsia="Arial" w:hAnsi="Arial"/>
          <w:sz w:val="16"/>
          <w:szCs w:val="16"/>
          <w:u w:val="single" w:color="auto"/>
          <w:color w:val="auto"/>
        </w:rPr>
        <w:t>Place</w:t>
      </w:r>
      <w:r>
        <w:rPr>
          <w:rFonts w:ascii="Arial" w:cs="Arial" w:eastAsia="Arial" w:hAnsi="Arial"/>
          <w:sz w:val="16"/>
          <w:szCs w:val="16"/>
          <w:color w:val="auto"/>
        </w:rPr>
        <w:t>”), is of the essence, and the Specified Currency shall be the currency of account in all events relating to Loans denominated in the Specified Currency. The payment obligations of the Borrower under this Agreement shall not be discharged or satisfied by an amount paid in another currency or in another place, whether pursuant to a judgment or otherwise, to the extent that the amount so paid on conversion to the Specified Currency and transfer to the Specified Place under normal banking procedures does not yield the amount of the Specified Currency at the Specified Place due hereunder. If for the purpose of obtaining judgment in any court it is necessary to convert a sum due hereunder in the Specified Currency into another currency (the “</w:t>
      </w:r>
      <w:r>
        <w:rPr>
          <w:rFonts w:ascii="Arial" w:cs="Arial" w:eastAsia="Arial" w:hAnsi="Arial"/>
          <w:sz w:val="16"/>
          <w:szCs w:val="16"/>
          <w:u w:val="single" w:color="auto"/>
          <w:color w:val="auto"/>
        </w:rPr>
        <w:t>Second Currency</w:t>
      </w:r>
      <w:r>
        <w:rPr>
          <w:rFonts w:ascii="Arial" w:cs="Arial" w:eastAsia="Arial" w:hAnsi="Arial"/>
          <w:sz w:val="16"/>
          <w:szCs w:val="16"/>
          <w:color w:val="auto"/>
        </w:rPr>
        <w:t>”), the rate of exchange that shall be applied shall be the rate at which in accordance with normal banking procedures the Administrative Agent could purchase the Specified Currency with the Second Currency on the Business Day next preceding the day on which such judgment is rendered. The obligation of the Borrower in respect of any such sum due from it to the Administrative Agent or any Lender hereunder or under any other Loan Document (in this</w:t>
      </w:r>
    </w:p>
    <w:p>
      <w:pPr>
        <w:spacing w:after="0" w:line="6"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Section called an “</w:t>
      </w:r>
      <w:r>
        <w:rPr>
          <w:rFonts w:ascii="Arial" w:cs="Arial" w:eastAsia="Arial" w:hAnsi="Arial"/>
          <w:sz w:val="18"/>
          <w:szCs w:val="18"/>
          <w:u w:val="single" w:color="auto"/>
          <w:color w:val="auto"/>
        </w:rPr>
        <w:t>Entitled Person</w:t>
      </w:r>
      <w:r>
        <w:rPr>
          <w:rFonts w:ascii="Arial" w:cs="Arial" w:eastAsia="Arial" w:hAnsi="Arial"/>
          <w:sz w:val="18"/>
          <w:szCs w:val="18"/>
          <w:color w:val="auto"/>
        </w:rPr>
        <w:t>”) shall, notwithstanding the rate of exchange actually applied in rendering such judgment be discharged only to the extent that on the Business Day following receipt by such Entitled Person of any sum adjudged to be due</w:t>
      </w:r>
    </w:p>
    <w:p>
      <w:pPr>
        <w:spacing w:after="0" w:line="116" w:lineRule="exact"/>
        <w:rPr>
          <w:sz w:val="20"/>
          <w:szCs w:val="20"/>
          <w:color w:val="auto"/>
        </w:rPr>
      </w:pPr>
    </w:p>
    <w:p>
      <w:pPr>
        <w:jc w:val="both"/>
        <w:ind w:left="5820"/>
        <w:spacing w:after="0"/>
        <w:tabs>
          <w:tab w:leader="none" w:pos="936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204" w:name="page205"/>
    <w:bookmarkEnd w:id="204"/>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hereunder in the Second Currency such Entitled Person may in accordance with normal banking procedures purchase and transfer to the Specified Place the Specified Currency with the amount of the Second Currency so adjudged to be due; and the Borrower hereby, as a separate obligation and notwithstanding any such judgment, agrees to indemnify such Entitled Person against, and to pay such Entitled Person on demand, in the Specified Currency. the amount (if any) by which the sum originally due to such Entitled Person in the Specified Currency hereunder exceeds the amount of the Specified Currency so purchased and transferred.</w:t>
      </w:r>
    </w:p>
    <w:p>
      <w:pPr>
        <w:spacing w:after="0" w:line="188"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 xml:space="preserve">SECTION 9.12. </w:t>
      </w:r>
      <w:r>
        <w:rPr>
          <w:rFonts w:ascii="Arial" w:cs="Arial" w:eastAsia="Arial" w:hAnsi="Arial"/>
          <w:sz w:val="18"/>
          <w:szCs w:val="18"/>
          <w:u w:val="single" w:color="auto"/>
          <w:color w:val="auto"/>
        </w:rPr>
        <w:t>Headings</w:t>
      </w:r>
      <w:r>
        <w:rPr>
          <w:rFonts w:ascii="Arial" w:cs="Arial" w:eastAsia="Arial" w:hAnsi="Arial"/>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9.13. </w:t>
      </w:r>
      <w:r>
        <w:rPr>
          <w:rFonts w:ascii="Arial" w:cs="Arial" w:eastAsia="Arial" w:hAnsi="Arial"/>
          <w:sz w:val="18"/>
          <w:szCs w:val="18"/>
          <w:u w:val="single" w:color="auto"/>
          <w:color w:val="auto"/>
        </w:rPr>
        <w:t>Treatment of Certain Information; No Fiduciary Duty; Confidentiality</w:t>
      </w:r>
      <w:r>
        <w:rPr>
          <w:rFonts w:ascii="Arial" w:cs="Arial" w:eastAsia="Arial" w:hAnsi="Arial"/>
          <w:sz w:val="18"/>
          <w:szCs w:val="18"/>
          <w:color w:val="auto"/>
        </w:rPr>
        <w:t>.</w:t>
      </w:r>
    </w:p>
    <w:p>
      <w:pPr>
        <w:spacing w:after="0" w:line="117" w:lineRule="exact"/>
        <w:rPr>
          <w:sz w:val="20"/>
          <w:szCs w:val="20"/>
          <w:color w:val="auto"/>
        </w:rPr>
      </w:pPr>
    </w:p>
    <w:p>
      <w:pPr>
        <w:ind w:right="40" w:firstLine="921"/>
        <w:spacing w:after="0" w:line="285" w:lineRule="auto"/>
        <w:tabs>
          <w:tab w:leader="none" w:pos="1157" w:val="left"/>
        </w:tabs>
        <w:numPr>
          <w:ilvl w:val="0"/>
          <w:numId w:val="219"/>
        </w:numPr>
        <w:rPr>
          <w:rFonts w:ascii="Arial" w:cs="Arial" w:eastAsia="Arial" w:hAnsi="Arial"/>
          <w:sz w:val="16"/>
          <w:szCs w:val="16"/>
          <w:color w:val="auto"/>
        </w:rPr>
      </w:pPr>
      <w:r>
        <w:rPr>
          <w:rFonts w:ascii="Arial" w:cs="Arial" w:eastAsia="Arial" w:hAnsi="Arial"/>
          <w:sz w:val="16"/>
          <w:szCs w:val="16"/>
          <w:u w:val="single" w:color="auto"/>
          <w:color w:val="auto"/>
        </w:rPr>
        <w:t>Treatment of Certain Information</w:t>
      </w:r>
      <w:r>
        <w:rPr>
          <w:rFonts w:ascii="Arial" w:cs="Arial" w:eastAsia="Arial" w:hAnsi="Arial"/>
          <w:sz w:val="16"/>
          <w:szCs w:val="16"/>
          <w:color w:val="auto"/>
        </w:rPr>
        <w:t xml:space="preserve">. The Borrower acknowledges that from time to time financial advisory, investment banking and other services may be offered or provided to the Borrower or one or more of its Subsidiaries (in connection with this Agreement or otherwise) by any Lender or by one or more subsidiaries or affiliates of such Lender and the Borrower hereby authorizes each Lender to share any information delivered to such Lender by the Borrower and its Subsidiaries pursuant to this Agreement, or in connection with the decision of such Lender to enter into this Agreement, to any such subsidiary or affiliate, it being understood that any such subsidiary or affiliate receiving such information shall be bound by the provisions of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as if it were a Lender hereunder. Such authorization shall survive the repayment of the Loans, the expiration or termination of the Letters of Credit and the Commitments or the termination of this Agreement or any provision hereof. Each Lender shall use all information delivered to such Lender by the Borrower and its Subsidiaries pursuant to this Agreement, or in connection with the decision of such Lender to enter into this Agreement, in connection with providing services to the Borrower. The Administrative Agent, each Lender and their Affiliates (collectively, solely for purposes of this paragraph, the “Lenders”), may have economic interests that conflict with those of the Borrower or any of its Subsidiaries, their stockholders and/or their affiliates. The Borrower, on behalf of itself and each of its Subsidiaries, agrees that nothing in the Loan Documents or otherwise will be deemed to create an advisory, fiduciary or agency relationship or fiduciary or other implied duty between any Lender, on the one hand, and the Borrower or any of its Subsidiaries, its stockholders or its affiliates, on the other. The Borrower and each of its Subsidiaries each acknowledge and agree that (i) the transactions contemplated by the Loan Documents (including the exercise of rights and remedies hereunder and thereunder) are arm’s-length commercial transactions between the Lenders, on the one hand, and the Borrower and its Subsidiaries, on the other, and (ii) in connection therewith and with the process leading thereto, (x) no Lender has assumed an advisory or fiduciary responsibility in favor of the Borrower or any of its Subsidiaries, any of their stockholders or affiliates with respect to the transactions contemplated hereby (or the exercise of rights or remedies with respect thereto) or the process leading thereto (irrespective of whether any Lender has advised, is currently advising or will advise the Borrower or any of its Subsidiaries, their stockholders or their affiliates on other matters) or any other obligation to the Borrower or any of its Subsidiaries except the obligations expressly set forth in the Loan Documents and (y) each Lender is acting solely as principal and not as the agent or fiduciary of</w:t>
      </w:r>
    </w:p>
    <w:p>
      <w:pPr>
        <w:spacing w:after="0" w:line="319" w:lineRule="exact"/>
        <w:rPr>
          <w:sz w:val="20"/>
          <w:szCs w:val="20"/>
          <w:color w:val="auto"/>
        </w:rPr>
      </w:pPr>
    </w:p>
    <w:p>
      <w:pPr>
        <w:jc w:val="both"/>
        <w:ind w:left="5820"/>
        <w:spacing w:after="0"/>
        <w:tabs>
          <w:tab w:leader="none" w:pos="936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205" w:name="page206"/>
    <w:bookmarkEnd w:id="205"/>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Borrower or any of its Subsidiaries, their management, stockholders, creditors or any other Person. The Borrower and each of its Subsidiaries each acknowledge and agree that it has consulted its own legal and financial advisors to the extent it deemed appropriate and that it is responsible for making its own independent judgment with respect to such transactions and the process leading thereto. The Borrower and each of its Subsidiaries each agree that it will not claim that any Lender has rendered advisory services of any nature or respect, or owes a fiduciary or similar duty to the Borrower or any of its Subsidiaries, in connection with such transaction or the process leading thereto.</w:t>
      </w:r>
    </w:p>
    <w:p>
      <w:pPr>
        <w:spacing w:after="0" w:line="80" w:lineRule="exact"/>
        <w:rPr>
          <w:sz w:val="20"/>
          <w:szCs w:val="20"/>
          <w:color w:val="auto"/>
        </w:rPr>
      </w:pPr>
    </w:p>
    <w:p>
      <w:pPr>
        <w:ind w:right="40" w:firstLine="921"/>
        <w:spacing w:after="0" w:line="284" w:lineRule="auto"/>
        <w:tabs>
          <w:tab w:leader="none" w:pos="1168" w:val="left"/>
        </w:tabs>
        <w:numPr>
          <w:ilvl w:val="1"/>
          <w:numId w:val="220"/>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Each of the Administrative Agent, the Lenders, the Swingline Lender and the Issuing Bank agrees to maintain the confidentiality of the Information (as defined below), except that Information may be disclosed (i) to its Affiliates and to its and its Affiliates’ respective partners, directors, officers, employees, agents, advisors and other representatives (it being understood that the Persons to whom such disclosure is made will be informed of the confidential nature of such Information and instructed to keep such Information confidential), (ii) to the extent requested by any regulatory authority purporting to have jurisdiction over it (including any self-regulatory authority), (iii) to the extent required by applicable laws or regulations or by any subpoena or similar legal process, (iv) to any other party hereto, (v) in connection with the exercise of any remedies hereunder or under any other Loan Document or any action or proceeding relating to this Agreement or any other Loan Document or the enforcement of rights hereunder or thereunder,</w:t>
      </w:r>
    </w:p>
    <w:p>
      <w:pPr>
        <w:spacing w:after="0" w:line="2" w:lineRule="exact"/>
        <w:rPr>
          <w:rFonts w:ascii="Arial" w:cs="Arial" w:eastAsia="Arial" w:hAnsi="Arial"/>
          <w:sz w:val="16"/>
          <w:szCs w:val="16"/>
          <w:color w:val="auto"/>
        </w:rPr>
      </w:pPr>
    </w:p>
    <w:p>
      <w:pPr>
        <w:ind w:right="20" w:firstLine="8"/>
        <w:spacing w:after="0" w:line="288" w:lineRule="auto"/>
        <w:tabs>
          <w:tab w:leader="none" w:pos="305" w:val="left"/>
        </w:tabs>
        <w:numPr>
          <w:ilvl w:val="0"/>
          <w:numId w:val="221"/>
        </w:numPr>
        <w:rPr>
          <w:rFonts w:ascii="Arial" w:cs="Arial" w:eastAsia="Arial" w:hAnsi="Arial"/>
          <w:sz w:val="16"/>
          <w:szCs w:val="16"/>
          <w:color w:val="auto"/>
        </w:rPr>
      </w:pPr>
      <w:r>
        <w:rPr>
          <w:rFonts w:ascii="Arial" w:cs="Arial" w:eastAsia="Arial" w:hAnsi="Arial"/>
          <w:sz w:val="16"/>
          <w:szCs w:val="16"/>
          <w:color w:val="auto"/>
        </w:rPr>
        <w:t>subject to an agreement containing provisions substantially the same as those of this Section, to (x) any assignee of or Participant in, or any prospective assignee of or Participant in, any of its rights or obligations under this Agreement or (y) any actual or prospective counterparty (or its advisors) to any swap or derivative transaction relating to the Borrower and its obligations, (vii) with the consent of the Borrower, (viii) to the extent such Information (x) becomes publicly available other than as a result of a breach of this Section or (y) becomes available to the Administrative Agent, any Lender, the Issuing Bank or any of their respective Affiliates on a nonconfidential basis from a source other than the Borrower or (ix) on a confidential basis to (x) any rating agency in connection with rating the Borrower or its Subsidiaries or the credit facilities provided hereunder or (y) the CUSIP Service Bureau or any similar agency in connection with the issuance and monitoring of CUSIP numbers with respect to the credit facilities provided hereunder.</w:t>
      </w:r>
    </w:p>
    <w:p>
      <w:pPr>
        <w:spacing w:after="0" w:line="169" w:lineRule="exact"/>
        <w:rPr>
          <w:sz w:val="20"/>
          <w:szCs w:val="20"/>
          <w:color w:val="auto"/>
        </w:rPr>
      </w:pPr>
    </w:p>
    <w:p>
      <w:pPr>
        <w:ind w:right="20" w:firstLine="913"/>
        <w:spacing w:after="0" w:line="293" w:lineRule="auto"/>
        <w:rPr>
          <w:sz w:val="20"/>
          <w:szCs w:val="20"/>
          <w:color w:val="auto"/>
        </w:rPr>
      </w:pPr>
      <w:r>
        <w:rPr>
          <w:rFonts w:ascii="Arial" w:cs="Arial" w:eastAsia="Arial" w:hAnsi="Arial"/>
          <w:sz w:val="16"/>
          <w:szCs w:val="16"/>
          <w:color w:val="auto"/>
        </w:rPr>
        <w:t>For purposes of this Section, “</w:t>
      </w:r>
      <w:r>
        <w:rPr>
          <w:rFonts w:ascii="Arial" w:cs="Arial" w:eastAsia="Arial" w:hAnsi="Arial"/>
          <w:sz w:val="16"/>
          <w:szCs w:val="16"/>
          <w:u w:val="single" w:color="auto"/>
          <w:color w:val="auto"/>
        </w:rPr>
        <w:t>Information</w:t>
      </w:r>
      <w:r>
        <w:rPr>
          <w:rFonts w:ascii="Arial" w:cs="Arial" w:eastAsia="Arial" w:hAnsi="Arial"/>
          <w:sz w:val="16"/>
          <w:szCs w:val="16"/>
          <w:color w:val="auto"/>
        </w:rPr>
        <w:t xml:space="preserve">” means all information received from the Borrower or any of its Subsidiaries relating to the Borrower or any of its Subsidiaries or any of their respective businesses, other than any such information that is available to the Administrative Agent any Lender or the Issuing Bank on a nonconfidential basis prior to disclosure by the Borrower or any of its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Information received from the Borrower or any of its Subsidiaries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97" w:lineRule="exact"/>
        <w:rPr>
          <w:sz w:val="20"/>
          <w:szCs w:val="20"/>
          <w:color w:val="auto"/>
        </w:rPr>
      </w:pPr>
    </w:p>
    <w:p>
      <w:pPr>
        <w:jc w:val="both"/>
        <w:ind w:left="5820"/>
        <w:spacing w:after="0"/>
        <w:tabs>
          <w:tab w:leader="none" w:pos="936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206" w:name="page207"/>
    <w:bookmarkEnd w:id="206"/>
    <w:p>
      <w:pPr>
        <w:ind w:right="60" w:firstLine="913"/>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9.14. </w:t>
      </w:r>
      <w:r>
        <w:rPr>
          <w:rFonts w:ascii="Arial" w:cs="Arial" w:eastAsia="Arial" w:hAnsi="Arial"/>
          <w:sz w:val="18"/>
          <w:szCs w:val="18"/>
          <w:u w:val="single" w:color="auto"/>
          <w:color w:val="auto"/>
        </w:rPr>
        <w:t>USA PATRIOT Act</w:t>
      </w:r>
      <w:r>
        <w:rPr>
          <w:rFonts w:ascii="Arial" w:cs="Arial" w:eastAsia="Arial" w:hAnsi="Arial"/>
          <w:sz w:val="18"/>
          <w:szCs w:val="18"/>
          <w:color w:val="auto"/>
        </w:rPr>
        <w:t>. Each Lender hereby notifies the Borrower that pursuant to the requirements of the USA PATRIOT Act (Title III of Pub. L. 107-56 (signed into law October 26, 2001)), it is required to obtain, verify and record information that identifies the Borrower, each other Obligor and each designee of a Letter of Credit, which information includes the name and address of the Borrower, each other Obligor and each designee of a Letter of Credit and other information that will allow such Lender to identify Borrower, each other Obligor and each designee of a Letter of Credit in accordance with said Act.</w:t>
      </w:r>
    </w:p>
    <w:p>
      <w:pPr>
        <w:spacing w:after="0" w:line="188"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color w:val="auto"/>
        </w:rPr>
        <w:t xml:space="preserve">SECTION 9.15. </w:t>
      </w:r>
      <w:r>
        <w:rPr>
          <w:rFonts w:ascii="Arial" w:cs="Arial" w:eastAsia="Arial" w:hAnsi="Arial"/>
          <w:sz w:val="16"/>
          <w:szCs w:val="16"/>
          <w:u w:val="single" w:color="auto"/>
          <w:color w:val="auto"/>
        </w:rPr>
        <w:t>Effect of Amendment and Restatement of the Existing Credit Agreement</w:t>
      </w:r>
      <w:r>
        <w:rPr>
          <w:rFonts w:ascii="Arial" w:cs="Arial" w:eastAsia="Arial" w:hAnsi="Arial"/>
          <w:sz w:val="16"/>
          <w:szCs w:val="16"/>
          <w:color w:val="auto"/>
        </w:rPr>
        <w:t>. On the Effective Date, the Existing Credit Agreement shall be amended and restated in its entirety. The parties hereto acknowledge and agree that (a) this Agreement and the other Loan Documents, whether executed and delivered in connection herewith or otherwise, do not constitute a novation or termination of the obligations for principal, interest or fees of the Borrower under the Existing Credit Agreement as in effect immediately prior to the Effective Date and which remain outstanding; and (b) except for any of the Borrower’s obligations under the Existing Credit Agreement which are expressly contemplated to be repaid on the Effective Date and to the extent are in fact so repaid, the obligations of the Borrower under the Existing Credit Agreement (as amended and restated hereby and which are on and after the date hereof subject to the terms herein) are in all respects continuing, and shall continue to be secured as provided in the Security Documents.</w:t>
      </w:r>
    </w:p>
    <w:p>
      <w:pPr>
        <w:spacing w:after="0" w:line="167" w:lineRule="exact"/>
        <w:rPr>
          <w:sz w:val="20"/>
          <w:szCs w:val="20"/>
          <w:color w:val="auto"/>
        </w:rPr>
      </w:pPr>
    </w:p>
    <w:p>
      <w:pPr>
        <w:ind w:right="440" w:firstLine="913"/>
        <w:spacing w:after="0" w:line="264" w:lineRule="auto"/>
        <w:rPr>
          <w:sz w:val="20"/>
          <w:szCs w:val="20"/>
          <w:color w:val="auto"/>
        </w:rPr>
      </w:pPr>
      <w:r>
        <w:rPr>
          <w:rFonts w:ascii="Arial" w:cs="Arial" w:eastAsia="Arial" w:hAnsi="Arial"/>
          <w:sz w:val="18"/>
          <w:szCs w:val="18"/>
          <w:color w:val="auto"/>
        </w:rPr>
        <w:t xml:space="preserve">SECTION 9.16. </w:t>
      </w:r>
      <w:r>
        <w:rPr>
          <w:rFonts w:ascii="Arial" w:cs="Arial" w:eastAsia="Arial" w:hAnsi="Arial"/>
          <w:sz w:val="18"/>
          <w:szCs w:val="18"/>
          <w:u w:val="single" w:color="auto"/>
          <w:color w:val="auto"/>
        </w:rPr>
        <w:t>Reaffirmation of Guarantee and Security Agreement</w:t>
      </w:r>
      <w:r>
        <w:rPr>
          <w:rFonts w:ascii="Arial" w:cs="Arial" w:eastAsia="Arial" w:hAnsi="Arial"/>
          <w:sz w:val="18"/>
          <w:szCs w:val="18"/>
          <w:color w:val="auto"/>
        </w:rPr>
        <w:t>. TC Lending, LLC hereby consents to the terms of this Agreement, confirms that its Guarantee under the Guarantee and Security Agreement remains unaltered and in full force and effect and hereby reaffirms, ratifies and confirms the terms and conditions of the Guarantee and Security Agreement.</w:t>
      </w:r>
    </w:p>
    <w:p>
      <w:pPr>
        <w:spacing w:after="0" w:line="114" w:lineRule="exact"/>
        <w:rPr>
          <w:sz w:val="20"/>
          <w:szCs w:val="20"/>
          <w:color w:val="auto"/>
        </w:rPr>
      </w:pPr>
    </w:p>
    <w:p>
      <w:pPr>
        <w:jc w:val="both"/>
        <w:ind w:left="5820"/>
        <w:spacing w:after="0"/>
        <w:tabs>
          <w:tab w:leader="none" w:pos="9360" w:val="left"/>
        </w:tabs>
        <w:rPr>
          <w:sz w:val="20"/>
          <w:szCs w:val="20"/>
          <w:color w:val="auto"/>
        </w:rPr>
      </w:pPr>
      <w:r>
        <w:rPr>
          <w:rFonts w:ascii="Arial" w:cs="Arial" w:eastAsia="Arial" w:hAnsi="Arial"/>
          <w:sz w:val="18"/>
          <w:szCs w:val="18"/>
          <w:color w:val="auto"/>
        </w:rPr>
        <w:t>120</w:t>
      </w:r>
      <w:r>
        <w:rPr>
          <w:sz w:val="20"/>
          <w:szCs w:val="20"/>
          <w:color w:val="auto"/>
        </w:rPr>
        <w:tab/>
      </w:r>
      <w:r>
        <w:rPr>
          <w:rFonts w:ascii="Arial" w:cs="Arial" w:eastAsia="Arial" w:hAnsi="Arial"/>
          <w:sz w:val="18"/>
          <w:szCs w:val="18"/>
          <w:i w:val="1"/>
          <w:iCs w:val="1"/>
          <w:color w:val="auto"/>
        </w:rPr>
        <w:t>Revolving Credit Agreement</w:t>
      </w:r>
    </w:p>
    <w:p>
      <w:pPr>
        <w:sectPr>
          <w:pgSz w:w="11900" w:h="16838" w:orient="portrait"/>
          <w:cols w:equalWidth="0" w:num="1">
            <w:col w:w="11420"/>
          </w:cols>
          <w:pgMar w:left="240" w:top="274" w:right="239" w:bottom="1440" w:gutter="0" w:footer="0" w:header="0"/>
        </w:sectPr>
      </w:pPr>
    </w:p>
    <w:bookmarkStart w:id="207" w:name="page208"/>
    <w:bookmarkEnd w:id="207"/>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Joshua Easterly, certify that:</w:t>
      </w:r>
    </w:p>
    <w:p>
      <w:pPr>
        <w:spacing w:after="0" w:line="90" w:lineRule="exact"/>
        <w:rPr>
          <w:sz w:val="20"/>
          <w:szCs w:val="20"/>
          <w:color w:val="auto"/>
        </w:rPr>
      </w:pPr>
    </w:p>
    <w:p>
      <w:pPr>
        <w:ind w:left="900" w:hanging="446"/>
        <w:spacing w:after="0"/>
        <w:tabs>
          <w:tab w:leader="none" w:pos="9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TPG Specialty Lending,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22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ind w:left="1920" w:right="200" w:hanging="440"/>
        <w:spacing w:after="0" w:line="306" w:lineRule="auto"/>
        <w:tabs>
          <w:tab w:leader="none" w:pos="1920" w:val="left"/>
        </w:tabs>
        <w:numPr>
          <w:ilvl w:val="1"/>
          <w:numId w:val="22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25" w:lineRule="exact"/>
        <w:rPr>
          <w:rFonts w:ascii="Arial" w:cs="Arial" w:eastAsia="Arial" w:hAnsi="Arial"/>
          <w:sz w:val="16"/>
          <w:szCs w:val="16"/>
          <w:color w:val="auto"/>
        </w:rPr>
      </w:pPr>
    </w:p>
    <w:p>
      <w:pPr>
        <w:jc w:val="both"/>
        <w:ind w:left="1920" w:hanging="440"/>
        <w:spacing w:after="0" w:line="357" w:lineRule="auto"/>
        <w:tabs>
          <w:tab w:leader="none" w:pos="1920" w:val="left"/>
        </w:tabs>
        <w:numPr>
          <w:ilvl w:val="1"/>
          <w:numId w:val="22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259" w:lineRule="auto"/>
        <w:tabs>
          <w:tab w:leader="none" w:pos="192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920" w:right="240" w:hanging="440"/>
        <w:spacing w:after="0" w:line="332" w:lineRule="auto"/>
        <w:tabs>
          <w:tab w:leader="none" w:pos="1920" w:val="left"/>
        </w:tabs>
        <w:numPr>
          <w:ilvl w:val="1"/>
          <w:numId w:val="2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Date: November 3, 2014</w:t>
            </w:r>
          </w:p>
        </w:tc>
        <w:tc>
          <w:tcPr>
            <w:tcW w:w="7580" w:type="dxa"/>
            <w:vAlign w:val="bottom"/>
            <w:gridSpan w:val="2"/>
          </w:tcPr>
          <w:p>
            <w:pPr>
              <w:ind w:left="2080"/>
              <w:spacing w:after="0"/>
              <w:rPr>
                <w:sz w:val="20"/>
                <w:szCs w:val="20"/>
                <w:color w:val="auto"/>
              </w:rPr>
            </w:pPr>
            <w:r>
              <w:rPr>
                <w:rFonts w:ascii="Arial" w:cs="Arial" w:eastAsia="Arial" w:hAnsi="Arial"/>
                <w:sz w:val="18"/>
                <w:szCs w:val="18"/>
                <w:color w:val="auto"/>
              </w:rPr>
              <w:t>By: /s/ Joshua Easterly</w:t>
            </w:r>
          </w:p>
        </w:tc>
      </w:tr>
      <w:tr>
        <w:trPr>
          <w:trHeight w:val="202"/>
        </w:trPr>
        <w:tc>
          <w:tcPr>
            <w:tcW w:w="38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Joshua Easterly</w:t>
            </w:r>
          </w:p>
        </w:tc>
      </w:tr>
      <w:tr>
        <w:trPr>
          <w:trHeight w:val="222"/>
        </w:trPr>
        <w:tc>
          <w:tcPr>
            <w:tcW w:w="38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Co-Chief Executive Officer</w:t>
            </w:r>
          </w:p>
        </w:tc>
      </w:tr>
    </w:tbl>
    <w:p>
      <w:pPr>
        <w:sectPr>
          <w:pgSz w:w="11900" w:h="16838" w:orient="portrait"/>
          <w:cols w:equalWidth="0" w:num="1">
            <w:col w:w="11420"/>
          </w:cols>
          <w:pgMar w:left="240" w:top="126" w:right="239"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Michael Fishman, certify that:</w:t>
      </w:r>
    </w:p>
    <w:p>
      <w:pPr>
        <w:spacing w:after="0" w:line="90" w:lineRule="exact"/>
        <w:rPr>
          <w:sz w:val="20"/>
          <w:szCs w:val="20"/>
          <w:color w:val="auto"/>
        </w:rPr>
      </w:pPr>
    </w:p>
    <w:p>
      <w:pPr>
        <w:ind w:left="900" w:hanging="446"/>
        <w:spacing w:after="0"/>
        <w:tabs>
          <w:tab w:leader="none" w:pos="90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TPG Specialty Lending,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22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ind w:left="1920" w:right="200" w:hanging="440"/>
        <w:spacing w:after="0" w:line="306" w:lineRule="auto"/>
        <w:tabs>
          <w:tab w:leader="none" w:pos="1920" w:val="left"/>
        </w:tabs>
        <w:numPr>
          <w:ilvl w:val="1"/>
          <w:numId w:val="22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25" w:lineRule="exact"/>
        <w:rPr>
          <w:rFonts w:ascii="Arial" w:cs="Arial" w:eastAsia="Arial" w:hAnsi="Arial"/>
          <w:sz w:val="16"/>
          <w:szCs w:val="16"/>
          <w:color w:val="auto"/>
        </w:rPr>
      </w:pPr>
    </w:p>
    <w:p>
      <w:pPr>
        <w:jc w:val="both"/>
        <w:ind w:left="1920" w:hanging="440"/>
        <w:spacing w:after="0" w:line="357" w:lineRule="auto"/>
        <w:tabs>
          <w:tab w:leader="none" w:pos="1920" w:val="left"/>
        </w:tabs>
        <w:numPr>
          <w:ilvl w:val="1"/>
          <w:numId w:val="22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259" w:lineRule="auto"/>
        <w:tabs>
          <w:tab w:leader="none" w:pos="192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920" w:right="240" w:hanging="440"/>
        <w:spacing w:after="0" w:line="332" w:lineRule="auto"/>
        <w:tabs>
          <w:tab w:leader="none" w:pos="1920" w:val="left"/>
        </w:tabs>
        <w:numPr>
          <w:ilvl w:val="1"/>
          <w:numId w:val="2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Date: November 3, 2014</w:t>
            </w:r>
          </w:p>
        </w:tc>
        <w:tc>
          <w:tcPr>
            <w:tcW w:w="7580" w:type="dxa"/>
            <w:vAlign w:val="bottom"/>
            <w:gridSpan w:val="2"/>
          </w:tcPr>
          <w:p>
            <w:pPr>
              <w:ind w:left="2080"/>
              <w:spacing w:after="0"/>
              <w:rPr>
                <w:sz w:val="20"/>
                <w:szCs w:val="20"/>
                <w:color w:val="auto"/>
              </w:rPr>
            </w:pPr>
            <w:r>
              <w:rPr>
                <w:rFonts w:ascii="Arial" w:cs="Arial" w:eastAsia="Arial" w:hAnsi="Arial"/>
                <w:sz w:val="18"/>
                <w:szCs w:val="18"/>
                <w:color w:val="auto"/>
              </w:rPr>
              <w:t>By: /s/ Michael Fishman</w:t>
            </w:r>
          </w:p>
        </w:tc>
      </w:tr>
      <w:tr>
        <w:trPr>
          <w:trHeight w:val="202"/>
        </w:trPr>
        <w:tc>
          <w:tcPr>
            <w:tcW w:w="38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Michael Fishman</w:t>
            </w:r>
          </w:p>
        </w:tc>
      </w:tr>
      <w:tr>
        <w:trPr>
          <w:trHeight w:val="222"/>
        </w:trPr>
        <w:tc>
          <w:tcPr>
            <w:tcW w:w="38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Co-Chief Executive Officer</w:t>
            </w:r>
          </w:p>
        </w:tc>
      </w:tr>
    </w:tbl>
    <w:p>
      <w:pPr>
        <w:sectPr>
          <w:pgSz w:w="11900" w:h="16838" w:orient="portrait"/>
          <w:cols w:equalWidth="0" w:num="1">
            <w:col w:w="11420"/>
          </w:cols>
          <w:pgMar w:left="240" w:top="125" w:right="239" w:bottom="1440"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b w:val="1"/>
          <w:bCs w:val="1"/>
          <w:color w:val="auto"/>
        </w:rPr>
        <w:t>Exhibit 31.3</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Alan Kirshenbaum, certify that:</w:t>
      </w:r>
    </w:p>
    <w:p>
      <w:pPr>
        <w:spacing w:after="0" w:line="90" w:lineRule="exact"/>
        <w:rPr>
          <w:sz w:val="20"/>
          <w:szCs w:val="20"/>
          <w:color w:val="auto"/>
        </w:rPr>
      </w:pPr>
    </w:p>
    <w:p>
      <w:pPr>
        <w:ind w:left="900" w:hanging="446"/>
        <w:spacing w:after="0"/>
        <w:tabs>
          <w:tab w:leader="none" w:pos="90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TPG Specialty Lending,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22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ind w:left="1920" w:right="200" w:hanging="440"/>
        <w:spacing w:after="0" w:line="306" w:lineRule="auto"/>
        <w:tabs>
          <w:tab w:leader="none" w:pos="1920" w:val="left"/>
        </w:tabs>
        <w:numPr>
          <w:ilvl w:val="1"/>
          <w:numId w:val="22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25" w:lineRule="exact"/>
        <w:rPr>
          <w:rFonts w:ascii="Arial" w:cs="Arial" w:eastAsia="Arial" w:hAnsi="Arial"/>
          <w:sz w:val="16"/>
          <w:szCs w:val="16"/>
          <w:color w:val="auto"/>
        </w:rPr>
      </w:pPr>
    </w:p>
    <w:p>
      <w:pPr>
        <w:jc w:val="both"/>
        <w:ind w:left="1920" w:hanging="440"/>
        <w:spacing w:after="0" w:line="357" w:lineRule="auto"/>
        <w:tabs>
          <w:tab w:leader="none" w:pos="1920" w:val="left"/>
        </w:tabs>
        <w:numPr>
          <w:ilvl w:val="1"/>
          <w:numId w:val="22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259" w:lineRule="auto"/>
        <w:tabs>
          <w:tab w:leader="none" w:pos="192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920" w:right="240" w:hanging="440"/>
        <w:spacing w:after="0" w:line="332" w:lineRule="auto"/>
        <w:tabs>
          <w:tab w:leader="none" w:pos="1920" w:val="left"/>
        </w:tabs>
        <w:numPr>
          <w:ilvl w:val="1"/>
          <w:numId w:val="2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Date: November 3, 2014</w:t>
            </w:r>
          </w:p>
        </w:tc>
        <w:tc>
          <w:tcPr>
            <w:tcW w:w="7580" w:type="dxa"/>
            <w:vAlign w:val="bottom"/>
            <w:gridSpan w:val="2"/>
          </w:tcPr>
          <w:p>
            <w:pPr>
              <w:ind w:left="2080"/>
              <w:spacing w:after="0"/>
              <w:rPr>
                <w:sz w:val="20"/>
                <w:szCs w:val="20"/>
                <w:color w:val="auto"/>
              </w:rPr>
            </w:pPr>
            <w:r>
              <w:rPr>
                <w:rFonts w:ascii="Arial" w:cs="Arial" w:eastAsia="Arial" w:hAnsi="Arial"/>
                <w:sz w:val="18"/>
                <w:szCs w:val="18"/>
                <w:color w:val="auto"/>
              </w:rPr>
              <w:t>By: /s/ Alan Kirshenbaum</w:t>
            </w:r>
          </w:p>
        </w:tc>
      </w:tr>
      <w:tr>
        <w:trPr>
          <w:trHeight w:val="202"/>
        </w:trPr>
        <w:tc>
          <w:tcPr>
            <w:tcW w:w="38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Alan Kirshenbaum</w:t>
            </w:r>
          </w:p>
        </w:tc>
      </w:tr>
      <w:tr>
        <w:trPr>
          <w:trHeight w:val="222"/>
        </w:trPr>
        <w:tc>
          <w:tcPr>
            <w:tcW w:w="38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25" w:right="239" w:bottom="1440"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connection with the quarterly report on Form 10-Q of TPG Specialty Lending, Inc. (the “Company”) for the quarterly period ended September 30, 2014, as filed with the Securities and Exchange Commission on the date hereof (the “Report”), Joshua Easterly and Michael Fishman, as Co-Chief Executive Officers of the Company, and Alan Kirshenbaum, as Chief Financial Officer of the Company, each hereby certifies, pursuant to 18 U.S.C. § 1350, as adopted pursuant to § 906 of the Sarbanes-Oxley Act of 2002, that, to such officer’s knowledge:</w:t>
      </w:r>
    </w:p>
    <w:p>
      <w:pPr>
        <w:spacing w:after="0" w:line="62" w:lineRule="exact"/>
        <w:rPr>
          <w:sz w:val="20"/>
          <w:szCs w:val="20"/>
          <w:color w:val="auto"/>
        </w:rPr>
      </w:pPr>
    </w:p>
    <w:p>
      <w:pPr>
        <w:ind w:left="720" w:hanging="256"/>
        <w:spacing w:after="0"/>
        <w:tabs>
          <w:tab w:leader="none" w:pos="72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Joshua Easterly</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Co-Chief Executive Officer</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3, 2014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Michael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Michael Fishman</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Co-Chief Executive Officer</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3, 2014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Alan Kirshenbaum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Alan Kirshenbaum</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3, 2014</w:t>
      </w:r>
    </w:p>
    <w:p>
      <w:pPr>
        <w:spacing w:after="0" w:line="16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E6D486"/>
    <w:multiLevelType w:val="hybridMultilevel"/>
    <w:lvl w:ilvl="0">
      <w:lvlJc w:val="left"/>
      <w:lvlText w:val="☒"/>
      <w:numFmt w:val="bullet"/>
      <w:start w:val="1"/>
    </w:lvl>
  </w:abstractNum>
  <w:abstractNum w:abstractNumId="1">
    <w:nsid w:val="5C10FE21"/>
    <w:multiLevelType w:val="hybridMultilevel"/>
    <w:lvl w:ilvl="0">
      <w:lvlJc w:val="left"/>
      <w:lvlText w:val="☐"/>
      <w:numFmt w:val="bullet"/>
      <w:start w:val="1"/>
    </w:lvl>
  </w:abstractNum>
  <w:abstractNum w:abstractNumId="2">
    <w:nsid w:val="E7FFA2B"/>
    <w:multiLevelType w:val="hybridMultilevel"/>
    <w:lvl w:ilvl="0">
      <w:lvlJc w:val="left"/>
      <w:lvlText w:val="•"/>
      <w:numFmt w:val="bullet"/>
      <w:start w:val="1"/>
    </w:lvl>
  </w:abstractNum>
  <w:abstractNum w:abstractNumId="3">
    <w:nsid w:val="3C5991AA"/>
    <w:multiLevelType w:val="hybridMultilevel"/>
    <w:lvl w:ilvl="0">
      <w:lvlJc w:val="left"/>
      <w:lvlText w:val="(%1)"/>
      <w:numFmt w:val="decimal"/>
      <w:start w:val="1"/>
    </w:lvl>
  </w:abstractNum>
  <w:abstractNum w:abstractNumId="4">
    <w:nsid w:val="4BD8591A"/>
    <w:multiLevelType w:val="hybridMultilevel"/>
    <w:lvl w:ilvl="0">
      <w:lvlJc w:val="left"/>
      <w:lvlText w:val="(%1)"/>
      <w:numFmt w:val="decimal"/>
      <w:start w:val="1"/>
    </w:lvl>
  </w:abstractNum>
  <w:abstractNum w:abstractNumId="5">
    <w:nsid w:val="78DF6A55"/>
    <w:multiLevelType w:val="hybridMultilevel"/>
    <w:lvl w:ilvl="0">
      <w:lvlJc w:val="left"/>
      <w:lvlText w:val="(%1)"/>
      <w:numFmt w:val="lowerLetter"/>
      <w:start w:val="1"/>
    </w:lvl>
  </w:abstractNum>
  <w:abstractNum w:abstractNumId="6">
    <w:nsid w:val="39B7AAA2"/>
    <w:multiLevelType w:val="hybridMultilevel"/>
    <w:lvl w:ilvl="0">
      <w:lvlJc w:val="left"/>
      <w:lvlText w:val="(%1)"/>
      <w:numFmt w:val="decimal"/>
      <w:start w:val="1"/>
    </w:lvl>
  </w:abstractNum>
  <w:abstractNum w:abstractNumId="7">
    <w:nsid w:val="2B0D8DBE"/>
    <w:multiLevelType w:val="hybridMultilevel"/>
    <w:lvl w:ilvl="0">
      <w:lvlJc w:val="left"/>
      <w:lvlText w:val="%1."/>
      <w:numFmt w:val="decimal"/>
      <w:start w:val="1"/>
    </w:lvl>
  </w:abstractNum>
  <w:abstractNum w:abstractNumId="8">
    <w:nsid w:val="6C80EC70"/>
    <w:multiLevelType w:val="hybridMultilevel"/>
    <w:lvl w:ilvl="0">
      <w:lvlJc w:val="left"/>
      <w:lvlText w:val="%1."/>
      <w:numFmt w:val="decimal"/>
      <w:start w:val="2"/>
    </w:lvl>
  </w:abstractNum>
  <w:abstractNum w:abstractNumId="9">
    <w:nsid w:val="379E21B5"/>
    <w:multiLevelType w:val="hybridMultilevel"/>
    <w:lvl w:ilvl="0">
      <w:lvlJc w:val="left"/>
      <w:lvlText w:val="•"/>
      <w:numFmt w:val="bullet"/>
      <w:start w:val="1"/>
    </w:lvl>
  </w:abstractNum>
  <w:abstractNum w:abstractNumId="10">
    <w:nsid w:val="69E373"/>
    <w:multiLevelType w:val="hybridMultilevel"/>
    <w:lvl w:ilvl="0">
      <w:lvlJc w:val="left"/>
      <w:lvlText w:val="•"/>
      <w:numFmt w:val="bullet"/>
      <w:start w:val="1"/>
    </w:lvl>
  </w:abstractNum>
  <w:abstractNum w:abstractNumId="11">
    <w:nsid w:val="2C27173B"/>
    <w:multiLevelType w:val="hybridMultilevel"/>
    <w:lvl w:ilvl="0">
      <w:lvlJc w:val="left"/>
      <w:lvlText w:val="•"/>
      <w:numFmt w:val="bullet"/>
      <w:start w:val="1"/>
    </w:lvl>
  </w:abstractNum>
  <w:abstractNum w:abstractNumId="12">
    <w:nsid w:val="4C9B0904"/>
    <w:multiLevelType w:val="hybridMultilevel"/>
    <w:lvl w:ilvl="0">
      <w:lvlJc w:val="left"/>
      <w:lvlText w:val="%1."/>
      <w:numFmt w:val="decimal"/>
      <w:start w:val="3"/>
    </w:lvl>
  </w:abstractNum>
  <w:abstractNum w:abstractNumId="13">
    <w:nsid w:val="6AA7B75C"/>
    <w:multiLevelType w:val="hybridMultilevel"/>
    <w:lvl w:ilvl="0">
      <w:lvlJc w:val="left"/>
      <w:lvlText w:val="(%1)"/>
      <w:numFmt w:val="lowerRoman"/>
      <w:start w:val="1"/>
    </w:lvl>
  </w:abstractNum>
  <w:abstractNum w:abstractNumId="14">
    <w:nsid w:val="1DF029D3"/>
    <w:multiLevelType w:val="hybridMultilevel"/>
    <w:lvl w:ilvl="0">
      <w:lvlJc w:val="left"/>
      <w:lvlText w:val="(%1)"/>
      <w:numFmt w:val="lowerRoman"/>
      <w:start w:val="2"/>
    </w:lvl>
  </w:abstractNum>
  <w:abstractNum w:abstractNumId="15">
    <w:nsid w:val="5675FF36"/>
    <w:multiLevelType w:val="hybridMultilevel"/>
    <w:lvl w:ilvl="0">
      <w:lvlJc w:val="left"/>
      <w:lvlText w:val="•"/>
      <w:numFmt w:val="bullet"/>
      <w:start w:val="1"/>
    </w:lvl>
  </w:abstractNum>
  <w:abstractNum w:abstractNumId="16">
    <w:nsid w:val="3DD15094"/>
    <w:multiLevelType w:val="hybridMultilevel"/>
    <w:lvl w:ilvl="0">
      <w:lvlJc w:val="left"/>
      <w:lvlText w:val="(%1)"/>
      <w:numFmt w:val="decimal"/>
      <w:start w:val="1"/>
    </w:lvl>
  </w:abstractNum>
  <w:abstractNum w:abstractNumId="17">
    <w:nsid w:val="3DB012B3"/>
    <w:multiLevelType w:val="hybridMultilevel"/>
    <w:lvl w:ilvl="0">
      <w:lvlJc w:val="left"/>
      <w:lvlText w:val="%1."/>
      <w:numFmt w:val="decimal"/>
      <w:start w:val="5"/>
    </w:lvl>
  </w:abstractNum>
  <w:abstractNum w:abstractNumId="18">
    <w:nsid w:val="2708C9AF"/>
    <w:multiLevelType w:val="hybridMultilevel"/>
    <w:lvl w:ilvl="0">
      <w:lvlJc w:val="left"/>
      <w:lvlText w:val="%1."/>
      <w:numFmt w:val="decimal"/>
      <w:start w:val="6"/>
    </w:lvl>
  </w:abstractNum>
  <w:abstractNum w:abstractNumId="19">
    <w:nsid w:val="5B25ACE2"/>
    <w:multiLevelType w:val="hybridMultilevel"/>
    <w:lvl w:ilvl="0">
      <w:lvlJc w:val="left"/>
      <w:lvlText w:val="(%1)"/>
      <w:numFmt w:val="decimal"/>
      <w:start w:val="1"/>
    </w:lvl>
  </w:abstractNum>
  <w:abstractNum w:abstractNumId="20">
    <w:nsid w:val="175DFCF0"/>
    <w:multiLevelType w:val="hybridMultilevel"/>
    <w:lvl w:ilvl="0">
      <w:lvlJc w:val="left"/>
      <w:lvlText w:val="(%1)"/>
      <w:numFmt w:val="decimal"/>
      <w:start w:val="1"/>
    </w:lvl>
  </w:abstractNum>
  <w:abstractNum w:abstractNumId="21">
    <w:nsid w:val="4F97E3E4"/>
    <w:multiLevelType w:val="hybridMultilevel"/>
    <w:lvl w:ilvl="0">
      <w:lvlJc w:val="left"/>
      <w:lvlText w:val="(%1)"/>
      <w:numFmt w:val="decimal"/>
      <w:start w:val="3"/>
    </w:lvl>
  </w:abstractNum>
  <w:abstractNum w:abstractNumId="22">
    <w:nsid w:val="53B0A9E"/>
    <w:multiLevelType w:val="hybridMultilevel"/>
    <w:lvl w:ilvl="0">
      <w:lvlJc w:val="left"/>
      <w:lvlText w:val="•"/>
      <w:numFmt w:val="bullet"/>
      <w:start w:val="1"/>
    </w:lvl>
    <w:lvl w:ilvl="1">
      <w:lvlJc w:val="left"/>
      <w:lvlText w:val="•"/>
      <w:numFmt w:val="bullet"/>
      <w:start w:val="1"/>
    </w:lvl>
  </w:abstractNum>
  <w:abstractNum w:abstractNumId="23">
    <w:nsid w:val="34FD6B4F"/>
    <w:multiLevelType w:val="hybridMultilevel"/>
    <w:lvl w:ilvl="0">
      <w:lvlJc w:val="left"/>
      <w:lvlText w:val="•"/>
      <w:numFmt w:val="bullet"/>
      <w:start w:val="1"/>
    </w:lvl>
  </w:abstractNum>
  <w:abstractNum w:abstractNumId="24">
    <w:nsid w:val="5915FF32"/>
    <w:multiLevelType w:val="hybridMultilevel"/>
    <w:lvl w:ilvl="0">
      <w:lvlJc w:val="left"/>
      <w:lvlText w:val="•"/>
      <w:numFmt w:val="bullet"/>
      <w:start w:val="1"/>
    </w:lvl>
  </w:abstractNum>
  <w:abstractNum w:abstractNumId="25">
    <w:nsid w:val="56438D15"/>
    <w:multiLevelType w:val="hybridMultilevel"/>
    <w:lvl w:ilvl="0">
      <w:lvlJc w:val="left"/>
      <w:lvlText w:val="•"/>
      <w:numFmt w:val="bullet"/>
      <w:start w:val="1"/>
    </w:lvl>
  </w:abstractNum>
  <w:abstractNum w:abstractNumId="26">
    <w:nsid w:val="519E3149"/>
    <w:multiLevelType w:val="hybridMultilevel"/>
    <w:lvl w:ilvl="0">
      <w:lvlJc w:val="left"/>
      <w:lvlText w:val="%1."/>
      <w:numFmt w:val="decimal"/>
      <w:start w:val="8"/>
    </w:lvl>
  </w:abstractNum>
  <w:abstractNum w:abstractNumId="27">
    <w:nsid w:val="2C6E4AFD"/>
    <w:multiLevelType w:val="hybridMultilevel"/>
    <w:lvl w:ilvl="0">
      <w:lvlJc w:val="left"/>
      <w:lvlText w:val="(%1)"/>
      <w:numFmt w:val="decimal"/>
      <w:start w:val="1"/>
    </w:lvl>
  </w:abstractNum>
  <w:abstractNum w:abstractNumId="28">
    <w:nsid w:val="17A1B582"/>
    <w:multiLevelType w:val="hybridMultilevel"/>
    <w:lvl w:ilvl="0">
      <w:lvlJc w:val="left"/>
      <w:lvlText w:val="(%1)"/>
      <w:numFmt w:val="decimal"/>
      <w:start w:val="1"/>
    </w:lvl>
  </w:abstractNum>
  <w:abstractNum w:abstractNumId="29">
    <w:nsid w:val="4DF72E4E"/>
    <w:multiLevelType w:val="hybridMultilevel"/>
    <w:lvl w:ilvl="0">
      <w:lvlJc w:val="left"/>
      <w:lvlText w:val="(%1)"/>
      <w:numFmt w:val="decimal"/>
      <w:start w:val="1"/>
    </w:lvl>
  </w:abstractNum>
  <w:abstractNum w:abstractNumId="30">
    <w:nsid w:val="5046B5A9"/>
    <w:multiLevelType w:val="hybridMultilevel"/>
    <w:lvl w:ilvl="0">
      <w:lvlJc w:val="left"/>
      <w:lvlText w:val="(%1)"/>
      <w:numFmt w:val="decimal"/>
      <w:start w:val="1"/>
    </w:lvl>
  </w:abstractNum>
  <w:abstractNum w:abstractNumId="31">
    <w:nsid w:val="5D888A08"/>
    <w:multiLevelType w:val="hybridMultilevel"/>
    <w:lvl w:ilvl="0">
      <w:lvlJc w:val="left"/>
      <w:lvlText w:val="(%1)"/>
      <w:numFmt w:val="decimal"/>
      <w:start w:val="1"/>
    </w:lvl>
  </w:abstractNum>
  <w:abstractNum w:abstractNumId="32">
    <w:nsid w:val="2A082C70"/>
    <w:multiLevelType w:val="hybridMultilevel"/>
    <w:lvl w:ilvl="0">
      <w:lvlJc w:val="left"/>
      <w:lvlText w:val="•"/>
      <w:numFmt w:val="bullet"/>
      <w:start w:val="1"/>
    </w:lvl>
  </w:abstractNum>
  <w:abstractNum w:abstractNumId="33">
    <w:nsid w:val="5EC6AFD4"/>
    <w:multiLevelType w:val="hybridMultilevel"/>
    <w:lvl w:ilvl="0">
      <w:lvlJc w:val="left"/>
      <w:lvlText w:val="•"/>
      <w:numFmt w:val="bullet"/>
      <w:start w:val="1"/>
    </w:lvl>
  </w:abstractNum>
  <w:abstractNum w:abstractNumId="34">
    <w:nsid w:val="19E21BB2"/>
    <w:multiLevelType w:val="hybridMultilevel"/>
    <w:lvl w:ilvl="0">
      <w:lvlJc w:val="left"/>
      <w:lvlText w:val="•"/>
      <w:numFmt w:val="bullet"/>
      <w:start w:val="1"/>
    </w:lvl>
  </w:abstractNum>
  <w:abstractNum w:abstractNumId="35">
    <w:nsid w:val="75E0858A"/>
    <w:multiLevelType w:val="hybridMultilevel"/>
    <w:lvl w:ilvl="0">
      <w:lvlJc w:val="left"/>
      <w:lvlText w:val="(%1)"/>
      <w:numFmt w:val="decimal"/>
      <w:start w:val="1"/>
    </w:lvl>
  </w:abstractNum>
  <w:abstractNum w:abstractNumId="36">
    <w:nsid w:val="57A61A29"/>
    <w:multiLevelType w:val="hybridMultilevel"/>
    <w:lvl w:ilvl="0">
      <w:lvlJc w:val="left"/>
      <w:lvlText w:val="•"/>
      <w:numFmt w:val="bullet"/>
      <w:start w:val="1"/>
    </w:lvl>
  </w:abstractNum>
  <w:abstractNum w:abstractNumId="37">
    <w:nsid w:val="5399C654"/>
    <w:multiLevelType w:val="hybridMultilevel"/>
    <w:lvl w:ilvl="0">
      <w:lvlJc w:val="left"/>
      <w:lvlText w:val="•"/>
      <w:numFmt w:val="bullet"/>
      <w:start w:val="1"/>
    </w:lvl>
  </w:abstractNum>
  <w:abstractNum w:abstractNumId="38">
    <w:nsid w:val="20EE1348"/>
    <w:multiLevelType w:val="hybridMultilevel"/>
    <w:lvl w:ilvl="0">
      <w:lvlJc w:val="left"/>
      <w:lvlText w:val="(%1)"/>
      <w:numFmt w:val="decimal"/>
      <w:start w:val="1"/>
    </w:lvl>
  </w:abstractNum>
  <w:abstractNum w:abstractNumId="39">
    <w:nsid w:val="4427069A"/>
    <w:multiLevelType w:val="hybridMultilevel"/>
    <w:lvl w:ilvl="0">
      <w:lvlJc w:val="left"/>
      <w:lvlText w:val="•"/>
      <w:numFmt w:val="bullet"/>
      <w:start w:val="1"/>
    </w:lvl>
  </w:abstractNum>
  <w:abstractNum w:abstractNumId="40">
    <w:nsid w:val="B37E80A"/>
    <w:multiLevelType w:val="hybridMultilevel"/>
    <w:lvl w:ilvl="0">
      <w:lvlJc w:val="left"/>
      <w:lvlText w:val="(%1)"/>
      <w:numFmt w:val="decimal"/>
      <w:start w:val="1"/>
    </w:lvl>
  </w:abstractNum>
  <w:abstractNum w:abstractNumId="41">
    <w:nsid w:val="2157F6BC"/>
    <w:multiLevelType w:val="hybridMultilevel"/>
    <w:lvl w:ilvl="0">
      <w:lvlJc w:val="left"/>
      <w:lvlText w:val="•"/>
      <w:numFmt w:val="bullet"/>
      <w:start w:val="1"/>
    </w:lvl>
    <w:lvl w:ilvl="1">
      <w:lvlJc w:val="left"/>
      <w:lvlText w:val="•"/>
      <w:numFmt w:val="bullet"/>
      <w:start w:val="1"/>
    </w:lvl>
  </w:abstractNum>
  <w:abstractNum w:abstractNumId="42">
    <w:nsid w:val="704E1DD5"/>
    <w:multiLevelType w:val="hybridMultilevel"/>
    <w:lvl w:ilvl="0">
      <w:lvlJc w:val="left"/>
      <w:lvlText w:val="•"/>
      <w:numFmt w:val="bullet"/>
      <w:start w:val="1"/>
    </w:lvl>
  </w:abstractNum>
  <w:abstractNum w:abstractNumId="43">
    <w:nsid w:val="57D2F10E"/>
    <w:multiLevelType w:val="hybridMultilevel"/>
    <w:lvl w:ilvl="0">
      <w:lvlJc w:val="left"/>
      <w:lvlText w:val="•"/>
      <w:numFmt w:val="bullet"/>
      <w:start w:val="1"/>
    </w:lvl>
  </w:abstractNum>
  <w:abstractNum w:abstractNumId="44">
    <w:nsid w:val="BFFAE18"/>
    <w:multiLevelType w:val="hybridMultilevel"/>
    <w:lvl w:ilvl="0">
      <w:lvlJc w:val="left"/>
      <w:lvlText w:val="•"/>
      <w:numFmt w:val="bullet"/>
      <w:start w:val="1"/>
    </w:lvl>
  </w:abstractNum>
  <w:abstractNum w:abstractNumId="45">
    <w:nsid w:val="E3E47A8"/>
    <w:multiLevelType w:val="hybridMultilevel"/>
    <w:lvl w:ilvl="0">
      <w:lvlJc w:val="left"/>
      <w:lvlText w:val="•"/>
      <w:numFmt w:val="bullet"/>
      <w:start w:val="1"/>
    </w:lvl>
  </w:abstractNum>
  <w:abstractNum w:abstractNumId="46">
    <w:nsid w:val="2E48F044"/>
    <w:multiLevelType w:val="hybridMultilevel"/>
    <w:lvl w:ilvl="0">
      <w:lvlJc w:val="left"/>
      <w:lvlText w:val="•"/>
      <w:numFmt w:val="bullet"/>
      <w:start w:val="1"/>
    </w:lvl>
  </w:abstractNum>
  <w:abstractNum w:abstractNumId="47">
    <w:nsid w:val="49D0FEAC"/>
    <w:multiLevelType w:val="hybridMultilevel"/>
    <w:lvl w:ilvl="0">
      <w:lvlJc w:val="left"/>
      <w:lvlText w:val="•"/>
      <w:numFmt w:val="bullet"/>
      <w:start w:val="1"/>
    </w:lvl>
  </w:abstractNum>
  <w:abstractNum w:abstractNumId="48">
    <w:nsid w:val="4BEE5A5B"/>
    <w:multiLevelType w:val="hybridMultilevel"/>
    <w:lvl w:ilvl="0">
      <w:lvlJc w:val="left"/>
      <w:lvlText w:val="•"/>
      <w:numFmt w:val="bullet"/>
      <w:start w:val="1"/>
    </w:lvl>
  </w:abstractNum>
  <w:abstractNum w:abstractNumId="49">
    <w:nsid w:val="5551B9F3"/>
    <w:multiLevelType w:val="hybridMultilevel"/>
    <w:lvl w:ilvl="0">
      <w:lvlJc w:val="left"/>
      <w:lvlText w:val="%1"/>
      <w:numFmt w:val="decimal"/>
      <w:start w:val="32"/>
    </w:lvl>
  </w:abstractNum>
  <w:abstractNum w:abstractNumId="50">
    <w:nsid w:val="24F6AB8E"/>
    <w:multiLevelType w:val="hybridMultilevel"/>
    <w:lvl w:ilvl="0">
      <w:lvlJc w:val="left"/>
      <w:lvlText w:val="%1"/>
      <w:numFmt w:val="lowerLetter"/>
      <w:start w:val="1"/>
    </w:lvl>
    <w:lvl w:ilvl="1">
      <w:lvlJc w:val="left"/>
      <w:lvlText w:val="(%2)"/>
      <w:numFmt w:val="lowerLetter"/>
      <w:start w:val="1"/>
    </w:lvl>
  </w:abstractNum>
  <w:abstractNum w:abstractNumId="51">
    <w:nsid w:val="634C574C"/>
    <w:multiLevelType w:val="hybridMultilevel"/>
    <w:lvl w:ilvl="0">
      <w:lvlJc w:val="left"/>
      <w:lvlText w:val="(%1)"/>
      <w:numFmt w:val="lowerLetter"/>
      <w:start w:val="9"/>
    </w:lvl>
    <w:lvl w:ilvl="1">
      <w:lvlJc w:val="left"/>
      <w:lvlText w:val="(%2)"/>
      <w:numFmt w:val="lowerLetter"/>
      <w:start w:val="4"/>
    </w:lvl>
  </w:abstractNum>
  <w:abstractNum w:abstractNumId="52">
    <w:nsid w:val="24E99DD7"/>
    <w:multiLevelType w:val="hybridMultilevel"/>
    <w:lvl w:ilvl="0">
      <w:lvlJc w:val="left"/>
      <w:lvlText w:val="(%1)"/>
      <w:numFmt w:val="decimal"/>
      <w:start w:val="9"/>
    </w:lvl>
  </w:abstractNum>
  <w:abstractNum w:abstractNumId="53">
    <w:nsid w:val="2A31B62D"/>
    <w:multiLevelType w:val="hybridMultilevel"/>
    <w:lvl w:ilvl="0">
      <w:lvlJc w:val="left"/>
      <w:lvlText w:val="(%1)"/>
      <w:numFmt w:val="lowerRoman"/>
      <w:start w:val="2"/>
    </w:lvl>
  </w:abstractNum>
  <w:abstractNum w:abstractNumId="54">
    <w:nsid w:val="1849C29B"/>
    <w:multiLevelType w:val="hybridMultilevel"/>
    <w:lvl w:ilvl="0">
      <w:lvlJc w:val="left"/>
      <w:lvlText w:val="(%1)"/>
      <w:numFmt w:val="lowerLetter"/>
      <w:start w:val="1"/>
    </w:lvl>
  </w:abstractNum>
  <w:abstractNum w:abstractNumId="55">
    <w:nsid w:val="7DFF9D09"/>
    <w:multiLevelType w:val="hybridMultilevel"/>
    <w:lvl w:ilvl="0">
      <w:lvlJc w:val="left"/>
      <w:lvlText w:val="(%1)"/>
      <w:numFmt w:val="lowerLetter"/>
      <w:start w:val="2"/>
    </w:lvl>
  </w:abstractNum>
  <w:abstractNum w:abstractNumId="56">
    <w:nsid w:val="754342"/>
    <w:multiLevelType w:val="hybridMultilevel"/>
    <w:lvl w:ilvl="0">
      <w:lvlJc w:val="left"/>
      <w:lvlText w:val="(%1)"/>
      <w:numFmt w:val="lowerLetter"/>
      <w:start w:val="1"/>
    </w:lvl>
  </w:abstractNum>
  <w:abstractNum w:abstractNumId="57">
    <w:nsid w:val="69E7F3E5"/>
    <w:multiLevelType w:val="hybridMultilevel"/>
    <w:lvl w:ilvl="0">
      <w:lvlJc w:val="left"/>
      <w:lvlText w:val="(%1)"/>
      <w:numFmt w:val="lowerLetter"/>
      <w:start w:val="2"/>
    </w:lvl>
  </w:abstractNum>
  <w:abstractNum w:abstractNumId="58">
    <w:nsid w:val="2A6DE806"/>
    <w:multiLevelType w:val="hybridMultilevel"/>
    <w:lvl w:ilvl="0">
      <w:lvlJc w:val="left"/>
      <w:lvlText w:val="(%1)"/>
      <w:numFmt w:val="lowerLetter"/>
      <w:start w:val="1"/>
    </w:lvl>
  </w:abstractNum>
  <w:abstractNum w:abstractNumId="59">
    <w:nsid w:val="1816F8C4"/>
    <w:multiLevelType w:val="hybridMultilevel"/>
    <w:lvl w:ilvl="0">
      <w:lvlJc w:val="left"/>
      <w:lvlText w:val="(%1)"/>
      <w:numFmt w:val="lowerLetter"/>
      <w:start w:val="2"/>
    </w:lvl>
  </w:abstractNum>
  <w:abstractNum w:abstractNumId="60">
    <w:nsid w:val="37DF2233"/>
    <w:multiLevelType w:val="hybridMultilevel"/>
    <w:lvl w:ilvl="0">
      <w:lvlJc w:val="left"/>
      <w:lvlText w:val="(%1)"/>
      <w:numFmt w:val="lowerLetter"/>
      <w:start w:val="1"/>
    </w:lvl>
  </w:abstractNum>
  <w:abstractNum w:abstractNumId="61">
    <w:nsid w:val="7AB49DAF"/>
    <w:multiLevelType w:val="hybridMultilevel"/>
    <w:lvl w:ilvl="0">
      <w:lvlJc w:val="left"/>
      <w:lvlText w:val="(%1)"/>
      <w:numFmt w:val="lowerLetter"/>
      <w:start w:val="1"/>
    </w:lvl>
  </w:abstractNum>
  <w:abstractNum w:abstractNumId="62">
    <w:nsid w:val="759F82CD"/>
    <w:multiLevelType w:val="hybridMultilevel"/>
    <w:lvl w:ilvl="0">
      <w:lvlJc w:val="left"/>
      <w:lvlText w:val="(%1)"/>
      <w:numFmt w:val="lowerLetter"/>
      <w:start w:val="1"/>
    </w:lvl>
  </w:abstractNum>
  <w:abstractNum w:abstractNumId="63">
    <w:nsid w:val="61E74EA3"/>
    <w:multiLevelType w:val="hybridMultilevel"/>
    <w:lvl w:ilvl="0">
      <w:lvlJc w:val="left"/>
      <w:lvlText w:val="%1"/>
      <w:numFmt w:val="lowerLetter"/>
      <w:start w:val="1"/>
    </w:lvl>
    <w:lvl w:ilvl="1">
      <w:lvlJc w:val="left"/>
      <w:lvlText w:val="(%2)"/>
      <w:numFmt w:val="lowerLetter"/>
      <w:start w:val="1"/>
    </w:lvl>
  </w:abstractNum>
  <w:abstractNum w:abstractNumId="64">
    <w:nsid w:val="597B4D84"/>
    <w:multiLevelType w:val="hybridMultilevel"/>
    <w:lvl w:ilvl="0">
      <w:lvlJc w:val="left"/>
      <w:lvlText w:val="(%1)"/>
      <w:numFmt w:val="lowerLetter"/>
      <w:start w:val="35"/>
    </w:lvl>
    <w:lvl w:ilvl="1">
      <w:lvlJc w:val="left"/>
      <w:lvlText w:val="(%2)"/>
      <w:numFmt w:val="lowerLetter"/>
      <w:start w:val="2"/>
    </w:lvl>
  </w:abstractNum>
  <w:abstractNum w:abstractNumId="65">
    <w:nsid w:val="F819E7F"/>
    <w:multiLevelType w:val="hybridMultilevel"/>
    <w:lvl w:ilvl="0">
      <w:lvlJc w:val="left"/>
      <w:lvlText w:val="(%1)"/>
      <w:numFmt w:val="lowerLetter"/>
      <w:start w:val="1"/>
    </w:lvl>
  </w:abstractNum>
  <w:abstractNum w:abstractNumId="66">
    <w:nsid w:val="57C7D42D"/>
    <w:multiLevelType w:val="hybridMultilevel"/>
    <w:lvl w:ilvl="0">
      <w:lvlJc w:val="left"/>
      <w:lvlText w:val="(%1)"/>
      <w:numFmt w:val="lowerLetter"/>
      <w:start w:val="2"/>
    </w:lvl>
  </w:abstractNum>
  <w:abstractNum w:abstractNumId="67">
    <w:nsid w:val="312167AD"/>
    <w:multiLevelType w:val="hybridMultilevel"/>
    <w:lvl w:ilvl="0">
      <w:lvlJc w:val="left"/>
      <w:lvlText w:val="%1"/>
      <w:numFmt w:val="lowerLetter"/>
      <w:start w:val="1"/>
    </w:lvl>
    <w:lvl w:ilvl="1">
      <w:lvlJc w:val="left"/>
      <w:lvlText w:val="(%2)"/>
      <w:numFmt w:val="lowerLetter"/>
      <w:start w:val="1"/>
    </w:lvl>
  </w:abstractNum>
  <w:abstractNum w:abstractNumId="68">
    <w:nsid w:val="631B64D4"/>
    <w:multiLevelType w:val="hybridMultilevel"/>
    <w:lvl w:ilvl="0">
      <w:lvlJc w:val="left"/>
      <w:lvlText w:val="(%1)"/>
      <w:numFmt w:val="lowerLetter"/>
      <w:start w:val="9"/>
    </w:lvl>
    <w:lvl w:ilvl="1">
      <w:lvlJc w:val="left"/>
      <w:lvlText w:val="(%2)"/>
      <w:numFmt w:val="lowerLetter"/>
      <w:start w:val="2"/>
    </w:lvl>
  </w:abstractNum>
  <w:abstractNum w:abstractNumId="69">
    <w:nsid w:val="78B5E776"/>
    <w:multiLevelType w:val="hybridMultilevel"/>
    <w:lvl w:ilvl="0">
      <w:lvlJc w:val="left"/>
      <w:lvlText w:val="(%1)"/>
      <w:numFmt w:val="lowerRoman"/>
      <w:start w:val="1"/>
    </w:lvl>
    <w:lvl w:ilvl="1">
      <w:lvlJc w:val="left"/>
      <w:lvlText w:val="(%2)"/>
      <w:numFmt w:val="lowerLetter"/>
      <w:start w:val="3"/>
    </w:lvl>
  </w:abstractNum>
  <w:abstractNum w:abstractNumId="70">
    <w:nsid w:val="75486E47"/>
    <w:multiLevelType w:val="hybridMultilevel"/>
    <w:lvl w:ilvl="0">
      <w:lvlJc w:val="left"/>
      <w:lvlText w:val="(%1)"/>
      <w:numFmt w:val="lowerLetter"/>
      <w:start w:val="1"/>
    </w:lvl>
  </w:abstractNum>
  <w:abstractNum w:abstractNumId="71">
    <w:nsid w:val="6E534CDE"/>
    <w:multiLevelType w:val="hybridMultilevel"/>
    <w:lvl w:ilvl="0">
      <w:lvlJc w:val="left"/>
      <w:lvlText w:val="(%1)"/>
      <w:numFmt w:val="lowerLetter"/>
      <w:start w:val="2"/>
    </w:lvl>
  </w:abstractNum>
  <w:abstractNum w:abstractNumId="72">
    <w:nsid w:val="1A0DDE32"/>
    <w:multiLevelType w:val="hybridMultilevel"/>
    <w:lvl w:ilvl="0">
      <w:lvlJc w:val="left"/>
      <w:lvlText w:val="(%1)"/>
      <w:numFmt w:val="lowerLetter"/>
      <w:start w:val="4"/>
    </w:lvl>
  </w:abstractNum>
  <w:abstractNum w:abstractNumId="73">
    <w:nsid w:val="65968C1C"/>
    <w:multiLevelType w:val="hybridMultilevel"/>
    <w:lvl w:ilvl="0">
      <w:lvlJc w:val="left"/>
      <w:lvlText w:val="(%1)"/>
      <w:numFmt w:val="lowerLetter"/>
      <w:start w:val="1"/>
    </w:lvl>
  </w:abstractNum>
  <w:abstractNum w:abstractNumId="74">
    <w:nsid w:val="46263DEC"/>
    <w:multiLevelType w:val="hybridMultilevel"/>
    <w:lvl w:ilvl="0">
      <w:lvlJc w:val="left"/>
      <w:lvlText w:val="(%1)"/>
      <w:numFmt w:val="lowerLetter"/>
      <w:start w:val="2"/>
    </w:lvl>
  </w:abstractNum>
  <w:abstractNum w:abstractNumId="75">
    <w:nsid w:val="260D8C4A"/>
    <w:multiLevelType w:val="hybridMultilevel"/>
    <w:lvl w:ilvl="0">
      <w:lvlJc w:val="left"/>
      <w:lvlText w:val="(%1)"/>
      <w:numFmt w:val="lowerLetter"/>
      <w:start w:val="6"/>
    </w:lvl>
  </w:abstractNum>
  <w:abstractNum w:abstractNumId="76">
    <w:nsid w:val="73D4D3C4"/>
    <w:multiLevelType w:val="hybridMultilevel"/>
    <w:lvl w:ilvl="0">
      <w:lvlJc w:val="left"/>
      <w:lvlText w:val="(%1)"/>
      <w:numFmt w:val="lowerLetter"/>
      <w:start w:val="7"/>
    </w:lvl>
  </w:abstractNum>
  <w:abstractNum w:abstractNumId="77">
    <w:nsid w:val="746F2E30"/>
    <w:multiLevelType w:val="hybridMultilevel"/>
    <w:lvl w:ilvl="0">
      <w:lvlJc w:val="left"/>
      <w:lvlText w:val="(%1)"/>
      <w:numFmt w:val="lowerRoman"/>
      <w:start w:val="1"/>
    </w:lvl>
  </w:abstractNum>
  <w:abstractNum w:abstractNumId="78">
    <w:nsid w:val="6FDE8AF6"/>
    <w:multiLevelType w:val="hybridMultilevel"/>
    <w:lvl w:ilvl="0">
      <w:lvlJc w:val="left"/>
      <w:lvlText w:val="(%1)"/>
      <w:numFmt w:val="lowerLetter"/>
      <w:start w:val="8"/>
    </w:lvl>
  </w:abstractNum>
  <w:abstractNum w:abstractNumId="79">
    <w:nsid w:val="3FC32E20"/>
    <w:multiLevelType w:val="hybridMultilevel"/>
    <w:lvl w:ilvl="0">
      <w:lvlJc w:val="left"/>
      <w:lvlText w:val="(%1)"/>
      <w:numFmt w:val="lowerLetter"/>
      <w:start w:val="1"/>
    </w:lvl>
  </w:abstractNum>
  <w:abstractNum w:abstractNumId="80">
    <w:nsid w:val="49C0E823"/>
    <w:multiLevelType w:val="hybridMultilevel"/>
    <w:lvl w:ilvl="0">
      <w:lvlJc w:val="left"/>
      <w:lvlText w:val="(%1)"/>
      <w:numFmt w:val="lowerLetter"/>
      <w:start w:val="1"/>
    </w:lvl>
  </w:abstractNum>
  <w:abstractNum w:abstractNumId="81">
    <w:nsid w:val="14D53685"/>
    <w:multiLevelType w:val="hybridMultilevel"/>
    <w:lvl w:ilvl="0">
      <w:lvlJc w:val="left"/>
      <w:lvlText w:val="%1"/>
      <w:numFmt w:val="lowerRoman"/>
      <w:start w:val="1"/>
    </w:lvl>
    <w:lvl w:ilvl="1">
      <w:lvlJc w:val="left"/>
      <w:lvlText w:val="(%2)"/>
      <w:numFmt w:val="lowerLetter"/>
      <w:start w:val="2"/>
    </w:lvl>
  </w:abstractNum>
  <w:abstractNum w:abstractNumId="82">
    <w:nsid w:val="230F856C"/>
    <w:multiLevelType w:val="hybridMultilevel"/>
    <w:lvl w:ilvl="0">
      <w:lvlJc w:val="left"/>
      <w:lvlText w:val="(%1)"/>
      <w:numFmt w:val="lowerRoman"/>
      <w:start w:val="1"/>
    </w:lvl>
    <w:lvl w:ilvl="1">
      <w:lvlJc w:val="left"/>
      <w:lvlText w:val="(%2)"/>
      <w:numFmt w:val="lowerLetter"/>
      <w:start w:val="4"/>
    </w:lvl>
  </w:abstractNum>
  <w:abstractNum w:abstractNumId="83">
    <w:nsid w:val="6EAA85FB"/>
    <w:multiLevelType w:val="hybridMultilevel"/>
    <w:lvl w:ilvl="0">
      <w:lvlJc w:val="left"/>
      <w:lvlText w:val="%1"/>
      <w:numFmt w:val="lowerLetter"/>
      <w:start w:val="1"/>
    </w:lvl>
    <w:lvl w:ilvl="1">
      <w:lvlJc w:val="left"/>
      <w:lvlText w:val="(%2)"/>
      <w:numFmt w:val="lowerLetter"/>
      <w:start w:val="1"/>
    </w:lvl>
  </w:abstractNum>
  <w:abstractNum w:abstractNumId="84">
    <w:nsid w:val="3F06ECB2"/>
    <w:multiLevelType w:val="hybridMultilevel"/>
    <w:lvl w:ilvl="0">
      <w:lvlJc w:val="left"/>
      <w:lvlText w:val="(%1)"/>
      <w:numFmt w:val="lowerLetter"/>
      <w:start w:val="9"/>
    </w:lvl>
    <w:lvl w:ilvl="1">
      <w:lvlJc w:val="left"/>
      <w:lvlText w:val="%2"/>
      <w:numFmt w:val="lowerLetter"/>
      <w:start w:val="1"/>
    </w:lvl>
  </w:abstractNum>
  <w:abstractNum w:abstractNumId="85">
    <w:nsid w:val="3B594807"/>
    <w:multiLevelType w:val="hybridMultilevel"/>
    <w:lvl w:ilvl="0">
      <w:lvlJc w:val="left"/>
      <w:lvlText w:val="%1"/>
      <w:numFmt w:val="lowerRoman"/>
      <w:start w:val="1"/>
    </w:lvl>
    <w:lvl w:ilvl="1">
      <w:lvlJc w:val="left"/>
      <w:lvlText w:val="(%2)"/>
      <w:numFmt w:val="upperLetter"/>
      <w:start w:val="1"/>
    </w:lvl>
  </w:abstractNum>
  <w:abstractNum w:abstractNumId="86">
    <w:nsid w:val="6CAA2304"/>
    <w:multiLevelType w:val="hybridMultilevel"/>
    <w:lvl w:ilvl="0">
      <w:lvlJc w:val="left"/>
      <w:lvlText w:val="(%1)"/>
      <w:numFmt w:val="lowerRoman"/>
      <w:start w:val="2"/>
    </w:lvl>
    <w:lvl w:ilvl="1">
      <w:lvlJc w:val="left"/>
      <w:lvlText w:val="%2"/>
      <w:numFmt w:val="upperLetter"/>
      <w:start w:val="1"/>
    </w:lvl>
  </w:abstractNum>
  <w:abstractNum w:abstractNumId="87">
    <w:nsid w:val="3F7C2FF4"/>
    <w:multiLevelType w:val="hybridMultilevel"/>
    <w:lvl w:ilvl="0">
      <w:lvlJc w:val="left"/>
      <w:lvlText w:val="(%1)"/>
      <w:numFmt w:val="lowerLetter"/>
      <w:start w:val="24"/>
    </w:lvl>
  </w:abstractNum>
  <w:abstractNum w:abstractNumId="88">
    <w:nsid w:val="25413BEC"/>
    <w:multiLevelType w:val="hybridMultilevel"/>
    <w:lvl w:ilvl="0">
      <w:lvlJc w:val="left"/>
      <w:lvlText w:val="(%1)"/>
      <w:numFmt w:val="lowerRoman"/>
      <w:start w:val="3"/>
    </w:lvl>
  </w:abstractNum>
  <w:abstractNum w:abstractNumId="89">
    <w:nsid w:val="17180B0B"/>
    <w:multiLevelType w:val="hybridMultilevel"/>
    <w:lvl w:ilvl="0">
      <w:lvlJc w:val="left"/>
      <w:lvlText w:val="%1"/>
      <w:numFmt w:val="lowerLetter"/>
      <w:start w:val="1"/>
    </w:lvl>
    <w:lvl w:ilvl="1">
      <w:lvlJc w:val="left"/>
      <w:lvlText w:val="(%2)"/>
      <w:numFmt w:val="lowerLetter"/>
      <w:start w:val="1"/>
    </w:lvl>
  </w:abstractNum>
  <w:abstractNum w:abstractNumId="90">
    <w:nsid w:val="579328B9"/>
    <w:multiLevelType w:val="hybridMultilevel"/>
    <w:lvl w:ilvl="0">
      <w:lvlJc w:val="left"/>
      <w:lvlText w:val="(%1)"/>
      <w:numFmt w:val="lowerLetter"/>
      <w:start w:val="9"/>
    </w:lvl>
    <w:lvl w:ilvl="1">
      <w:lvlJc w:val="left"/>
      <w:lvlText w:val="%2"/>
      <w:numFmt w:val="lowerLetter"/>
      <w:start w:val="1"/>
    </w:lvl>
  </w:abstractNum>
  <w:abstractNum w:abstractNumId="91">
    <w:nsid w:val="5D205E20"/>
    <w:multiLevelType w:val="hybridMultilevel"/>
    <w:lvl w:ilvl="0">
      <w:lvlJc w:val="left"/>
      <w:lvlText w:val="(%1)"/>
      <w:numFmt w:val="lowerRoman"/>
      <w:start w:val="2"/>
    </w:lvl>
  </w:abstractNum>
  <w:abstractNum w:abstractNumId="92">
    <w:nsid w:val="11CCA8BA"/>
    <w:multiLevelType w:val="hybridMultilevel"/>
    <w:lvl w:ilvl="0">
      <w:lvlJc w:val="left"/>
      <w:lvlText w:val="(%1)"/>
      <w:numFmt w:val="lowerLetter"/>
      <w:start w:val="2"/>
    </w:lvl>
  </w:abstractNum>
  <w:abstractNum w:abstractNumId="93">
    <w:nsid w:val="4D32AB86"/>
    <w:multiLevelType w:val="hybridMultilevel"/>
    <w:lvl w:ilvl="0">
      <w:lvlJc w:val="left"/>
      <w:lvlText w:val="(%1)"/>
      <w:numFmt w:val="lowerLetter"/>
      <w:start w:val="6"/>
    </w:lvl>
  </w:abstractNum>
  <w:abstractNum w:abstractNumId="94">
    <w:nsid w:val="3F07ACC3"/>
    <w:multiLevelType w:val="hybridMultilevel"/>
    <w:lvl w:ilvl="0">
      <w:lvlJc w:val="left"/>
      <w:lvlText w:val="%1"/>
      <w:numFmt w:val="lowerRoman"/>
      <w:start w:val="1"/>
    </w:lvl>
    <w:lvl w:ilvl="1">
      <w:lvlJc w:val="left"/>
      <w:lvlText w:val="(%2)"/>
      <w:numFmt w:val="lowerLetter"/>
      <w:start w:val="1"/>
    </w:lvl>
  </w:abstractNum>
  <w:abstractNum w:abstractNumId="95">
    <w:nsid w:val="6B47F63E"/>
    <w:multiLevelType w:val="hybridMultilevel"/>
    <w:lvl w:ilvl="0">
      <w:lvlJc w:val="left"/>
      <w:lvlText w:val="(%1)"/>
      <w:numFmt w:val="lowerRoman"/>
      <w:start w:val="1"/>
    </w:lvl>
    <w:lvl w:ilvl="1">
      <w:lvlJc w:val="left"/>
      <w:lvlText w:val="%2"/>
      <w:numFmt w:val="lowerLetter"/>
      <w:start w:val="1"/>
    </w:lvl>
  </w:abstractNum>
  <w:abstractNum w:abstractNumId="96">
    <w:nsid w:val="5CB44A05"/>
    <w:multiLevelType w:val="hybridMultilevel"/>
    <w:lvl w:ilvl="0">
      <w:lvlJc w:val="left"/>
      <w:lvlText w:val="%1"/>
      <w:numFmt w:val="lowerRoman"/>
      <w:start w:val="1"/>
    </w:lvl>
    <w:lvl w:ilvl="1">
      <w:lvlJc w:val="left"/>
      <w:lvlText w:val="(%2)"/>
      <w:numFmt w:val="lowerLetter"/>
      <w:start w:val="3"/>
    </w:lvl>
  </w:abstractNum>
  <w:abstractNum w:abstractNumId="97">
    <w:nsid w:val="16CF80F1"/>
    <w:multiLevelType w:val="hybridMultilevel"/>
    <w:lvl w:ilvl="0">
      <w:lvlJc w:val="left"/>
      <w:lvlText w:val="(%1)"/>
      <w:numFmt w:val="lowerRoman"/>
      <w:start w:val="1"/>
    </w:lvl>
    <w:lvl w:ilvl="1">
      <w:lvlJc w:val="left"/>
      <w:lvlText w:val="%2"/>
      <w:numFmt w:val="lowerLetter"/>
      <w:start w:val="1"/>
    </w:lvl>
  </w:abstractNum>
  <w:abstractNum w:abstractNumId="98">
    <w:nsid w:val="1C695DEC"/>
    <w:multiLevelType w:val="hybridMultilevel"/>
    <w:lvl w:ilvl="0">
      <w:lvlJc w:val="left"/>
      <w:lvlText w:val="(%1)"/>
      <w:numFmt w:val="lowerRoman"/>
      <w:start w:val="3"/>
    </w:lvl>
  </w:abstractNum>
  <w:abstractNum w:abstractNumId="99">
    <w:nsid w:val="3FCFAED9"/>
    <w:multiLevelType w:val="hybridMultilevel"/>
    <w:lvl w:ilvl="0">
      <w:lvlJc w:val="left"/>
      <w:lvlText w:val="(%1)"/>
      <w:numFmt w:val="lowerLetter"/>
      <w:start w:val="5"/>
    </w:lvl>
  </w:abstractNum>
  <w:abstractNum w:abstractNumId="100">
    <w:nsid w:val="F856867"/>
    <w:multiLevelType w:val="hybridMultilevel"/>
    <w:lvl w:ilvl="0">
      <w:lvlJc w:val="left"/>
      <w:lvlText w:val="(%1)"/>
      <w:numFmt w:val="lowerLetter"/>
      <w:start w:val="1"/>
    </w:lvl>
  </w:abstractNum>
  <w:abstractNum w:abstractNumId="101">
    <w:nsid w:val="11B1CC33"/>
    <w:multiLevelType w:val="hybridMultilevel"/>
    <w:lvl w:ilvl="0">
      <w:lvlJc w:val="left"/>
      <w:lvlText w:val="(%1)"/>
      <w:numFmt w:val="lowerLetter"/>
      <w:start w:val="3"/>
    </w:lvl>
  </w:abstractNum>
  <w:abstractNum w:abstractNumId="102">
    <w:nsid w:val="2E22FBB7"/>
    <w:multiLevelType w:val="hybridMultilevel"/>
    <w:lvl w:ilvl="0">
      <w:lvlJc w:val="left"/>
      <w:lvlText w:val="(%1)"/>
      <w:numFmt w:val="lowerLetter"/>
      <w:start w:val="1"/>
    </w:lvl>
  </w:abstractNum>
  <w:abstractNum w:abstractNumId="103">
    <w:nsid w:val="29934699"/>
    <w:multiLevelType w:val="hybridMultilevel"/>
    <w:lvl w:ilvl="0">
      <w:lvlJc w:val="left"/>
      <w:lvlText w:val="%1"/>
      <w:numFmt w:val="lowerLetter"/>
      <w:start w:val="1"/>
    </w:lvl>
    <w:lvl w:ilvl="1">
      <w:lvlJc w:val="left"/>
      <w:lvlText w:val="(%2)"/>
      <w:numFmt w:val="lowerLetter"/>
      <w:start w:val="4"/>
    </w:lvl>
  </w:abstractNum>
  <w:abstractNum w:abstractNumId="104">
    <w:nsid w:val="77485850"/>
    <w:multiLevelType w:val="hybridMultilevel"/>
    <w:lvl w:ilvl="0">
      <w:lvlJc w:val="left"/>
      <w:lvlText w:val="(%1)"/>
      <w:numFmt w:val="lowerLetter"/>
      <w:start w:val="3"/>
    </w:lvl>
    <w:lvl w:ilvl="1">
      <w:lvlJc w:val="left"/>
      <w:lvlText w:val="(%2)"/>
      <w:numFmt w:val="lowerLetter"/>
      <w:start w:val="5"/>
    </w:lvl>
  </w:abstractNum>
  <w:abstractNum w:abstractNumId="105">
    <w:nsid w:val="744939A3"/>
    <w:multiLevelType w:val="hybridMultilevel"/>
    <w:lvl w:ilvl="0">
      <w:lvlJc w:val="left"/>
      <w:lvlText w:val="(%1)"/>
      <w:numFmt w:val="lowerLetter"/>
      <w:start w:val="1"/>
    </w:lvl>
  </w:abstractNum>
  <w:abstractNum w:abstractNumId="106">
    <w:nsid w:val="4FA0D2E3"/>
    <w:multiLevelType w:val="hybridMultilevel"/>
    <w:lvl w:ilvl="0">
      <w:lvlJc w:val="left"/>
      <w:lvlText w:val="(%1)"/>
      <w:numFmt w:val="lowerLetter"/>
      <w:start w:val="1"/>
    </w:lvl>
  </w:abstractNum>
  <w:abstractNum w:abstractNumId="107">
    <w:nsid w:val="6B1D2C14"/>
    <w:multiLevelType w:val="hybridMultilevel"/>
    <w:lvl w:ilvl="0">
      <w:lvlJc w:val="left"/>
      <w:lvlText w:val="(%1)"/>
      <w:numFmt w:val="lowerRoman"/>
      <w:start w:val="1"/>
    </w:lvl>
  </w:abstractNum>
  <w:abstractNum w:abstractNumId="108">
    <w:nsid w:val="68B867D3"/>
    <w:multiLevelType w:val="hybridMultilevel"/>
    <w:lvl w:ilvl="0">
      <w:lvlJc w:val="left"/>
      <w:lvlText w:val="(%1)"/>
      <w:numFmt w:val="lowerLetter"/>
      <w:start w:val="2"/>
    </w:lvl>
  </w:abstractNum>
  <w:abstractNum w:abstractNumId="109">
    <w:nsid w:val="3F7F5DD9"/>
    <w:multiLevelType w:val="hybridMultilevel"/>
    <w:lvl w:ilvl="0">
      <w:lvlJc w:val="left"/>
      <w:lvlText w:val="(%1)"/>
      <w:numFmt w:val="lowerLetter"/>
      <w:start w:val="4"/>
    </w:lvl>
  </w:abstractNum>
  <w:abstractNum w:abstractNumId="110">
    <w:nsid w:val="2AE05A34"/>
    <w:multiLevelType w:val="hybridMultilevel"/>
    <w:lvl w:ilvl="0">
      <w:lvlJc w:val="left"/>
      <w:lvlText w:val="(%1)"/>
      <w:numFmt w:val="lowerRoman"/>
      <w:start w:val="1"/>
    </w:lvl>
  </w:abstractNum>
  <w:abstractNum w:abstractNumId="111">
    <w:nsid w:val="32794FF7"/>
    <w:multiLevelType w:val="hybridMultilevel"/>
    <w:lvl w:ilvl="0">
      <w:lvlJc w:val="left"/>
      <w:lvlText w:val="(%1)"/>
      <w:numFmt w:val="lowerLetter"/>
      <w:start w:val="1"/>
    </w:lvl>
  </w:abstractNum>
  <w:abstractNum w:abstractNumId="112">
    <w:nsid w:val="5454945E"/>
    <w:multiLevelType w:val="hybridMultilevel"/>
    <w:lvl w:ilvl="0">
      <w:lvlJc w:val="left"/>
      <w:lvlText w:val="(%1)"/>
      <w:numFmt w:val="lowerLetter"/>
      <w:start w:val="5"/>
    </w:lvl>
  </w:abstractNum>
  <w:abstractNum w:abstractNumId="113">
    <w:nsid w:val="4DEFDFA0"/>
    <w:multiLevelType w:val="hybridMultilevel"/>
    <w:lvl w:ilvl="0">
      <w:lvlJc w:val="left"/>
      <w:lvlText w:val="(%1)"/>
      <w:numFmt w:val="lowerLetter"/>
      <w:start w:val="35"/>
    </w:lvl>
    <w:lvl w:ilvl="1">
      <w:lvlJc w:val="left"/>
      <w:lvlText w:val="(%2)"/>
      <w:numFmt w:val="upperLetter"/>
      <w:start w:val="1"/>
    </w:lvl>
    <w:lvl w:ilvl="2">
      <w:lvlJc w:val="left"/>
      <w:lvlText w:val="(%3)"/>
      <w:numFmt w:val="lowerLetter"/>
      <w:start w:val="23"/>
    </w:lvl>
  </w:abstractNum>
  <w:abstractNum w:abstractNumId="114">
    <w:nsid w:val="2123D5F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4"/>
    </w:lvl>
  </w:abstractNum>
  <w:abstractNum w:abstractNumId="115">
    <w:nsid w:val="135B811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6"/>
    </w:lvl>
  </w:abstractNum>
  <w:abstractNum w:abstractNumId="116">
    <w:nsid w:val="94927A8"/>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117">
    <w:nsid w:val="DCDF8F6"/>
    <w:multiLevelType w:val="hybridMultilevel"/>
    <w:lvl w:ilvl="0">
      <w:lvlJc w:val="left"/>
      <w:lvlText w:val="(%1)"/>
      <w:numFmt w:val="lowerLetter"/>
      <w:start w:val="7"/>
    </w:lvl>
  </w:abstractNum>
  <w:abstractNum w:abstractNumId="118">
    <w:nsid w:val="52D7B105"/>
    <w:multiLevelType w:val="hybridMultilevel"/>
    <w:lvl w:ilvl="0">
      <w:lvlJc w:val="left"/>
      <w:lvlText w:val="(%1)"/>
      <w:numFmt w:val="lowerLetter"/>
      <w:start w:val="8"/>
    </w:lvl>
  </w:abstractNum>
  <w:abstractNum w:abstractNumId="119">
    <w:nsid w:val="2E8A6394"/>
    <w:multiLevelType w:val="hybridMultilevel"/>
    <w:lvl w:ilvl="0">
      <w:lvlJc w:val="left"/>
      <w:lvlText w:val="(%1)"/>
      <w:numFmt w:val="lowerLetter"/>
      <w:start w:val="1"/>
    </w:lvl>
  </w:abstractNum>
  <w:abstractNum w:abstractNumId="120">
    <w:nsid w:val="24E60401"/>
    <w:multiLevelType w:val="hybridMultilevel"/>
    <w:lvl w:ilvl="0">
      <w:lvlJc w:val="left"/>
      <w:lvlText w:val="(%1)"/>
      <w:numFmt w:val="lowerLetter"/>
      <w:start w:val="2"/>
    </w:lvl>
  </w:abstractNum>
  <w:abstractNum w:abstractNumId="121">
    <w:nsid w:val="2A6AD9BE"/>
    <w:multiLevelType w:val="hybridMultilevel"/>
    <w:lvl w:ilvl="0">
      <w:lvlJc w:val="left"/>
      <w:lvlText w:val="(%1)"/>
      <w:numFmt w:val="lowerLetter"/>
      <w:start w:val="4"/>
    </w:lvl>
  </w:abstractNum>
  <w:abstractNum w:abstractNumId="122">
    <w:nsid w:val="BAAC1B4"/>
    <w:multiLevelType w:val="hybridMultilevel"/>
    <w:lvl w:ilvl="0">
      <w:lvlJc w:val="left"/>
      <w:lvlText w:val="(%1)"/>
      <w:numFmt w:val="lowerLetter"/>
      <w:start w:val="1"/>
    </w:lvl>
  </w:abstractNum>
  <w:abstractNum w:abstractNumId="123">
    <w:nsid w:val="36B2ACBC"/>
    <w:multiLevelType w:val="hybridMultilevel"/>
    <w:lvl w:ilvl="0">
      <w:lvlJc w:val="left"/>
      <w:lvlText w:val="%1"/>
      <w:numFmt w:val="lowerLetter"/>
      <w:start w:val="1"/>
    </w:lvl>
    <w:lvl w:ilvl="1">
      <w:lvlJc w:val="left"/>
      <w:lvlText w:val="(%2)"/>
      <w:numFmt w:val="lowerLetter"/>
      <w:start w:val="1"/>
    </w:lvl>
  </w:abstractNum>
  <w:abstractNum w:abstractNumId="124">
    <w:nsid w:val="779D8544"/>
    <w:multiLevelType w:val="hybridMultilevel"/>
    <w:lvl w:ilvl="0">
      <w:lvlJc w:val="left"/>
      <w:lvlText w:val="(%1)"/>
      <w:numFmt w:val="lowerLetter"/>
      <w:start w:val="9"/>
    </w:lvl>
    <w:lvl w:ilvl="1">
      <w:lvlJc w:val="left"/>
      <w:lvlText w:val="%2"/>
      <w:numFmt w:val="lowerLetter"/>
      <w:start w:val="1"/>
    </w:lvl>
  </w:abstractNum>
  <w:abstractNum w:abstractNumId="125">
    <w:nsid w:val="4AB26E78"/>
    <w:multiLevelType w:val="hybridMultilevel"/>
    <w:lvl w:ilvl="0">
      <w:lvlJc w:val="left"/>
      <w:lvlText w:val="(%1)"/>
      <w:numFmt w:val="lowerRoman"/>
      <w:start w:val="2"/>
    </w:lvl>
    <w:lvl w:ilvl="1">
      <w:lvlJc w:val="left"/>
      <w:lvlText w:val="(%2)"/>
      <w:numFmt w:val="upperLetter"/>
      <w:start w:val="1"/>
    </w:lvl>
  </w:abstractNum>
  <w:abstractNum w:abstractNumId="126">
    <w:nsid w:val="21FAA2FA"/>
    <w:multiLevelType w:val="hybridMultilevel"/>
    <w:lvl w:ilvl="0">
      <w:lvlJc w:val="left"/>
      <w:lvlText w:val="%1"/>
      <w:numFmt w:val="lowerRoman"/>
      <w:start w:val="1"/>
    </w:lvl>
    <w:lvl w:ilvl="1">
      <w:lvlJc w:val="left"/>
      <w:lvlText w:val="(%2)"/>
      <w:numFmt w:val="upperLetter"/>
      <w:start w:val="2"/>
    </w:lvl>
  </w:abstractNum>
  <w:abstractNum w:abstractNumId="127">
    <w:nsid w:val="5451CF49"/>
    <w:multiLevelType w:val="hybridMultilevel"/>
    <w:lvl w:ilvl="0">
      <w:lvlJc w:val="left"/>
      <w:lvlText w:val="(%1)"/>
      <w:numFmt w:val="lowerRoman"/>
      <w:start w:val="10"/>
    </w:lvl>
    <w:lvl w:ilvl="1">
      <w:lvlJc w:val="left"/>
      <w:lvlText w:val="%2"/>
      <w:numFmt w:val="upperLetter"/>
      <w:start w:val="1"/>
    </w:lvl>
  </w:abstractNum>
  <w:abstractNum w:abstractNumId="128">
    <w:nsid w:val="6181EF69"/>
    <w:multiLevelType w:val="hybridMultilevel"/>
    <w:lvl w:ilvl="0">
      <w:lvlJc w:val="left"/>
      <w:lvlText w:val="(%1)"/>
      <w:numFmt w:val="lowerRoman"/>
      <w:start w:val="3"/>
    </w:lvl>
    <w:lvl w:ilvl="1">
      <w:lvlJc w:val="left"/>
      <w:lvlText w:val="%2"/>
      <w:numFmt w:val="upperLetter"/>
      <w:start w:val="1"/>
    </w:lvl>
  </w:abstractNum>
  <w:abstractNum w:abstractNumId="129">
    <w:nsid w:val="3E6400E6"/>
    <w:multiLevelType w:val="hybridMultilevel"/>
    <w:lvl w:ilvl="0">
      <w:lvlJc w:val="left"/>
      <w:lvlText w:val="(%1)"/>
      <w:numFmt w:val="lowerRoman"/>
      <w:start w:val="3"/>
    </w:lvl>
  </w:abstractNum>
  <w:abstractNum w:abstractNumId="130">
    <w:nsid w:val="14217E23"/>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
    </w:lvl>
  </w:abstractNum>
  <w:abstractNum w:abstractNumId="131">
    <w:nsid w:val="710757D0"/>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132">
    <w:nsid w:val="5015CD1A"/>
    <w:multiLevelType w:val="hybridMultilevel"/>
    <w:lvl w:ilvl="0">
      <w:lvlJc w:val="left"/>
      <w:lvlText w:val="(%1)"/>
      <w:numFmt w:val="lowerLetter"/>
      <w:start w:val="35"/>
    </w:lvl>
    <w:lvl w:ilvl="1">
      <w:lvlJc w:val="left"/>
      <w:lvlText w:val="%2"/>
      <w:numFmt w:val="lowerRoman"/>
      <w:start w:val="1"/>
    </w:lvl>
    <w:lvl w:ilvl="2">
      <w:lvlJc w:val="left"/>
      <w:lvlText w:val="%3"/>
      <w:numFmt w:val="lowerLetter"/>
      <w:start w:val="1"/>
    </w:lvl>
  </w:abstractNum>
  <w:abstractNum w:abstractNumId="133">
    <w:nsid w:val="424479DA"/>
    <w:multiLevelType w:val="hybridMultilevel"/>
    <w:lvl w:ilvl="0">
      <w:lvlJc w:val="left"/>
      <w:lvlText w:val="(%1)"/>
      <w:numFmt w:val="lowerRoman"/>
      <w:start w:val="2"/>
    </w:lvl>
  </w:abstractNum>
  <w:abstractNum w:abstractNumId="134">
    <w:nsid w:val="1A9A9E69"/>
    <w:multiLevelType w:val="hybridMultilevel"/>
    <w:lvl w:ilvl="0">
      <w:lvlJc w:val="left"/>
      <w:lvlText w:val="(%1)"/>
      <w:numFmt w:val="lowerLetter"/>
      <w:start w:val="1"/>
    </w:lvl>
  </w:abstractNum>
  <w:abstractNum w:abstractNumId="135">
    <w:nsid w:val="475E256A"/>
    <w:multiLevelType w:val="hybridMultilevel"/>
    <w:lvl w:ilvl="0">
      <w:lvlJc w:val="left"/>
      <w:lvlText w:val="%1"/>
      <w:numFmt w:val="upperLetter"/>
      <w:start w:val="1"/>
    </w:lvl>
    <w:lvl w:ilvl="1">
      <w:lvlJc w:val="left"/>
      <w:lvlText w:val="(%2)"/>
      <w:numFmt w:val="lowerLetter"/>
      <w:start w:val="2"/>
    </w:lvl>
  </w:abstractNum>
  <w:abstractNum w:abstractNumId="136">
    <w:nsid w:val="368DB37E"/>
    <w:multiLevelType w:val="hybridMultilevel"/>
    <w:lvl w:ilvl="0">
      <w:lvlJc w:val="left"/>
      <w:lvlText w:val="(%1)"/>
      <w:numFmt w:val="upperLetter"/>
      <w:start w:val="2"/>
    </w:lvl>
    <w:lvl w:ilvl="1">
      <w:lvlJc w:val="left"/>
      <w:lvlText w:val="%2"/>
      <w:numFmt w:val="lowerLetter"/>
      <w:start w:val="1"/>
    </w:lvl>
  </w:abstractNum>
  <w:abstractNum w:abstractNumId="137">
    <w:nsid w:val="6A3B714C"/>
    <w:multiLevelType w:val="hybridMultilevel"/>
    <w:lvl w:ilvl="0">
      <w:lvlJc w:val="left"/>
      <w:lvlText w:val="(%1)"/>
      <w:numFmt w:val="lowerLetter"/>
      <w:start w:val="35"/>
    </w:lvl>
  </w:abstractNum>
  <w:abstractNum w:abstractNumId="138">
    <w:nsid w:val="327B517E"/>
    <w:multiLevelType w:val="hybridMultilevel"/>
    <w:lvl w:ilvl="0">
      <w:lvlJc w:val="left"/>
      <w:lvlText w:val="(%1)"/>
      <w:numFmt w:val="lowerLetter"/>
      <w:start w:val="3"/>
    </w:lvl>
  </w:abstractNum>
  <w:abstractNum w:abstractNumId="139">
    <w:nsid w:val="1F461B51"/>
    <w:multiLevelType w:val="hybridMultilevel"/>
    <w:lvl w:ilvl="0">
      <w:lvlJc w:val="left"/>
      <w:lvlText w:val="(%1)"/>
      <w:numFmt w:val="lowerLetter"/>
      <w:start w:val="1"/>
    </w:lvl>
  </w:abstractNum>
  <w:abstractNum w:abstractNumId="140">
    <w:nsid w:val="29BACF25"/>
    <w:multiLevelType w:val="hybridMultilevel"/>
    <w:lvl w:ilvl="0">
      <w:lvlJc w:val="left"/>
      <w:lvlText w:val="(%1)"/>
      <w:numFmt w:val="lowerLetter"/>
      <w:start w:val="1"/>
    </w:lvl>
  </w:abstractNum>
  <w:abstractNum w:abstractNumId="141">
    <w:nsid w:val="5D5BABB3"/>
    <w:multiLevelType w:val="hybridMultilevel"/>
    <w:lvl w:ilvl="0">
      <w:lvlJc w:val="left"/>
      <w:lvlText w:val="(%1)"/>
      <w:numFmt w:val="lowerLetter"/>
      <w:start w:val="1"/>
    </w:lvl>
  </w:abstractNum>
  <w:abstractNum w:abstractNumId="142">
    <w:nsid w:val="51BF6B48"/>
    <w:multiLevelType w:val="hybridMultilevel"/>
    <w:lvl w:ilvl="0">
      <w:lvlJc w:val="left"/>
      <w:lvlText w:val="(%1)"/>
      <w:numFmt w:val="lowerLetter"/>
      <w:start w:val="1"/>
    </w:lvl>
  </w:abstractNum>
  <w:abstractNum w:abstractNumId="143">
    <w:nsid w:val="7E0F6384"/>
    <w:multiLevelType w:val="hybridMultilevel"/>
    <w:lvl w:ilvl="0">
      <w:lvlJc w:val="left"/>
      <w:lvlText w:val="(%1)"/>
      <w:numFmt w:val="lowerLetter"/>
      <w:start w:val="1"/>
    </w:lvl>
  </w:abstractNum>
  <w:abstractNum w:abstractNumId="144">
    <w:nsid w:val="2B4B8B53"/>
    <w:multiLevelType w:val="hybridMultilevel"/>
    <w:lvl w:ilvl="0">
      <w:lvlJc w:val="left"/>
      <w:lvlText w:val="(%1)"/>
      <w:numFmt w:val="lowerRoman"/>
      <w:start w:val="1"/>
    </w:lvl>
  </w:abstractNum>
  <w:abstractNum w:abstractNumId="145">
    <w:nsid w:val="72E3413A"/>
    <w:multiLevelType w:val="hybridMultilevel"/>
    <w:lvl w:ilvl="0">
      <w:lvlJc w:val="left"/>
      <w:lvlText w:val="(%1)"/>
      <w:numFmt w:val="lowerLetter"/>
      <w:start w:val="1"/>
    </w:lvl>
  </w:abstractNum>
  <w:abstractNum w:abstractNumId="146">
    <w:nsid w:val="116AE494"/>
    <w:multiLevelType w:val="hybridMultilevel"/>
    <w:lvl w:ilvl="0">
      <w:lvlJc w:val="left"/>
      <w:lvlText w:val="(%1)"/>
      <w:numFmt w:val="lowerRoman"/>
      <w:start w:val="1"/>
    </w:lvl>
    <w:lvl w:ilvl="1">
      <w:lvlJc w:val="left"/>
      <w:lvlText w:val="(%2)"/>
      <w:numFmt w:val="lowerLetter"/>
      <w:start w:val="2"/>
    </w:lvl>
  </w:abstractNum>
  <w:abstractNum w:abstractNumId="147">
    <w:nsid w:val="3494B2FB"/>
    <w:multiLevelType w:val="hybridMultilevel"/>
    <w:lvl w:ilvl="0">
      <w:lvlJc w:val="left"/>
      <w:lvlText w:val="(%1)"/>
      <w:numFmt w:val="lowerLetter"/>
      <w:start w:val="1"/>
    </w:lvl>
  </w:abstractNum>
  <w:abstractNum w:abstractNumId="148">
    <w:nsid w:val="B13A31"/>
    <w:multiLevelType w:val="hybridMultilevel"/>
    <w:lvl w:ilvl="0">
      <w:lvlJc w:val="left"/>
      <w:lvlText w:val="(%1)"/>
      <w:numFmt w:val="lowerLetter"/>
      <w:start w:val="1"/>
    </w:lvl>
  </w:abstractNum>
  <w:abstractNum w:abstractNumId="149">
    <w:nsid w:val="64429599"/>
    <w:multiLevelType w:val="hybridMultilevel"/>
    <w:lvl w:ilvl="0">
      <w:lvlJc w:val="left"/>
      <w:lvlText w:val="%1"/>
      <w:numFmt w:val="lowerLetter"/>
      <w:start w:val="1"/>
    </w:lvl>
    <w:lvl w:ilvl="1">
      <w:lvlJc w:val="left"/>
      <w:lvlText w:val="(%2)"/>
      <w:numFmt w:val="lowerLetter"/>
      <w:start w:val="2"/>
    </w:lvl>
  </w:abstractNum>
  <w:abstractNum w:abstractNumId="150">
    <w:nsid w:val="631F1690"/>
    <w:multiLevelType w:val="hybridMultilevel"/>
    <w:lvl w:ilvl="0">
      <w:lvlJc w:val="left"/>
      <w:lvlText w:val="(%1)"/>
      <w:numFmt w:val="lowerLetter"/>
      <w:start w:val="35"/>
    </w:lvl>
    <w:lvl w:ilvl="1">
      <w:lvlJc w:val="left"/>
      <w:lvlText w:val="(%2)"/>
      <w:numFmt w:val="lowerLetter"/>
      <w:start w:val="4"/>
    </w:lvl>
  </w:abstractNum>
  <w:abstractNum w:abstractNumId="151">
    <w:nsid w:val="25973E32"/>
    <w:multiLevelType w:val="hybridMultilevel"/>
    <w:lvl w:ilvl="0">
      <w:lvlJc w:val="left"/>
      <w:lvlText w:val="(%1)"/>
      <w:numFmt w:val="lowerLetter"/>
      <w:start w:val="8"/>
    </w:lvl>
  </w:abstractNum>
  <w:abstractNum w:abstractNumId="152">
    <w:nsid w:val="EAD6F57"/>
    <w:multiLevelType w:val="hybridMultilevel"/>
    <w:lvl w:ilvl="0">
      <w:lvlJc w:val="left"/>
      <w:lvlText w:val="(%1)"/>
      <w:numFmt w:val="lowerLetter"/>
      <w:start w:val="1"/>
    </w:lvl>
  </w:abstractNum>
  <w:abstractNum w:abstractNumId="153">
    <w:nsid w:val="6EC9D844"/>
    <w:multiLevelType w:val="hybridMultilevel"/>
    <w:lvl w:ilvl="0">
      <w:lvlJc w:val="left"/>
      <w:lvlText w:val="(%1)"/>
      <w:numFmt w:val="lowerLetter"/>
      <w:start w:val="1"/>
    </w:lvl>
  </w:abstractNum>
  <w:abstractNum w:abstractNumId="154">
    <w:nsid w:val="5C49EAEE"/>
    <w:multiLevelType w:val="hybridMultilevel"/>
    <w:lvl w:ilvl="0">
      <w:lvlJc w:val="left"/>
      <w:lvlText w:val="(%1)"/>
      <w:numFmt w:val="lowerLetter"/>
      <w:start w:val="2"/>
    </w:lvl>
  </w:abstractNum>
  <w:abstractNum w:abstractNumId="155">
    <w:nsid w:val="64AF49B"/>
    <w:multiLevelType w:val="hybridMultilevel"/>
    <w:lvl w:ilvl="0">
      <w:lvlJc w:val="left"/>
      <w:lvlText w:val="%1"/>
      <w:numFmt w:val="lowerRoman"/>
      <w:start w:val="1"/>
    </w:lvl>
    <w:lvl w:ilvl="1">
      <w:lvlJc w:val="left"/>
      <w:lvlText w:val="(%2)"/>
      <w:numFmt w:val="lowerLetter"/>
      <w:start w:val="1"/>
    </w:lvl>
  </w:abstractNum>
  <w:abstractNum w:abstractNumId="156">
    <w:nsid w:val="397C46BC"/>
    <w:multiLevelType w:val="hybridMultilevel"/>
    <w:lvl w:ilvl="0">
      <w:lvlJc w:val="left"/>
      <w:lvlText w:val="(%1)"/>
      <w:numFmt w:val="lowerRoman"/>
      <w:start w:val="1"/>
    </w:lvl>
    <w:lvl w:ilvl="1">
      <w:lvlJc w:val="left"/>
      <w:lvlText w:val="%2"/>
      <w:numFmt w:val="lowerLetter"/>
      <w:start w:val="1"/>
    </w:lvl>
  </w:abstractNum>
  <w:abstractNum w:abstractNumId="157">
    <w:nsid w:val="7E448DE9"/>
    <w:multiLevelType w:val="hybridMultilevel"/>
    <w:lvl w:ilvl="0">
      <w:lvlJc w:val="left"/>
      <w:lvlText w:val="(%1)"/>
      <w:numFmt w:val="upperLetter"/>
      <w:start w:val="1"/>
    </w:lvl>
    <w:lvl w:ilvl="1">
      <w:lvlJc w:val="left"/>
      <w:lvlText w:val="(%2)"/>
      <w:numFmt w:val="lowerLetter"/>
      <w:start w:val="23"/>
    </w:lvl>
  </w:abstractNum>
  <w:abstractNum w:abstractNumId="158">
    <w:nsid w:val="5A9CC3E5"/>
    <w:multiLevelType w:val="hybridMultilevel"/>
    <w:lvl w:ilvl="0">
      <w:lvlJc w:val="left"/>
      <w:lvlText w:val="%1"/>
      <w:numFmt w:val="upperLetter"/>
      <w:start w:val="1"/>
    </w:lvl>
    <w:lvl w:ilvl="1">
      <w:lvlJc w:val="left"/>
      <w:lvlText w:val="(%2)"/>
      <w:numFmt w:val="lowerLetter"/>
      <w:start w:val="24"/>
    </w:lvl>
  </w:abstractNum>
  <w:abstractNum w:abstractNumId="159">
    <w:nsid w:val="1AFE3625"/>
    <w:multiLevelType w:val="hybridMultilevel"/>
    <w:lvl w:ilvl="0">
      <w:lvlJc w:val="left"/>
      <w:lvlText w:val="(%1)"/>
      <w:numFmt w:val="lowerLetter"/>
      <w:start w:val="25"/>
    </w:lvl>
  </w:abstractNum>
  <w:abstractNum w:abstractNumId="160">
    <w:nsid w:val="3CA88ECF"/>
    <w:multiLevelType w:val="hybridMultilevel"/>
    <w:lvl w:ilvl="0">
      <w:lvlJc w:val="left"/>
      <w:lvlText w:val="%1"/>
      <w:numFmt w:val="upperLetter"/>
      <w:start w:val="1"/>
    </w:lvl>
    <w:lvl w:ilvl="1">
      <w:lvlJc w:val="left"/>
      <w:lvlText w:val="(%2)"/>
      <w:numFmt w:val="lowerLetter"/>
      <w:start w:val="26"/>
    </w:lvl>
  </w:abstractNum>
  <w:abstractNum w:abstractNumId="161">
    <w:nsid w:val="6EBE4208"/>
    <w:multiLevelType w:val="hybridMultilevel"/>
    <w:lvl w:ilvl="0">
      <w:lvlJc w:val="left"/>
      <w:lvlText w:val="(%1)"/>
      <w:numFmt w:val="upperLetter"/>
      <w:start w:val="3"/>
    </w:lvl>
    <w:lvl w:ilvl="1">
      <w:lvlJc w:val="left"/>
      <w:lvlText w:val="(%2)"/>
      <w:numFmt w:val="lowerLetter"/>
      <w:start w:val="24"/>
    </w:lvl>
  </w:abstractNum>
  <w:abstractNum w:abstractNumId="162">
    <w:nsid w:val="C058DF5"/>
    <w:multiLevelType w:val="hybridMultilevel"/>
    <w:lvl w:ilvl="0">
      <w:lvlJc w:val="left"/>
      <w:lvlText w:val="%1"/>
      <w:numFmt w:val="upperLetter"/>
      <w:start w:val="1"/>
    </w:lvl>
    <w:lvl w:ilvl="1">
      <w:lvlJc w:val="left"/>
      <w:lvlText w:val="(%2)"/>
      <w:numFmt w:val="lowerLetter"/>
      <w:start w:val="25"/>
    </w:lvl>
  </w:abstractNum>
  <w:abstractNum w:abstractNumId="163">
    <w:nsid w:val="CBE5BE9"/>
    <w:multiLevelType w:val="hybridMultilevel"/>
    <w:lvl w:ilvl="0">
      <w:lvlJc w:val="left"/>
      <w:lvlText w:val="(%1)"/>
      <w:numFmt w:val="upperLetter"/>
      <w:start w:val="1"/>
    </w:lvl>
    <w:lvl w:ilvl="1">
      <w:lvlJc w:val="left"/>
      <w:lvlText w:val="%2"/>
      <w:numFmt w:val="lowerLetter"/>
      <w:start w:val="1"/>
    </w:lvl>
  </w:abstractNum>
  <w:abstractNum w:abstractNumId="164">
    <w:nsid w:val="3102BBE2"/>
    <w:multiLevelType w:val="hybridMultilevel"/>
    <w:lvl w:ilvl="0">
      <w:lvlJc w:val="left"/>
      <w:lvlText w:val="(%1)"/>
      <w:numFmt w:val="upperLetter"/>
      <w:start w:val="6"/>
    </w:lvl>
  </w:abstractNum>
  <w:abstractNum w:abstractNumId="165">
    <w:nsid w:val="26A02C5E"/>
    <w:multiLevelType w:val="hybridMultilevel"/>
    <w:lvl w:ilvl="0">
      <w:lvlJc w:val="left"/>
      <w:lvlText w:val="(%1)"/>
      <w:numFmt w:val="lowerLetter"/>
      <w:start w:val="3"/>
    </w:lvl>
  </w:abstractNum>
  <w:abstractNum w:abstractNumId="166">
    <w:nsid w:val="541C8153"/>
    <w:multiLevelType w:val="hybridMultilevel"/>
    <w:lvl w:ilvl="0">
      <w:lvlJc w:val="left"/>
      <w:lvlText w:val="(%1)"/>
      <w:numFmt w:val="lowerLetter"/>
      <w:start w:val="1"/>
    </w:lvl>
  </w:abstractNum>
  <w:abstractNum w:abstractNumId="167">
    <w:nsid w:val="67906F60"/>
    <w:multiLevelType w:val="hybridMultilevel"/>
    <w:lvl w:ilvl="0">
      <w:lvlJc w:val="left"/>
      <w:lvlText w:val="(%1)"/>
      <w:numFmt w:val="lowerLetter"/>
      <w:start w:val="6"/>
    </w:lvl>
  </w:abstractNum>
  <w:abstractNum w:abstractNumId="168">
    <w:nsid w:val="10DB9DAA"/>
    <w:multiLevelType w:val="hybridMultilevel"/>
    <w:lvl w:ilvl="0">
      <w:lvlJc w:val="left"/>
      <w:lvlText w:val="(%1)"/>
      <w:numFmt w:val="lowerRoman"/>
      <w:start w:val="1"/>
    </w:lvl>
  </w:abstractNum>
  <w:abstractNum w:abstractNumId="169">
    <w:nsid w:val="697D2D2"/>
    <w:multiLevelType w:val="hybridMultilevel"/>
    <w:lvl w:ilvl="0">
      <w:lvlJc w:val="left"/>
      <w:lvlText w:val="%1"/>
      <w:numFmt w:val="upperLetter"/>
      <w:start w:val="1"/>
    </w:lvl>
    <w:lvl w:ilvl="1">
      <w:lvlJc w:val="left"/>
      <w:lvlText w:val="(%2)"/>
      <w:numFmt w:val="lowerLetter"/>
      <w:start w:val="1"/>
    </w:lvl>
  </w:abstractNum>
  <w:abstractNum w:abstractNumId="170">
    <w:nsid w:val="6D68AB2"/>
    <w:multiLevelType w:val="hybridMultilevel"/>
    <w:lvl w:ilvl="0">
      <w:lvlJc w:val="left"/>
      <w:lvlText w:val="(%1)"/>
      <w:numFmt w:val="upperLetter"/>
      <w:start w:val="1"/>
    </w:lvl>
    <w:lvl w:ilvl="1">
      <w:lvlJc w:val="left"/>
      <w:lvlText w:val="(%2)"/>
      <w:numFmt w:val="lowerLetter"/>
      <w:start w:val="10"/>
    </w:lvl>
  </w:abstractNum>
  <w:abstractNum w:abstractNumId="171">
    <w:nsid w:val="3A966CD0"/>
    <w:multiLevelType w:val="hybridMultilevel"/>
    <w:lvl w:ilvl="0">
      <w:lvlJc w:val="left"/>
      <w:lvlText w:val="(%1)"/>
      <w:numFmt w:val="lowerLetter"/>
      <w:start w:val="12"/>
    </w:lvl>
  </w:abstractNum>
  <w:abstractNum w:abstractNumId="172">
    <w:nsid w:val="63F37E85"/>
    <w:multiLevelType w:val="hybridMultilevel"/>
    <w:lvl w:ilvl="0">
      <w:lvlJc w:val="left"/>
      <w:lvlText w:val="(%1)"/>
      <w:numFmt w:val="lowerLetter"/>
      <w:start w:val="1"/>
    </w:lvl>
  </w:abstractNum>
  <w:abstractNum w:abstractNumId="173">
    <w:nsid w:val="5895F5FA"/>
    <w:multiLevelType w:val="hybridMultilevel"/>
    <w:lvl w:ilvl="0">
      <w:lvlJc w:val="left"/>
      <w:lvlText w:val="(%1)"/>
      <w:numFmt w:val="lowerLetter"/>
      <w:start w:val="1"/>
    </w:lvl>
  </w:abstractNum>
  <w:abstractNum w:abstractNumId="174">
    <w:nsid w:val="38A5D054"/>
    <w:multiLevelType w:val="hybridMultilevel"/>
    <w:lvl w:ilvl="0">
      <w:lvlJc w:val="left"/>
      <w:lvlText w:val="(%1)"/>
      <w:numFmt w:val="lowerLetter"/>
      <w:start w:val="5"/>
    </w:lvl>
  </w:abstractNum>
  <w:abstractNum w:abstractNumId="175">
    <w:nsid w:val="F3F09D8"/>
    <w:multiLevelType w:val="hybridMultilevel"/>
    <w:lvl w:ilvl="0">
      <w:lvlJc w:val="left"/>
      <w:lvlText w:val="%1"/>
      <w:numFmt w:val="lowerLetter"/>
      <w:start w:val="1"/>
    </w:lvl>
    <w:lvl w:ilvl="1">
      <w:lvlJc w:val="left"/>
      <w:lvlText w:val="(%2)"/>
      <w:numFmt w:val="lowerLetter"/>
      <w:start w:val="1"/>
    </w:lvl>
  </w:abstractNum>
  <w:abstractNum w:abstractNumId="176">
    <w:nsid w:val="4B793735"/>
    <w:multiLevelType w:val="hybridMultilevel"/>
    <w:lvl w:ilvl="0">
      <w:lvlJc w:val="left"/>
      <w:lvlText w:val="(%1)"/>
      <w:numFmt w:val="lowerLetter"/>
      <w:start w:val="6"/>
    </w:lvl>
    <w:lvl w:ilvl="1">
      <w:lvlJc w:val="left"/>
      <w:lvlText w:val="%2"/>
      <w:numFmt w:val="lowerLetter"/>
      <w:start w:val="1"/>
    </w:lvl>
  </w:abstractNum>
  <w:abstractNum w:abstractNumId="177">
    <w:nsid w:val="4A10B4E8"/>
    <w:multiLevelType w:val="hybridMultilevel"/>
    <w:lvl w:ilvl="0">
      <w:lvlJc w:val="left"/>
      <w:lvlText w:val="(%1)"/>
      <w:numFmt w:val="lowerLetter"/>
      <w:start w:val="7"/>
    </w:lvl>
  </w:abstractNum>
  <w:abstractNum w:abstractNumId="178">
    <w:nsid w:val="43D3BCD4"/>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179">
    <w:nsid w:val="4C2A7166"/>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180">
    <w:nsid w:val="2E534A82"/>
    <w:multiLevelType w:val="hybridMultilevel"/>
    <w:lvl w:ilvl="0">
      <w:lvlJc w:val="left"/>
      <w:lvlText w:val="(%1)"/>
      <w:numFmt w:val="decimal"/>
      <w:start w:val="2"/>
    </w:lvl>
    <w:lvl w:ilvl="1">
      <w:lvlJc w:val="left"/>
      <w:lvlText w:val="%2"/>
      <w:numFmt w:val="lowerRoman"/>
      <w:start w:val="1"/>
    </w:lvl>
    <w:lvl w:ilvl="2">
      <w:lvlJc w:val="left"/>
      <w:lvlText w:val="%3"/>
      <w:numFmt w:val="lowerLetter"/>
      <w:start w:val="1"/>
    </w:lvl>
  </w:abstractNum>
  <w:abstractNum w:abstractNumId="181">
    <w:nsid w:val="26F2D364"/>
    <w:multiLevelType w:val="hybridMultilevel"/>
    <w:lvl w:ilvl="0">
      <w:lvlJc w:val="left"/>
      <w:lvlText w:val="%1"/>
      <w:numFmt w:val="upperLetter"/>
      <w:start w:val="1"/>
    </w:lvl>
    <w:lvl w:ilvl="1">
      <w:lvlJc w:val="left"/>
      <w:lvlText w:val="(%2)"/>
      <w:numFmt w:val="lowerLetter"/>
      <w:start w:val="4"/>
    </w:lvl>
  </w:abstractNum>
  <w:abstractNum w:abstractNumId="182">
    <w:nsid w:val="71C1AF98"/>
    <w:multiLevelType w:val="hybridMultilevel"/>
    <w:lvl w:ilvl="0">
      <w:lvlJc w:val="left"/>
      <w:lvlText w:val="(%1)"/>
      <w:numFmt w:val="upperLetter"/>
      <w:start w:val="1"/>
    </w:lvl>
    <w:lvl w:ilvl="1">
      <w:lvlJc w:val="left"/>
      <w:lvlText w:val="%2"/>
      <w:numFmt w:val="lowerLetter"/>
      <w:start w:val="1"/>
    </w:lvl>
  </w:abstractNum>
  <w:abstractNum w:abstractNumId="183">
    <w:nsid w:val="3D00B9D9"/>
    <w:multiLevelType w:val="hybridMultilevel"/>
    <w:lvl w:ilvl="0">
      <w:lvlJc w:val="left"/>
      <w:lvlText w:val="(%1)"/>
      <w:numFmt w:val="lowerRoman"/>
      <w:start w:val="2"/>
    </w:lvl>
  </w:abstractNum>
  <w:abstractNum w:abstractNumId="184">
    <w:nsid w:val="15BCABA8"/>
    <w:multiLevelType w:val="hybridMultilevel"/>
    <w:lvl w:ilvl="0">
      <w:lvlJc w:val="left"/>
      <w:lvlText w:val="(%1)"/>
      <w:numFmt w:val="lowerLetter"/>
      <w:start w:val="1"/>
    </w:lvl>
  </w:abstractNum>
  <w:abstractNum w:abstractNumId="185">
    <w:nsid w:val="4E0B9A87"/>
    <w:multiLevelType w:val="hybridMultilevel"/>
    <w:lvl w:ilvl="0">
      <w:lvlJc w:val="left"/>
      <w:lvlText w:val="%1"/>
      <w:numFmt w:val="lowerLetter"/>
      <w:start w:val="1"/>
    </w:lvl>
    <w:lvl w:ilvl="1">
      <w:lvlJc w:val="left"/>
      <w:lvlText w:val="(%2)"/>
      <w:numFmt w:val="lowerLetter"/>
      <w:start w:val="3"/>
    </w:lvl>
  </w:abstractNum>
  <w:abstractNum w:abstractNumId="186">
    <w:nsid w:val="434BAE75"/>
    <w:multiLevelType w:val="hybridMultilevel"/>
    <w:lvl w:ilvl="0">
      <w:lvlJc w:val="left"/>
      <w:lvlText w:val="(%1)"/>
      <w:numFmt w:val="lowerLetter"/>
      <w:start w:val="35"/>
    </w:lvl>
    <w:lvl w:ilvl="1">
      <w:lvlJc w:val="left"/>
      <w:lvlText w:val="%2"/>
      <w:numFmt w:val="lowerLetter"/>
      <w:start w:val="1"/>
    </w:lvl>
  </w:abstractNum>
  <w:abstractNum w:abstractNumId="187">
    <w:nsid w:val="4F38F265"/>
    <w:multiLevelType w:val="hybridMultilevel"/>
    <w:lvl w:ilvl="0">
      <w:lvlJc w:val="left"/>
      <w:lvlText w:val="(%1)"/>
      <w:numFmt w:val="lowerLetter"/>
      <w:start w:val="1"/>
    </w:lvl>
  </w:abstractNum>
  <w:abstractNum w:abstractNumId="188">
    <w:nsid w:val="4C502870"/>
    <w:multiLevelType w:val="hybridMultilevel"/>
    <w:lvl w:ilvl="0">
      <w:lvlJc w:val="left"/>
      <w:lvlText w:val="(%1)"/>
      <w:numFmt w:val="lowerLetter"/>
      <w:start w:val="24"/>
    </w:lvl>
  </w:abstractNum>
  <w:abstractNum w:abstractNumId="189">
    <w:nsid w:val="1DE8725A"/>
    <w:multiLevelType w:val="hybridMultilevel"/>
    <w:lvl w:ilvl="0">
      <w:lvlJc w:val="left"/>
      <w:lvlText w:val="(%1)"/>
      <w:numFmt w:val="lowerLetter"/>
      <w:start w:val="2"/>
    </w:lvl>
  </w:abstractNum>
  <w:abstractNum w:abstractNumId="190">
    <w:nsid w:val="6A37288A"/>
    <w:multiLevelType w:val="hybridMultilevel"/>
    <w:lvl w:ilvl="0">
      <w:lvlJc w:val="left"/>
      <w:lvlText w:val="(%1)"/>
      <w:numFmt w:val="lowerLetter"/>
      <w:start w:val="1"/>
    </w:lvl>
  </w:abstractNum>
  <w:abstractNum w:abstractNumId="191">
    <w:nsid w:val="8F8B73F"/>
    <w:multiLevelType w:val="hybridMultilevel"/>
    <w:lvl w:ilvl="0">
      <w:lvlJc w:val="left"/>
      <w:lvlText w:val="%1"/>
      <w:numFmt w:val="lowerLetter"/>
      <w:start w:val="1"/>
    </w:lvl>
    <w:lvl w:ilvl="1">
      <w:lvlJc w:val="left"/>
      <w:lvlText w:val="(%2)"/>
      <w:numFmt w:val="lowerLetter"/>
      <w:start w:val="5"/>
    </w:lvl>
  </w:abstractNum>
  <w:abstractNum w:abstractNumId="192">
    <w:nsid w:val="CA6B462"/>
    <w:multiLevelType w:val="hybridMultilevel"/>
    <w:lvl w:ilvl="0">
      <w:lvlJc w:val="left"/>
      <w:lvlText w:val="(%1)"/>
      <w:numFmt w:val="lowerLetter"/>
      <w:start w:val="61"/>
    </w:lvl>
    <w:lvl w:ilvl="1">
      <w:lvlJc w:val="left"/>
      <w:lvlText w:val="%2"/>
      <w:numFmt w:val="lowerLetter"/>
      <w:start w:val="1"/>
    </w:lvl>
  </w:abstractNum>
  <w:abstractNum w:abstractNumId="193">
    <w:nsid w:val="763CB680"/>
    <w:multiLevelType w:val="hybridMultilevel"/>
    <w:lvl w:ilvl="0">
      <w:lvlJc w:val="left"/>
      <w:lvlText w:val="(%1)"/>
      <w:numFmt w:val="lowerLetter"/>
      <w:start w:val="11"/>
    </w:lvl>
  </w:abstractNum>
  <w:abstractNum w:abstractNumId="194">
    <w:nsid w:val="15B71329"/>
    <w:multiLevelType w:val="hybridMultilevel"/>
    <w:lvl w:ilvl="0">
      <w:lvlJc w:val="left"/>
      <w:lvlText w:val="(%1)"/>
      <w:numFmt w:val="lowerLetter"/>
      <w:start w:val="19"/>
    </w:lvl>
  </w:abstractNum>
  <w:abstractNum w:abstractNumId="195">
    <w:nsid w:val="3DA97044"/>
    <w:multiLevelType w:val="hybridMultilevel"/>
    <w:lvl w:ilvl="0">
      <w:lvlJc w:val="left"/>
      <w:lvlText w:val="(%1)"/>
      <w:numFmt w:val="lowerRoman"/>
      <w:start w:val="2"/>
    </w:lvl>
  </w:abstractNum>
  <w:abstractNum w:abstractNumId="196">
    <w:nsid w:val="1CDCE2DE"/>
    <w:multiLevelType w:val="hybridMultilevel"/>
    <w:lvl w:ilvl="0">
      <w:lvlJc w:val="left"/>
      <w:lvlText w:val="(%1)"/>
      <w:numFmt w:val="lowerLetter"/>
      <w:start w:val="3"/>
    </w:lvl>
  </w:abstractNum>
  <w:abstractNum w:abstractNumId="197">
    <w:nsid w:val="69D3947C"/>
    <w:multiLevelType w:val="hybridMultilevel"/>
    <w:lvl w:ilvl="0">
      <w:lvlJc w:val="left"/>
      <w:lvlText w:val="%1"/>
      <w:numFmt w:val="lowerLetter"/>
      <w:start w:val="1"/>
    </w:lvl>
    <w:lvl w:ilvl="1">
      <w:lvlJc w:val="left"/>
      <w:lvlText w:val="(%2)"/>
      <w:numFmt w:val="lowerLetter"/>
      <w:start w:val="1"/>
    </w:lvl>
  </w:abstractNum>
  <w:abstractNum w:abstractNumId="198">
    <w:nsid w:val="2539DFA5"/>
    <w:multiLevelType w:val="hybridMultilevel"/>
    <w:lvl w:ilvl="0">
      <w:lvlJc w:val="left"/>
      <w:lvlText w:val="(%1)"/>
      <w:numFmt w:val="lowerLetter"/>
      <w:start w:val="9"/>
    </w:lvl>
    <w:lvl w:ilvl="1">
      <w:lvlJc w:val="left"/>
      <w:lvlText w:val="%2"/>
      <w:numFmt w:val="lowerLetter"/>
      <w:start w:val="1"/>
    </w:lvl>
  </w:abstractNum>
  <w:abstractNum w:abstractNumId="199">
    <w:nsid w:val="2DB88089"/>
    <w:multiLevelType w:val="hybridMultilevel"/>
    <w:lvl w:ilvl="0">
      <w:lvlJc w:val="left"/>
      <w:lvlText w:val="(%1)"/>
      <w:numFmt w:val="lowerLetter"/>
      <w:start w:val="2"/>
    </w:lvl>
  </w:abstractNum>
  <w:abstractNum w:abstractNumId="200">
    <w:nsid w:val="706B674E"/>
    <w:multiLevelType w:val="hybridMultilevel"/>
    <w:lvl w:ilvl="0">
      <w:lvlJc w:val="left"/>
      <w:lvlText w:val="(%1)"/>
      <w:numFmt w:val="lowerRoman"/>
      <w:start w:val="1"/>
    </w:lvl>
  </w:abstractNum>
  <w:abstractNum w:abstractNumId="201">
    <w:nsid w:val="2C106A57"/>
    <w:multiLevelType w:val="hybridMultilevel"/>
    <w:lvl w:ilvl="0">
      <w:lvlJc w:val="left"/>
      <w:lvlText w:val="(%1)"/>
      <w:numFmt w:val="lowerLetter"/>
      <w:start w:val="3"/>
    </w:lvl>
  </w:abstractNum>
  <w:abstractNum w:abstractNumId="202">
    <w:nsid w:val="684EED59"/>
    <w:multiLevelType w:val="hybridMultilevel"/>
    <w:lvl w:ilvl="0">
      <w:lvlJc w:val="left"/>
      <w:lvlText w:val="%1"/>
      <w:numFmt w:val="lowerRoman"/>
      <w:start w:val="1"/>
    </w:lvl>
    <w:lvl w:ilvl="1">
      <w:lvlJc w:val="left"/>
      <w:lvlText w:val="(%2)"/>
      <w:numFmt w:val="lowerLetter"/>
      <w:start w:val="1"/>
    </w:lvl>
  </w:abstractNum>
  <w:abstractNum w:abstractNumId="203">
    <w:nsid w:val="545EE5D3"/>
    <w:multiLevelType w:val="hybridMultilevel"/>
    <w:lvl w:ilvl="0">
      <w:lvlJc w:val="left"/>
      <w:lvlText w:val="(%1)"/>
      <w:numFmt w:val="lowerRoman"/>
      <w:start w:val="1"/>
    </w:lvl>
    <w:lvl w:ilvl="1">
      <w:lvlJc w:val="left"/>
      <w:lvlText w:val="%2"/>
      <w:numFmt w:val="lowerLetter"/>
      <w:start w:val="1"/>
    </w:lvl>
  </w:abstractNum>
  <w:abstractNum w:abstractNumId="204">
    <w:nsid w:val="4A66051"/>
    <w:multiLevelType w:val="hybridMultilevel"/>
    <w:lvl w:ilvl="0">
      <w:lvlJc w:val="left"/>
      <w:lvlText w:val="(%1)"/>
      <w:numFmt w:val="lowerLetter"/>
      <w:start w:val="3"/>
    </w:lvl>
  </w:abstractNum>
  <w:abstractNum w:abstractNumId="205">
    <w:nsid w:val="20F4BDAD"/>
    <w:multiLevelType w:val="hybridMultilevel"/>
    <w:lvl w:ilvl="0">
      <w:lvlJc w:val="left"/>
      <w:lvlText w:val="(%1)"/>
      <w:numFmt w:val="lowerLetter"/>
      <w:start w:val="1"/>
    </w:lvl>
  </w:abstractNum>
  <w:abstractNum w:abstractNumId="206">
    <w:nsid w:val="639DEFAC"/>
    <w:multiLevelType w:val="hybridMultilevel"/>
    <w:lvl w:ilvl="0">
      <w:lvlJc w:val="left"/>
      <w:lvlText w:val="(%1)"/>
      <w:numFmt w:val="lowerLetter"/>
      <w:start w:val="3"/>
    </w:lvl>
  </w:abstractNum>
  <w:abstractNum w:abstractNumId="207">
    <w:nsid w:val="501F9786"/>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abstractNum>
  <w:abstractNum w:abstractNumId="208">
    <w:nsid w:val="6B057295"/>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abstractNum>
  <w:abstractNum w:abstractNumId="209">
    <w:nsid w:val="2771AC80"/>
    <w:multiLevelType w:val="hybridMultilevel"/>
    <w:lvl w:ilvl="0">
      <w:lvlJc w:val="left"/>
      <w:lvlText w:val="%1"/>
      <w:numFmt w:val="lowerRoman"/>
      <w:start w:val="1"/>
    </w:lvl>
    <w:lvl w:ilvl="1">
      <w:lvlJc w:val="left"/>
      <w:lvlText w:val="(%2)"/>
      <w:numFmt w:val="upperLetter"/>
      <w:start w:val="2"/>
    </w:lvl>
  </w:abstractNum>
  <w:abstractNum w:abstractNumId="210">
    <w:nsid w:val="1C4A08EC"/>
    <w:multiLevelType w:val="hybridMultilevel"/>
    <w:lvl w:ilvl="0">
      <w:lvlJc w:val="left"/>
      <w:lvlText w:val="(%1)"/>
      <w:numFmt w:val="lowerRoman"/>
      <w:start w:val="3"/>
    </w:lvl>
    <w:lvl w:ilvl="1">
      <w:lvlJc w:val="left"/>
      <w:lvlText w:val="%2"/>
      <w:numFmt w:val="upperLetter"/>
      <w:start w:val="1"/>
    </w:lvl>
  </w:abstractNum>
  <w:abstractNum w:abstractNumId="211">
    <w:nsid w:val="1958BD17"/>
    <w:multiLevelType w:val="hybridMultilevel"/>
    <w:lvl w:ilvl="0">
      <w:lvlJc w:val="left"/>
      <w:lvlText w:val="(%1)"/>
      <w:numFmt w:val="lowerLetter"/>
      <w:start w:val="3"/>
    </w:lvl>
  </w:abstractNum>
  <w:abstractNum w:abstractNumId="212">
    <w:nsid w:val="4E647FE4"/>
    <w:multiLevelType w:val="hybridMultilevel"/>
    <w:lvl w:ilvl="0">
      <w:lvlJc w:val="left"/>
      <w:lvlText w:val="(%1)"/>
      <w:numFmt w:val="lowerLetter"/>
      <w:start w:val="6"/>
    </w:lvl>
  </w:abstractNum>
  <w:abstractNum w:abstractNumId="213">
    <w:nsid w:val="E0BB885"/>
    <w:multiLevelType w:val="hybridMultilevel"/>
    <w:lvl w:ilvl="0">
      <w:lvlJc w:val="left"/>
      <w:lvlText w:val="(%1)"/>
      <w:numFmt w:val="lowerLetter"/>
      <w:start w:val="7"/>
    </w:lvl>
  </w:abstractNum>
  <w:abstractNum w:abstractNumId="214">
    <w:nsid w:val="565976F1"/>
    <w:multiLevelType w:val="hybridMultilevel"/>
    <w:lvl w:ilvl="0">
      <w:lvlJc w:val="left"/>
      <w:lvlText w:val="(%1)"/>
      <w:numFmt w:val="lowerRoman"/>
      <w:start w:val="1"/>
    </w:lvl>
  </w:abstractNum>
  <w:abstractNum w:abstractNumId="215">
    <w:nsid w:val="64212B8C"/>
    <w:multiLevelType w:val="hybridMultilevel"/>
    <w:lvl w:ilvl="0">
      <w:lvlJc w:val="left"/>
      <w:lvlText w:val="(%1)"/>
      <w:numFmt w:val="lowerLetter"/>
      <w:start w:val="1"/>
    </w:lvl>
  </w:abstractNum>
  <w:abstractNum w:abstractNumId="216">
    <w:nsid w:val="5C17530C"/>
    <w:multiLevelType w:val="hybridMultilevel"/>
    <w:lvl w:ilvl="0">
      <w:lvlJc w:val="left"/>
      <w:lvlText w:val="(%1)"/>
      <w:numFmt w:val="lowerLetter"/>
      <w:start w:val="1"/>
    </w:lvl>
  </w:abstractNum>
  <w:abstractNum w:abstractNumId="217">
    <w:nsid w:val="19A52566"/>
    <w:multiLevelType w:val="hybridMultilevel"/>
    <w:lvl w:ilvl="0">
      <w:lvlJc w:val="left"/>
      <w:lvlText w:val="(%1)"/>
      <w:numFmt w:val="lowerLetter"/>
      <w:start w:val="3"/>
    </w:lvl>
  </w:abstractNum>
  <w:abstractNum w:abstractNumId="218">
    <w:nsid w:val="335A1DF1"/>
    <w:multiLevelType w:val="hybridMultilevel"/>
    <w:lvl w:ilvl="0">
      <w:lvlJc w:val="left"/>
      <w:lvlText w:val="(%1)"/>
      <w:numFmt w:val="lowerLetter"/>
      <w:start w:val="1"/>
    </w:lvl>
  </w:abstractNum>
  <w:abstractNum w:abstractNumId="219">
    <w:nsid w:val="28677B7C"/>
    <w:multiLevelType w:val="hybridMultilevel"/>
    <w:lvl w:ilvl="0">
      <w:lvlJc w:val="left"/>
      <w:lvlText w:val="%1"/>
      <w:numFmt w:val="lowerRoman"/>
      <w:start w:val="1"/>
    </w:lvl>
    <w:lvl w:ilvl="1">
      <w:lvlJc w:val="left"/>
      <w:lvlText w:val="(%2)"/>
      <w:numFmt w:val="lowerLetter"/>
      <w:start w:val="2"/>
    </w:lvl>
  </w:abstractNum>
  <w:abstractNum w:abstractNumId="220">
    <w:nsid w:val="378D97C0"/>
    <w:multiLevelType w:val="hybridMultilevel"/>
    <w:lvl w:ilvl="0">
      <w:lvlJc w:val="left"/>
      <w:lvlText w:val="(%1)"/>
      <w:numFmt w:val="lowerRoman"/>
      <w:start w:val="6"/>
    </w:lvl>
    <w:lvl w:ilvl="1">
      <w:lvlJc w:val="left"/>
      <w:lvlText w:val="%2"/>
      <w:numFmt w:val="lowerLetter"/>
      <w:start w:val="1"/>
    </w:lvl>
  </w:abstractNum>
  <w:abstractNum w:abstractNumId="221">
    <w:nsid w:val="1D91467C"/>
    <w:multiLevelType w:val="hybridMultilevel"/>
    <w:lvl w:ilvl="0">
      <w:lvlJc w:val="left"/>
      <w:lvlText w:val="(%1)"/>
      <w:numFmt w:val="decimal"/>
      <w:start w:val="1"/>
    </w:lvl>
    <w:lvl w:ilvl="1">
      <w:lvlJc w:val="left"/>
      <w:lvlText w:val="%2."/>
      <w:numFmt w:val="lowerLetter"/>
      <w:start w:val="1"/>
    </w:lvl>
  </w:abstractNum>
  <w:abstractNum w:abstractNumId="222">
    <w:nsid w:val="316032BB"/>
    <w:multiLevelType w:val="hybridMultilevel"/>
    <w:lvl w:ilvl="0">
      <w:lvlJc w:val="left"/>
      <w:lvlText w:val="(%1)"/>
      <w:numFmt w:val="decimal"/>
      <w:start w:val="1"/>
    </w:lvl>
    <w:lvl w:ilvl="1">
      <w:lvlJc w:val="left"/>
      <w:lvlText w:val="%2."/>
      <w:numFmt w:val="lowerLetter"/>
      <w:start w:val="1"/>
    </w:lvl>
  </w:abstractNum>
  <w:abstractNum w:abstractNumId="223">
    <w:nsid w:val="44344C22"/>
    <w:multiLevelType w:val="hybridMultilevel"/>
    <w:lvl w:ilvl="0">
      <w:lvlJc w:val="left"/>
      <w:lvlText w:val="(%1)"/>
      <w:numFmt w:val="decimal"/>
      <w:start w:val="1"/>
    </w:lvl>
    <w:lvl w:ilvl="1">
      <w:lvlJc w:val="left"/>
      <w:lvlText w:val="%2."/>
      <w:numFmt w:val="lowerLetter"/>
      <w:start w:val="1"/>
    </w:lvl>
  </w:abstractNum>
  <w:abstractNum w:abstractNumId="224">
    <w:nsid w:val="13CDFCF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2019-12-08T00:04:08Z</dcterms:created>
  <dcterms:modified xsi:type="dcterms:W3CDTF">2019-12-08T00:04:08Z</dcterms:modified>
</cp:coreProperties>
</file>