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200"/>
        <w:spacing w:after="0" w:line="207" w:lineRule="exact"/>
        <w:tabs>
          <w:tab w:leader="none" w:pos="24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760" w:hanging="556"/>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760" w:hanging="556"/>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60" w:hanging="556"/>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right="240" w:hanging="437"/>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60" w:hanging="456"/>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-3535045</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-3088640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-2505710</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-2059940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-1614170</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-139065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306705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1180"/>
          </w:cols>
          <w:pgMar w:left="240" w:top="230" w:right="479" w:bottom="275" w:gutter="0" w:footer="0" w:header="0"/>
        </w:sectPr>
      </w:pPr>
    </w:p>
    <w:bookmarkStart w:id="1" w:name="page2"/>
    <w:bookmarkEnd w:id="1"/>
    <w:p>
      <w:pPr>
        <w:ind w:left="437" w:hanging="437"/>
        <w:spacing w:after="0"/>
        <w:tabs>
          <w:tab w:leader="none" w:pos="4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-139065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306705</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469265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512445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56"/>
          </w:cols>
          <w:pgMar w:left="903"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5, 2019</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pleased to invite you to attend a Special Meeting of Stockholders of TPG Specialty Lending, Inc. to be held on May 16, 2019, at 9:30 a.m., local time, at the offices of Cleary Gottlieb Steen &amp; Hamilton LLP, 450 Park Avenue, 28th Floor, New York, NY 10022.</w:t>
      </w:r>
    </w:p>
    <w:p>
      <w:pPr>
        <w:spacing w:after="0" w:line="170"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w:t>
      </w:r>
    </w:p>
    <w:p>
      <w:pPr>
        <w:spacing w:after="0" w:line="158" w:lineRule="exact"/>
        <w:rPr>
          <w:sz w:val="20"/>
          <w:szCs w:val="20"/>
          <w:color w:val="auto"/>
        </w:rPr>
      </w:pPr>
    </w:p>
    <w:p>
      <w:pPr>
        <w:jc w:val="both"/>
        <w:ind w:left="200" w:right="160" w:firstLine="441"/>
        <w:spacing w:after="0" w:line="286" w:lineRule="auto"/>
        <w:rPr>
          <w:sz w:val="20"/>
          <w:szCs w:val="20"/>
          <w:color w:val="auto"/>
        </w:rPr>
      </w:pPr>
      <w:r>
        <w:rPr>
          <w:rFonts w:ascii="Arial" w:cs="Arial" w:eastAsia="Arial" w:hAnsi="Arial"/>
          <w:sz w:val="17"/>
          <w:szCs w:val="17"/>
          <w:color w:val="auto"/>
        </w:rPr>
        <w:t>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66"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You will also receive separate proxy materials for the Annual Meeting of Stockholders, which will be held at the same place and on the same date stated above, but not at the same time. Please be certain to vote separately each proxy card that you receive from us.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5, 2019</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Important Notice Regarding the Availability of Proxy Material for the Special Meeting of Stockholders to Be Held on May 16, 2019.</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proxy statement is available online at www.proxyvote.com.</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information applicable to the Special Meeting of Stockholders may be found in the proxy statement and accompanying proxy card:</w:t>
      </w:r>
    </w:p>
    <w:p>
      <w:pPr>
        <w:spacing w:after="0" w:line="154"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163195</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18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NOTICE IS HEREBY GIVEN that a Special Meeting of Stockholders of TPG Specialty Lending, Inc. will be held at the offices of Cleary Gottlieb Steen &amp; Hamilton LLP, 450 Park Avenue, 28th Floor, New York, NY 10022 on May 16 , 2019, at 9:30 a.m., local time. The Special Meeting of Stockholders is being held for the following purpose:</w:t>
      </w:r>
    </w:p>
    <w:p>
      <w:pPr>
        <w:spacing w:after="0" w:line="73" w:lineRule="exact"/>
        <w:rPr>
          <w:sz w:val="20"/>
          <w:szCs w:val="20"/>
          <w:color w:val="auto"/>
        </w:rPr>
      </w:pPr>
    </w:p>
    <w:p>
      <w:pPr>
        <w:jc w:val="both"/>
        <w:ind w:left="640" w:right="80" w:firstLine="428"/>
        <w:spacing w:after="0" w:line="259" w:lineRule="auto"/>
        <w:tabs>
          <w:tab w:leader="none" w:pos="12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Only stockholders of record at the close of business on March 22, 2019, are entitled to notice of and to vote at the Special Meeting of Stockholders or any postponement or adjournment thereof.</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83" w:lineRule="exact"/>
        <w:rPr>
          <w:sz w:val="20"/>
          <w:szCs w:val="20"/>
          <w:color w:val="auto"/>
        </w:rPr>
      </w:pPr>
    </w:p>
    <w:p>
      <w:pPr>
        <w:ind w:left="200" w:right="180" w:firstLine="441"/>
        <w:spacing w:after="0" w:line="258" w:lineRule="auto"/>
        <w:rPr>
          <w:sz w:val="20"/>
          <w:szCs w:val="20"/>
          <w:color w:val="auto"/>
        </w:rPr>
      </w:pPr>
      <w:r>
        <w:rPr>
          <w:rFonts w:ascii="Arial" w:cs="Arial" w:eastAsia="Arial" w:hAnsi="Arial"/>
          <w:sz w:val="18"/>
          <w:szCs w:val="18"/>
          <w:b w:val="1"/>
          <w:bCs w:val="1"/>
          <w:color w:val="auto"/>
        </w:rPr>
        <w:t xml:space="preserve">Your vote is extremely important to us. </w:t>
      </w:r>
      <w:r>
        <w:rPr>
          <w:rFonts w:ascii="Arial" w:cs="Arial" w:eastAsia="Arial" w:hAnsi="Arial"/>
          <w:sz w:val="18"/>
          <w:szCs w:val="18"/>
          <w:color w:val="auto"/>
        </w:rPr>
        <w:t>If you are unable to attend the Special Meeting of Stockholders, we encourage you to vote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184"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THE PROPOSAL.</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Ken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Ken Burke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5, 2019</w:t>
      </w:r>
    </w:p>
    <w:p>
      <w:pPr>
        <w:spacing w:after="0" w:line="207"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980" w:type="dxa"/>
            <w:vAlign w:val="bottom"/>
            <w:gridSpan w:val="7"/>
            <w:vMerge w:val="restart"/>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Proxy Statement for a Special Meeting of Stockholders</w:t>
              </w:r>
            </w:hyperlink>
          </w:p>
        </w:tc>
        <w:tc>
          <w:tcPr>
            <w:tcW w:w="6480" w:type="dxa"/>
            <w:vAlign w:val="bottom"/>
            <w:gridSpan w:val="5"/>
            <w:vMerge w:val="restart"/>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980" w:type="dxa"/>
            <w:vAlign w:val="bottom"/>
            <w:tcBorders>
              <w:bottom w:val="single" w:sz="8" w:color="0000EE"/>
            </w:tcBorders>
            <w:gridSpan w:val="7"/>
            <w:vMerge w:val="continue"/>
          </w:tcPr>
          <w:p>
            <w:pPr>
              <w:spacing w:after="0"/>
              <w:rPr>
                <w:sz w:val="13"/>
                <w:szCs w:val="13"/>
                <w:color w:val="auto"/>
              </w:rPr>
            </w:pPr>
          </w:p>
        </w:tc>
        <w:tc>
          <w:tcPr>
            <w:tcW w:w="648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460" w:type="dxa"/>
            <w:vAlign w:val="bottom"/>
            <w:gridSpan w:val="1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Security Ownership of Certain Beneficial Owners and Management</w:t>
              </w:r>
            </w:hyperlink>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12"/>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Proposal No. 1—Authorization of the Company to Sell or Otherwise Issue Shares of its Common Stock at a Price Below its Then-Current Net</w:t>
              </w:r>
            </w:hyperlink>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060" w:type="dxa"/>
            <w:vAlign w:val="bottom"/>
            <w:tcBorders>
              <w:top w:val="single" w:sz="8" w:color="0000EE"/>
            </w:tcBorders>
            <w:gridSpan w:val="10"/>
          </w:tcPr>
          <w:p>
            <w:pPr>
              <w:spacing w:after="0" w:line="196"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Asset Value Per Share in One or More Offerings, in Each Case Subject to the Approval of its Board of Directors and Subject to the</w:t>
              </w:r>
            </w:hyperlink>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4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Conditions Set Forth in this Proposal</w:t>
              </w:r>
            </w:hyperlink>
          </w:p>
        </w:tc>
        <w:tc>
          <w:tcPr>
            <w:tcW w:w="8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Other Business</w:t>
              </w:r>
            </w:hyperlink>
          </w:p>
        </w:tc>
        <w:tc>
          <w:tcPr>
            <w:tcW w:w="9360" w:type="dxa"/>
            <w:vAlign w:val="bottom"/>
            <w:gridSpan w:val="9"/>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460" w:type="dxa"/>
            <w:vAlign w:val="bottom"/>
            <w:gridSpan w:val="1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Stockholder Proposals and Nominations for the 2020 Annual Meeting of Stockholders</w:t>
              </w:r>
            </w:hyperlink>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62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Annual Report</w:t>
              </w:r>
            </w:hyperlink>
          </w:p>
        </w:tc>
        <w:tc>
          <w:tcPr>
            <w:tcW w:w="4240" w:type="dxa"/>
            <w:vAlign w:val="bottom"/>
            <w:gridSpan w:val="3"/>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6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Householding of Proxy Materials</w:t>
              </w:r>
            </w:hyperlink>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Privacy Principles</w:t>
              </w:r>
            </w:hyperlink>
          </w:p>
        </w:tc>
        <w:tc>
          <w:tcPr>
            <w:tcW w:w="1080" w:type="dxa"/>
            <w:vAlign w:val="bottom"/>
            <w:tcBorders>
              <w:top w:val="single" w:sz="8" w:color="0000EE"/>
            </w:tcBorders>
          </w:tcPr>
          <w:p>
            <w:pPr>
              <w:spacing w:after="0"/>
              <w:rPr>
                <w:sz w:val="17"/>
                <w:szCs w:val="17"/>
                <w:color w:val="auto"/>
              </w:rPr>
            </w:pPr>
          </w:p>
        </w:tc>
        <w:tc>
          <w:tcPr>
            <w:tcW w:w="8060" w:type="dxa"/>
            <w:vAlign w:val="bottom"/>
            <w:gridSpan w:val="7"/>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151765</wp:posOffset>
            </wp:positionV>
            <wp:extent cx="14662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accompanying proxy is solicited on behalf of the Board of Directors (the “Board”) of TPG Specialty Lending, Inc., which is sometimes referred to in this proxy statement as “TSL,” “TSLX,” “we,” “us,” “our,” or the “Company,” for use at a Special Meeting of Stockholders (the “Meeting” or “Special Meeting”) to be held at the offices of Cleary Gottlieb Steen &amp; Hamilton LLP, 450 Park Avenue, 28th Floor, New York, NY 10022 on May 16, 2019, at 9:30 a.m., local time. Only holders of record of our common stock at the close of business on March 22, 2019, which is the record date, will be entitled to vote at the Meeting. At the close of business on the record date, we had 65,625,635 shares of common stock outstanding and entitled to vote.</w:t>
      </w:r>
    </w:p>
    <w:p>
      <w:pPr>
        <w:spacing w:after="0" w:line="193"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It is anticipated that the Notice of Internet Availability of Proxy Materials will first be sent to Stockholders on or about April 5, 2019. This proxy statement, including the accompanying form of proxy (collectively, the “Proxy Statement”), will first be made available to stockholders on or about April 5, 2019. The Proxy Statement can be accessed online at www.proxyvote.com.</w:t>
      </w:r>
    </w:p>
    <w:p>
      <w:pPr>
        <w:spacing w:after="0" w:line="181"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Meeting of Stockholders is being held for the following purpose:</w:t>
      </w:r>
    </w:p>
    <w:p>
      <w:pPr>
        <w:spacing w:after="0" w:line="225" w:lineRule="exact"/>
        <w:rPr>
          <w:sz w:val="20"/>
          <w:szCs w:val="20"/>
          <w:color w:val="auto"/>
        </w:rPr>
      </w:pPr>
    </w:p>
    <w:p>
      <w:pPr>
        <w:ind w:left="200" w:firstLine="444"/>
        <w:spacing w:after="0" w:line="259" w:lineRule="auto"/>
        <w:tabs>
          <w:tab w:leader="none" w:pos="8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any broker non-votes at the Meeting because there are no routine proposals to be voted on at the Meeting. </w:t>
      </w:r>
      <w:r>
        <w:rPr>
          <w:rFonts w:ascii="Arial" w:cs="Arial" w:eastAsia="Arial" w:hAnsi="Arial"/>
          <w:sz w:val="17"/>
          <w:szCs w:val="17"/>
          <w:b w:val="1"/>
          <w:bCs w:val="1"/>
          <w:color w:val="auto"/>
        </w:rPr>
        <w:t>For this reason, it is imperative that stockholders vote or</w:t>
      </w:r>
      <w:r>
        <w:rPr>
          <w:rFonts w:ascii="Arial" w:cs="Arial" w:eastAsia="Arial" w:hAnsi="Arial"/>
          <w:sz w:val="17"/>
          <w:szCs w:val="17"/>
          <w:color w:val="auto"/>
        </w:rPr>
        <w:t xml:space="preserve"> </w:t>
      </w:r>
      <w:r>
        <w:rPr>
          <w:rFonts w:ascii="Arial" w:cs="Arial" w:eastAsia="Arial" w:hAnsi="Arial"/>
          <w:sz w:val="17"/>
          <w:szCs w:val="17"/>
          <w:b w:val="1"/>
          <w:bCs w:val="1"/>
          <w:color w:val="auto"/>
        </w:rPr>
        <w:t>provide instructions to their broker as to how to vote.</w:t>
      </w:r>
    </w:p>
    <w:p>
      <w:pPr>
        <w:spacing w:after="0" w:line="17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 While broker non-votes would have the effect of a vote “against” Proposal 1, we do not expect many, if any, broker non-votes at the Meeting because there are no routine proposals to be voted on at the Meeting.</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Any such adjournment proposed by a stockholder or person named as a proxy would require the affirmative vote of the majority of the outstanding shares present in person or represented by proxy at the Meeting.</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named proxies for the Meeting are Ian Simmonds and Ken Burke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Information Regarding This Proxy</w:t>
      </w:r>
    </w:p>
    <w:p>
      <w:pPr>
        <w:spacing w:after="0" w:line="121"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The Company will pay the expenses of soliciting proxies to be voted at the Meeting. The Company has retained Broadridge Investor Communications Solutions, Inc. to assist with the distribution and collection of proxies for a fee of approximately $65,000, plus reimbursement of expenses.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 employees of TSL Advisers, LLC, the Company’s investment adviser (the “Adviser”). No additional compensation will be paid to such directors, officers or regular employees for such services. The address of the Adviser is 301 Commerce Street, Suite 3300, Fort Worth, TX 76102.</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Company has engaged the services of D.F. King &amp; Co., Inc. (“D.F. King”) to assist in the solicitation of proxies. The Company has estimated that it will pay approximately $10,000, plus reimbursement of certain expenses and fees for additional services requested. Please note that D.F. King may solicit 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66"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You can contact us by mail sent to the attention of the Secretary of the Company, Ken Burke, TPG Specialty Lending, Inc., 888 7</w:t>
      </w:r>
      <w:r>
        <w:rPr>
          <w:rFonts w:ascii="Arial" w:cs="Arial" w:eastAsia="Arial" w:hAnsi="Arial"/>
          <w:sz w:val="13"/>
          <w:szCs w:val="13"/>
          <w:color w:val="auto"/>
        </w:rPr>
        <w:t>th</w:t>
      </w:r>
      <w:r>
        <w:rPr>
          <w:rFonts w:ascii="Arial" w:cs="Arial" w:eastAsia="Arial" w:hAnsi="Arial"/>
          <w:sz w:val="16"/>
          <w:szCs w:val="16"/>
          <w:color w:val="auto"/>
        </w:rPr>
        <w:t xml:space="preserve"> Avenue, 35</w:t>
      </w:r>
      <w:r>
        <w:rPr>
          <w:rFonts w:ascii="Arial" w:cs="Arial" w:eastAsia="Arial" w:hAnsi="Arial"/>
          <w:sz w:val="13"/>
          <w:szCs w:val="13"/>
          <w:color w:val="auto"/>
        </w:rPr>
        <w:t>th</w:t>
      </w:r>
      <w:r>
        <w:rPr>
          <w:rFonts w:ascii="Arial" w:cs="Arial" w:eastAsia="Arial" w:hAnsi="Arial"/>
          <w:sz w:val="16"/>
          <w:szCs w:val="16"/>
          <w:color w:val="auto"/>
        </w:rPr>
        <w:t xml:space="preserve"> Floor, New York, NY 10106. You can call us by dialing (212) 601-4753. You can access our proxy materials online at www.proxyvote.com.</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22, 2019,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2"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The percentage ownership is based on 65,625,635 shares of common stock outstanding as of March 22, 2019.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7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560" w:type="dxa"/>
            <w:vAlign w:val="bottom"/>
            <w:gridSpan w:val="2"/>
          </w:tcPr>
          <w:p>
            <w:pPr>
              <w:jc w:val="center"/>
              <w:ind w:left="1491"/>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7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6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1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1680" w:type="dxa"/>
            <w:vAlign w:val="bottom"/>
            <w:gridSpan w:val="3"/>
          </w:tcPr>
          <w:p>
            <w:pPr>
              <w:jc w:val="center"/>
              <w:ind w:left="431"/>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58"/>
        </w:trPr>
        <w:tc>
          <w:tcPr>
            <w:tcW w:w="6800" w:type="dxa"/>
            <w:vAlign w:val="bottom"/>
            <w:gridSpan w:val="3"/>
            <w:vMerge w:val="continue"/>
          </w:tcPr>
          <w:p>
            <w:pPr>
              <w:spacing w:after="0"/>
              <w:rPr>
                <w:sz w:val="13"/>
                <w:szCs w:val="13"/>
                <w:color w:val="auto"/>
              </w:rPr>
            </w:pPr>
          </w:p>
        </w:tc>
        <w:tc>
          <w:tcPr>
            <w:tcW w:w="160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74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CCEEFF"/>
            </w:tcBorders>
            <w:shd w:val="clear" w:color="auto" w:fill="000000"/>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1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Joshua Easterly </w:t>
            </w:r>
            <w:r>
              <w:rPr>
                <w:rFonts w:ascii="Arial" w:cs="Arial" w:eastAsia="Arial" w:hAnsi="Arial"/>
                <w:sz w:val="15"/>
                <w:szCs w:val="15"/>
                <w:color w:val="auto"/>
              </w:rPr>
              <w:t>(2)</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36,943</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 xml:space="preserve">Michael Fishman </w:t>
            </w:r>
            <w:r>
              <w:rPr>
                <w:rFonts w:ascii="Arial" w:cs="Arial" w:eastAsia="Arial" w:hAnsi="Arial"/>
                <w:sz w:val="15"/>
                <w:szCs w:val="15"/>
                <w:color w:val="auto"/>
              </w:rPr>
              <w:t>(3)</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36,366</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Jennifer Gordon</w:t>
            </w: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i w:val="1"/>
                <w:iCs w:val="1"/>
                <w:color w:val="auto"/>
              </w:rPr>
              <w:t>Independent Directors</w:t>
            </w: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Hurley Doddy</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Richard Higginbotham</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22,000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John Ross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Ronald Tanemura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86,516</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Ian Simmonds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2,700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Robert (Bo) Stanley </w:t>
            </w:r>
            <w:r>
              <w:rPr>
                <w:rFonts w:ascii="Arial" w:cs="Arial" w:eastAsia="Arial" w:hAnsi="Arial"/>
                <w:sz w:val="15"/>
                <w:szCs w:val="15"/>
                <w:color w:val="auto"/>
              </w:rPr>
              <w:t>(4)</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 xml:space="preserve">All Directors and Executive Officers as a Group (15 persons) </w:t>
            </w:r>
            <w:r>
              <w:rPr>
                <w:rFonts w:ascii="Arial" w:cs="Arial" w:eastAsia="Arial" w:hAnsi="Arial"/>
                <w:sz w:val="15"/>
                <w:szCs w:val="15"/>
                <w:color w:val="auto"/>
              </w:rPr>
              <w:t>(5)(6)</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2,902,098</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5"/>
                <w:szCs w:val="15"/>
                <w:color w:val="auto"/>
              </w:rPr>
              <w:t>(7)</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5,514,942</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State Teachers Retirement Board of Ohio </w:t>
            </w:r>
            <w:r>
              <w:rPr>
                <w:rFonts w:ascii="Arial" w:cs="Arial" w:eastAsia="Arial" w:hAnsi="Arial"/>
                <w:sz w:val="15"/>
                <w:szCs w:val="15"/>
                <w:color w:val="auto"/>
              </w:rPr>
              <w:t>(8)</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5,238,665</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 xml:space="preserve">Division of Investment, Department of Treasury, State of New Jersey </w:t>
            </w:r>
            <w:r>
              <w:rPr>
                <w:rFonts w:ascii="Arial" w:cs="Arial" w:eastAsia="Arial" w:hAnsi="Arial"/>
                <w:sz w:val="15"/>
                <w:szCs w:val="15"/>
                <w:color w:val="auto"/>
              </w:rPr>
              <w:t>(9)</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4,300,000</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Wells Fargo &amp; Company </w:t>
            </w:r>
            <w:r>
              <w:rPr>
                <w:rFonts w:ascii="Arial" w:cs="Arial" w:eastAsia="Arial" w:hAnsi="Arial"/>
                <w:sz w:val="15"/>
                <w:szCs w:val="15"/>
                <w:color w:val="auto"/>
              </w:rPr>
              <w:t>(10)</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3,406,808</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640" w:right="20" w:hanging="436"/>
        <w:spacing w:after="0" w:line="290"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spacing w:after="0" w:line="274" w:lineRule="auto"/>
        <w:rPr>
          <w:sz w:val="20"/>
          <w:szCs w:val="20"/>
          <w:color w:val="auto"/>
        </w:rPr>
      </w:pPr>
      <w:r>
        <w:rPr>
          <w:rFonts w:ascii="Arial" w:cs="Arial" w:eastAsia="Arial" w:hAnsi="Arial"/>
          <w:sz w:val="17"/>
          <w:szCs w:val="17"/>
          <w:color w:val="auto"/>
        </w:rPr>
        <w:t>in the case of directors and executive officers as a group). Except as otherwise noted, each beneficial owner of more than five percent of common stock and each director and executive officer has sole voting and/or investment power over the shares reported.</w:t>
      </w:r>
    </w:p>
    <w:p>
      <w:pPr>
        <w:ind w:left="640" w:right="26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9,745 shares of common stock beneficially owned by Mr. Easterly have been pledged as security in connection with a line of credit with a third party financial institution unaffiliated with the Company.</w:t>
      </w:r>
    </w:p>
    <w:p>
      <w:pPr>
        <w:ind w:left="640" w:right="26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36,366 shares of common stock beneficially owned by Mr. Fishman have been pledged as security in connection with a line of credit with a third party financial institution unaffiliated with the Company.</w:t>
      </w:r>
    </w:p>
    <w:p>
      <w:pPr>
        <w:ind w:left="640" w:right="4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3,907 shares of common stock beneficially owned by Mr. Stanley have been pledged as security in connection with a line of credit with a third party financial institution unaffiliated with the Company.</w:t>
      </w:r>
    </w:p>
    <w:p>
      <w:pPr>
        <w:ind w:left="640" w:right="18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 55,562 shares of common stock beneficially owned by certain officers have been pledged as security in connection with lines of credit with a third party financial institution unaffiliated with the Company.</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TSL Advisers, LLC holds 2,716,977 shares of common stock, or the TSL Advisers Shares.</w:t>
      </w:r>
    </w:p>
    <w:p>
      <w:pPr>
        <w:spacing w:after="0" w:line="9" w:lineRule="exact"/>
        <w:rPr>
          <w:rFonts w:ascii="Arial" w:cs="Arial" w:eastAsia="Arial" w:hAnsi="Arial"/>
          <w:sz w:val="18"/>
          <w:szCs w:val="18"/>
          <w:color w:val="auto"/>
        </w:rPr>
      </w:pPr>
    </w:p>
    <w:p>
      <w:pPr>
        <w:ind w:left="640" w:right="20"/>
        <w:spacing w:after="0" w:line="250"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1" w:lineRule="exact"/>
        <w:rPr>
          <w:rFonts w:ascii="Arial" w:cs="Arial" w:eastAsia="Arial" w:hAnsi="Arial"/>
          <w:sz w:val="18"/>
          <w:szCs w:val="18"/>
          <w:color w:val="auto"/>
        </w:rPr>
      </w:pPr>
    </w:p>
    <w:p>
      <w:pPr>
        <w:jc w:val="both"/>
        <w:ind w:left="640" w:right="140"/>
        <w:spacing w:after="0" w:line="250" w:lineRule="auto"/>
        <w:rPr>
          <w:rFonts w:ascii="Arial" w:cs="Arial" w:eastAsia="Arial" w:hAnsi="Arial"/>
          <w:sz w:val="18"/>
          <w:szCs w:val="18"/>
          <w:color w:val="auto"/>
        </w:rPr>
      </w:pPr>
      <w:r>
        <w:rPr>
          <w:rFonts w:ascii="Arial" w:cs="Arial" w:eastAsia="Arial" w:hAnsi="Arial"/>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1" w:lineRule="exact"/>
        <w:rPr>
          <w:rFonts w:ascii="Arial" w:cs="Arial" w:eastAsia="Arial" w:hAnsi="Arial"/>
          <w:sz w:val="18"/>
          <w:szCs w:val="18"/>
          <w:color w:val="auto"/>
        </w:rPr>
      </w:pPr>
    </w:p>
    <w:p>
      <w:pPr>
        <w:ind w:left="640" w:hanging="436"/>
        <w:spacing w:after="0" w:line="265"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13, 2019 by FMR LLC and Abigail P. Johnson. As of February 13, 2019 FMR LLC had (i) sole power to vote 543,328 shares and (ii) sole power to dispose of 5,514,942 shares. Abigail P. Johnson had sole power to dispose of 5,514,942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3" w:lineRule="exact"/>
        <w:rPr>
          <w:rFonts w:ascii="Arial" w:cs="Arial" w:eastAsia="Arial" w:hAnsi="Arial"/>
          <w:sz w:val="17"/>
          <w:szCs w:val="17"/>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9" w:lineRule="exact"/>
        <w:rPr>
          <w:rFonts w:ascii="Arial" w:cs="Arial" w:eastAsia="Arial" w:hAnsi="Arial"/>
          <w:sz w:val="18"/>
          <w:szCs w:val="18"/>
          <w:color w:val="auto"/>
        </w:rPr>
      </w:pPr>
    </w:p>
    <w:p>
      <w:pPr>
        <w:ind w:left="640" w:right="14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ind w:left="640" w:right="560" w:hanging="436"/>
        <w:spacing w:after="0" w:line="261"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upon a Schedule 13G filed with the SEC on January 22, 2019 by Wells Fargo &amp; Company on its own behalf and on behalf of certain subsidiaries. The address of Wells Fargo &amp; Company is 420 Montgomery Street, San Francisco, CA 94163.</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AUTHORIZATION OF THE COMPANY TO SELL OR OTHERWISE ISSUE SHARES OF ITS COMMON STOCK AT A PRICE BELOW</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ITS THEN-CURRENT NET ASSET VALUE PER SHARE IN ONE OR MORE OFFERINGS, IN EACH CASE SUBJECT TO THE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APPROVAL OF ITS BOARD OF DIRECTORS AND SUBJECT TO THE CONDITIONS SET FORTH IN THIS PROPOSAL</w:t>
      </w:r>
    </w:p>
    <w:p>
      <w:pPr>
        <w:spacing w:after="0" w:line="21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2:1 debt-to-equity ratio that is imposed through the 150% asset coverage requirement applicable to the Company under the 1940 Act.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w:t>
      </w:r>
    </w:p>
    <w:p>
      <w:pPr>
        <w:spacing w:after="0" w:line="17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Arial" w:cs="Arial" w:eastAsia="Arial" w:hAnsi="Arial"/>
          <w:sz w:val="16"/>
          <w:szCs w:val="16"/>
          <w:b w:val="1"/>
          <w:bCs w:val="1"/>
          <w:color w:val="auto"/>
        </w:rPr>
        <w:t>There will be no limit on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percentage below net asset value per share at which shares may be sold by the Company or number of offerings, each for up to 25% of the Company’s then-outstanding common stock, that the Company may conduct under this proposal for the one-year period that authorization is granted. </w:t>
      </w:r>
      <w:r>
        <w:rPr>
          <w:rFonts w:ascii="Arial" w:cs="Arial" w:eastAsia="Arial" w:hAnsi="Arial"/>
          <w:sz w:val="16"/>
          <w:szCs w:val="16"/>
          <w:color w:val="auto"/>
        </w:rPr>
        <w:t>Except for such authorizations as otherwise may be required with respect to a particular issuance under applicable law, New York Stock</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Sales Below NAV</w:t>
      </w:r>
    </w:p>
    <w:p>
      <w:pPr>
        <w:spacing w:after="0" w:line="121" w:lineRule="exact"/>
        <w:rPr>
          <w:sz w:val="20"/>
          <w:szCs w:val="20"/>
          <w:color w:val="auto"/>
        </w:rPr>
      </w:pPr>
    </w:p>
    <w:p>
      <w:pPr>
        <w:ind w:left="200" w:right="560" w:firstLine="441"/>
        <w:spacing w:after="0" w:line="264" w:lineRule="auto"/>
        <w:rPr>
          <w:sz w:val="20"/>
          <w:szCs w:val="20"/>
          <w:color w:val="auto"/>
        </w:rPr>
      </w:pPr>
      <w:r>
        <w:rPr>
          <w:rFonts w:ascii="Arial" w:cs="Arial" w:eastAsia="Arial" w:hAnsi="Arial"/>
          <w:sz w:val="18"/>
          <w:szCs w:val="18"/>
          <w:color w:val="auto"/>
        </w:rPr>
        <w:t>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w:t>
      </w:r>
    </w:p>
    <w:p>
      <w:pPr>
        <w:spacing w:after="0" w:line="87" w:lineRule="exact"/>
        <w:rPr>
          <w:sz w:val="20"/>
          <w:szCs w:val="20"/>
          <w:color w:val="auto"/>
        </w:rPr>
      </w:pPr>
    </w:p>
    <w:p>
      <w:pPr>
        <w:ind w:left="1060" w:right="18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“required majority” of the Company’s directors have determined that any such sale would be in the best interests of the Company and its stockholders;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5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to be issued does not exceed 25% of the Company’s then-outstanding common stock immediately prior to each such offering.</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Approval</w:t>
      </w:r>
    </w:p>
    <w:p>
      <w:pPr>
        <w:spacing w:after="0" w:line="12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w:t>
      </w:r>
    </w:p>
    <w:p>
      <w:pPr>
        <w:spacing w:after="0" w:line="12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Upon obtaining the requisite stockholder approval, the Company will comply with the conditions described above in connection with any offering undertaken pursuant to this proposal. See below for a discussion of the risks of dilution.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and Reasons to Offer Common Stock Below NAV</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2:1 debt-to-equity ratio that is imposed through the 150% asset coverage requirement applicable to the Company under the 1940 Act. In reaching that conclusion, the Board considered the following potential benefits to the Company’s stockholders: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Market Conditions Have Created, and May in the Future Create, Attractive Investment and Acquisition Opportunities</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 conditions that materially and adversely impacted the broader financial and credit markets and reduced the availability of debt and equity capital for the market as a whole and financial services firms in particular. As a result of the disruption and volatility in the credit markets during this time, there was a reduction in capital available to certain specialty finance companies and other capital providers, causing a reduction in competition. These conditions also coincided with lower stock prices for BDCs, with most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While market conditions have largely recovered from the events of 2008 and 2009, there have been continuing periods of volatility, some lasting longer than others. In particular, the Company has seen periods during the last few years where BDCs, including the Company, have traded below NAV due to such stock market volatility. While the Company’s shares of common stock are currently trading above NAV, there can be no assurance that they will continue to do so and there can be no assurance that these adverse market conditions will not repeat themselves or worsen in the future. If adverse market conditions re-occur or increase in severity and duration,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117"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Higher Market Capitalization and Liquidity May Make the Company’s Common Stock More Attractive to Investors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Maintenance or Possible Increase of Dividends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and from the earnings generated during the year ended December 31, 2018 the Company declared total dividends of $1.87 per share of its common stock (including a fourth quarter variable supplemental dividend of $0.12 declared in the first quarter of 2019). Although the Company will continue to seek to generate income sufficient to pay dividends in the future, the proceeds of future offerings, and the investments thereof, could enable the Company to maintain and possibly grow its dividends, which may include a return of capital.</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As a BDC and a regulated investment company (“RIC”) for tax purposes, the Company is dependent on its ability to raise capital through the issuance of its common stock. RICs generally must distribute substantially all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that have adopted the lower asset coverage requirement of 150% must meet a debt-to-equity ratio of less than 2:1 in order to incur debt or issue senior securities. In addition, the terms of the Company’s credit facilities also require that it maintain a debt-to-equity ratio of less than 2:1 in accordance with the 150% asset coverage requirement. Therefore, to continue to build the Company’s investment portfolio, the Company endeavors to maintain consistent access to capital through the public and private debt markets and the public equity markets enabling it to take advantage of investment opportunities as they arise.</w:t>
      </w:r>
    </w:p>
    <w:p>
      <w:pPr>
        <w:spacing w:after="0" w:line="189"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Exceeding the 2:1 debt-to-equity ratio could have severe negative consequences for the Company, including the inability to pay dividends, breach of debt covenants and failure to qualify for tax treatment as a RIC. Although the Company does not currently expect that it will exceed this 2:1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Trading History</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following table sets forth, for each fiscal quarter during the last three fiscal years and the first quarter of the current fiscal year, the NAV of the Company’s common stock, the range of high and low closing sales prices of its common stock as reported on the New York Stock Exchange (“NYSE”) and the closing sales price as a premium (discount) to NAV. On March 22, 2019, the last reported closing sales price of the Company’s common stock on the NYSE was $19.97 per share, which represented a premium of approximately 22.9% to the NAV reported by the Company as of December 31, 2018.</w:t>
      </w:r>
    </w:p>
    <w:p>
      <w:pPr>
        <w:spacing w:after="0" w:line="16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Price Range</w:t>
            </w:r>
          </w:p>
        </w:tc>
        <w:tc>
          <w:tcPr>
            <w:tcW w:w="3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High Sales</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Low Sales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Borders>
              <w:bottom w:val="single" w:sz="8" w:color="auto"/>
            </w:tcBorders>
            <w:gridSpan w:val="3"/>
            <w:vMerge w:val="continue"/>
          </w:tcPr>
          <w:p>
            <w:pPr>
              <w:spacing w:after="0"/>
              <w:rPr>
                <w:sz w:val="13"/>
                <w:szCs w:val="13"/>
                <w:color w:val="auto"/>
              </w:rPr>
            </w:pPr>
          </w:p>
        </w:tc>
        <w:tc>
          <w:tcPr>
            <w:tcW w:w="13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2"/>
              </w:rPr>
              <w:t>Price to Net</w:t>
            </w:r>
          </w:p>
        </w:tc>
        <w:tc>
          <w:tcPr>
            <w:tcW w:w="18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Price to</w:t>
            </w:r>
          </w:p>
        </w:tc>
        <w:tc>
          <w:tcPr>
            <w:tcW w:w="800" w:type="dxa"/>
            <w:vAlign w:val="bottom"/>
            <w:gridSpan w:val="4"/>
          </w:tcPr>
          <w:p>
            <w:pPr>
              <w:ind w:left="160"/>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(1)</w:t>
            </w:r>
          </w:p>
        </w:tc>
        <w:tc>
          <w:tcPr>
            <w:tcW w:w="3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High</w:t>
            </w:r>
          </w:p>
        </w:tc>
        <w:tc>
          <w:tcPr>
            <w:tcW w:w="36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Low</w:t>
            </w:r>
          </w:p>
        </w:tc>
        <w:tc>
          <w:tcPr>
            <w:tcW w:w="340" w:type="dxa"/>
            <w:vAlign w:val="bottom"/>
          </w:tcPr>
          <w:p>
            <w:pPr>
              <w:spacing w:after="0"/>
              <w:rPr>
                <w:sz w:val="10"/>
                <w:szCs w:val="10"/>
                <w:color w:val="auto"/>
              </w:rPr>
            </w:pPr>
          </w:p>
        </w:tc>
        <w:tc>
          <w:tcPr>
            <w:tcW w:w="10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0"/>
              </w:rPr>
              <w:t>Asset</w:t>
            </w:r>
          </w:p>
        </w:tc>
        <w:tc>
          <w:tcPr>
            <w:tcW w:w="180" w:type="dxa"/>
            <w:vAlign w:val="bottom"/>
          </w:tcPr>
          <w:p>
            <w:pPr>
              <w:spacing w:after="0"/>
              <w:rPr>
                <w:sz w:val="10"/>
                <w:szCs w:val="10"/>
                <w:color w:val="auto"/>
              </w:rPr>
            </w:pPr>
          </w:p>
        </w:tc>
        <w:tc>
          <w:tcPr>
            <w:tcW w:w="9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Net Asset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18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16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2016</w:t>
            </w:r>
          </w:p>
        </w:tc>
        <w:tc>
          <w:tcPr>
            <w:tcW w:w="1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First Quarter</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$15.11</w:t>
            </w: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$16.86</w:t>
            </w:r>
          </w:p>
        </w:tc>
        <w:tc>
          <w:tcPr>
            <w:tcW w:w="86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$15.15</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11.6%</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0.3%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8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0"/>
              </w:rPr>
              <w:t>$16.74</w:t>
            </w:r>
          </w:p>
        </w:tc>
        <w:tc>
          <w:tcPr>
            <w:tcW w:w="8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$15.97</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Third Quarter</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$15.78</w:t>
            </w: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$18.77</w:t>
            </w:r>
          </w:p>
        </w:tc>
        <w:tc>
          <w:tcPr>
            <w:tcW w:w="86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$16.61</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18.9%</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5.3%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8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0"/>
              </w:rPr>
              <w:t>$19.05</w:t>
            </w:r>
          </w:p>
        </w:tc>
        <w:tc>
          <w:tcPr>
            <w:tcW w:w="8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$17.43</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Year ended December 31, 2017</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8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0"/>
              </w:rPr>
              <w:t>$20.39</w:t>
            </w:r>
          </w:p>
        </w:tc>
        <w:tc>
          <w:tcPr>
            <w:tcW w:w="8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$18.27</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Second Quarter</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$16.15</w:t>
            </w: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$20.99</w:t>
            </w:r>
          </w:p>
        </w:tc>
        <w:tc>
          <w:tcPr>
            <w:tcW w:w="86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$20.31</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30.0%</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25.8%</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8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0"/>
              </w:rPr>
              <w:t>$21.61</w:t>
            </w:r>
          </w:p>
        </w:tc>
        <w:tc>
          <w:tcPr>
            <w:tcW w:w="8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$19.94</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34.3%</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Fourth Quarter</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$16.09</w:t>
            </w: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$21.12</w:t>
            </w:r>
          </w:p>
        </w:tc>
        <w:tc>
          <w:tcPr>
            <w:tcW w:w="86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$19.80</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31.3%</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23.1%</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2018</w:t>
            </w:r>
          </w:p>
        </w:tc>
        <w:tc>
          <w:tcPr>
            <w:tcW w:w="1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First Quarter</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$16.27</w:t>
            </w: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$20.06</w:t>
            </w:r>
          </w:p>
        </w:tc>
        <w:tc>
          <w:tcPr>
            <w:tcW w:w="86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$17.47</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23.3%</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7.4%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8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0"/>
              </w:rPr>
              <w:t>$19.19</w:t>
            </w:r>
          </w:p>
        </w:tc>
        <w:tc>
          <w:tcPr>
            <w:tcW w:w="8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$17.51</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Third Quarter</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$16.47</w:t>
            </w: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$20.71</w:t>
            </w:r>
          </w:p>
        </w:tc>
        <w:tc>
          <w:tcPr>
            <w:tcW w:w="86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$18.04</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25.7%</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9.5%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8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0"/>
              </w:rPr>
              <w:t>$21.00</w:t>
            </w:r>
          </w:p>
        </w:tc>
        <w:tc>
          <w:tcPr>
            <w:tcW w:w="8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$18.09</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29.2%</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Year ended December 31, 2019</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Quarter (through March 22, 2019)</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0"/>
              </w:rPr>
              <w:t>$20.99</w:t>
            </w:r>
          </w:p>
        </w:tc>
        <w:tc>
          <w:tcPr>
            <w:tcW w:w="8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$18.44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80" w:type="dxa"/>
            <w:vAlign w:val="bottom"/>
            <w:gridSpan w:val="2"/>
          </w:tcPr>
          <w:p>
            <w:pPr>
              <w:jc w:val="right"/>
              <w:ind w:right="408"/>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58"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NAV is determined as of the last day in the relevant quarter and therefore may not reflect NAV on the date of the high and low closing sales prices. The NAVs shown are based on outstanding shares at the end of the relevant quarter.</w:t>
      </w:r>
    </w:p>
    <w:p>
      <w:pPr>
        <w:spacing w:after="0" w:line="1"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divided by NAV (in each case, as of the applicable quarter). Does not reflect intraday trading prices.</w:t>
      </w: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640" w:right="340" w:hanging="436"/>
        <w:spacing w:after="0" w:line="290"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NAV has not yet been calculated for this period. NAV for the first quarter of 2019 will be available with the filing of the Company’s Quarterly Report on Form 10-Q for such quarter, which the Company estimates will be filed on or about May 2, 2019.</w:t>
      </w:r>
    </w:p>
    <w:p>
      <w:pPr>
        <w:spacing w:after="0" w:line="162"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Stockholder Considerations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Dilution</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 xml:space="preserve">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 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 </w:t>
      </w:r>
      <w:r>
        <w:rPr>
          <w:rFonts w:ascii="Arial" w:cs="Arial" w:eastAsia="Arial" w:hAnsi="Arial"/>
          <w:sz w:val="17"/>
          <w:szCs w:val="17"/>
          <w:b w:val="1"/>
          <w:bCs w:val="1"/>
          <w:color w:val="auto"/>
        </w:rPr>
        <w:t>There will be no limit on the percentage below net asset value per share at which shares may be sold</w:t>
      </w:r>
      <w:r>
        <w:rPr>
          <w:rFonts w:ascii="Arial" w:cs="Arial" w:eastAsia="Arial" w:hAnsi="Arial"/>
          <w:sz w:val="17"/>
          <w:szCs w:val="17"/>
          <w:color w:val="auto"/>
        </w:rPr>
        <w:t xml:space="preserve"> </w:t>
      </w:r>
      <w:r>
        <w:rPr>
          <w:rFonts w:ascii="Arial" w:cs="Arial" w:eastAsia="Arial" w:hAnsi="Arial"/>
          <w:sz w:val="17"/>
          <w:szCs w:val="17"/>
          <w:b w:val="1"/>
          <w:bCs w:val="1"/>
          <w:color w:val="auto"/>
        </w:rPr>
        <w:t>by the Company or number of offerings, each for up to 25% of the Company’s then-outstanding common stock, that the Company may conduct under this proposal for the one-year period that authorization is granted</w:t>
      </w:r>
      <w:r>
        <w:rPr>
          <w:rFonts w:ascii="Arial" w:cs="Arial" w:eastAsia="Arial" w:hAnsi="Arial"/>
          <w:sz w:val="17"/>
          <w:szCs w:val="17"/>
          <w:color w:val="auto"/>
        </w:rPr>
        <w:t>.</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 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w:t>
      </w:r>
    </w:p>
    <w:p>
      <w:pPr>
        <w:spacing w:after="0" w:line="18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dilution to existing stockholders will be limited to no more than 20% of the Company’s then-current NAV per each offering, assuming the Company were to issue the maximum number of shares at no more than par value, or $0.01 per share.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two headings and accompanying tables explain and provide hypothetical examples on the impact of a public offering of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Company’s common stock at a price less than NAV on two different types of investors:</w:t>
      </w:r>
    </w:p>
    <w:p>
      <w:pPr>
        <w:spacing w:after="0" w:line="116"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w:t>
      </w:r>
    </w:p>
    <w:p>
      <w:pPr>
        <w:spacing w:after="0" w:line="24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A placement of common stock at a price less than NAV to a third party in a private placement would have an impact substantially similar to the impact on existing stockholders who do not purchase any shares in the public offering described below.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 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w:t>
      </w:r>
    </w:p>
    <w:p>
      <w:pPr>
        <w:spacing w:after="0" w:line="17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8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example assumes that the issuer has 65.4 million shares outstanding, $1.7 billion in total assets and $0.7 billion in total liabilities (all figures correspond to actual data for the Company as of December 31, 2018). The current net asset value and NAV per share are thus $1.1 billion and $16.25 per share. The chart illustrates the dilutive effect on Stockholder A of (a) an offering of 3.3 million shares of common stock (5% of the outstanding shares) at $15.44 per share after offering expenses and commissions (a 5% discount from NAV per share), (b) an offering of 6.5 million shares of common stock (10% of the outstanding shares) at $14.63 per share after offering expenses and commissions (a 10% discount from NAV per share), (c) an offering of</w:t>
      </w:r>
    </w:p>
    <w:p>
      <w:pPr>
        <w:spacing w:after="0" w:line="2" w:lineRule="exact"/>
        <w:rPr>
          <w:sz w:val="20"/>
          <w:szCs w:val="20"/>
          <w:color w:val="auto"/>
        </w:rPr>
      </w:pPr>
    </w:p>
    <w:p>
      <w:pPr>
        <w:jc w:val="both"/>
        <w:ind w:left="200"/>
        <w:spacing w:after="0" w:line="254" w:lineRule="auto"/>
        <w:rPr>
          <w:sz w:val="20"/>
          <w:szCs w:val="20"/>
          <w:color w:val="auto"/>
        </w:rPr>
      </w:pPr>
      <w:r>
        <w:rPr>
          <w:rFonts w:ascii="Arial" w:cs="Arial" w:eastAsia="Arial" w:hAnsi="Arial"/>
          <w:sz w:val="18"/>
          <w:szCs w:val="18"/>
          <w:color w:val="auto"/>
        </w:rPr>
        <w:t>13.1 million shares of common stock (20% of the outstanding shares) at $13.00 per share after offering expenses and commissions (a 20% discount from NAV per share), and (d) an offering of 16.4 million shares of common stock (25% of the outstanding shares) at $12.19 per share after offering expenses and commissions (a 25% discount from NAV per share). The prospectus pursuant to which any discounted offering is made will include a chart based on the actual</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number of shares of common stock in such offering and the actual discount to the most recently determined NAV. It is not possible to predict the level of market price decline that may occur.</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Example 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Example 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Example 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Example 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5% Offering at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10% Offering at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20% Offering at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25% Offering at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5%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10%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20% Discount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Following</w:t>
            </w:r>
          </w:p>
        </w:tc>
        <w:tc>
          <w:tcPr>
            <w:tcW w:w="58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Following</w:t>
            </w:r>
          </w:p>
        </w:tc>
        <w:tc>
          <w:tcPr>
            <w:tcW w:w="58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Below NAV</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Sale</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65,412,817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68,683,458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71,954,099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78,495,380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81,766,021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Net Asset Value per Share</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16.21</w:t>
            </w:r>
          </w:p>
        </w:tc>
        <w:tc>
          <w:tcPr>
            <w:tcW w:w="20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(0.22)%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16.11</w:t>
            </w:r>
          </w:p>
        </w:tc>
        <w:tc>
          <w:tcPr>
            <w:tcW w:w="200" w:type="dxa"/>
            <w:vAlign w:val="bottom"/>
          </w:tcPr>
          <w:p>
            <w:pPr>
              <w:spacing w:after="0"/>
              <w:rPr>
                <w:sz w:val="12"/>
                <w:szCs w:val="12"/>
                <w:color w:val="auto"/>
              </w:rPr>
            </w:pP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(0.89)%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15.71</w:t>
            </w:r>
          </w:p>
        </w:tc>
        <w:tc>
          <w:tcPr>
            <w:tcW w:w="200" w:type="dxa"/>
            <w:vAlign w:val="bottom"/>
          </w:tcPr>
          <w:p>
            <w:pPr>
              <w:spacing w:after="0"/>
              <w:rPr>
                <w:sz w:val="12"/>
                <w:szCs w:val="12"/>
                <w:color w:val="auto"/>
              </w:rPr>
            </w:pP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(3.31)%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15.44</w:t>
            </w:r>
          </w:p>
        </w:tc>
        <w:tc>
          <w:tcPr>
            <w:tcW w:w="200" w:type="dxa"/>
            <w:vAlign w:val="bottom"/>
          </w:tcPr>
          <w:p>
            <w:pPr>
              <w:spacing w:after="0"/>
              <w:rPr>
                <w:sz w:val="12"/>
                <w:szCs w:val="12"/>
                <w:color w:val="auto"/>
              </w:rPr>
            </w:pP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Percentage Held by Stockholder 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0.10%</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0.09%</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0.08%</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0.08%</w:t>
            </w: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Total Net Asset Value Held by Stockholder A</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1,063,202</w:t>
            </w:r>
          </w:p>
        </w:tc>
        <w:tc>
          <w:tcPr>
            <w:tcW w:w="2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9"/>
              </w:rPr>
              <w:t>1,060,662</w:t>
            </w:r>
          </w:p>
        </w:tc>
        <w:tc>
          <w:tcPr>
            <w:tcW w:w="20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(0.24)%</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1,053,519</w:t>
            </w:r>
          </w:p>
        </w:tc>
        <w:tc>
          <w:tcPr>
            <w:tcW w:w="200" w:type="dxa"/>
            <w:vAlign w:val="bottom"/>
          </w:tcPr>
          <w:p>
            <w:pPr>
              <w:spacing w:after="0"/>
              <w:rPr>
                <w:sz w:val="12"/>
                <w:szCs w:val="12"/>
                <w:color w:val="auto"/>
              </w:rPr>
            </w:pP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(0.91)%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1,027,732</w:t>
            </w:r>
          </w:p>
        </w:tc>
        <w:tc>
          <w:tcPr>
            <w:tcW w:w="200" w:type="dxa"/>
            <w:vAlign w:val="bottom"/>
          </w:tcPr>
          <w:p>
            <w:pPr>
              <w:spacing w:after="0"/>
              <w:rPr>
                <w:sz w:val="12"/>
                <w:szCs w:val="12"/>
                <w:color w:val="auto"/>
              </w:rPr>
            </w:pP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(3.34)%</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1,010,008</w:t>
            </w:r>
          </w:p>
        </w:tc>
        <w:tc>
          <w:tcPr>
            <w:tcW w:w="200" w:type="dxa"/>
            <w:vAlign w:val="bottom"/>
          </w:tcPr>
          <w:p>
            <w:pPr>
              <w:spacing w:after="0"/>
              <w:rPr>
                <w:sz w:val="12"/>
                <w:szCs w:val="12"/>
                <w:color w:val="auto"/>
              </w:rPr>
            </w:pP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Total Investment by Stockholder A (Assumed</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 be $16.25 per Share)</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1,063,202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spacing w:after="0" w:line="130" w:lineRule="exact"/>
              <w:rPr>
                <w:sz w:val="20"/>
                <w:szCs w:val="20"/>
                <w:color w:val="auto"/>
              </w:rPr>
            </w:pPr>
            <w:r>
              <w:rPr>
                <w:rFonts w:ascii="Arial" w:cs="Arial" w:eastAsia="Arial" w:hAnsi="Arial"/>
                <w:sz w:val="14"/>
                <w:szCs w:val="14"/>
                <w:color w:val="auto"/>
              </w:rPr>
              <w:t>Total Dilution to Stockholder A (Total Net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Asset Value Less Total Investment)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(2,539)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(9,682)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(35,470)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(53,194)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Investment per Share Held by Stockholder A</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5"/>
              </w:rPr>
              <w:t>(Assumed to be $16.25 per Share on Shares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Held Prior to Sale)</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spacing w:after="0" w:line="130" w:lineRule="exact"/>
              <w:rPr>
                <w:sz w:val="20"/>
                <w:szCs w:val="20"/>
                <w:color w:val="auto"/>
              </w:rPr>
            </w:pPr>
            <w:r>
              <w:rPr>
                <w:rFonts w:ascii="Arial" w:cs="Arial" w:eastAsia="Arial" w:hAnsi="Arial"/>
                <w:sz w:val="14"/>
                <w:szCs w:val="14"/>
                <w:color w:val="auto"/>
                <w:w w:val="94"/>
              </w:rPr>
              <w:t>Net Asset Value per Share Held by Stockholder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16.21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16.11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15.71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15.44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Dilution per Share Held by Stockholder A (Net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Asset Value per Share Less Investment per</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spacing w:after="0" w:line="130" w:lineRule="exact"/>
              <w:rPr>
                <w:sz w:val="20"/>
                <w:szCs w:val="20"/>
                <w:color w:val="auto"/>
              </w:rPr>
            </w:pPr>
            <w:r>
              <w:rPr>
                <w:rFonts w:ascii="Arial" w:cs="Arial" w:eastAsia="Arial" w:hAnsi="Arial"/>
                <w:sz w:val="14"/>
                <w:szCs w:val="14"/>
                <w:color w:val="auto"/>
                <w:w w:val="97"/>
              </w:rPr>
              <w:t>Percentage Dilution to Stockholder A (Dilution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w w:val="97"/>
              </w:rPr>
              <w:t>per Share Divided by Investment per Share)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(0.89)%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their voting power than the Company’s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w:t>
      </w:r>
    </w:p>
    <w:p>
      <w:pPr>
        <w:spacing w:after="0" w:line="189"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13.1 million shares) rather than its 0.10% proportionate share and (b) 150% of such percentage (i.e., 0.15% of an offering of 13.1 million shares) rather than its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Prior to</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50% Participation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7"/>
              </w:rPr>
              <w:t>Following</w:t>
            </w:r>
          </w:p>
        </w:tc>
        <w:tc>
          <w:tcPr>
            <w:tcW w:w="50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Following</w:t>
            </w:r>
          </w:p>
        </w:tc>
        <w:tc>
          <w:tcPr>
            <w:tcW w:w="50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Below NAV</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13.68</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13.68</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65,412,817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78,495,380</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78,495,380</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16.25</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5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Dilution/Accretion to Participating Stockholder Shares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Held by Stockholder A</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65,413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71,954</w:t>
            </w:r>
          </w:p>
        </w:tc>
        <w:tc>
          <w:tcPr>
            <w:tcW w:w="5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85,037</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Net Asset Value Held by Stockholder A</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1,063,202</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1,130,505</w:t>
            </w:r>
          </w:p>
        </w:tc>
        <w:tc>
          <w:tcPr>
            <w:tcW w:w="5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1,336,051</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Total Investment by Stockholder A (Assumed to be $16.25 per</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on Shares Held Prior to Sale)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1,063,202</w:t>
            </w:r>
          </w:p>
        </w:tc>
        <w:tc>
          <w:tcPr>
            <w:tcW w:w="3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1,152,714</w:t>
            </w: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1,331,739</w:t>
            </w: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spacing w:after="0" w:line="201" w:lineRule="exact"/>
              <w:rPr>
                <w:sz w:val="20"/>
                <w:szCs w:val="20"/>
                <w:color w:val="auto"/>
              </w:rPr>
            </w:pPr>
            <w:r>
              <w:rPr>
                <w:rFonts w:ascii="Arial" w:cs="Arial" w:eastAsia="Arial" w:hAnsi="Arial"/>
                <w:sz w:val="18"/>
                <w:szCs w:val="18"/>
                <w:color w:val="auto"/>
              </w:rPr>
              <w:t>Total Dilution/Accretion to Stockholder A (Total Net Asset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Value Less Total Investment)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(22,209)</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4,312</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Investment per Share Held by Stockholder A (Assumed to be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$16.25 per Share on Shares Held Prior to Sale)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5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5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Asset Value per Share Held by Stockholder A</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Dilution/Accretion per Share Held by Stockholder A (Net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Value per Share Less Investment per Share)</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spacing w:after="0" w:line="201" w:lineRule="exact"/>
              <w:rPr>
                <w:sz w:val="20"/>
                <w:szCs w:val="20"/>
                <w:color w:val="auto"/>
              </w:rPr>
            </w:pPr>
            <w:r>
              <w:rPr>
                <w:rFonts w:ascii="Arial" w:cs="Arial" w:eastAsia="Arial" w:hAnsi="Arial"/>
                <w:sz w:val="18"/>
                <w:szCs w:val="18"/>
                <w:color w:val="auto"/>
                <w:w w:val="98"/>
              </w:rPr>
              <w:t>Percentage Dilution/Accretion to Stockholder A (Dilution per</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Share Divided by Investment per Share)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175"/>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Underwritten Offerings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Consideration of Potential Conflicts of Interest</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TSL Advisers, as such fees are based on the amount of the Company’s gross assets, and considered the effect of the following factors:</w:t>
      </w:r>
    </w:p>
    <w:p>
      <w:pPr>
        <w:spacing w:after="0" w:line="92" w:lineRule="exact"/>
        <w:rPr>
          <w:sz w:val="20"/>
          <w:szCs w:val="20"/>
          <w:color w:val="auto"/>
        </w:rPr>
      </w:pPr>
    </w:p>
    <w:p>
      <w:pPr>
        <w:ind w:left="1060" w:right="36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w:t>
      </w:r>
    </w:p>
    <w:p>
      <w:pPr>
        <w:spacing w:after="0" w:line="269" w:lineRule="exact"/>
        <w:rPr>
          <w:sz w:val="20"/>
          <w:szCs w:val="20"/>
          <w:color w:val="auto"/>
        </w:rPr>
      </w:pPr>
    </w:p>
    <w:p>
      <w:pPr>
        <w:ind w:left="200" w:right="60"/>
        <w:spacing w:after="0" w:line="261" w:lineRule="auto"/>
        <w:rPr>
          <w:sz w:val="20"/>
          <w:szCs w:val="20"/>
          <w:color w:val="auto"/>
        </w:rPr>
      </w:pPr>
      <w:r>
        <w:rPr>
          <w:rFonts w:ascii="Arial" w:cs="Arial" w:eastAsia="Arial" w:hAnsi="Arial"/>
          <w:sz w:val="18"/>
          <w:szCs w:val="18"/>
          <w:b w:val="1"/>
          <w:bCs w:val="1"/>
          <w:color w:val="auto"/>
        </w:rPr>
        <w:t>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STOCKHOLDER PROPOSALS AND NOMINATIONS FOR THE 2020 ANNUAL MEETING OF STOCKHOLDERS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Any proposal of a stockholder intended to be included in our proxy statement and form of proxy/voting instruction card for the 2020 annual meeting of stockholders pursuant to Rule 14a-8 of the SEC’s rules must be received by us at our principal executive offices no later than December 7, 2019.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Ken Burke, TPG Specialty Lending, Inc., 301 Commerce Street, Suite 3300, Fort Worth, TX 76102.</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2020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8"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Our Bylaws require that the proposal or recommendation for nomination must be received by our Secretary at our principal executive offices at the above address no later than February 16, 2020, unless the date of our 2020 annual meeting is more than 30 days before or more than 60 days after May 16, 2020, the anniversary of our 2019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8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will furnish, without charge, a copy of our Annual Report on Form 10-K for the fiscal year ended December 31, 2018 to any stockholder upon request. Requests should be directed to the Secretary of the Company, Ken Burke,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or by emailing us at IRTSL@tpg.com.</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by email at IRTSL@tpg.com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91" w:lineRule="exact"/>
        <w:rPr>
          <w:sz w:val="20"/>
          <w:szCs w:val="20"/>
          <w:color w:val="auto"/>
        </w:rPr>
      </w:pPr>
    </w:p>
    <w:p>
      <w:pPr>
        <w:ind w:left="200" w:right="140" w:firstLine="441"/>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Ken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Ken Burke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15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60"/>
          </w:cols>
          <w:pgMar w:left="24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TPG SPECIALTY LENDING</w:t>
      </w:r>
    </w:p>
    <w:p>
      <w:pPr>
        <w:spacing w:after="0" w:line="225" w:lineRule="exact"/>
        <w:rPr>
          <w:sz w:val="20"/>
          <w:szCs w:val="20"/>
          <w:color w:val="auto"/>
        </w:rPr>
      </w:pPr>
    </w:p>
    <w:p>
      <w:pPr>
        <w:ind w:left="200" w:right="68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Special Meeting: </w:t>
      </w:r>
      <w:r>
        <w:rPr>
          <w:rFonts w:ascii="Arial" w:cs="Arial" w:eastAsia="Arial" w:hAnsi="Arial"/>
          <w:sz w:val="18"/>
          <w:szCs w:val="18"/>
          <w:color w:val="auto"/>
        </w:rPr>
        <w:t>The Notice and Proxy Statement is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www.proxyvote.com.</w:t>
      </w:r>
    </w:p>
    <w:p>
      <w:pPr>
        <w:spacing w:after="0" w:line="16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Special Meeting of Stockholders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May 16, 2019 9:30 AM EDT</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9"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stockholders hereby appoint Ian Simmonds and Ken Burke, or either of them, as proxies, each with the power to appoint his substitute, and hereby authorize them to represent and to vote, as designated on the reverse side of this ballot, all of the shares of common stock of TPG SPECIALTY LENDING, INC. that the stockholders are entitled to vote at a Special Meeting of Stockholders to be held at 9:30 AM EDT on May 16, 2019 at the offices of Cleary Gottlieb Steen &amp; Hamilton LLP, 450 Park Avenue, 28th Floor, New York, NY 10022 and any adjournment or postponement thereof.</w:t>
      </w:r>
    </w:p>
    <w:p>
      <w:pPr>
        <w:spacing w:after="0" w:line="150" w:lineRule="exact"/>
        <w:rPr>
          <w:sz w:val="20"/>
          <w:szCs w:val="20"/>
          <w:color w:val="auto"/>
        </w:rPr>
      </w:pPr>
    </w:p>
    <w:p>
      <w:pPr>
        <w:ind w:left="200" w:right="46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6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080"/>
          </w:cols>
          <w:pgMar w:left="240" w:top="459" w:right="5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BY INTERNET – www.proxyvote.com</w:t>
      </w:r>
    </w:p>
    <w:p>
      <w:pPr>
        <w:spacing w:after="0" w:line="12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Use the Internet to transmit your voting instructions and for electronic delivery of information. Vote by 11:59 P.M. ET on 05/15/2019. Have your proxy card in hand when you access the web site and follow the instructions to obtain your records and to create an electronic voting instruction form.</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21"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BY PHONE – 1-800-690-6903</w:t>
      </w:r>
    </w:p>
    <w:p>
      <w:pPr>
        <w:spacing w:after="0" w:line="12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Use any touch-tone telephone to transmit your voting instructions. Vote by 11:59 P.M. ET on 05/15/2019. Have your proxy card in hand when you call and then follow the instructions.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BY MAIL</w:t>
      </w:r>
    </w:p>
    <w:p>
      <w:pPr>
        <w:spacing w:after="0" w:line="121"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ectPr>
          <w:pgSz w:w="11900" w:h="16838" w:orient="portrait"/>
          <w:cols w:equalWidth="0" w:num="1">
            <w:col w:w="11100"/>
          </w:cols>
          <w:pgMar w:left="240" w:top="459" w:right="5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b w:val="1"/>
          <w:bCs w:val="1"/>
          <w:color w:val="auto"/>
        </w:rPr>
        <w:t xml:space="preserve">TO VOTE, MARK BLOCKS BELOW IN BLUE OR BLACK INK AS FOLLOWS: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117" w:lineRule="exact"/>
        <w:rPr>
          <w:sz w:val="20"/>
          <w:szCs w:val="20"/>
          <w:color w:val="auto"/>
        </w:rPr>
      </w:pPr>
    </w:p>
    <w:p>
      <w:pPr>
        <w:ind w:left="580" w:hanging="376"/>
        <w:spacing w:after="0" w:line="312"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firstLine="45"/>
        <w:spacing w:after="0" w:line="342" w:lineRule="auto"/>
        <w:rPr>
          <w:sz w:val="20"/>
          <w:szCs w:val="20"/>
          <w:color w:val="auto"/>
        </w:rPr>
      </w:pPr>
      <w:r>
        <w:rPr>
          <w:rFonts w:ascii="Arial" w:cs="Arial" w:eastAsia="Arial" w:hAnsi="Arial"/>
          <w:sz w:val="16"/>
          <w:szCs w:val="16"/>
          <w:color w:val="auto"/>
        </w:rPr>
        <w:t>Keep This Portion For Your Records Detach and Return This Portion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80"/>
        <w:spacing w:after="0"/>
        <w:tabs>
          <w:tab w:leader="none" w:pos="800" w:val="left"/>
          <w:tab w:leader="none" w:pos="1780" w:val="left"/>
        </w:tabs>
        <w:rPr>
          <w:sz w:val="20"/>
          <w:szCs w:val="20"/>
          <w:color w:val="auto"/>
        </w:rPr>
      </w:pPr>
      <w:r>
        <w:rPr>
          <w:rFonts w:ascii="Arial" w:cs="Arial" w:eastAsia="Arial" w:hAnsi="Arial"/>
          <w:sz w:val="18"/>
          <w:szCs w:val="18"/>
          <w:color w:val="auto"/>
        </w:rPr>
        <w:t>FOR</w:t>
        <w:tab/>
        <w:t>AGAINST</w:t>
        <w:tab/>
        <w:t>ABSTAIN</w:t>
      </w:r>
    </w:p>
    <w:p>
      <w:pPr>
        <w:spacing w:after="0" w:line="57" w:lineRule="exact"/>
        <w:rPr>
          <w:sz w:val="20"/>
          <w:szCs w:val="20"/>
          <w:color w:val="auto"/>
        </w:rPr>
      </w:pPr>
    </w:p>
    <w:p>
      <w:pPr>
        <w:ind w:left="280"/>
        <w:spacing w:after="0" w:line="181" w:lineRule="exact"/>
        <w:tabs>
          <w:tab w:leader="none" w:pos="1160" w:val="left"/>
          <w:tab w:leader="none" w:pos="17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443" w:lineRule="exact"/>
        <w:rPr>
          <w:sz w:val="20"/>
          <w:szCs w:val="20"/>
          <w:color w:val="auto"/>
        </w:rPr>
      </w:pPr>
    </w:p>
    <w:p>
      <w:pPr>
        <w:sectPr>
          <w:pgSz w:w="11900" w:h="16838" w:orient="portrait"/>
          <w:cols w:equalWidth="0" w:num="2">
            <w:col w:w="8480" w:space="60"/>
            <w:col w:w="2700"/>
          </w:cols>
          <w:pgMar w:left="240" w:top="459" w:right="419" w:bottom="1440" w:gutter="0" w:footer="0" w:header="0"/>
        </w:sectPr>
      </w:pPr>
    </w:p>
    <w:p>
      <w:pPr>
        <w:ind w:left="200" w:right="10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named proxies are also authorized to transact such other business as may properly come before the Special Meeting of Stockholders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postponement or adjournment thereof.</w:t>
      </w:r>
    </w:p>
    <w:p>
      <w:pPr>
        <w:spacing w:after="0" w:line="206" w:lineRule="exact"/>
        <w:rPr>
          <w:sz w:val="20"/>
          <w:szCs w:val="20"/>
          <w:color w:val="auto"/>
        </w:rPr>
      </w:pPr>
    </w:p>
    <w:p>
      <w:pPr>
        <w:ind w:left="200"/>
        <w:spacing w:after="0"/>
        <w:tabs>
          <w:tab w:leader="none" w:pos="10360" w:val="left"/>
        </w:tabs>
        <w:rPr>
          <w:sz w:val="20"/>
          <w:szCs w:val="20"/>
          <w:color w:val="auto"/>
        </w:rPr>
      </w:pPr>
      <w:r>
        <w:rPr>
          <w:rFonts w:ascii="Arial" w:cs="Arial" w:eastAsia="Arial" w:hAnsi="Arial"/>
          <w:sz w:val="18"/>
          <w:szCs w:val="18"/>
          <w:color w:val="auto"/>
        </w:rPr>
        <w:t>Please indicate if you plan to attend this meeting</w:t>
      </w:r>
      <w:r>
        <w:rPr>
          <w:sz w:val="20"/>
          <w:szCs w:val="20"/>
          <w:color w:val="auto"/>
        </w:rPr>
        <w:tab/>
      </w:r>
      <w:r>
        <w:rPr>
          <w:rFonts w:ascii="Arial" w:cs="Arial" w:eastAsia="Arial" w:hAnsi="Arial"/>
          <w:sz w:val="17"/>
          <w:szCs w:val="17"/>
          <w:color w:val="auto"/>
        </w:rPr>
        <w:t>YES  NO</w:t>
      </w:r>
    </w:p>
    <w:p>
      <w:pPr>
        <w:spacing w:after="0" w:line="57" w:lineRule="exact"/>
        <w:rPr>
          <w:sz w:val="20"/>
          <w:szCs w:val="20"/>
          <w:color w:val="auto"/>
        </w:rPr>
      </w:pPr>
    </w:p>
    <w:p>
      <w:pPr>
        <w:ind w:left="10380"/>
        <w:spacing w:after="0" w:line="181" w:lineRule="exact"/>
        <w:tabs>
          <w:tab w:leader="none" w:pos="10820" w:val="left"/>
        </w:tabs>
        <w:rPr>
          <w:sz w:val="20"/>
          <w:szCs w:val="20"/>
          <w:color w:val="auto"/>
        </w:rPr>
      </w:pPr>
      <w:r>
        <w:rPr>
          <w:rFonts w:ascii="MS PGothic" w:cs="MS PGothic" w:eastAsia="MS PGothic" w:hAnsi="MS PGothic"/>
          <w:sz w:val="18"/>
          <w:szCs w:val="18"/>
          <w:color w:val="auto"/>
        </w:rPr>
        <w:t>☐</w:t>
        <w:tab/>
        <w:t>☐</w:t>
      </w:r>
    </w:p>
    <w:p>
      <w:pPr>
        <w:spacing w:after="0" w:line="298"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4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r>
      <w:tr>
        <w:trPr>
          <w:trHeight w:val="205"/>
        </w:trPr>
        <w:tc>
          <w:tcPr>
            <w:tcW w:w="4160" w:type="dxa"/>
            <w:vAlign w:val="bottom"/>
          </w:tcPr>
          <w:p>
            <w:pPr>
              <w:spacing w:after="0" w:line="205" w:lineRule="exact"/>
              <w:rPr>
                <w:sz w:val="20"/>
                <w:szCs w:val="20"/>
                <w:color w:val="auto"/>
              </w:rPr>
            </w:pPr>
            <w:r>
              <w:rPr>
                <w:rFonts w:ascii="Arial" w:cs="Arial" w:eastAsia="Arial" w:hAnsi="Arial"/>
                <w:sz w:val="18"/>
                <w:szCs w:val="18"/>
                <w:b w:val="1"/>
                <w:bCs w:val="1"/>
                <w:color w:val="auto"/>
              </w:rPr>
              <w:t>SIGNATURE [Please Sign Within Box]</w:t>
            </w:r>
          </w:p>
        </w:tc>
        <w:tc>
          <w:tcPr>
            <w:tcW w:w="340" w:type="dxa"/>
            <w:vAlign w:val="bottom"/>
          </w:tcPr>
          <w:p>
            <w:pPr>
              <w:spacing w:after="0"/>
              <w:rPr>
                <w:sz w:val="17"/>
                <w:szCs w:val="17"/>
                <w:color w:val="auto"/>
              </w:rPr>
            </w:pPr>
          </w:p>
        </w:tc>
        <w:tc>
          <w:tcPr>
            <w:tcW w:w="2140" w:type="dxa"/>
            <w:vAlign w:val="bottom"/>
          </w:tcPr>
          <w:p>
            <w:pPr>
              <w:spacing w:after="0" w:line="205" w:lineRule="exact"/>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17"/>
                <w:szCs w:val="17"/>
                <w:color w:val="auto"/>
              </w:rPr>
            </w:pPr>
          </w:p>
        </w:tc>
        <w:tc>
          <w:tcPr>
            <w:tcW w:w="2020" w:type="dxa"/>
            <w:vAlign w:val="bottom"/>
          </w:tcPr>
          <w:p>
            <w:pPr>
              <w:spacing w:after="0" w:line="205" w:lineRule="exact"/>
              <w:rPr>
                <w:sz w:val="20"/>
                <w:szCs w:val="20"/>
                <w:color w:val="auto"/>
              </w:rPr>
            </w:pPr>
            <w:r>
              <w:rPr>
                <w:rFonts w:ascii="Arial" w:cs="Arial" w:eastAsia="Arial" w:hAnsi="Arial"/>
                <w:sz w:val="18"/>
                <w:szCs w:val="18"/>
                <w:b w:val="1"/>
                <w:bCs w:val="1"/>
                <w:color w:val="auto"/>
              </w:rPr>
              <w:t>SIGNATURE</w:t>
            </w:r>
          </w:p>
        </w:tc>
        <w:tc>
          <w:tcPr>
            <w:tcW w:w="2280" w:type="dxa"/>
            <w:vAlign w:val="bottom"/>
            <w:gridSpan w:val="2"/>
          </w:tcPr>
          <w:p>
            <w:pPr>
              <w:ind w:left="220"/>
              <w:spacing w:after="0" w:line="205" w:lineRule="exact"/>
              <w:rPr>
                <w:sz w:val="20"/>
                <w:szCs w:val="20"/>
                <w:color w:val="auto"/>
              </w:rPr>
            </w:pPr>
            <w:r>
              <w:rPr>
                <w:rFonts w:ascii="Arial" w:cs="Arial" w:eastAsia="Arial" w:hAnsi="Arial"/>
                <w:sz w:val="18"/>
                <w:szCs w:val="18"/>
                <w:b w:val="1"/>
                <w:bCs w:val="1"/>
                <w:color w:val="auto"/>
              </w:rPr>
              <w:t>DATE</w:t>
            </w:r>
          </w:p>
        </w:tc>
      </w:tr>
      <w:tr>
        <w:trPr>
          <w:trHeight w:val="234"/>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b w:val="1"/>
                <w:bCs w:val="1"/>
                <w:color w:val="auto"/>
              </w:rPr>
              <w:t>(Joint Owners)</w:t>
            </w: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240" w:top="459"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lvl w:ilvl="1">
      <w:lvlJc w:val="left"/>
      <w:lvlText w:val="(%2)"/>
      <w:numFmt w:val="decimal"/>
      <w:start w:val="1"/>
    </w:lvl>
  </w:abstractNum>
  <w:abstractNum w:abstractNumId="5">
    <w:nsid w:val="140E0F76"/>
    <w:multiLevelType w:val="hybridMultilevel"/>
    <w:lvl w:ilvl="0">
      <w:lvlJc w:val="left"/>
      <w:lvlText w:val="(%1)"/>
      <w:numFmt w:val="decimal"/>
      <w:start w:val="3"/>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2"/>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2019-12-03T16:03:43Z</dcterms:created>
  <dcterms:modified xsi:type="dcterms:W3CDTF">2019-12-03T16:03:43Z</dcterms:modified>
</cp:coreProperties>
</file>