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May 22, 2014, TPG Specialty Lending, Inc. (the “Company”) held its annual meeting of stockholders. Stockholders considered two proposals as described in the Company’s proxy statement filed on April 17, 2014. The final results of the voting on each matter submitted to stockholders at the annual meeting are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III Directors. </w:t>
      </w:r>
      <w:r>
        <w:rPr>
          <w:rFonts w:ascii="Arial" w:cs="Arial" w:eastAsia="Arial" w:hAnsi="Arial"/>
          <w:sz w:val="18"/>
          <w:szCs w:val="18"/>
          <w:color w:val="auto"/>
        </w:rPr>
        <w:t>The stockholders elected the nominees for Class III director by the vote shown below.</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w w:val="99"/>
              </w:rPr>
              <w:t>Votes “For”</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Votes “Withheld”</w:t>
            </w:r>
          </w:p>
        </w:tc>
        <w:tc>
          <w:tcPr>
            <w:tcW w:w="1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Broker Non-Votes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Easterly</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34,509,335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3,571,124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Michael Fishman</w:t>
            </w:r>
          </w:p>
        </w:tc>
        <w:tc>
          <w:tcPr>
            <w:tcW w:w="860" w:type="dxa"/>
            <w:vAlign w:val="bottom"/>
          </w:tcPr>
          <w:p>
            <w:pPr>
              <w:ind w:left="40"/>
              <w:spacing w:after="0"/>
              <w:rPr>
                <w:sz w:val="20"/>
                <w:szCs w:val="20"/>
                <w:color w:val="auto"/>
              </w:rPr>
            </w:pPr>
            <w:r>
              <w:rPr>
                <w:rFonts w:ascii="Arial" w:cs="Arial" w:eastAsia="Arial" w:hAnsi="Arial"/>
                <w:sz w:val="18"/>
                <w:szCs w:val="18"/>
                <w:color w:val="auto"/>
                <w:w w:val="88"/>
              </w:rPr>
              <w:t>34,509,335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3,571,124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1,295,176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 LLP as</w:t>
      </w:r>
      <w:r>
        <w:rPr>
          <w:rFonts w:ascii="Arial" w:cs="Arial" w:eastAsia="Arial" w:hAnsi="Arial"/>
          <w:sz w:val="18"/>
          <w:szCs w:val="18"/>
          <w:b w:val="1"/>
          <w:bCs w:val="1"/>
          <w:color w:val="auto"/>
        </w:rPr>
        <w:t xml:space="preserve"> </w:t>
      </w:r>
      <w:r>
        <w:rPr>
          <w:rFonts w:ascii="Arial" w:cs="Arial" w:eastAsia="Arial" w:hAnsi="Arial"/>
          <w:sz w:val="18"/>
          <w:szCs w:val="18"/>
          <w:color w:val="auto"/>
        </w:rPr>
        <w:t>our independent registered public accounting firm for the fiscal year ending December 31, 2014.</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74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4"/>
              </w:rPr>
              <w:t>Votes “For”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Votes “Against”</w:t>
            </w:r>
          </w:p>
        </w:tc>
        <w:tc>
          <w:tcPr>
            <w:tcW w:w="19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196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w w:val="92"/>
              </w:rPr>
              <w:t>Broker Non-Votes</w:t>
            </w:r>
          </w:p>
        </w:tc>
      </w:tr>
      <w:tr>
        <w:trPr>
          <w:trHeight w:val="102"/>
        </w:trPr>
        <w:tc>
          <w:tcPr>
            <w:tcW w:w="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r>
      <w:tr>
        <w:trPr>
          <w:trHeight w:val="216"/>
        </w:trPr>
        <w:tc>
          <w:tcPr>
            <w:tcW w:w="2780" w:type="dxa"/>
            <w:vAlign w:val="bottom"/>
            <w:gridSpan w:val="3"/>
            <w:shd w:val="clear" w:color="auto" w:fill="CCEEFF"/>
          </w:tcPr>
          <w:p>
            <w:pPr>
              <w:jc w:val="right"/>
              <w:ind w:right="1960"/>
              <w:spacing w:after="0"/>
              <w:rPr>
                <w:sz w:val="20"/>
                <w:szCs w:val="20"/>
                <w:color w:val="auto"/>
              </w:rPr>
            </w:pPr>
            <w:r>
              <w:rPr>
                <w:rFonts w:ascii="Arial" w:cs="Arial" w:eastAsia="Arial" w:hAnsi="Arial"/>
                <w:sz w:val="18"/>
                <w:szCs w:val="18"/>
                <w:color w:val="auto"/>
                <w:w w:val="88"/>
              </w:rPr>
              <w:t>39,372,456</w:t>
            </w: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1,206</w:t>
            </w:r>
          </w:p>
        </w:tc>
        <w:tc>
          <w:tcPr>
            <w:tcW w:w="27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1,973</w:t>
            </w:r>
          </w:p>
        </w:tc>
        <w:tc>
          <w:tcPr>
            <w:tcW w:w="1960" w:type="dxa"/>
            <w:vAlign w:val="bottom"/>
            <w:shd w:val="clear" w:color="auto" w:fill="CCEEFF"/>
          </w:tcPr>
          <w:p>
            <w:pPr>
              <w:spacing w:after="0"/>
              <w:rPr>
                <w:sz w:val="18"/>
                <w:szCs w:val="18"/>
                <w:color w:val="auto"/>
              </w:rPr>
            </w:pP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36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00"/>
          </w:cols>
          <w:pgMar w:left="240" w:top="270" w:right="3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May 27,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Alan Kirshenbaum</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2019-12-08T00:08:28Z</dcterms:created>
  <dcterms:modified xsi:type="dcterms:W3CDTF">2019-12-08T00:08:28Z</dcterms:modified>
</cp:coreProperties>
</file>