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4.7</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1,000</w:t>
            </w:r>
          </w:p>
        </w:tc>
        <w:tc>
          <w:tcPr>
            <w:tcW w:w="1300" w:type="dxa"/>
            <w:vAlign w:val="bottom"/>
            <w:gridSpan w:val="3"/>
            <w:vMerge w:val="restart"/>
          </w:tcPr>
          <w:p>
            <w:pPr>
              <w:jc w:val="right"/>
              <w:ind w:right="479"/>
              <w:spacing w:after="0"/>
              <w:rPr>
                <w:sz w:val="20"/>
                <w:szCs w:val="20"/>
                <w:color w:val="auto"/>
              </w:rPr>
            </w:pPr>
            <w:r>
              <w:rPr>
                <w:rFonts w:ascii="Arial" w:cs="Arial" w:eastAsia="Arial" w:hAnsi="Arial"/>
                <w:sz w:val="18"/>
                <w:szCs w:val="18"/>
                <w:color w:val="0000FF"/>
              </w:rPr>
              <w:t>5.3</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w w:val="85"/>
              </w:rPr>
              <w:t>Responses</w:t>
            </w:r>
            <w:r>
              <w:rPr>
                <w:rFonts w:ascii="Arial" w:cs="Arial" w:eastAsia="Arial" w:hAnsi="Arial"/>
                <w:sz w:val="22"/>
                <w:szCs w:val="22"/>
                <w:color w:val="008000"/>
                <w:w w:val="85"/>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8.3</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960.3</w:t>
            </w:r>
          </w:p>
        </w:tc>
        <w:tc>
          <w:tcPr>
            <w:tcW w:w="1300" w:type="dxa"/>
            <w:vAlign w:val="bottom"/>
            <w:gridSpan w:val="3"/>
            <w:vMerge w:val="restart"/>
          </w:tcPr>
          <w:p>
            <w:pPr>
              <w:jc w:val="right"/>
              <w:ind w:right="439"/>
              <w:spacing w:after="0"/>
              <w:rPr>
                <w:sz w:val="20"/>
                <w:szCs w:val="20"/>
                <w:color w:val="auto"/>
              </w:rPr>
            </w:pPr>
            <w:r>
              <w:rPr>
                <w:rFonts w:ascii="Arial" w:cs="Arial" w:eastAsia="Arial" w:hAnsi="Arial"/>
                <w:sz w:val="18"/>
                <w:szCs w:val="18"/>
                <w:color w:val="0000FF"/>
              </w:rPr>
              <w:t>13.6</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1, 2011, Mr. Stiepleman acquired additional partnership interests in TSL Equity Partners, L.P. ("TSL Equity") from other limited partners of TSL Equity. TSL Equity is a member of TSL Advisers, LLC ("TSL Advisers"), which directly holds shares of the Issuer. As a result, Mr. Stiepleman increased his indirect beneficial ownership of shares of the Issuer held directly by TSL Advisers.</w:t>
      </w: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directly holds 7,402 shares of Common Stock of the Issuer (the "TSL Shares"), including 13.6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By: Ronald Cami,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David Stiepleman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59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5"/>
          <w:szCs w:val="15"/>
          <w:color w:val="0000FF"/>
        </w:rPr>
        <w:t>08/03/2011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2019-12-17T05:05:43Z</dcterms:created>
  <dcterms:modified xsi:type="dcterms:W3CDTF">2019-12-17T05:05:43Z</dcterms:modified>
</cp:coreProperties>
</file>