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6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ind w:left="560"/>
              <w:spacing w:after="0"/>
              <w:rPr>
                <w:sz w:val="20"/>
                <w:szCs w:val="20"/>
                <w:color w:val="auto"/>
              </w:rPr>
            </w:pPr>
            <w:r>
              <w:rPr>
                <w:rFonts w:ascii="Arial" w:cs="Arial" w:eastAsia="Arial" w:hAnsi="Arial"/>
                <w:sz w:val="18"/>
                <w:szCs w:val="18"/>
                <w:b w:val="1"/>
                <w:bCs w:val="1"/>
                <w:color w:val="auto"/>
              </w:rPr>
              <w:t>001-36364</w:t>
            </w:r>
          </w:p>
        </w:tc>
        <w:tc>
          <w:tcPr>
            <w:tcW w:w="2780" w:type="dxa"/>
            <w:vAlign w:val="bottom"/>
          </w:tcPr>
          <w:p>
            <w:pPr>
              <w:jc w:val="center"/>
              <w:ind w:left="1561"/>
              <w:spacing w:after="0"/>
              <w:rPr>
                <w:sz w:val="20"/>
                <w:szCs w:val="20"/>
                <w:color w:val="auto"/>
              </w:rPr>
            </w:pPr>
            <w:r>
              <w:rPr>
                <w:rFonts w:ascii="Arial" w:cs="Arial" w:eastAsia="Arial" w:hAnsi="Arial"/>
                <w:sz w:val="18"/>
                <w:szCs w:val="18"/>
                <w:b w:val="1"/>
                <w:bCs w:val="1"/>
                <w:color w:val="auto"/>
                <w:w w:val="89"/>
              </w:rPr>
              <w:t>27-3380000</w:t>
            </w:r>
          </w:p>
        </w:tc>
      </w:tr>
      <w:tr>
        <w:trPr>
          <w:trHeight w:val="148"/>
        </w:trPr>
        <w:tc>
          <w:tcPr>
            <w:tcW w:w="3640" w:type="dxa"/>
            <w:vAlign w:val="bottom"/>
          </w:tcPr>
          <w:p>
            <w:pPr>
              <w:jc w:val="center"/>
              <w:ind w:right="18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780" w:type="dxa"/>
            <w:vAlign w:val="bottom"/>
          </w:tcPr>
          <w:p>
            <w:pPr>
              <w:jc w:val="center"/>
              <w:ind w:left="156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40" w:type="dxa"/>
            <w:vAlign w:val="bottom"/>
          </w:tcPr>
          <w:p>
            <w:pPr>
              <w:jc w:val="center"/>
              <w:ind w:right="185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780" w:type="dxa"/>
            <w:vAlign w:val="bottom"/>
          </w:tcPr>
          <w:p>
            <w:pPr>
              <w:jc w:val="center"/>
              <w:ind w:left="156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64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2100 McKinney Avenue, Suite 1500</w:t>
            </w:r>
          </w:p>
        </w:tc>
        <w:tc>
          <w:tcPr>
            <w:tcW w:w="23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5"/>
        </w:trPr>
        <w:tc>
          <w:tcPr>
            <w:tcW w:w="3640" w:type="dxa"/>
            <w:vAlign w:val="bottom"/>
          </w:tcPr>
          <w:p>
            <w:pPr>
              <w:jc w:val="center"/>
              <w:ind w:right="59"/>
              <w:spacing w:after="0"/>
              <w:rPr>
                <w:sz w:val="20"/>
                <w:szCs w:val="20"/>
                <w:color w:val="auto"/>
              </w:rPr>
            </w:pPr>
            <w:r>
              <w:rPr>
                <w:rFonts w:ascii="Arial" w:cs="Arial" w:eastAsia="Arial" w:hAnsi="Arial"/>
                <w:sz w:val="18"/>
                <w:szCs w:val="18"/>
                <w:b w:val="1"/>
                <w:bCs w:val="1"/>
                <w:color w:val="auto"/>
                <w:w w:val="95"/>
              </w:rPr>
              <w:t>Dallas, TX</w:t>
            </w:r>
          </w:p>
        </w:tc>
        <w:tc>
          <w:tcPr>
            <w:tcW w:w="2380" w:type="dxa"/>
            <w:vAlign w:val="bottom"/>
          </w:tcPr>
          <w:p>
            <w:pPr>
              <w:spacing w:after="0"/>
              <w:rPr>
                <w:sz w:val="19"/>
                <w:szCs w:val="19"/>
                <w:color w:val="auto"/>
              </w:rPr>
            </w:pPr>
          </w:p>
        </w:tc>
        <w:tc>
          <w:tcPr>
            <w:tcW w:w="2780" w:type="dxa"/>
            <w:vAlign w:val="bottom"/>
          </w:tcPr>
          <w:p>
            <w:pPr>
              <w:jc w:val="right"/>
              <w:ind w:right="1181"/>
              <w:spacing w:after="0"/>
              <w:rPr>
                <w:sz w:val="20"/>
                <w:szCs w:val="20"/>
                <w:color w:val="auto"/>
              </w:rPr>
            </w:pPr>
            <w:r>
              <w:rPr>
                <w:rFonts w:ascii="Arial" w:cs="Arial" w:eastAsia="Arial" w:hAnsi="Arial"/>
                <w:sz w:val="18"/>
                <w:szCs w:val="18"/>
                <w:b w:val="1"/>
                <w:bCs w:val="1"/>
                <w:color w:val="auto"/>
              </w:rPr>
              <w:t>75201</w:t>
            </w:r>
          </w:p>
        </w:tc>
      </w:tr>
      <w:tr>
        <w:trPr>
          <w:trHeight w:val="186"/>
        </w:trPr>
        <w:tc>
          <w:tcPr>
            <w:tcW w:w="364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78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TSLX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February 3, 2021, Sixth Street Specialty Lending, Inc. (the “Company”) and Wells Fargo Bank, National Association (the “Trustee”), entered into a Third Supplemental Indenture (the “Third Supplemental Indenture”) to the Indenture, dated as of January 22, 2018, between the Company and the Trustee (the “Base Indenture”; and together with the Third Supplemental Indenture, the “Indenture”), relating to the Company’s issuance, offer and sale of $300,000,000 aggregate principal amount of its 2.500% notes due 2026 (the “Notes”).</w:t>
      </w:r>
    </w:p>
    <w:p>
      <w:pPr>
        <w:spacing w:after="0" w:line="171"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The Notes will mature on August 1, 2026 and may be redeemed in whole or in part at the Company’s option at any time at the redemption prices set forth in the Third Supplemental Indenture. The Notes bear interest at a rate of 2.500% per year payable semiannually on February 1 and August 1 of each year, commencing on August 1, 2021. The Notes are direct unsecured obligations of the Company.</w:t>
      </w:r>
    </w:p>
    <w:p>
      <w:pPr>
        <w:spacing w:after="0" w:line="16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expects to use the net proceeds of this offering to pay down debt under its revolving credit facility. The Indenture contains certain covenants including covenants requiring the Company to comply with Section 18(a)(1)(A) as modified by Section 61(a) of the Investment Company Act of 1940, as amended, or any successor provisions, but giving effect, in either case, to any exemptive relief granted to the Company by the SEC, and to provide financial information to the holders of the Notes and the Trustee if the Company should no longer be subject to the reporting requirements under the Securities Exchange Act of 1934. These covenants are subject to important limitations and exceptions that are described in the Indenture.</w:t>
      </w:r>
    </w:p>
    <w:p>
      <w:pPr>
        <w:spacing w:after="0" w:line="16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addition, upon the occurrence of a change of control repurchase event (which involves the occurrence of both a change of control and a below investment grade rating of the Notes by Fitch Ratings, Inc., Moody’s Investor Service and S&amp;P Global Ratings), the Company will be required to make an offer to purchase the Notes at a price equal to 100% of the principal amount plus accrued and unpaid interest to the date of purchase.</w:t>
      </w:r>
    </w:p>
    <w:p>
      <w:pPr>
        <w:spacing w:after="0" w:line="16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Notes were offered and sold pursuant to the Registration Statement on Form N-2 (File No. 333-231271), the preliminary prospectus supplement filed with the Securities and Exchange Commission on January 27, 2021 and the pricing term sheet filed with the Securities and Exchange Commission on January 27, 2021. The transaction closed on February 3, 2021.</w:t>
      </w:r>
    </w:p>
    <w:p>
      <w:pPr>
        <w:spacing w:after="0" w:line="18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foregoing descriptions of the Base Indenture, Third Supplemental Indenture and the Notes do not purport to be complete and are qualified in their entirety by reference to the full text of the Base Indenture, Third Supplemental Indenture and the Notes, respectively, each filed as exhibits hereto and incorporated by reference herein.</w:t>
      </w:r>
    </w:p>
    <w:p>
      <w:pPr>
        <w:spacing w:after="0" w:line="288" w:lineRule="exact"/>
        <w:rPr>
          <w:sz w:val="20"/>
          <w:szCs w:val="20"/>
          <w:color w:val="auto"/>
        </w:rPr>
      </w:pPr>
    </w:p>
    <w:p>
      <w:pPr>
        <w:ind w:right="1160"/>
        <w:spacing w:after="0" w:line="407" w:lineRule="auto"/>
        <w:rPr>
          <w:sz w:val="20"/>
          <w:szCs w:val="20"/>
          <w:color w:val="auto"/>
        </w:rPr>
      </w:pPr>
      <w:r>
        <w:rPr>
          <w:rFonts w:ascii="Arial" w:cs="Arial" w:eastAsia="Arial" w:hAnsi="Arial"/>
          <w:sz w:val="18"/>
          <w:szCs w:val="18"/>
          <w:b w:val="1"/>
          <w:bCs w:val="1"/>
          <w:color w:val="auto"/>
        </w:rPr>
        <w:t xml:space="preserve">Item 2.03 – Creation of a Direct Financial Obligation or an Obligation Under an Off-Balance Sheet Arrangement of a Registrant </w:t>
      </w:r>
      <w:r>
        <w:rPr>
          <w:rFonts w:ascii="Arial" w:cs="Arial" w:eastAsia="Arial" w:hAnsi="Arial"/>
          <w:sz w:val="18"/>
          <w:szCs w:val="18"/>
          <w:color w:val="auto"/>
        </w:rPr>
        <w:t>The information set forth under Item 1.01 of this Form 8-K is incorporated herein by reference.</w:t>
      </w:r>
    </w:p>
    <w:p>
      <w:pPr>
        <w:sectPr>
          <w:pgSz w:w="11900" w:h="16838" w:orient="portrait"/>
          <w:cols w:equalWidth="0" w:num="1">
            <w:col w:w="11000"/>
          </w:cols>
          <w:pgMar w:left="440" w:top="270"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9.01 – 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6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9960" w:type="dxa"/>
            <w:vAlign w:val="bottom"/>
            <w:gridSpan w:val="5"/>
          </w:tcPr>
          <w:p>
            <w:pPr>
              <w:spacing w:after="0"/>
              <w:rPr>
                <w:rFonts w:ascii="Arial" w:cs="Arial" w:eastAsia="Arial" w:hAnsi="Arial"/>
                <w:sz w:val="18"/>
                <w:szCs w:val="18"/>
                <w:color w:val="0000EE"/>
                <w:w w:val="92"/>
              </w:rPr>
            </w:pPr>
            <w:hyperlink r:id="rId19">
              <w:r>
                <w:rPr>
                  <w:rFonts w:ascii="Arial" w:cs="Arial" w:eastAsia="Arial" w:hAnsi="Arial"/>
                  <w:sz w:val="18"/>
                  <w:szCs w:val="18"/>
                  <w:color w:val="0000EE"/>
                  <w:w w:val="92"/>
                </w:rPr>
                <w:t>Indenture, dated as of January 22, 2018, between TPG Specialty Lending, Inc. and Wells Fargo Bank, National Association, as Trustee</w:t>
              </w:r>
            </w:hyperlink>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40" w:type="dxa"/>
            <w:vAlign w:val="bottom"/>
            <w:tcBorders>
              <w:top w:val="single" w:sz="8" w:color="0000EE"/>
            </w:tcBorders>
            <w:gridSpan w:val="4"/>
          </w:tcPr>
          <w:p>
            <w:pPr>
              <w:spacing w:after="0"/>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(incorporated by reference to Exhibit 4.1 to the Company’s Current Report on Form 8-K filed on January 22, 2018)</w:t>
              </w:r>
            </w:hyperlink>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99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Third Supplemental Indenture, dated as of February 3, 2021, between Sixth Street Specialty Lending, Inc. and Wells Fargo Bank, National</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60" w:type="dxa"/>
            <w:vAlign w:val="bottom"/>
            <w:gridSpan w:val="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Association, as Trustee</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8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9960" w:type="dxa"/>
            <w:vAlign w:val="bottom"/>
            <w:gridSpan w:val="5"/>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Form of 2.500% Note Due 2026 (included as part of Exhibit 4.2)</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9960" w:type="dxa"/>
            <w:vAlign w:val="bottom"/>
            <w:gridSpan w:val="5"/>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Opinion of Cleary Gottlieb Steen &amp; Hamilton LLP</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23.1</w:t>
            </w:r>
          </w:p>
        </w:tc>
        <w:tc>
          <w:tcPr>
            <w:tcW w:w="540" w:type="dxa"/>
            <w:vAlign w:val="bottom"/>
          </w:tcPr>
          <w:p>
            <w:pPr>
              <w:spacing w:after="0"/>
              <w:rPr>
                <w:sz w:val="24"/>
                <w:szCs w:val="24"/>
                <w:color w:val="auto"/>
              </w:rPr>
            </w:pPr>
          </w:p>
        </w:tc>
        <w:tc>
          <w:tcPr>
            <w:tcW w:w="9960" w:type="dxa"/>
            <w:vAlign w:val="bottom"/>
            <w:gridSpan w:val="5"/>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Consent of Cleary Gottlieb Steen &amp; Hamilton LLP (included as part of Exhibit 5.1)</w:t>
              </w:r>
            </w:hyperlink>
          </w:p>
        </w:tc>
        <w:tc>
          <w:tcPr>
            <w:tcW w:w="0" w:type="dxa"/>
            <w:vAlign w:val="bottom"/>
          </w:tcPr>
          <w:p>
            <w:pPr>
              <w:spacing w:after="0"/>
              <w:rPr>
                <w:sz w:val="1"/>
                <w:szCs w:val="1"/>
                <w:color w:val="auto"/>
              </w:rPr>
            </w:pPr>
          </w:p>
        </w:tc>
      </w:tr>
    </w:tbl>
    <w:p>
      <w:pPr>
        <w:sectPr>
          <w:pgSz w:w="11900" w:h="16838" w:orient="portrait"/>
          <w:cols w:equalWidth="0" w:num="1">
            <w:col w:w="11004"/>
          </w:cols>
          <w:pgMar w:left="436" w:top="270"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SPECIALTY LENDING, INC.</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February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00"/>
          </w:cols>
          <w:pgMar w:left="440" w:top="274" w:right="4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SUPPLEMENTAL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WELLS FARGO BANK, NATIONAL ASSOCIATION,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February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SUPPLEMENTAL INDENTURE</w:t>
      </w:r>
    </w:p>
    <w:p>
      <w:pPr>
        <w:spacing w:after="0" w:line="225" w:lineRule="exact"/>
        <w:rPr>
          <w:sz w:val="20"/>
          <w:szCs w:val="20"/>
          <w:color w:val="auto"/>
        </w:rPr>
      </w:pPr>
    </w:p>
    <w:p>
      <w:pPr>
        <w:ind w:right="560" w:firstLine="440"/>
        <w:spacing w:after="0" w:line="311" w:lineRule="auto"/>
        <w:rPr>
          <w:sz w:val="20"/>
          <w:szCs w:val="20"/>
          <w:color w:val="auto"/>
        </w:rPr>
      </w:pPr>
      <w:r>
        <w:rPr>
          <w:rFonts w:ascii="Arial" w:cs="Arial" w:eastAsia="Arial" w:hAnsi="Arial"/>
          <w:sz w:val="16"/>
          <w:szCs w:val="16"/>
          <w:color w:val="auto"/>
        </w:rPr>
        <w:t>THIS THIRD SUPPLEMENTAL INDENTURE (this “Third Supplemental Indenture”), dated as of February 3, 2021, between Sixth Street Specialty Lending, Inc., a Delaware corporation (the “Company”), and Wells Fargo Bank, National Association, as trustee (the “Trustee”). All capitalized terms used herein shall have the meaning set forth in the Base Indenture (as defined below) unless otherwise defined herein.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The Company and the Trustee executed and delivered an Indenture, dated as of January 22, 2018 (the “Base Indenture” and, as supplemented by this Third Supplemental Indenture, collectively, the “Indenture”), to provide for the issuance by the Company from time to time of the Company’s unsecured debentures, notes or other evidences of indebtedness (the “Securities”), to be issued in one or more series as provided in the Indenture.</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desires to issue and sell $300,000,000 aggregate principal amount of the Company’s 2.500% Notes due 2026 (the “Notes”).</w:t>
      </w:r>
    </w:p>
    <w:p>
      <w:pPr>
        <w:spacing w:after="0" w:line="237"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The Company previously entered into the First Supplemental Indenture, dated as of January 22, 2018 (the “First Supplemental Indenture”), and the Second Supplemental Indenture, dated November 1, 2020 (the “Second Supplemental Indenture”), each of which supplemented the Base Indenture. Neither the First Supplemental Indenture nor the Second Supplemental Indenture is applicable to the Notes.</w:t>
      </w:r>
    </w:p>
    <w:p>
      <w:pPr>
        <w:spacing w:after="0" w:line="165"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Sections 9.01(v) and 9.01(vii) of the Base Indenture provide that without the consent of Holders of the Securities of any series issued under the Indenture, the Company, when authorized by or pursuant to a Board Resolution, and the Trustee, at any time and from time to time, may enter into one or more indentures supplemental to the Base Indenture to (i) change or eliminate any of the provisions of the Indenture when there is no Security Outstanding of any series created prior to the execution of a supplemental indenture that is entitled to the benefit of such provision and (ii) establish the form or terms of Securities of any series as permitted by Section 2.01 and Section 3.01 of the Base Indenture.</w:t>
      </w:r>
    </w:p>
    <w:p>
      <w:pPr>
        <w:spacing w:after="0" w:line="176"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color w:val="auto"/>
        </w:rPr>
        <w:t>The Company desires to establish the form and terms of the Notes and to modify, alter, supplement and change certain provisions of the Base Indenture for the benefit of the Holders of the Notes (except as may be provided in a future supplemental indenture to the Indenture (“Future Supplemental Indenture”)).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 w:name="page6"/>
    <w:bookmarkEnd w:id="5"/>
    <w:p>
      <w:pPr>
        <w:ind w:right="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has duly authorized the execution and delivery of this Third Supplemental Indenture to provide for the issuance of the Notes and all acts and things necessary to make this Third Supplemental Indenture a valid, binding, and legal obligation of the Company and to constitute a valid agreement of the Company, in accordance with its terms, have been done and performed.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ind w:right="960" w:firstLine="440"/>
        <w:spacing w:after="0" w:line="277" w:lineRule="auto"/>
        <w:rPr>
          <w:sz w:val="20"/>
          <w:szCs w:val="20"/>
          <w:color w:val="auto"/>
        </w:rPr>
      </w:pPr>
      <w:r>
        <w:rPr>
          <w:rFonts w:ascii="Arial" w:cs="Arial" w:eastAsia="Arial" w:hAnsi="Arial"/>
          <w:sz w:val="18"/>
          <w:szCs w:val="18"/>
          <w:color w:val="auto"/>
        </w:rPr>
        <w:t>For and in consideration of the premises and the purchase of the Notes by the Holders thereof, it is mutually agreed, for the equal and proportionate benefit of all Holders of the Notes, as follows: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TERMS OF THE NOTES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Terms of the Notes</w:t>
      </w:r>
      <w:r>
        <w:rPr>
          <w:rFonts w:ascii="Arial" w:cs="Arial" w:eastAsia="Arial" w:hAnsi="Arial"/>
          <w:sz w:val="18"/>
          <w:szCs w:val="18"/>
          <w:color w:val="auto"/>
        </w:rPr>
        <w:t>. The following terms relating to the Notes are hereby established:</w:t>
      </w:r>
    </w:p>
    <w:p>
      <w:pPr>
        <w:spacing w:after="0" w:line="225" w:lineRule="exact"/>
        <w:rPr>
          <w:sz w:val="20"/>
          <w:szCs w:val="20"/>
          <w:color w:val="auto"/>
        </w:rPr>
      </w:pPr>
    </w:p>
    <w:p>
      <w:pPr>
        <w:ind w:right="120" w:firstLine="987"/>
        <w:spacing w:after="0" w:line="277" w:lineRule="auto"/>
        <w:tabs>
          <w:tab w:leader="none" w:pos="123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Notes shall constitute a series of Securities having the title “2.500% Notes due 2026” and shall be designated as Senior Securities under the Indenture. The Notes shall bear a CUSIP number of 83012A AA7 and an ISIN number of US83012AAA79.</w:t>
      </w:r>
    </w:p>
    <w:p>
      <w:pPr>
        <w:spacing w:after="0" w:line="170" w:lineRule="exact"/>
        <w:rPr>
          <w:rFonts w:ascii="Arial" w:cs="Arial" w:eastAsia="Arial" w:hAnsi="Arial"/>
          <w:sz w:val="18"/>
          <w:szCs w:val="18"/>
          <w:color w:val="auto"/>
        </w:rPr>
      </w:pPr>
    </w:p>
    <w:p>
      <w:pPr>
        <w:ind w:right="60" w:firstLine="987"/>
        <w:spacing w:after="0" w:line="253" w:lineRule="auto"/>
        <w:tabs>
          <w:tab w:leader="none" w:pos="1246"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aggregate principal amount of the Notes that may be initially authenticated and delivered under the Indenture (except for Notes authenticated and delivered upon registration of, transfer of, or in exchange for, or in lieu of, other Notes pursuant to Sections 3.04, 3.05, 3.06, 9.06 or 11.07 of the Base Indenture) shall be $300,000,000. Under a Board Resolution, Officers’ Certificate pursuant to Board Resolutions or an indenture supplement, the Company may from time to time, without the consent of the Holders of Notes, issue additional Notes (in any such case “Additional Notes”) having the same ranking and the same interest rate, maturity, CUSIP number and other terms as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Additional Notes must either (i) be issued in a “qualified reopening” for U.S. Federal income tax purposes, with no more than a de minimis amount of original issue discount, or otherwise (ii) be part of the same issue as the Notes for U.S. federal income tax purposes. Any Additional Notes and the existing Notes will constitute a single series under the Indenture and all references to the relevant Notes herein shall include the Additional Notes unless the context otherwise requires.</w:t>
      </w:r>
    </w:p>
    <w:p>
      <w:pPr>
        <w:spacing w:after="0" w:line="196" w:lineRule="exact"/>
        <w:rPr>
          <w:rFonts w:ascii="Arial" w:cs="Arial" w:eastAsia="Arial" w:hAnsi="Arial"/>
          <w:sz w:val="18"/>
          <w:szCs w:val="18"/>
          <w:color w:val="auto"/>
        </w:rPr>
      </w:pPr>
    </w:p>
    <w:p>
      <w:pPr>
        <w:ind w:right="260" w:firstLine="987"/>
        <w:spacing w:after="0" w:line="277" w:lineRule="auto"/>
        <w:tabs>
          <w:tab w:leader="none" w:pos="123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entire Outstanding principal amount of the Notes shall be payable on August 1, 2026, unless earlier redeemed or repurchased in accordance with the provisions of this Third Supplemental Indenture.</w:t>
      </w:r>
    </w:p>
    <w:p>
      <w:pPr>
        <w:spacing w:after="0" w:line="170" w:lineRule="exact"/>
        <w:rPr>
          <w:rFonts w:ascii="Arial" w:cs="Arial" w:eastAsia="Arial" w:hAnsi="Arial"/>
          <w:sz w:val="18"/>
          <w:szCs w:val="18"/>
          <w:color w:val="auto"/>
        </w:rPr>
      </w:pPr>
    </w:p>
    <w:p>
      <w:pPr>
        <w:ind w:firstLine="987"/>
        <w:spacing w:after="0" w:line="269" w:lineRule="auto"/>
        <w:tabs>
          <w:tab w:leader="none" w:pos="124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rate at which the Notes shall bear interest shall be 2.500% per annum (the “Applicable Interest Rate”). The date from which interest shall accrue on the Notes shall be February 3, 2021, or the most recent Interest Payment Date to which interest has been paid or provided for; the Interest Payment Dates for the Notes shall be February 1 and August 1 of each year, commencing August 1, 2021 (if an Interest Payment Date falls on a day that is not a Business Day, then the applicable interest payment will be made on the next succeeding Business Day with the same force and effect as if made on the scheduled Interest Payment Date and no additional interest will accrue as a result of such delayed payment); the initial interest period will be the period from and including February 3, 2021 (or the most recent Interest Payment Date to which interest has been paid or provided for), to, but excluding, the initial Interest Payment Date, and the subsequent interest periods will be the periods from and including an Interest Payment Date to, but excluding, the next Interest Payment Date or the Stated Maturity, as the case may be; the interest so payable, and punctually paid or duly provided for, on any Interest Payment Date, will be paid to the Person in whose name the Note (or one or more predecessor Notes) is registered at 5:00 p.m. New York City time (the “close of business”) on the Regular Record Date for such interest, which shall be January 15 and July 15 (whether or not a Business Day), as the case may be, immediately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6" w:name="page7"/>
    <w:bookmarkEnd w:id="6"/>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preceding such Interest Payment Date. Payment of principal of (and premium, if any) and any such interest on the Notes will be made at the Corporate Trust Office of the Paying Agent, which shall initially be the Trustee, in such coin or currency of the United States of America as at the time of payment is legal tender for payment of public and private debts; provided, however, that in the case of Notes that are not in global form, at the option of the Company, payment of interest may be made by check mailed to the address of the Person entitled thereto as such address shall appear in the Security Register. Interest on the Notes will be computed on the basis of a 360-day year of twelve 30-day months.</w:t>
      </w:r>
    </w:p>
    <w:p>
      <w:pPr>
        <w:spacing w:after="0" w:line="176" w:lineRule="exact"/>
        <w:rPr>
          <w:sz w:val="20"/>
          <w:szCs w:val="20"/>
          <w:color w:val="auto"/>
        </w:rPr>
      </w:pPr>
    </w:p>
    <w:p>
      <w:pPr>
        <w:ind w:firstLine="987"/>
        <w:spacing w:after="0" w:line="254" w:lineRule="auto"/>
        <w:tabs>
          <w:tab w:leader="none" w:pos="1236"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Notes shall be initially issuable in global form (each such Note, a “Global Note”). The Global Notes and the Trustee’s certificate of authentication thereon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Third Supplemental Indenture. Each Global Note shall represent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and redemptions. Any endorsement of a Global Note to reflect the amount of any increase or decrease in the amount of Outstanding Notes represented thereby shall be made by the Trustee or the Security Registrar, in accordance with Sections 2.03 and 3.05 of the Base Indenture.</w:t>
      </w:r>
    </w:p>
    <w:p>
      <w:pPr>
        <w:spacing w:after="0" w:line="194" w:lineRule="exact"/>
        <w:rPr>
          <w:rFonts w:ascii="Arial" w:cs="Arial" w:eastAsia="Arial" w:hAnsi="Arial"/>
          <w:sz w:val="18"/>
          <w:szCs w:val="18"/>
          <w:color w:val="auto"/>
        </w:rPr>
      </w:pPr>
    </w:p>
    <w:p>
      <w:pPr>
        <w:ind w:left="1220" w:hanging="233"/>
        <w:spacing w:after="0"/>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Depositary Custodian for such Global Notes shall be the Trustee. The Security Registrar with respect to the Global Notes shall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Trustee.</w:t>
      </w:r>
    </w:p>
    <w:p>
      <w:pPr>
        <w:spacing w:after="0" w:line="210" w:lineRule="exact"/>
        <w:rPr>
          <w:rFonts w:ascii="Arial" w:cs="Arial" w:eastAsia="Arial" w:hAnsi="Arial"/>
          <w:sz w:val="16"/>
          <w:szCs w:val="16"/>
          <w:color w:val="auto"/>
        </w:rPr>
      </w:pPr>
    </w:p>
    <w:p>
      <w:pPr>
        <w:ind w:right="400" w:firstLine="987"/>
        <w:spacing w:after="0" w:line="308" w:lineRule="auto"/>
        <w:tabs>
          <w:tab w:leader="none" w:pos="124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Notes shall be defeasible pursuant to Section 14.02 or Section 14.03 of the Base Indenture. Covenant defeasance contained in Section 14.03 of the Base Indenture shall apply to the covenants contained in Sections 10.06, 10.07 and 10.08 of the Indenture.</w:t>
      </w:r>
    </w:p>
    <w:p>
      <w:pPr>
        <w:spacing w:after="0" w:line="146" w:lineRule="exact"/>
        <w:rPr>
          <w:rFonts w:ascii="Arial" w:cs="Arial" w:eastAsia="Arial" w:hAnsi="Arial"/>
          <w:sz w:val="17"/>
          <w:szCs w:val="17"/>
          <w:color w:val="auto"/>
        </w:rPr>
      </w:pPr>
    </w:p>
    <w:p>
      <w:pPr>
        <w:ind w:left="1240" w:hanging="253"/>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Notes shall be redeemable pursuant to Section 11.01 of the Base Indenture and as follows:</w:t>
      </w:r>
    </w:p>
    <w:p>
      <w:pPr>
        <w:spacing w:after="0" w:line="117" w:lineRule="exact"/>
        <w:rPr>
          <w:rFonts w:ascii="Arial" w:cs="Arial" w:eastAsia="Arial" w:hAnsi="Arial"/>
          <w:sz w:val="18"/>
          <w:szCs w:val="18"/>
          <w:color w:val="auto"/>
        </w:rPr>
      </w:pPr>
    </w:p>
    <w:p>
      <w:pPr>
        <w:ind w:left="980" w:right="340" w:firstLine="7"/>
        <w:spacing w:after="0" w:line="342" w:lineRule="auto"/>
        <w:tabs>
          <w:tab w:leader="none" w:pos="119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Notes will be redeemable, in whole or in part, at any time, or from time to time, at the option of the Company, at a Redemption Price equal to the greater of the following amounts, plus, in each case, accrued and unpaid interest to the Redemption Date:</w:t>
      </w:r>
    </w:p>
    <w:p>
      <w:pPr>
        <w:spacing w:after="0" w:line="29" w:lineRule="exact"/>
        <w:rPr>
          <w:rFonts w:ascii="Arial" w:cs="Arial" w:eastAsia="Arial" w:hAnsi="Arial"/>
          <w:sz w:val="16"/>
          <w:szCs w:val="16"/>
          <w:color w:val="auto"/>
        </w:rPr>
      </w:pPr>
    </w:p>
    <w:p>
      <w:pPr>
        <w:ind w:left="1420" w:hanging="439"/>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30" w:lineRule="exact"/>
        <w:rPr>
          <w:rFonts w:ascii="Arial" w:cs="Arial" w:eastAsia="Arial" w:hAnsi="Arial"/>
          <w:sz w:val="18"/>
          <w:szCs w:val="18"/>
          <w:color w:val="auto"/>
        </w:rPr>
      </w:pPr>
    </w:p>
    <w:p>
      <w:pPr>
        <w:ind w:left="1420" w:hanging="439"/>
        <w:spacing w:after="0" w:line="286" w:lineRule="auto"/>
        <w:tabs>
          <w:tab w:leader="none" w:pos="1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sum of the present values of the remaining scheduled payments of principal and interest (exclusive of accrued and unpaid interest to the Redemption Date) on the Notes to be redeemed, discounted to the Redemption Date on a semi-annual basis (assuming a 360-day year consisting of twelve 30-day months) using the applicable Treasury Rate plus 35 basis points;</w:t>
      </w:r>
    </w:p>
    <w:p>
      <w:pPr>
        <w:spacing w:after="0" w:line="16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if the Company redeems any Notes on or after July 1, 2026, the Redemption Price for the Notes will be equal to 100%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amount of the Notes to be redeemed, plus accrued and unpaid interest, if any, to, but excluding, the date of redemption.</w:t>
      </w:r>
    </w:p>
    <w:p>
      <w:pPr>
        <w:spacing w:after="0" w:line="146"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For purposes of calculating the Redemption Price in connection with the redemption of the Notes, on any Redemption Date, the following terms have the meanings set forth below:</w:t>
      </w:r>
    </w:p>
    <w:p>
      <w:pPr>
        <w:spacing w:after="0" w:line="170"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the Company.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7" w:name="page8"/>
    <w:bookmarkEnd w:id="7"/>
    <w:p>
      <w:pPr>
        <w:ind w:right="62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“Comparable Treasury Issue” means the United States Treasury security selected by the Reference Treasury Dealer as having a maturity comparable to the remaining term of the Notes to be redeemed that would be utilized, at the time of selection and in accordance with customary financing practice, in pricing new issues of corporate debt securities of comparable maturity to the remaining term of the Notes being redeemed.</w:t>
      </w:r>
    </w:p>
    <w:p>
      <w:pPr>
        <w:spacing w:after="0" w:line="149"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“Comparable Treasury Price”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“Quotation Agent” means a Reference Treasury Dealer selected by the Company.</w:t>
      </w:r>
    </w:p>
    <w:p>
      <w:pPr>
        <w:spacing w:after="0" w:line="225"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 xml:space="preserve">“Reference Treasury Dealer” means each of (1) BofA Securities, Inc., (2) J.P. Morgan Securities LLC and (3) a Primary Treasury Dealer to be Selected by SMBC Nikko Securities America, Inc.; or, in the case of each of (1), (2) or (3), its affiliates which are primary U.S. government securities dealers in the United States (a “Primary Treasury Dealer”) and their respective successors; </w:t>
      </w:r>
      <w:r>
        <w:rPr>
          <w:rFonts w:ascii="Arial" w:cs="Arial" w:eastAsia="Arial" w:hAnsi="Arial"/>
          <w:sz w:val="17"/>
          <w:szCs w:val="17"/>
          <w:i w:val="1"/>
          <w:iCs w:val="1"/>
          <w:color w:val="auto"/>
        </w:rPr>
        <w:t>provided</w:t>
      </w:r>
      <w:r>
        <w:rPr>
          <w:rFonts w:ascii="Arial" w:cs="Arial" w:eastAsia="Arial" w:hAnsi="Arial"/>
          <w:sz w:val="17"/>
          <w:szCs w:val="17"/>
          <w:color w:val="auto"/>
        </w:rPr>
        <w:t>, however, that if the foregoing or its affiliates shall cease to be a Primary Treasury Dealer, the Company shall select another Primary Treasury Dealer.</w:t>
      </w:r>
    </w:p>
    <w:p>
      <w:pPr>
        <w:spacing w:after="0" w:line="171"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time on the third Business Day preceding such Redemption Date.</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All determinations made by any Reference Treasury Dealer, including the Quotation Agent, with respect to determining the Redemption Price will be final and binding absent manifest error.</w:t>
      </w:r>
    </w:p>
    <w:p>
      <w:pPr>
        <w:spacing w:after="0" w:line="62" w:lineRule="exact"/>
        <w:rPr>
          <w:sz w:val="20"/>
          <w:szCs w:val="20"/>
          <w:color w:val="auto"/>
        </w:rPr>
      </w:pPr>
    </w:p>
    <w:p>
      <w:pPr>
        <w:ind w:left="980" w:right="40" w:firstLine="7"/>
        <w:spacing w:after="0" w:line="254" w:lineRule="auto"/>
        <w:tabs>
          <w:tab w:leader="none" w:pos="1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Notice of redemption shall be given in writing and mailed, first-class postage prepaid or by overnight courier guaranteeing next-day delivery, or sent electronically in accordance with Applicable Procedures with respect to Notes in global form, to each Holder of the Notes to be redeemed, not less than thirty (30) nor more than sixty (60) days prior to the Redemption Date, at the Holder’s address appearing in the Security Register. All notices of redemption shall contain the information set forth in Section 11.04 of the Base Indenture. If the Redemption Price is not known at the time such notice is to be given, the actual Redemption Price, calculated as described in the terms of the Notes, will be set forth in an Officers’ Certificate of the Company delivered to the Trustee no later than two Business Days prior to the Redemption Date.</w:t>
      </w:r>
    </w:p>
    <w:p>
      <w:pPr>
        <w:spacing w:after="0" w:line="86" w:lineRule="exact"/>
        <w:rPr>
          <w:rFonts w:ascii="Arial" w:cs="Arial" w:eastAsia="Arial" w:hAnsi="Arial"/>
          <w:sz w:val="18"/>
          <w:szCs w:val="18"/>
          <w:color w:val="auto"/>
        </w:rPr>
      </w:pPr>
    </w:p>
    <w:p>
      <w:pPr>
        <w:ind w:left="980" w:right="420" w:firstLine="7"/>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exercise of the Company’s option to redeem the Notes will be done in compliance with the Investment Company Act, to the extent applicable.</w:t>
      </w:r>
    </w:p>
    <w:p>
      <w:pPr>
        <w:spacing w:after="0" w:line="62" w:lineRule="exact"/>
        <w:rPr>
          <w:rFonts w:ascii="Arial" w:cs="Arial" w:eastAsia="Arial" w:hAnsi="Arial"/>
          <w:sz w:val="18"/>
          <w:szCs w:val="18"/>
          <w:color w:val="auto"/>
        </w:rPr>
      </w:pPr>
    </w:p>
    <w:p>
      <w:pPr>
        <w:ind w:left="1300" w:hanging="313"/>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the Company elects to redeem only a portion of the Notes, the particular Notes to be redeemed will be selected by the Trustee in</w:t>
      </w:r>
    </w:p>
    <w:p>
      <w:pPr>
        <w:spacing w:after="0" w:line="46" w:lineRule="exact"/>
        <w:rPr>
          <w:rFonts w:ascii="Arial" w:cs="Arial" w:eastAsia="Arial" w:hAnsi="Arial"/>
          <w:sz w:val="16"/>
          <w:szCs w:val="16"/>
          <w:color w:val="auto"/>
        </w:rPr>
      </w:pPr>
    </w:p>
    <w:p>
      <w:pPr>
        <w:ind w:left="980"/>
        <w:spacing w:after="0" w:line="290" w:lineRule="auto"/>
        <w:rPr>
          <w:rFonts w:ascii="Arial" w:cs="Arial" w:eastAsia="Arial" w:hAnsi="Arial"/>
          <w:sz w:val="16"/>
          <w:szCs w:val="16"/>
          <w:color w:val="auto"/>
        </w:rPr>
      </w:pPr>
      <w:r>
        <w:rPr>
          <w:rFonts w:ascii="Arial" w:cs="Arial" w:eastAsia="Arial" w:hAnsi="Arial"/>
          <w:sz w:val="17"/>
          <w:szCs w:val="17"/>
          <w:color w:val="auto"/>
        </w:rPr>
        <w:t xml:space="preserve">accordance with the applicable procedures of the Depositary and in accordance with the Investment Company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partial redemption shall reduce the portion of the principal amount of a Note not redeemed to less than $2,000.</w:t>
      </w:r>
    </w:p>
    <w:p>
      <w:pPr>
        <w:spacing w:after="0" w:line="53" w:lineRule="exact"/>
        <w:rPr>
          <w:rFonts w:ascii="Arial" w:cs="Arial" w:eastAsia="Arial" w:hAnsi="Arial"/>
          <w:sz w:val="16"/>
          <w:szCs w:val="16"/>
          <w:color w:val="auto"/>
        </w:rPr>
      </w:pPr>
    </w:p>
    <w:p>
      <w:pPr>
        <w:ind w:left="980" w:right="160" w:firstLine="7"/>
        <w:spacing w:after="0" w:line="277" w:lineRule="auto"/>
        <w:tabs>
          <w:tab w:leader="none" w:pos="1235" w:val="left"/>
        </w:tabs>
        <w:numPr>
          <w:ilvl w:val="0"/>
          <w:numId w:val="6"/>
        </w:numPr>
        <w:rPr>
          <w:rFonts w:ascii="Arial" w:cs="Arial" w:eastAsia="Arial" w:hAnsi="Arial"/>
          <w:sz w:val="18"/>
          <w:szCs w:val="18"/>
          <w:color w:val="auto"/>
        </w:rPr>
      </w:pPr>
      <w:r>
        <w:rPr>
          <w:rFonts w:ascii="Arial" w:cs="Arial" w:eastAsia="Arial" w:hAnsi="Arial"/>
          <w:sz w:val="18"/>
          <w:szCs w:val="18"/>
          <w:color w:val="auto"/>
        </w:rPr>
        <w:t>Unless the Company defaults in payment of the Redemption Price, on and after the Redemption Date, interest will cease to accrue on the Notes called for redemption hereunder.</w:t>
      </w:r>
    </w:p>
    <w:p>
      <w:pPr>
        <w:spacing w:after="0" w:line="62" w:lineRule="exact"/>
        <w:rPr>
          <w:sz w:val="20"/>
          <w:szCs w:val="20"/>
          <w:color w:val="auto"/>
        </w:rPr>
      </w:pPr>
    </w:p>
    <w:p>
      <w:pPr>
        <w:ind w:left="5460" w:right="2660" w:hanging="4473"/>
        <w:spacing w:after="0" w:line="449" w:lineRule="auto"/>
        <w:tabs>
          <w:tab w:leader="none" w:pos="120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Notes shall not be subject to any sinking fund pursuant to Section 12.01 of the Base Indenture. 4</w:t>
      </w:r>
    </w:p>
    <w:p>
      <w:pPr>
        <w:sectPr>
          <w:pgSz w:w="11900" w:h="16838" w:orient="portrait"/>
          <w:cols w:equalWidth="0" w:num="1">
            <w:col w:w="11000"/>
          </w:cols>
          <w:pgMar w:left="440" w:top="274" w:right="459" w:bottom="1440" w:gutter="0" w:footer="0" w:header="0"/>
        </w:sectPr>
      </w:pPr>
    </w:p>
    <w:bookmarkStart w:id="8" w:name="page9"/>
    <w:bookmarkEnd w:id="8"/>
    <w:p>
      <w:pPr>
        <w:ind w:left="1200" w:hanging="213"/>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Notes shall be issuable in denominations of $2,000 and integral multiples of $1,000 in excess thereof.</w:t>
      </w:r>
    </w:p>
    <w:p>
      <w:pPr>
        <w:spacing w:after="0" w:line="225" w:lineRule="exact"/>
        <w:rPr>
          <w:rFonts w:ascii="Arial" w:cs="Arial" w:eastAsia="Arial" w:hAnsi="Arial"/>
          <w:sz w:val="18"/>
          <w:szCs w:val="18"/>
          <w:color w:val="auto"/>
        </w:rPr>
      </w:pPr>
    </w:p>
    <w:p>
      <w:pPr>
        <w:ind w:right="520" w:firstLine="987"/>
        <w:spacing w:after="0" w:line="277" w:lineRule="auto"/>
        <w:tabs>
          <w:tab w:leader="none" w:pos="1246" w:val="left"/>
        </w:tabs>
        <w:numPr>
          <w:ilvl w:val="0"/>
          <w:numId w:val="8"/>
        </w:numPr>
        <w:rPr>
          <w:rFonts w:ascii="Arial" w:cs="Arial" w:eastAsia="Arial" w:hAnsi="Arial"/>
          <w:sz w:val="18"/>
          <w:szCs w:val="18"/>
          <w:color w:val="auto"/>
        </w:rPr>
      </w:pPr>
      <w:r>
        <w:rPr>
          <w:rFonts w:ascii="Arial" w:cs="Arial" w:eastAsia="Arial" w:hAnsi="Arial"/>
          <w:sz w:val="18"/>
          <w:szCs w:val="18"/>
          <w:color w:val="auto"/>
        </w:rPr>
        <w:t>Holders of the Notes will not have the option to have the Notes repaid prior to the Stated Maturity other than in accordance with Article Thirteen of the Indenture.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OTHER PROVISIONS OF GENERAL APPLICATION</w:t>
      </w:r>
    </w:p>
    <w:p>
      <w:pPr>
        <w:spacing w:after="0" w:line="211" w:lineRule="exact"/>
        <w:rPr>
          <w:sz w:val="20"/>
          <w:szCs w:val="20"/>
          <w:color w:val="auto"/>
        </w:rPr>
      </w:pPr>
    </w:p>
    <w:p>
      <w:pPr>
        <w:jc w:val="both"/>
        <w:ind w:right="360" w:firstLine="440"/>
        <w:spacing w:after="0" w:line="286" w:lineRule="auto"/>
        <w:rPr>
          <w:sz w:val="20"/>
          <w:szCs w:val="20"/>
          <w:color w:val="auto"/>
        </w:rPr>
      </w:pPr>
      <w:r>
        <w:rPr>
          <w:rFonts w:ascii="Arial" w:cs="Arial" w:eastAsia="Arial" w:hAnsi="Arial"/>
          <w:sz w:val="17"/>
          <w:szCs w:val="17"/>
          <w:color w:val="auto"/>
        </w:rPr>
        <w:t>Section 2.01. Except as may be provided in a Future Supplemental Indenture, for the benefit of the Holders of the Notes but no other series of Securities under the Indenture, whether now or hereafter issued and Outstanding, Article One of the Base Indenture shall be amended by adding the following defined terms to Section 1.01 of the Base Indenture in appropriate alphabetical sequence, as follows:</w:t>
      </w:r>
    </w:p>
    <w:p>
      <w:pPr>
        <w:spacing w:after="0" w:line="16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Below Investment Grade Rating Event</w:t>
      </w:r>
      <w:r>
        <w:rPr>
          <w:rFonts w:ascii="Arial" w:cs="Arial" w:eastAsia="Arial" w:hAnsi="Arial"/>
          <w:sz w:val="16"/>
          <w:szCs w:val="16"/>
          <w:color w:val="auto"/>
        </w:rPr>
        <w:t>” means the Notes are downgraded below Investment Grade by all three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any of the Rating Agencies); provided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the Company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w:t>
      </w:r>
    </w:p>
    <w:p>
      <w:pPr>
        <w:spacing w:after="0" w:line="225" w:lineRule="exact"/>
        <w:rPr>
          <w:sz w:val="20"/>
          <w:szCs w:val="20"/>
          <w:color w:val="auto"/>
        </w:rPr>
      </w:pPr>
    </w:p>
    <w:p>
      <w:pPr>
        <w:ind w:right="160" w:firstLine="436"/>
        <w:spacing w:after="0" w:line="257"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Exchange Act), other than to any Permitted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 pledge of assets pursuant to any secured debt instrument of the Company or its Controlled Subsidiaries shall not be deemed to be any such sale, lease, transfer, conveyance or disposition;</w:t>
      </w:r>
    </w:p>
    <w:p>
      <w:pPr>
        <w:spacing w:after="0" w:line="187" w:lineRule="exact"/>
        <w:rPr>
          <w:rFonts w:ascii="Arial" w:cs="Arial" w:eastAsia="Arial" w:hAnsi="Arial"/>
          <w:sz w:val="18"/>
          <w:szCs w:val="18"/>
          <w:color w:val="auto"/>
        </w:rPr>
      </w:pPr>
    </w:p>
    <w:p>
      <w:pPr>
        <w:ind w:right="260" w:firstLine="436"/>
        <w:spacing w:after="0" w:line="259"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the Company, measured by voting power rather than number of shares; or</w:t>
      </w:r>
    </w:p>
    <w:p>
      <w:pPr>
        <w:spacing w:after="0" w:line="186" w:lineRule="exact"/>
        <w:rPr>
          <w:rFonts w:ascii="Arial" w:cs="Arial" w:eastAsia="Arial" w:hAnsi="Arial"/>
          <w:sz w:val="18"/>
          <w:szCs w:val="18"/>
          <w:color w:val="auto"/>
        </w:rPr>
      </w:pPr>
    </w:p>
    <w:p>
      <w:pPr>
        <w:ind w:left="700" w:hanging="264"/>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approval by the Company’s stockholders of any plan or proposal relating to the liquidation or dissolution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Repurchase Event</w:t>
      </w:r>
      <w:r>
        <w:rPr>
          <w:rFonts w:ascii="Arial" w:cs="Arial" w:eastAsia="Arial" w:hAnsi="Arial"/>
          <w:sz w:val="18"/>
          <w:szCs w:val="18"/>
          <w:color w:val="auto"/>
        </w:rPr>
        <w:t>” means the occurrence of a Change of Control and a Below Investment Grade Rating Event.</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w:t>
      </w:r>
      <w:r>
        <w:rPr>
          <w:rFonts w:ascii="Arial" w:cs="Arial" w:eastAsia="Arial" w:hAnsi="Arial"/>
          <w:sz w:val="18"/>
          <w:szCs w:val="18"/>
          <w:color w:val="auto"/>
        </w:rPr>
        <w:t>” means the corporate trust office of the Trustee, at which at any particular time its corporate trust business with respect to this Indenture shall be administered, which office at the date of execution of this Indenture is located at Wells Fargo Bank, National Association, CTSO Mail Operations, MAC N9300-070, 600 South Fourth Street, Seventh Floor, Minneapolis, MN 55415, Attn: Corporate Trust Services, Lynn Steiner, and for Agent services such office shall also mean the office or agency of the Trustee located at the date hereof at Corporate Trust Operations, MAC N9300-070, 600 South Fourth Street, Minneapolis, MN 55415.</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9" w:name="page10"/>
    <w:bookmarkEnd w:id="9"/>
    <w:p>
      <w:pPr>
        <w:ind w:right="2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Depositary</w:t>
      </w:r>
      <w:r>
        <w:rPr>
          <w:rFonts w:ascii="Arial" w:cs="Arial" w:eastAsia="Arial" w:hAnsi="Arial"/>
          <w:sz w:val="18"/>
          <w:szCs w:val="18"/>
          <w:color w:val="auto"/>
        </w:rPr>
        <w:t>” means, with respect to each Note in global form, The Depository Trust Company, until a successor shall have been appointed and becomes such person, and thereafter, Depositary shall mean or include such successor.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Ratings, Inc., also known as Fitch Ratings, or any successor thereto.</w:t>
      </w:r>
    </w:p>
    <w:p>
      <w:pPr>
        <w:spacing w:after="0" w:line="22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 Grade</w:t>
      </w:r>
      <w:r>
        <w:rPr>
          <w:rFonts w:ascii="Arial" w:cs="Arial" w:eastAsia="Arial" w:hAnsi="Arial"/>
          <w:sz w:val="17"/>
          <w:szCs w:val="17"/>
          <w:color w:val="auto"/>
        </w:rPr>
        <w:t>” means a rating of BBB- or better by Fitch (or its equivalent under any successor rating categories of Fitch), BBB- or better by S&amp;P (or its equivalent under any successor rating categories of S&amp;P) and Baa3 or better by Moody’s (or its equivalent under any successor rating categories of Moody’s) (or, in each case, if such Rating Agency ceases to rate the Notes for reasons outside of the Company’s control, the equivalent investment grade credit rating from any Rating Agency selected by the Company as a replacement Rating Agency).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 Service, or any successor thereto.</w:t>
      </w:r>
    </w:p>
    <w:p>
      <w:pPr>
        <w:spacing w:after="0" w:line="225"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means (i) the Company, (ii) one or more of the Company’s Controlled Subsidiaries and (iii) Sixth Street Specialty Lending Advisers, LLC or any Affiliate of Sixth Street Specialty Lending Advisers, LLC that is organized under the laws of a jurisdiction located in the United States of America and in the business of managing or advising clients.</w:t>
      </w:r>
    </w:p>
    <w:p>
      <w:pPr>
        <w:spacing w:after="0" w:line="184"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Rating Agency</w:t>
      </w:r>
      <w:r>
        <w:rPr>
          <w:rFonts w:ascii="Arial" w:cs="Arial" w:eastAsia="Arial" w:hAnsi="Arial"/>
          <w:sz w:val="16"/>
          <w:szCs w:val="16"/>
          <w:color w:val="auto"/>
        </w:rPr>
        <w:t>” means (1) each of Fitch, Moody’s and S&amp;P; and (2) if any of Fitch, Moody’s or S&amp;P ceases to rate the Notes or fails to make a rating of the Notes publicly available for reasons outside of the Company’s control, a “nationally recognized statistical rating organization” as defined in Section (3)(a)(62) of the Exchange Act selected by the Company as a replacement agency for Fitch, Moody’s or S&amp;P, or all three, as the case may be.</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 or any successor thereto.</w:t>
      </w:r>
    </w:p>
    <w:p>
      <w:pPr>
        <w:spacing w:after="0" w:line="225" w:lineRule="exact"/>
        <w:rPr>
          <w:sz w:val="20"/>
          <w:szCs w:val="20"/>
          <w:color w:val="auto"/>
        </w:rPr>
      </w:pPr>
    </w:p>
    <w:p>
      <w:pPr>
        <w:ind w:right="3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Stock</w:t>
      </w:r>
      <w:r>
        <w:rPr>
          <w:rFonts w:ascii="Arial" w:cs="Arial" w:eastAsia="Arial" w:hAnsi="Arial"/>
          <w:sz w:val="16"/>
          <w:szCs w:val="16"/>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TRUSTEE</w:t>
      </w:r>
    </w:p>
    <w:p>
      <w:pPr>
        <w:spacing w:after="0" w:line="211"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Section 3.01. Neither the Trustee nor any Paying Agent shall be responsible for determining whether any Change of Control or Below Investment Grade Rating Event has occurred and whether any Change of Control offer with respect to the Notes is required. The transferor of any Note shall provide or cause to be provided to the Trustee, upon reasonable request therefore, all information necessary to allow the Trustee to comply with any applicable tax reporting obligations, including without limitation any cost basis reporting obligations under Internal Revenue Code Section 6045. In connection with any proposed exchange of a certificated Note for a Global Note, there shall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178"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Section 3.02. 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0" w:name="page11"/>
    <w:bookmarkEnd w:id="10"/>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regulation or governmental authority, natural disaster, strikes, work stoppages, accidents, acts of war or terrorism, civil or military disturbances, nuclear or natural catastrophes or acts of God, labor dispute, disease, epidemic or pandemic, quarantine, national emergency and interruptions, loss or malfunctions of utilities, communications or computer (software and hardware) services, communications system failure, malware or ransomware or other unavailability of the Federal Reserve Bank wire or facsimile or telex system or other funds transfer system or other wire or communication facility or unavailability of any securities clearing system; it being understood that the Trustee shall use reasonable efforts that are consistent with accepted practices in the banking industry to resume performance as soon as practicable under the circumstances.</w:t>
      </w:r>
    </w:p>
    <w:p>
      <w:pPr>
        <w:spacing w:after="0" w:line="394"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Section 4.01. Except as may be provided in a Future Supplemental Indenture, for the benefit of the Holders of the Notes but no other series of Securities under the Indenture, whether now or hereafter issued and Outstanding, Article Ten of the Base Indenture shall be amended by replacing Section 10.07 with the following: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Section 18(a)(1)(A) of the Investment Company Act</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The Company hereby agrees that for the period of time during which Securities are Outstanding, the Company will not violate, whether or not it is subject thereto, Section 18(a)(1)(A) as modified by Section 61(a) of the Investment Company Act or any successor provisions thereto of the Investment Company Act, but giving effect, in either case, to any exemptive relief granted to the Company by the Commission.”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OFFER TO REPURCHASE UPON A CHANGE OF CONTROL REPURCHASE EVENT</w:t>
      </w:r>
    </w:p>
    <w:p>
      <w:pPr>
        <w:spacing w:after="0" w:line="21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Except as may be provided in a Future Supplemental Indenture, for the benefit of the Holders of the Notes but no other series of Securities under the Indenture, whether now or hereafter issued and Outstanding, Article Thirteen of the Base Indenture shall be amended by replacing Sections 13.01 to 13.05 thereto with the following: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If a Change of Control Repurchase Event occurs, unless the Company shall have exercised its right to redeem the Notes in full, the Company shall make an offer to each Holder of the Notes to repurchase all or any part (in minimum denominations of $2,000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the Company’s option, prior to any Change of Control, but after the public announcement of the Change of Control, the Company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The Company shall comply with the requirements of Rule 14e-1 under the Exchange Act and any other securities laws and regulations thereunder to the extent those laws and regulations are applicable in connection with the repurchase of the Notes as a result of a Change of Control Repurchase Event.</w:t>
      </w:r>
    </w:p>
    <w:p>
      <w:pPr>
        <w:spacing w:after="0" w:line="172"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To the extent that the provisions of any securities laws or regulations conflict with this Section 13.01, the Company shall comply with the</w:t>
      </w:r>
    </w:p>
    <w:p>
      <w:pPr>
        <w:spacing w:after="0" w:line="35"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applicable securities laws and regulations and shall not be deemed to have breached its obligations under this Section 13.01 by virtue of such conflict.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1" w:name="page12"/>
    <w:bookmarkEnd w:id="11"/>
    <w:p>
      <w:pPr>
        <w:ind w:left="4" w:right="4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 the Change of Control Repurchase Event payment date, subject to extension if necessary to comply with the provisions of the Investment Company Act, the Company shall, to the extent lawful:</w:t>
      </w:r>
    </w:p>
    <w:p>
      <w:pPr>
        <w:spacing w:after="0" w:line="62" w:lineRule="exact"/>
        <w:rPr>
          <w:sz w:val="20"/>
          <w:szCs w:val="20"/>
          <w:color w:val="auto"/>
        </w:rPr>
      </w:pPr>
    </w:p>
    <w:p>
      <w:pPr>
        <w:ind w:left="704" w:hanging="264"/>
        <w:spacing w:after="0"/>
        <w:tabs>
          <w:tab w:leader="none" w:pos="7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its offer;</w:t>
      </w:r>
    </w:p>
    <w:p>
      <w:pPr>
        <w:spacing w:after="0" w:line="117" w:lineRule="exact"/>
        <w:rPr>
          <w:rFonts w:ascii="Arial" w:cs="Arial" w:eastAsia="Arial" w:hAnsi="Arial"/>
          <w:sz w:val="18"/>
          <w:szCs w:val="18"/>
          <w:color w:val="auto"/>
        </w:rPr>
      </w:pPr>
    </w:p>
    <w:p>
      <w:pPr>
        <w:ind w:left="444" w:right="140" w:hanging="4"/>
        <w:spacing w:after="0" w:line="277" w:lineRule="auto"/>
        <w:tabs>
          <w:tab w:leader="none" w:pos="699"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aggregate purchase price in respect of all Notes or portions of Notes properly tendered; and</w:t>
      </w:r>
    </w:p>
    <w:p>
      <w:pPr>
        <w:spacing w:after="0" w:line="62" w:lineRule="exact"/>
        <w:rPr>
          <w:rFonts w:ascii="Arial" w:cs="Arial" w:eastAsia="Arial" w:hAnsi="Arial"/>
          <w:sz w:val="18"/>
          <w:szCs w:val="18"/>
          <w:color w:val="auto"/>
        </w:rPr>
      </w:pPr>
    </w:p>
    <w:p>
      <w:pPr>
        <w:ind w:left="444" w:hanging="4"/>
        <w:spacing w:after="0" w:line="277" w:lineRule="auto"/>
        <w:tabs>
          <w:tab w:leader="none" w:pos="699"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being purchased by the Company.</w:t>
      </w:r>
    </w:p>
    <w:p>
      <w:pPr>
        <w:spacing w:after="0" w:line="170" w:lineRule="exact"/>
        <w:rPr>
          <w:sz w:val="20"/>
          <w:szCs w:val="20"/>
          <w:color w:val="auto"/>
        </w:rPr>
      </w:pPr>
    </w:p>
    <w:p>
      <w:pPr>
        <w:ind w:left="4" w:right="60" w:firstLine="440"/>
        <w:spacing w:after="0" w:line="311" w:lineRule="auto"/>
        <w:rPr>
          <w:sz w:val="20"/>
          <w:szCs w:val="20"/>
          <w:color w:val="auto"/>
        </w:rPr>
      </w:pPr>
      <w:r>
        <w:rPr>
          <w:rFonts w:ascii="Arial" w:cs="Arial" w:eastAsia="Arial" w:hAnsi="Arial"/>
          <w:sz w:val="16"/>
          <w:szCs w:val="16"/>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will be in a minimum principal amount of $2,000 or an integral multiple of $1,000 in excess thereof.</w:t>
      </w:r>
    </w:p>
    <w:p>
      <w:pPr>
        <w:spacing w:after="0" w:line="149"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If any Repayment Date upon a Change of Control Repurchase Event falls on a day that is not a Business Day, then the required payment will be made on the next succeeding Business Day and no additional interest will accrue as a result of such delayed payment.</w:t>
      </w:r>
    </w:p>
    <w:p>
      <w:pPr>
        <w:spacing w:after="0" w:line="170"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The Company will not be required to make an offer to repurchase the Notes upon a Change of Control Repurchase Event if a third party makes an offer in respect of the Notes in the manner, at the time and otherwise in compliance with the requirements for an offer made by the Company and such third party purchases all Notes properly tendered and not withdrawn under its offer.”</w:t>
      </w:r>
    </w:p>
    <w:p>
      <w:pPr>
        <w:spacing w:after="0" w:line="4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4" w:right="280" w:firstLine="440"/>
        <w:spacing w:after="0" w:line="257" w:lineRule="auto"/>
        <w:rPr>
          <w:sz w:val="20"/>
          <w:szCs w:val="20"/>
          <w:color w:val="auto"/>
        </w:rPr>
      </w:pPr>
      <w:r>
        <w:rPr>
          <w:rFonts w:ascii="Arial" w:cs="Arial" w:eastAsia="Arial" w:hAnsi="Arial"/>
          <w:sz w:val="18"/>
          <w:szCs w:val="18"/>
          <w:color w:val="auto"/>
        </w:rPr>
        <w:t>Section 6.01. This Third Supplemental Indenture and the Notes shall be governed by and construed in accordance with the laws of the State of New York, without regard to principles of conflicts of laws that would cause the application of laws of another jurisdiction. This Third Supplemental Indenture is subject to the provisions of the Trust Indenture Act that are required to be part of the Indenture and shall, to the extent applicable, be governed by such provisions. If any provision of the Indenture limits, qualifies or conflicts with the duties imposed by Section 318(c) of the Trust Indenture Act, the imposed duties will control.</w:t>
      </w:r>
    </w:p>
    <w:p>
      <w:pPr>
        <w:spacing w:after="0" w:line="188"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Section 6.02. In case any provision in this Third Supplemental Indenture or in the Notes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color w:val="auto"/>
        </w:rPr>
        <w:t>Section 6.03. This Third Supplemental Indenture may be executed in any number of counterparts, each of which will be an original, but such counterparts will together constitute but one and the same Third Supplemental Indenture. This Third Supplemental Indenture shall be valid, binding, and enforceable against a party when executed and delivered by an authorized individual on behalf of the party by means of (i) an original manual signature;</w:t>
      </w:r>
    </w:p>
    <w:p>
      <w:pPr>
        <w:spacing w:after="0" w:line="2" w:lineRule="exact"/>
        <w:rPr>
          <w:sz w:val="20"/>
          <w:szCs w:val="20"/>
          <w:color w:val="auto"/>
        </w:rPr>
      </w:pPr>
    </w:p>
    <w:p>
      <w:pPr>
        <w:ind w:left="264" w:hanging="264"/>
        <w:spacing w:after="0"/>
        <w:tabs>
          <w:tab w:leader="none" w:pos="2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faxed, scanned, or photocopied manual signature, or (iii) any other electronic signature permitted by the federal Electronic Signatures in Global</w:t>
      </w:r>
    </w:p>
    <w:p>
      <w:pPr>
        <w:spacing w:after="0" w:line="32" w:lineRule="exact"/>
        <w:rPr>
          <w:rFonts w:ascii="Arial" w:cs="Arial" w:eastAsia="Arial" w:hAnsi="Arial"/>
          <w:sz w:val="16"/>
          <w:szCs w:val="16"/>
          <w:color w:val="auto"/>
        </w:rPr>
      </w:pPr>
    </w:p>
    <w:p>
      <w:pPr>
        <w:ind w:left="4" w:right="20"/>
        <w:spacing w:after="0" w:line="253" w:lineRule="auto"/>
        <w:rPr>
          <w:rFonts w:ascii="Arial" w:cs="Arial" w:eastAsia="Arial" w:hAnsi="Arial"/>
          <w:sz w:val="16"/>
          <w:szCs w:val="16"/>
          <w:color w:val="auto"/>
        </w:rPr>
      </w:pPr>
      <w:r>
        <w:rPr>
          <w:rFonts w:ascii="Arial" w:cs="Arial" w:eastAsia="Arial" w:hAnsi="Arial"/>
          <w:sz w:val="18"/>
          <w:szCs w:val="18"/>
          <w:color w:val="auto"/>
        </w:rPr>
        <w:t>and National Commerce Act, state enactments of the Uniform Electronic Transactions Act, and/or any other relevant electronic signatures law, including any relevant provisions of the Uniform Commercial Code/UCC (collectively, “Signature Law”), in each case to the extent applicable. Each faxed, scanned, or photocopied manual signature, or other electronic signature, shall for all purposes have the same validity, legal effect, and admissibility in evidence as an original manual signature. Each party hereto shall be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2" w:name="page13"/>
    <w:bookmarkEnd w:id="12"/>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For the avoidance of doubt, original manual signatures shall be used for execution or indorsement of writings when required under the UCC or other Signature Law due to the character or intended character of the writings.</w:t>
      </w:r>
    </w:p>
    <w:p>
      <w:pPr>
        <w:spacing w:after="0" w:line="187"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Section 6.04. The Base Indenture, as supplemented and amended by this Third Supplemental Indenture, is in all respects ratified and confirmed, and the Base Indenture and this Third Supplemental Indenture shall be read, taken and construed as one and the same instrument with respect to the Notes. All provisions included in this Third Supplemental Indenture supersede any conflicting provisions included in the Base Indenture with respect to the Notes, unless not permitted by law. The Trustee accepts the trusts created by the Indenture, as supplemented by this Third Supplemental Indenture, and agrees to perform the same upon the terms and conditions of the Indenture, as supplemented by this Third Supplemental Indenture. All of the provisions contained in the Base Indenture in respect of the rights, privileges, immunities, powers, and duties of the Trustee shall be applicable in respect of this Third Supplemental Indenture as fully and with like force and effect as though fully set forth in full herein.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6.05. The provisions of this Third Supplemental Indenture shall become effective as of the date hereof.</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Section 6.06. Notwithstanding anything else to the contrary herein, the terms and provisions of this Third Supplemental Indenture shall apply only to the Notes and shall not apply to any other series of Securities under the Indenture and this Third Supplemental Indenture shall not and does not otherwise affect, modify, alter, supplement or change the terms and provisions of any other series of Securities under the Indenture, whether now or hereafter issued and Outstanding.</w:t>
      </w:r>
    </w:p>
    <w:p>
      <w:pPr>
        <w:spacing w:after="0" w:line="18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Section 6.07. The recitals contained herein and in the Notes shall be taken as the statements of the Company, and the Trustee assumes no responsibility for their correctness. The Trustee makes no representations as to and shall not be responsible for the validity or sufficiency of this Third Supplemental Indenture, the Notes or any Additional Notes, except that the Trustee represents that it is duly authorized to execute and deliver this Third Supplemental Indenture, authenticate the Notes and any Additional Notes and perform its obligations hereunder. The Trustee shall not be accountable for the use or application by the Company of the Notes or any Additional Notes or the proceeds thereof.</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Third Supplemental Indenture to be duly executed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SIXTH STREET SPECIALTY LENDING, INC.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Ian T. Simmonds</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Financial Officer</w:t>
      </w:r>
    </w:p>
    <w:p>
      <w:pPr>
        <w:spacing w:after="0" w:line="238"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WELLS FARGO BANK, NATIONAL ASSOCIATION, as</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Stefan Victory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Stefan Victory</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[Signature Page to Third Supplemental Indenture]</w:t>
      </w:r>
    </w:p>
    <w:p>
      <w:pPr>
        <w:sectPr>
          <w:pgSz w:w="11900" w:h="16838" w:orient="portrait"/>
          <w:cols w:equalWidth="0" w:num="1">
            <w:col w:w="10540"/>
          </w:cols>
          <w:pgMar w:left="880" w:top="274" w:right="4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 – Form of Global Note</w:t>
      </w:r>
    </w:p>
    <w:p>
      <w:pPr>
        <w:spacing w:after="0" w:line="229" w:lineRule="exact"/>
        <w:rPr>
          <w:sz w:val="20"/>
          <w:szCs w:val="20"/>
          <w:color w:val="auto"/>
        </w:rPr>
      </w:pPr>
    </w:p>
    <w:p>
      <w:pPr>
        <w:ind w:right="380" w:firstLine="440"/>
        <w:spacing w:after="0" w:line="257" w:lineRule="auto"/>
        <w:rPr>
          <w:sz w:val="20"/>
          <w:szCs w:val="20"/>
          <w:color w:val="auto"/>
        </w:rPr>
      </w:pPr>
      <w:r>
        <w:rPr>
          <w:rFonts w:ascii="Arial" w:cs="Arial" w:eastAsia="Arial" w:hAnsi="Arial"/>
          <w:sz w:val="18"/>
          <w:szCs w:val="18"/>
          <w:color w:val="auto"/>
        </w:rPr>
        <w:t>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w:t>
      </w:r>
    </w:p>
    <w:p>
      <w:pPr>
        <w:spacing w:after="0" w:line="184"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b w:val="1"/>
          <w:bCs w:val="1"/>
          <w:color w:val="auto"/>
        </w:rPr>
        <w:t>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ectPr>
          <w:pgSz w:w="11900" w:h="16838" w:orient="portrait"/>
          <w:cols w:equalWidth="0" w:num="1">
            <w:col w:w="11000"/>
          </w:cols>
          <w:pgMar w:left="440" w:top="270" w:right="45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No. 1</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Initially $300,000,000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CUSIP No. 83012A AA7</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ISIN No.US83012AAA79</w:t>
      </w:r>
    </w:p>
    <w:p>
      <w:pPr>
        <w:spacing w:after="0" w:line="200" w:lineRule="exact"/>
        <w:rPr>
          <w:sz w:val="20"/>
          <w:szCs w:val="20"/>
          <w:color w:val="auto"/>
        </w:rPr>
      </w:pPr>
    </w:p>
    <w:p>
      <w:pPr>
        <w:sectPr>
          <w:pgSz w:w="11900" w:h="16838" w:orient="portrait"/>
          <w:cols w:equalWidth="0" w:num="2">
            <w:col w:w="7440" w:space="720"/>
            <w:col w:w="2840"/>
          </w:cols>
          <w:pgMar w:left="440" w:top="270" w:right="459" w:bottom="1440" w:gutter="0" w:footer="0" w:header="0"/>
          <w:type w:val="continuous"/>
        </w:sectPr>
      </w:pP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2.500% Notes due 2026</w:t>
      </w:r>
    </w:p>
    <w:p>
      <w:pPr>
        <w:sectPr>
          <w:pgSz w:w="11900" w:h="16838" w:orient="portrait"/>
          <w:cols w:equalWidth="0" w:num="1">
            <w:col w:w="11000"/>
          </w:cols>
          <w:pgMar w:left="440" w:top="270" w:right="459" w:bottom="1440" w:gutter="0" w:footer="0" w:header="0"/>
          <w:type w:val="continuous"/>
        </w:sectPr>
      </w:pPr>
    </w:p>
    <w:p>
      <w:pPr>
        <w:spacing w:after="0" w:line="248" w:lineRule="exact"/>
        <w:rPr>
          <w:sz w:val="20"/>
          <w:szCs w:val="20"/>
          <w:color w:val="auto"/>
        </w:rPr>
      </w:pPr>
    </w:p>
    <w:p>
      <w:pPr>
        <w:ind w:right="60" w:firstLine="440"/>
        <w:spacing w:after="0" w:line="286" w:lineRule="auto"/>
        <w:rPr>
          <w:sz w:val="20"/>
          <w:szCs w:val="20"/>
          <w:color w:val="auto"/>
        </w:rPr>
      </w:pPr>
      <w:r>
        <w:rPr>
          <w:rFonts w:ascii="Arial" w:cs="Arial" w:eastAsia="Arial" w:hAnsi="Arial"/>
          <w:sz w:val="16"/>
          <w:szCs w:val="16"/>
          <w:color w:val="auto"/>
        </w:rPr>
        <w:t>Sixth Street Specialty Lending, Inc., a corporation duly organized and existing under the laws of Delaware (herein called the “Company”, which term includes any successor Person under the Indenture hereinafter referred to), for value received, hereby promises to pay to Cede &amp; Co., or registered assigns, the principal sum of THREE HUNDRED MILLION DOLLARS (U.S. $300,000,000), or such other principal sum as shall be set forth in the Schedule of Increases or Decreases attached hereto, on August 1, 2026, and to pay interest thereon from February 3, 2021 or from the most recent Interest Payment Date to which interest has been paid or duly provided for, semi-annually on February 1 and August 1 of each year, commencing August 1, 2021, at the rate of 2.500% per annum, until the principal hereof is paid or made available for payment. The interest so payable, and punctually paid or duly provided for, on any Interest Payment Date will, as provided in such Indenture, be paid to the Person in whose name this Security is registered at 5:00 p.m. New York City time (the “close of business”) on the Regular Record Date for such interest, which shall be January 15 and July 15 (whether or not a Business Day), as the case may be, immediately preceding such Interest Payment Date. Any such interest not so punctually paid or duly provided for will forthwith cease to be payable to the Holder on such Regular Record Date and may either be paid to the Person in whose name this Security is registered at the close of business on a Special Record Date for the payment of such Defaulted Interest to be fixed by the Company,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This Security may be issued as part of a series.</w:t>
      </w:r>
    </w:p>
    <w:p>
      <w:pPr>
        <w:spacing w:after="0" w:line="17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Payment of the principal of (and premium, if any) and any such interest on this Security will be made at the Corporate Trust Office of the Paying Agent, which shall initially be the Trustee, in such coin or currency of the United States of America as at the time of payment is legal tender for payment of public and private debts;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at the option of the Company payment of interest maybe made by check mailed to the address of the Person entitled thereto as such address shall appear in the Security Register.</w:t>
      </w:r>
    </w:p>
    <w:p>
      <w:pPr>
        <w:sectPr>
          <w:pgSz w:w="11900" w:h="16838" w:orient="portrait"/>
          <w:cols w:equalWidth="0" w:num="1">
            <w:col w:w="11000"/>
          </w:cols>
          <w:pgMar w:left="440" w:top="270" w:right="459" w:bottom="1440" w:gutter="0" w:footer="0" w:header="0"/>
          <w:type w:val="continuous"/>
        </w:sectPr>
      </w:pPr>
    </w:p>
    <w:bookmarkStart w:id="15" w:name="page16"/>
    <w:bookmarkEnd w:id="15"/>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20"/>
          </w:cols>
          <w:pgMar w:left="440" w:top="274" w:right="639" w:bottom="1440" w:gutter="0" w:footer="0" w:header="0"/>
        </w:sectPr>
      </w:pPr>
    </w:p>
    <w:bookmarkStart w:id="16" w:name="page17"/>
    <w:bookmarkEnd w:id="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instrument to be duly executed.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5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SIXTH STREET SPECIALTY LENDING, INC.</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40"/>
          </w:cols>
          <w:pgMar w:left="440" w:top="274" w:right="1319" w:bottom="1440" w:gutter="0" w:footer="0" w:header="0"/>
        </w:sectPr>
      </w:pPr>
    </w:p>
    <w:bookmarkStart w:id="17" w:name="page18"/>
    <w:bookmarkEnd w:id="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is one of the Securities of the series designated therein referred to in the within-mentioned Indenture.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5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WELLS FARGO BANK, NATIONAL ASSOCIATION,</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80"/>
          </w:cols>
          <w:pgMar w:left="440" w:top="274" w:right="77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[BACK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2.500% Notes due 2026</w:t>
      </w:r>
    </w:p>
    <w:p>
      <w:pPr>
        <w:spacing w:after="0" w:line="211"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This Security is one of a duly authorized issue of securities of the Company (herein called the “Securities”), issued and to be issued in one or more series under an Indenture, dated as of January 22, 2018 (herein called the “Base Indenture”, which term shall have the meaning assigned to it in such instrument), between the Company and Wells Fargo Bank, National Association, as Trustee (herein called the “Trustee”, which term includes any successor trustee under the Base Indenture), and reference is hereby made to the Base Indenture for a statement of the respective rights, limitations of rights, duties and immunities thereunder of the Company, the Trustee, and the Holders of the Securities and of the terms upon which the Securities are, and are to be, authenticated and delivered, as supplemented by the Third Supplemental Indenture, relating to the Securities, dated as of February 3, 2021, by and between the Company and the Trustee (herein called the “Third Supplemental Indenture”; and together with the Base Indenture, the “Indenture”). In the event of any conflict between the Base Indenture and the Third Supplemental Indenture, the Third Supplemental Indenture shall govern and control.</w:t>
      </w:r>
    </w:p>
    <w:p>
      <w:pPr>
        <w:spacing w:after="0" w:line="196"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This Security is one of the series designated on the face hereof, initially limited in aggregate principal amount to $300,000,000. Under a Board Resolution, Officers’ Certificate pursuant to Board Resolutions or an indenture supplement, the Company may from time to time, without the consent of the Holders of Securities, issue additional Securities of this series (in any such case “Additional Securities”) having the same ranking and the same interest rate, maturity, CUSIP number and other terms as the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Additional Securities must either (i) be issued in a “qualified reopening” for U.S. Federal income tax purposes, with no more than a de minimis amount of original issue discount, or otherwise (ii) be part of the same issue as the Securities for U.S. federal income tax purposes. Any Additional Securities and the existing Securities will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Securities of this series are subject to redemption in whole or in part at any time or from time to time, at the option of the Company, at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Redemption Price equal to the greater of the following amounts, plus, in each case, accrued and unpaid interest to the Redemption Date:</w:t>
      </w:r>
    </w:p>
    <w:p>
      <w:pPr>
        <w:spacing w:after="0" w:line="116" w:lineRule="exact"/>
        <w:rPr>
          <w:sz w:val="20"/>
          <w:szCs w:val="20"/>
          <w:color w:val="auto"/>
        </w:rPr>
      </w:pPr>
    </w:p>
    <w:p>
      <w:pPr>
        <w:ind w:left="960" w:hanging="5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100% of the principal amount of the Securities to be redeemed, or</w:t>
      </w:r>
    </w:p>
    <w:p>
      <w:pPr>
        <w:spacing w:after="0" w:line="130" w:lineRule="exact"/>
        <w:rPr>
          <w:rFonts w:ascii="Arial" w:cs="Arial" w:eastAsia="Arial" w:hAnsi="Arial"/>
          <w:sz w:val="18"/>
          <w:szCs w:val="18"/>
          <w:color w:val="auto"/>
        </w:rPr>
      </w:pPr>
    </w:p>
    <w:p>
      <w:pPr>
        <w:ind w:left="960" w:hanging="532"/>
        <w:spacing w:after="0" w:line="263"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(exclusive of accrued and unpaid interest to the Redemption Date) on the Securities to be redeemed, discounted to the Redemption Date on a semi-annual basis (assuming a 360-day year consisting of twelve 30-day months) using the applicable Treasury Rate plus 35 basis points;</w:t>
      </w:r>
    </w:p>
    <w:p>
      <w:pPr>
        <w:spacing w:after="0" w:line="18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provided, however, that if the Company redeems any Securities on or after July 1, 2026, the Redemption Price for the Securities will be equal to 100% of the principal amount of the Securities to be redeemed, plus accrued and unpaid interest, if any, to, but excluding, the Redemption Date.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19" w:name="page20"/>
    <w:bookmarkEnd w:id="19"/>
    <w:p>
      <w:pPr>
        <w:ind w:right="3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purposes of calculating the Redemption Price in connection with the redemption of the Securities, on any Redemption Date, the following terms have the meanings set forth below:</w:t>
      </w:r>
    </w:p>
    <w:p>
      <w:pPr>
        <w:spacing w:after="0" w:line="170"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the Company.</w:t>
      </w:r>
    </w:p>
    <w:p>
      <w:pPr>
        <w:spacing w:after="0" w:line="187" w:lineRule="exact"/>
        <w:rPr>
          <w:sz w:val="20"/>
          <w:szCs w:val="20"/>
          <w:color w:val="auto"/>
        </w:rPr>
      </w:pPr>
    </w:p>
    <w:p>
      <w:pPr>
        <w:ind w:right="320" w:firstLine="440"/>
        <w:spacing w:after="0" w:line="311" w:lineRule="auto"/>
        <w:rPr>
          <w:sz w:val="20"/>
          <w:szCs w:val="20"/>
          <w:color w:val="auto"/>
        </w:rPr>
      </w:pPr>
      <w:r>
        <w:rPr>
          <w:rFonts w:ascii="Arial" w:cs="Arial" w:eastAsia="Arial" w:hAnsi="Arial"/>
          <w:sz w:val="16"/>
          <w:szCs w:val="16"/>
          <w:color w:val="auto"/>
        </w:rPr>
        <w:t>“Comparable Treasury Issue” means the United States Treasury security selected by the Reference Treasury Dealer as having a maturity comparable to the remaining term of the Securities to be redeemed that would be utilized, at the time of selection and in accordance with customary financing practice, in pricing new issues of corporate debt securities of comparable maturity to the remaining term of the Securities being redeemed.</w:t>
      </w:r>
    </w:p>
    <w:p>
      <w:pPr>
        <w:spacing w:after="0" w:line="149"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“Comparable Treasury Price”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“Quotation Agent” means a Reference Treasury Dealer selected by the Company.</w:t>
      </w:r>
    </w:p>
    <w:p>
      <w:pPr>
        <w:spacing w:after="0" w:line="225"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 xml:space="preserve">“Reference Treasury Dealer” means each of (1) BofA Securities, Inc., (2) J.P. Morgan Securities LLC and (3) a Primary Treasury Dealer to be Selected by SMBC Nikko Securities America, Inc.; or, in the case of each of (1), (2) or (3), its affiliates which are primary U.S. government securities dealers in the United States (a “Primary Treasury Dealer”) and their respective successors; </w:t>
      </w:r>
      <w:r>
        <w:rPr>
          <w:rFonts w:ascii="Arial" w:cs="Arial" w:eastAsia="Arial" w:hAnsi="Arial"/>
          <w:sz w:val="17"/>
          <w:szCs w:val="17"/>
          <w:i w:val="1"/>
          <w:iCs w:val="1"/>
          <w:color w:val="auto"/>
        </w:rPr>
        <w:t>provided</w:t>
      </w:r>
      <w:r>
        <w:rPr>
          <w:rFonts w:ascii="Arial" w:cs="Arial" w:eastAsia="Arial" w:hAnsi="Arial"/>
          <w:sz w:val="17"/>
          <w:szCs w:val="17"/>
          <w:color w:val="auto"/>
        </w:rPr>
        <w:t>, however, that if the foregoing or its affiliates shall cease to be a Primary Treasury Dealer, the Company shall select another Primary Treasury Dealer.</w:t>
      </w:r>
    </w:p>
    <w:p>
      <w:pPr>
        <w:spacing w:after="0" w:line="171"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time on the third Business Day preceding such Redemption Date.</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All determinations made by any Reference Treasury Dealer, including the Quotation Agent, with respect to determining the Redemption Price will be final and binding absent manifest error.</w:t>
      </w:r>
    </w:p>
    <w:p>
      <w:pPr>
        <w:spacing w:after="0" w:line="170" w:lineRule="exact"/>
        <w:rPr>
          <w:sz w:val="20"/>
          <w:szCs w:val="20"/>
          <w:color w:val="auto"/>
        </w:rPr>
      </w:pPr>
    </w:p>
    <w:p>
      <w:pPr>
        <w:jc w:val="both"/>
        <w:ind w:right="140" w:firstLine="440"/>
        <w:spacing w:after="0" w:line="279" w:lineRule="auto"/>
        <w:rPr>
          <w:sz w:val="20"/>
          <w:szCs w:val="20"/>
          <w:color w:val="auto"/>
        </w:rPr>
      </w:pPr>
      <w:r>
        <w:rPr>
          <w:rFonts w:ascii="Arial" w:cs="Arial" w:eastAsia="Arial" w:hAnsi="Arial"/>
          <w:sz w:val="17"/>
          <w:szCs w:val="17"/>
          <w:color w:val="auto"/>
        </w:rPr>
        <w:t>Notice of redemption shall be given in writing and mailed, first-class postage prepaid or by overnight courier guaranteeing next-day delivery, or sent electronically in accordance with Applicable Procedures with respect to Notes in global form, to each Holder of the Securities to be redeemed, not less than thirty (30) nor more than sixty (60) days prior to the Redemption Date, at the Holder’s address appearing in the Security Register. All notices of redemption shall contain the information set forth in Section 11.04 of the Base Indenture.</w:t>
      </w:r>
    </w:p>
    <w:p>
      <w:pPr>
        <w:spacing w:after="0" w:line="171"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Any exercise of the Company’s option to redeem the Securities will be done in compliance with the Investment Company Act, to the extent applicable.</w:t>
      </w:r>
    </w:p>
    <w:p>
      <w:pPr>
        <w:spacing w:after="0" w:line="170" w:lineRule="exact"/>
        <w:rPr>
          <w:sz w:val="20"/>
          <w:szCs w:val="20"/>
          <w:color w:val="auto"/>
        </w:rPr>
      </w:pPr>
    </w:p>
    <w:p>
      <w:pPr>
        <w:ind w:right="280" w:firstLine="440"/>
        <w:spacing w:after="0" w:line="257" w:lineRule="auto"/>
        <w:rPr>
          <w:sz w:val="20"/>
          <w:szCs w:val="20"/>
          <w:color w:val="auto"/>
        </w:rPr>
      </w:pPr>
      <w:r>
        <w:rPr>
          <w:rFonts w:ascii="Arial" w:cs="Arial" w:eastAsia="Arial" w:hAnsi="Arial"/>
          <w:sz w:val="18"/>
          <w:szCs w:val="18"/>
          <w:color w:val="auto"/>
        </w:rPr>
        <w:t xml:space="preserve">If the Company elects to redeem only a portion of the Securities, the particular Securities to be redeemed will be selected by the Trustee in accordance with the applicable procedures of the Depositary and in accordance with the Investment Company Act. In the event of redemption of this Security in part only, a new Security or Securities of this series and of like tenor for the unredeemed portion hereof will be issued in the name of the Holder hereof upon the cancellation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partial redemption shall reduce the portion of the principal amount of a Security not redeemed to less than $2,000.</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0" w:name="page21"/>
    <w:bookmarkEnd w:id="20"/>
    <w:p>
      <w:pPr>
        <w:ind w:right="7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Unless the Company defaults in payment of the Redemption Price, on and after the Redemption Date, interest will cease to accrue on the Securities called for redemption.</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Holders will have the right to require the Company to repurchase their Securities upon the occurrence of a Change of Control Repurchase Event as set forth in the Indenture.</w:t>
      </w:r>
    </w:p>
    <w:p>
      <w:pPr>
        <w:spacing w:after="0" w:line="170" w:lineRule="exact"/>
        <w:rPr>
          <w:sz w:val="20"/>
          <w:szCs w:val="20"/>
          <w:color w:val="auto"/>
        </w:rPr>
      </w:pPr>
    </w:p>
    <w:p>
      <w:pPr>
        <w:ind w:right="40" w:firstLine="440"/>
        <w:spacing w:after="0" w:line="308" w:lineRule="auto"/>
        <w:rPr>
          <w:sz w:val="20"/>
          <w:szCs w:val="20"/>
          <w:color w:val="auto"/>
        </w:rPr>
      </w:pPr>
      <w:r>
        <w:rPr>
          <w:rFonts w:ascii="Arial" w:cs="Arial" w:eastAsia="Arial" w:hAnsi="Arial"/>
          <w:sz w:val="17"/>
          <w:szCs w:val="17"/>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46"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If an Event of Default with respect to Securities of this series shall occur and be continuing (other than Events of Default related to certain events of bankruptcy, insolvency or reorganization as set forth in the Indenture), the principal of the Securities of this series may be declared due and payable in the manner and with the effect provided in the Indenture. In the case of certain events of bankruptcy, insolvency or reorganization described in the Indenture, 100% of the principal of and accrued and unpaid interest on the Securities will automatically become due and payable.</w:t>
      </w:r>
    </w:p>
    <w:p>
      <w:pPr>
        <w:spacing w:after="0" w:line="171"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65"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against the costs, expenses and liabilities to be incurred in compliance with such request, and the Trustee shall not have received from the Holders of a majority in principal amount of Securities of this series at the time Outstanding a direction inconsistent with such request, and shall have failed to institute any such proceeding, for ninety (90)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66"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As provided in the Indenture and subject to certain limitations therein set forth, the transfer of this Security is registrable in the Security Register, upon surrender of this Security for registration of transfer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1" w:name="page22"/>
    <w:bookmarkEnd w:id="21"/>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7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Securities of this series are issuable only in registered form without coupons in denominations of $2,000 and any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8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or Trustee may require payment of a sum sufficient to cover any tax or other governmental charge payable in connection therewith.</w:t>
      </w:r>
    </w:p>
    <w:p>
      <w:pPr>
        <w:spacing w:after="0" w:line="170"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terms used in this Security which are defined in the Indenture shall have the meanings assigned to them in the Indenture.</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To the extent any provision of this Security conflicts with the express provisions of the Indenture, the provisions of the Indenture shall govern and be controlling.</w:t>
      </w:r>
    </w:p>
    <w:p>
      <w:pPr>
        <w:spacing w:after="0" w:line="17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The Indenture and this Security shall be governed by and construed in accordance with the laws of the State of New York, without regard to principles of conflicts of laws.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22" w:name="page23"/>
    <w:bookmarkEnd w:id="22"/>
    <w:p>
      <w:pPr>
        <w:jc w:val="center"/>
        <w:ind w:right="-24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Arial" w:cs="Arial" w:eastAsia="Arial" w:hAnsi="Arial"/>
          <w:sz w:val="14"/>
          <w:szCs w:val="14"/>
          <w:color w:val="auto"/>
        </w:rPr>
        <w:t>SSIGNMENT</w:t>
      </w:r>
      <w:r>
        <w:rPr>
          <w:rFonts w:ascii="Arial" w:cs="Arial" w:eastAsia="Arial" w:hAnsi="Arial"/>
          <w:sz w:val="18"/>
          <w:szCs w:val="18"/>
          <w:color w:val="auto"/>
        </w:rPr>
        <w:t xml:space="preserve"> F</w:t>
      </w:r>
      <w:r>
        <w:rPr>
          <w:rFonts w:ascii="Arial" w:cs="Arial" w:eastAsia="Arial" w:hAnsi="Arial"/>
          <w:sz w:val="14"/>
          <w:szCs w:val="14"/>
          <w:color w:val="auto"/>
        </w:rPr>
        <w:t>ORM</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To assign this Note, fill in the form below:</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2383155</wp:posOffset>
            </wp:positionH>
            <wp:positionV relativeFrom="paragraph">
              <wp:posOffset>14605</wp:posOffset>
            </wp:positionV>
            <wp:extent cx="46120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16" w:lineRule="exact"/>
        <w:rPr>
          <w:sz w:val="20"/>
          <w:szCs w:val="20"/>
          <w:color w:val="auto"/>
        </w:rPr>
      </w:pPr>
    </w:p>
    <w:p>
      <w:pPr>
        <w:ind w:left="6084"/>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NSERT ASSIGNEE</w:t>
      </w:r>
      <w:r>
        <w:rPr>
          <w:rFonts w:ascii="Arial" w:cs="Arial" w:eastAsia="Arial" w:hAnsi="Arial"/>
          <w:sz w:val="18"/>
          <w:szCs w:val="18"/>
          <w:color w:val="auto"/>
        </w:rPr>
        <w:t>’</w:t>
      </w:r>
      <w:r>
        <w:rPr>
          <w:rFonts w:ascii="Arial" w:cs="Arial" w:eastAsia="Arial" w:hAnsi="Arial"/>
          <w:sz w:val="14"/>
          <w:szCs w:val="14"/>
          <w:color w:val="auto"/>
        </w:rPr>
        <w:t>S LEGAL NAME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203200</wp:posOffset>
            </wp:positionV>
            <wp:extent cx="6995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995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572135</wp:posOffset>
            </wp:positionV>
            <wp:extent cx="6995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871855</wp:posOffset>
            </wp:positionV>
            <wp:extent cx="6995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1172210</wp:posOffset>
            </wp:positionV>
            <wp:extent cx="6995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(Print or type assignee’s name, address and zip code)</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1337310</wp:posOffset>
            </wp:positionH>
            <wp:positionV relativeFrom="paragraph">
              <wp:posOffset>14605</wp:posOffset>
            </wp:positionV>
            <wp:extent cx="56578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transfer this Note on the books of the Company. The agent may substitute another to act for him.</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14605</wp:posOffset>
            </wp:positionV>
            <wp:extent cx="24517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5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5074920</wp:posOffset>
            </wp:positionH>
            <wp:positionV relativeFrom="paragraph">
              <wp:posOffset>14605</wp:posOffset>
            </wp:positionV>
            <wp:extent cx="19202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6" w:lineRule="exact"/>
        <w:rPr>
          <w:sz w:val="20"/>
          <w:szCs w:val="20"/>
          <w:color w:val="auto"/>
        </w:rPr>
      </w:pPr>
    </w:p>
    <w:p>
      <w:pPr>
        <w:ind w:left="7984"/>
        <w:spacing w:after="0"/>
        <w:rPr>
          <w:sz w:val="20"/>
          <w:szCs w:val="20"/>
          <w:color w:val="auto"/>
        </w:rPr>
      </w:pPr>
      <w:r>
        <w:rPr>
          <w:rFonts w:ascii="Arial" w:cs="Arial" w:eastAsia="Arial" w:hAnsi="Arial"/>
          <w:sz w:val="16"/>
          <w:szCs w:val="16"/>
          <w:color w:val="auto"/>
        </w:rPr>
        <w:t>(Sign exactly as your name appears on</w:t>
      </w:r>
    </w:p>
    <w:p>
      <w:pPr>
        <w:spacing w:after="0" w:line="46" w:lineRule="exact"/>
        <w:rPr>
          <w:sz w:val="20"/>
          <w:szCs w:val="20"/>
          <w:color w:val="auto"/>
        </w:rPr>
      </w:pPr>
    </w:p>
    <w:p>
      <w:pPr>
        <w:ind w:left="7984"/>
        <w:spacing w:after="0"/>
        <w:rPr>
          <w:sz w:val="20"/>
          <w:szCs w:val="20"/>
          <w:color w:val="auto"/>
        </w:rPr>
      </w:pPr>
      <w:r>
        <w:rPr>
          <w:rFonts w:ascii="Arial" w:cs="Arial" w:eastAsia="Arial" w:hAnsi="Arial"/>
          <w:sz w:val="18"/>
          <w:szCs w:val="18"/>
          <w:color w:val="auto"/>
        </w:rPr>
        <w:t>the face of this Note)</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14605</wp:posOffset>
            </wp:positionV>
            <wp:extent cx="1671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259" w:lineRule="exact"/>
        <w:rPr>
          <w:sz w:val="20"/>
          <w:szCs w:val="20"/>
          <w:color w:val="auto"/>
        </w:rPr>
      </w:pPr>
    </w:p>
    <w:p>
      <w:pPr>
        <w:ind w:left="5464" w:right="1400" w:hanging="5464"/>
        <w:spacing w:after="0" w:line="449" w:lineRule="auto"/>
        <w:tabs>
          <w:tab w:leader="none" w:pos="433"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9</w:t>
      </w:r>
    </w:p>
    <w:p>
      <w:pPr>
        <w:sectPr>
          <w:pgSz w:w="11900" w:h="16838" w:orient="portrait"/>
          <w:cols w:equalWidth="0" w:num="1">
            <w:col w:w="10764"/>
          </w:cols>
          <w:pgMar w:left="436" w:top="274" w:right="699" w:bottom="1440" w:gutter="0" w:footer="0" w:header="0"/>
        </w:sectPr>
      </w:pPr>
    </w:p>
    <w:bookmarkStart w:id="23" w:name="page24"/>
    <w:bookmarkEnd w:id="23"/>
    <w:p>
      <w:pPr>
        <w:jc w:val="center"/>
        <w:ind w:right="-16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OF HOLDER TO ELECT PURCHASE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7"/>
          <w:szCs w:val="17"/>
          <w:color w:val="auto"/>
        </w:rPr>
        <w:t>If you want to elect to have this Note purchased by the Company pursuant to Section 13.01 of the Indenture, check the box below:</w:t>
      </w:r>
    </w:p>
    <w:p>
      <w:pPr>
        <w:spacing w:after="0" w:line="237" w:lineRule="exact"/>
        <w:rPr>
          <w:sz w:val="20"/>
          <w:szCs w:val="20"/>
          <w:color w:val="auto"/>
        </w:rPr>
      </w:pPr>
    </w:p>
    <w:p>
      <w:pPr>
        <w:ind w:left="5124" w:hanging="214"/>
        <w:spacing w:after="0"/>
        <w:tabs>
          <w:tab w:leader="none" w:pos="5124"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Section 13.01</w:t>
      </w:r>
    </w:p>
    <w:p>
      <w:pPr>
        <w:spacing w:after="0" w:line="225"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If you want to elect to have only part of the Note purchased by the Company pursuant to Section 13.01 of the Indenture, state the amount you elect to have purchased:</w:t>
      </w:r>
    </w:p>
    <w:p>
      <w:pPr>
        <w:spacing w:after="0" w:line="170" w:lineRule="exact"/>
        <w:rPr>
          <w:sz w:val="20"/>
          <w:szCs w:val="20"/>
          <w:color w:val="auto"/>
        </w:rPr>
      </w:pPr>
    </w:p>
    <w:p>
      <w:pPr>
        <w:ind w:left="480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3112135</wp:posOffset>
            </wp:positionH>
            <wp:positionV relativeFrom="paragraph">
              <wp:posOffset>-10160</wp:posOffset>
            </wp:positionV>
            <wp:extent cx="8280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14605</wp:posOffset>
            </wp:positionV>
            <wp:extent cx="24517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5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5074920</wp:posOffset>
            </wp:positionH>
            <wp:positionV relativeFrom="paragraph">
              <wp:posOffset>14605</wp:posOffset>
            </wp:positionV>
            <wp:extent cx="19202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6" w:lineRule="exact"/>
        <w:rPr>
          <w:sz w:val="20"/>
          <w:szCs w:val="20"/>
          <w:color w:val="auto"/>
        </w:rPr>
      </w:pPr>
    </w:p>
    <w:p>
      <w:pPr>
        <w:ind w:left="7984"/>
        <w:spacing w:after="0"/>
        <w:rPr>
          <w:sz w:val="20"/>
          <w:szCs w:val="20"/>
          <w:color w:val="auto"/>
        </w:rPr>
      </w:pPr>
      <w:r>
        <w:rPr>
          <w:rFonts w:ascii="Arial" w:cs="Arial" w:eastAsia="Arial" w:hAnsi="Arial"/>
          <w:sz w:val="16"/>
          <w:szCs w:val="16"/>
          <w:color w:val="auto"/>
        </w:rPr>
        <w:t>(Sign exactly as your name appears on</w:t>
      </w:r>
    </w:p>
    <w:p>
      <w:pPr>
        <w:spacing w:after="0" w:line="46" w:lineRule="exact"/>
        <w:rPr>
          <w:sz w:val="20"/>
          <w:szCs w:val="20"/>
          <w:color w:val="auto"/>
        </w:rPr>
      </w:pPr>
    </w:p>
    <w:p>
      <w:pPr>
        <w:ind w:left="7984"/>
        <w:spacing w:after="0"/>
        <w:rPr>
          <w:sz w:val="20"/>
          <w:szCs w:val="20"/>
          <w:color w:val="auto"/>
        </w:rPr>
      </w:pPr>
      <w:r>
        <w:rPr>
          <w:rFonts w:ascii="Arial" w:cs="Arial" w:eastAsia="Arial" w:hAnsi="Arial"/>
          <w:sz w:val="18"/>
          <w:szCs w:val="18"/>
          <w:color w:val="auto"/>
        </w:rPr>
        <w:t>the face of this Note)</w:t>
      </w:r>
    </w:p>
    <w:p>
      <w:pPr>
        <w:spacing w:after="0" w:line="238"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5434965</wp:posOffset>
            </wp:positionH>
            <wp:positionV relativeFrom="paragraph">
              <wp:posOffset>14605</wp:posOffset>
            </wp:positionV>
            <wp:extent cx="15601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59"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14605</wp:posOffset>
            </wp:positionV>
            <wp:extent cx="1671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259" w:lineRule="exact"/>
        <w:rPr>
          <w:sz w:val="20"/>
          <w:szCs w:val="20"/>
          <w:color w:val="auto"/>
        </w:rPr>
      </w:pPr>
    </w:p>
    <w:p>
      <w:pPr>
        <w:ind w:left="5424" w:right="1500" w:hanging="5424"/>
        <w:spacing w:after="0" w:line="449" w:lineRule="auto"/>
        <w:tabs>
          <w:tab w:leader="none" w:pos="438"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10</w:t>
      </w:r>
    </w:p>
    <w:p>
      <w:pPr>
        <w:sectPr>
          <w:pgSz w:w="11900" w:h="16838" w:orient="portrait"/>
          <w:cols w:equalWidth="0" w:num="1">
            <w:col w:w="10864"/>
          </w:cols>
          <w:pgMar w:left="436" w:top="274" w:right="599" w:bottom="1440" w:gutter="0" w:footer="0" w:header="0"/>
        </w:sectPr>
      </w:pPr>
    </w:p>
    <w:bookmarkStart w:id="24" w:name="page25"/>
    <w:bookmarkEnd w:id="24"/>
    <w:p>
      <w:pPr>
        <w:ind w:left="2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OF INCREASES AND DECREASES OF GLOBAL NOTE</w:t>
      </w:r>
    </w:p>
    <w:p>
      <w:pPr>
        <w:spacing w:after="0" w:line="225" w:lineRule="exact"/>
        <w:rPr>
          <w:sz w:val="20"/>
          <w:szCs w:val="20"/>
          <w:color w:val="auto"/>
        </w:rPr>
      </w:pPr>
    </w:p>
    <w:p>
      <w:pPr>
        <w:ind w:left="380"/>
        <w:spacing w:after="0"/>
        <w:tabs>
          <w:tab w:leader="none" w:pos="4520" w:val="left"/>
        </w:tabs>
        <w:rPr>
          <w:sz w:val="20"/>
          <w:szCs w:val="20"/>
          <w:color w:val="auto"/>
        </w:rPr>
      </w:pPr>
      <w:r>
        <w:rPr>
          <w:rFonts w:ascii="Arial" w:cs="Arial" w:eastAsia="Arial" w:hAnsi="Arial"/>
          <w:sz w:val="18"/>
          <w:szCs w:val="18"/>
          <w:color w:val="auto"/>
        </w:rPr>
        <w:t>The Initial principal amount of this Global Note is $</w:t>
      </w:r>
      <w:r>
        <w:rPr>
          <w:sz w:val="20"/>
          <w:szCs w:val="20"/>
          <w:color w:val="auto"/>
        </w:rPr>
        <w:tab/>
      </w:r>
      <w:r>
        <w:rPr>
          <w:rFonts w:ascii="Arial" w:cs="Arial" w:eastAsia="Arial" w:hAnsi="Arial"/>
          <w:sz w:val="16"/>
          <w:szCs w:val="16"/>
          <w:color w:val="auto"/>
        </w:rPr>
        <w:t>. The following increases and decreases to this Global Note have been made: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00" w:type="dxa"/>
            <w:vAlign w:val="bottom"/>
            <w:gridSpan w:val="3"/>
          </w:tcPr>
          <w:p>
            <w:pPr>
              <w:jc w:val="center"/>
              <w:ind w:right="80"/>
              <w:spacing w:after="0"/>
              <w:rPr>
                <w:sz w:val="20"/>
                <w:szCs w:val="20"/>
                <w:color w:val="auto"/>
              </w:rPr>
            </w:pPr>
            <w:r>
              <w:rPr>
                <w:rFonts w:ascii="Arial" w:cs="Arial" w:eastAsia="Arial" w:hAnsi="Arial"/>
                <w:sz w:val="14"/>
                <w:szCs w:val="14"/>
                <w:color w:val="auto"/>
                <w:w w:val="97"/>
              </w:rPr>
              <w:t>Principal Amount at Maturity</w:t>
            </w:r>
          </w:p>
        </w:tc>
        <w:tc>
          <w:tcPr>
            <w:tcW w:w="1560" w:type="dxa"/>
            <w:vAlign w:val="bottom"/>
            <w:gridSpan w:val="3"/>
          </w:tcPr>
          <w:p>
            <w:pPr>
              <w:jc w:val="center"/>
              <w:ind w:left="268"/>
              <w:spacing w:after="0"/>
              <w:rPr>
                <w:sz w:val="20"/>
                <w:szCs w:val="20"/>
                <w:color w:val="auto"/>
              </w:rPr>
            </w:pPr>
            <w:r>
              <w:rPr>
                <w:rFonts w:ascii="Arial" w:cs="Arial" w:eastAsia="Arial" w:hAnsi="Arial"/>
                <w:sz w:val="14"/>
                <w:szCs w:val="14"/>
                <w:color w:val="auto"/>
                <w:w w:val="92"/>
              </w:rPr>
              <w:t>Signature of</w:t>
            </w:r>
          </w:p>
        </w:tc>
      </w:tr>
      <w:tr>
        <w:trPr>
          <w:trHeight w:val="148"/>
        </w:trPr>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20" w:type="dxa"/>
            <w:vAlign w:val="bottom"/>
            <w:gridSpan w:val="3"/>
          </w:tcPr>
          <w:p>
            <w:pPr>
              <w:jc w:val="center"/>
              <w:ind w:left="168"/>
              <w:spacing w:after="0" w:line="149" w:lineRule="exact"/>
              <w:rPr>
                <w:sz w:val="20"/>
                <w:szCs w:val="20"/>
                <w:color w:val="auto"/>
              </w:rPr>
            </w:pPr>
            <w:r>
              <w:rPr>
                <w:rFonts w:ascii="Arial" w:cs="Arial" w:eastAsia="Arial" w:hAnsi="Arial"/>
                <w:sz w:val="14"/>
                <w:szCs w:val="14"/>
                <w:color w:val="auto"/>
                <w:w w:val="94"/>
              </w:rPr>
              <w:t>Amount of Decrease in</w:t>
            </w:r>
          </w:p>
        </w:tc>
        <w:tc>
          <w:tcPr>
            <w:tcW w:w="22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Amount of Increase in</w:t>
            </w:r>
          </w:p>
        </w:tc>
        <w:tc>
          <w:tcPr>
            <w:tcW w:w="480" w:type="dxa"/>
            <w:vAlign w:val="bottom"/>
          </w:tcPr>
          <w:p>
            <w:pPr>
              <w:spacing w:after="0"/>
              <w:rPr>
                <w:sz w:val="12"/>
                <w:szCs w:val="12"/>
                <w:color w:val="auto"/>
              </w:rPr>
            </w:pPr>
          </w:p>
        </w:tc>
        <w:tc>
          <w:tcPr>
            <w:tcW w:w="182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5"/>
              </w:rPr>
              <w:t>of this Global Note</w:t>
            </w:r>
          </w:p>
        </w:tc>
        <w:tc>
          <w:tcPr>
            <w:tcW w:w="1560" w:type="dxa"/>
            <w:vAlign w:val="bottom"/>
            <w:gridSpan w:val="3"/>
          </w:tcPr>
          <w:p>
            <w:pPr>
              <w:jc w:val="center"/>
              <w:ind w:left="248"/>
              <w:spacing w:after="0" w:line="149" w:lineRule="exact"/>
              <w:rPr>
                <w:sz w:val="20"/>
                <w:szCs w:val="20"/>
                <w:color w:val="auto"/>
              </w:rPr>
            </w:pPr>
            <w:r>
              <w:rPr>
                <w:rFonts w:ascii="Arial" w:cs="Arial" w:eastAsia="Arial" w:hAnsi="Arial"/>
                <w:sz w:val="14"/>
                <w:szCs w:val="14"/>
                <w:color w:val="auto"/>
                <w:w w:val="95"/>
              </w:rPr>
              <w:t>Authorized Signatory</w:t>
            </w:r>
          </w:p>
        </w:tc>
      </w:tr>
      <w:tr>
        <w:trPr>
          <w:trHeight w:val="154"/>
        </w:trPr>
        <w:tc>
          <w:tcPr>
            <w:tcW w:w="1560" w:type="dxa"/>
            <w:vAlign w:val="bottom"/>
            <w:gridSpan w:val="4"/>
          </w:tcPr>
          <w:p>
            <w:pPr>
              <w:jc w:val="center"/>
              <w:ind w:right="460"/>
              <w:spacing w:after="0" w:line="154" w:lineRule="exact"/>
              <w:rPr>
                <w:sz w:val="20"/>
                <w:szCs w:val="20"/>
                <w:color w:val="auto"/>
              </w:rPr>
            </w:pPr>
            <w:r>
              <w:rPr>
                <w:rFonts w:ascii="Arial" w:cs="Arial" w:eastAsia="Arial" w:hAnsi="Arial"/>
                <w:sz w:val="14"/>
                <w:szCs w:val="14"/>
                <w:color w:val="auto"/>
                <w:w w:val="92"/>
              </w:rPr>
              <w:t>Date of Increase or</w:t>
            </w:r>
          </w:p>
        </w:tc>
        <w:tc>
          <w:tcPr>
            <w:tcW w:w="2420" w:type="dxa"/>
            <w:vAlign w:val="bottom"/>
            <w:gridSpan w:val="3"/>
          </w:tcPr>
          <w:p>
            <w:pPr>
              <w:jc w:val="center"/>
              <w:ind w:left="168"/>
              <w:spacing w:after="0" w:line="154" w:lineRule="exact"/>
              <w:rPr>
                <w:sz w:val="20"/>
                <w:szCs w:val="20"/>
                <w:color w:val="auto"/>
              </w:rPr>
            </w:pPr>
            <w:r>
              <w:rPr>
                <w:rFonts w:ascii="Arial" w:cs="Arial" w:eastAsia="Arial" w:hAnsi="Arial"/>
                <w:sz w:val="14"/>
                <w:szCs w:val="14"/>
                <w:color w:val="auto"/>
                <w:w w:val="97"/>
              </w:rPr>
              <w:t>Principal Amount at Maturity</w:t>
            </w:r>
          </w:p>
        </w:tc>
        <w:tc>
          <w:tcPr>
            <w:tcW w:w="2200" w:type="dxa"/>
            <w:vAlign w:val="bottom"/>
            <w:gridSpan w:val="3"/>
          </w:tcPr>
          <w:p>
            <w:pPr>
              <w:jc w:val="center"/>
              <w:spacing w:after="0" w:line="154" w:lineRule="exact"/>
              <w:rPr>
                <w:sz w:val="20"/>
                <w:szCs w:val="20"/>
                <w:color w:val="auto"/>
              </w:rPr>
            </w:pPr>
            <w:r>
              <w:rPr>
                <w:rFonts w:ascii="Arial" w:cs="Arial" w:eastAsia="Arial" w:hAnsi="Arial"/>
                <w:sz w:val="14"/>
                <w:szCs w:val="14"/>
                <w:color w:val="auto"/>
                <w:w w:val="97"/>
              </w:rPr>
              <w:t>Principal Amount at Maturity</w:t>
            </w:r>
          </w:p>
        </w:tc>
        <w:tc>
          <w:tcPr>
            <w:tcW w:w="480" w:type="dxa"/>
            <w:vAlign w:val="bottom"/>
          </w:tcPr>
          <w:p>
            <w:pPr>
              <w:spacing w:after="0"/>
              <w:rPr>
                <w:sz w:val="13"/>
                <w:szCs w:val="13"/>
                <w:color w:val="auto"/>
              </w:rPr>
            </w:pPr>
          </w:p>
        </w:tc>
        <w:tc>
          <w:tcPr>
            <w:tcW w:w="1820" w:type="dxa"/>
            <w:vAlign w:val="bottom"/>
            <w:gridSpan w:val="2"/>
          </w:tcPr>
          <w:p>
            <w:pPr>
              <w:jc w:val="center"/>
              <w:ind w:right="560"/>
              <w:spacing w:after="0" w:line="154" w:lineRule="exact"/>
              <w:rPr>
                <w:sz w:val="20"/>
                <w:szCs w:val="20"/>
                <w:color w:val="auto"/>
              </w:rPr>
            </w:pPr>
            <w:r>
              <w:rPr>
                <w:rFonts w:ascii="Arial" w:cs="Arial" w:eastAsia="Arial" w:hAnsi="Arial"/>
                <w:sz w:val="14"/>
                <w:szCs w:val="14"/>
                <w:color w:val="auto"/>
                <w:w w:val="97"/>
              </w:rPr>
              <w:t>Following such</w:t>
            </w:r>
          </w:p>
        </w:tc>
        <w:tc>
          <w:tcPr>
            <w:tcW w:w="1560" w:type="dxa"/>
            <w:vAlign w:val="bottom"/>
            <w:gridSpan w:val="3"/>
          </w:tcPr>
          <w:p>
            <w:pPr>
              <w:jc w:val="center"/>
              <w:ind w:left="268"/>
              <w:spacing w:after="0" w:line="154" w:lineRule="exact"/>
              <w:rPr>
                <w:sz w:val="20"/>
                <w:szCs w:val="20"/>
                <w:color w:val="auto"/>
              </w:rPr>
            </w:pPr>
            <w:r>
              <w:rPr>
                <w:rFonts w:ascii="Arial" w:cs="Arial" w:eastAsia="Arial" w:hAnsi="Arial"/>
                <w:sz w:val="14"/>
                <w:szCs w:val="14"/>
                <w:color w:val="auto"/>
                <w:w w:val="94"/>
              </w:rPr>
              <w:t>of Trustee or DTC</w:t>
            </w:r>
          </w:p>
        </w:tc>
      </w:tr>
      <w:tr>
        <w:trPr>
          <w:trHeight w:val="142"/>
        </w:trPr>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color w:val="auto"/>
                <w:w w:val="86"/>
              </w:rPr>
              <w:t>Decrease</w:t>
            </w:r>
          </w:p>
        </w:tc>
        <w:tc>
          <w:tcPr>
            <w:tcW w:w="460" w:type="dxa"/>
            <w:vAlign w:val="bottom"/>
          </w:tcPr>
          <w:p>
            <w:pPr>
              <w:spacing w:after="0"/>
              <w:rPr>
                <w:sz w:val="12"/>
                <w:szCs w:val="12"/>
                <w:color w:val="auto"/>
              </w:rPr>
            </w:pPr>
          </w:p>
        </w:tc>
        <w:tc>
          <w:tcPr>
            <w:tcW w:w="2420" w:type="dxa"/>
            <w:vAlign w:val="bottom"/>
            <w:gridSpan w:val="3"/>
          </w:tcPr>
          <w:p>
            <w:pPr>
              <w:jc w:val="center"/>
              <w:ind w:left="168"/>
              <w:spacing w:after="0" w:line="142" w:lineRule="exact"/>
              <w:rPr>
                <w:sz w:val="20"/>
                <w:szCs w:val="20"/>
                <w:color w:val="auto"/>
              </w:rPr>
            </w:pPr>
            <w:r>
              <w:rPr>
                <w:rFonts w:ascii="Arial" w:cs="Arial" w:eastAsia="Arial" w:hAnsi="Arial"/>
                <w:sz w:val="14"/>
                <w:szCs w:val="14"/>
                <w:color w:val="auto"/>
                <w:w w:val="95"/>
              </w:rPr>
              <w:t>of this Global Note</w:t>
            </w:r>
          </w:p>
        </w:tc>
        <w:tc>
          <w:tcPr>
            <w:tcW w:w="2200" w:type="dxa"/>
            <w:vAlign w:val="bottom"/>
            <w:gridSpan w:val="3"/>
          </w:tcPr>
          <w:p>
            <w:pPr>
              <w:jc w:val="center"/>
              <w:spacing w:after="0" w:line="142" w:lineRule="exact"/>
              <w:rPr>
                <w:sz w:val="20"/>
                <w:szCs w:val="20"/>
                <w:color w:val="auto"/>
              </w:rPr>
            </w:pPr>
            <w:r>
              <w:rPr>
                <w:rFonts w:ascii="Arial" w:cs="Arial" w:eastAsia="Arial" w:hAnsi="Arial"/>
                <w:sz w:val="14"/>
                <w:szCs w:val="14"/>
                <w:color w:val="auto"/>
                <w:w w:val="95"/>
              </w:rPr>
              <w:t>of this Global Note</w:t>
            </w:r>
          </w:p>
        </w:tc>
        <w:tc>
          <w:tcPr>
            <w:tcW w:w="480" w:type="dxa"/>
            <w:vAlign w:val="bottom"/>
          </w:tcPr>
          <w:p>
            <w:pPr>
              <w:spacing w:after="0"/>
              <w:rPr>
                <w:sz w:val="12"/>
                <w:szCs w:val="12"/>
                <w:color w:val="auto"/>
              </w:rPr>
            </w:pPr>
          </w:p>
        </w:tc>
        <w:tc>
          <w:tcPr>
            <w:tcW w:w="1820" w:type="dxa"/>
            <w:vAlign w:val="bottom"/>
            <w:gridSpan w:val="2"/>
          </w:tcPr>
          <w:p>
            <w:pPr>
              <w:jc w:val="center"/>
              <w:ind w:right="560"/>
              <w:spacing w:after="0" w:line="142" w:lineRule="exact"/>
              <w:rPr>
                <w:sz w:val="20"/>
                <w:szCs w:val="20"/>
                <w:color w:val="auto"/>
              </w:rPr>
            </w:pPr>
            <w:r>
              <w:rPr>
                <w:rFonts w:ascii="Arial" w:cs="Arial" w:eastAsia="Arial" w:hAnsi="Arial"/>
                <w:sz w:val="14"/>
                <w:szCs w:val="14"/>
                <w:color w:val="auto"/>
                <w:w w:val="89"/>
              </w:rPr>
              <w:t>decrease (or increase)</w:t>
            </w:r>
          </w:p>
        </w:tc>
        <w:tc>
          <w:tcPr>
            <w:tcW w:w="640" w:type="dxa"/>
            <w:vAlign w:val="bottom"/>
          </w:tcPr>
          <w:p>
            <w:pPr>
              <w:spacing w:after="0"/>
              <w:rPr>
                <w:sz w:val="12"/>
                <w:szCs w:val="12"/>
                <w:color w:val="auto"/>
              </w:rPr>
            </w:pPr>
          </w:p>
        </w:tc>
        <w:tc>
          <w:tcPr>
            <w:tcW w:w="920" w:type="dxa"/>
            <w:vAlign w:val="bottom"/>
            <w:gridSpan w:val="2"/>
          </w:tcPr>
          <w:p>
            <w:pPr>
              <w:jc w:val="center"/>
              <w:ind w:right="300"/>
              <w:spacing w:after="0" w:line="142" w:lineRule="exact"/>
              <w:rPr>
                <w:sz w:val="20"/>
                <w:szCs w:val="20"/>
                <w:color w:val="auto"/>
              </w:rPr>
            </w:pPr>
            <w:r>
              <w:rPr>
                <w:rFonts w:ascii="Arial" w:cs="Arial" w:eastAsia="Arial" w:hAnsi="Arial"/>
                <w:sz w:val="14"/>
                <w:szCs w:val="14"/>
                <w:color w:val="auto"/>
                <w:w w:val="91"/>
              </w:rPr>
              <w:t>Custodian</w:t>
            </w:r>
          </w:p>
        </w:tc>
      </w:tr>
      <w:tr>
        <w:trPr>
          <w:trHeight w:val="20"/>
        </w:trPr>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080"/>
          </w:cols>
          <w:pgMar w:left="1040" w:top="274" w:right="77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163310" cy="18770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16331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400"/>
        <w:spacing w:after="0"/>
        <w:rPr>
          <w:sz w:val="20"/>
          <w:szCs w:val="20"/>
          <w:color w:val="auto"/>
        </w:rPr>
      </w:pPr>
      <w:r>
        <w:rPr>
          <w:rFonts w:ascii="Arial" w:cs="Arial" w:eastAsia="Arial" w:hAnsi="Arial"/>
          <w:sz w:val="18"/>
          <w:szCs w:val="18"/>
          <w:color w:val="auto"/>
        </w:rPr>
        <w:t>Writer’s Direct Dial: +1 (212) 225-2286</w:t>
      </w:r>
    </w:p>
    <w:p>
      <w:pPr>
        <w:spacing w:after="0" w:line="23" w:lineRule="exact"/>
        <w:rPr>
          <w:sz w:val="20"/>
          <w:szCs w:val="20"/>
          <w:color w:val="auto"/>
        </w:rPr>
      </w:pPr>
    </w:p>
    <w:p>
      <w:pPr>
        <w:jc w:val="center"/>
        <w:ind w:right="5400"/>
        <w:spacing w:after="0"/>
        <w:rPr>
          <w:sz w:val="20"/>
          <w:szCs w:val="20"/>
          <w:color w:val="auto"/>
        </w:rPr>
      </w:pPr>
      <w:r>
        <w:rPr>
          <w:rFonts w:ascii="Arial" w:cs="Arial" w:eastAsia="Arial" w:hAnsi="Arial"/>
          <w:sz w:val="18"/>
          <w:szCs w:val="18"/>
          <w:color w:val="auto"/>
        </w:rPr>
        <w:t>E-Mail: afleisher@cgsh.com</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February 3, 2021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2100 McKinney Avenue, Suite 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TX 75201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We have acted as counsel to Sixth Street Specialty Lending,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Company’s offering pursuant to a registration statement on Form N-2 (No. 333-231271), as amended as of January 27, 2021 for purposes of Rule 430C(a)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(as so amended, including the documents incorporated by reference therein, but excluding Exhibit (d)(3),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and the prospectus, dated May 7, 2019 (including the documents incorporated by reference therein, the “</w:t>
      </w:r>
      <w:r>
        <w:rPr>
          <w:rFonts w:ascii="Arial" w:cs="Arial" w:eastAsia="Arial" w:hAnsi="Arial"/>
          <w:sz w:val="17"/>
          <w:szCs w:val="17"/>
          <w:u w:val="single" w:color="auto"/>
          <w:color w:val="auto"/>
        </w:rPr>
        <w:t>Base Prospectus</w:t>
      </w:r>
      <w:r>
        <w:rPr>
          <w:rFonts w:ascii="Arial" w:cs="Arial" w:eastAsia="Arial" w:hAnsi="Arial"/>
          <w:sz w:val="17"/>
          <w:szCs w:val="17"/>
          <w:color w:val="auto"/>
        </w:rPr>
        <w:t>”), as supplemented by the prospectus supplement, dated January 27, 2021 (including the documents incorporated by reference therein, the “</w:t>
      </w:r>
      <w:r>
        <w:rPr>
          <w:rFonts w:ascii="Arial" w:cs="Arial" w:eastAsia="Arial" w:hAnsi="Arial"/>
          <w:sz w:val="17"/>
          <w:szCs w:val="17"/>
          <w:u w:val="single" w:color="auto"/>
          <w:color w:val="auto"/>
        </w:rPr>
        <w:t>Prospectus Supplement</w:t>
      </w:r>
      <w:r>
        <w:rPr>
          <w:rFonts w:ascii="Arial" w:cs="Arial" w:eastAsia="Arial" w:hAnsi="Arial"/>
          <w:sz w:val="17"/>
          <w:szCs w:val="17"/>
          <w:color w:val="auto"/>
        </w:rPr>
        <w:t>” and, together with the Base Prospectus, the “</w:t>
      </w:r>
      <w:r>
        <w:rPr>
          <w:rFonts w:ascii="Arial" w:cs="Arial" w:eastAsia="Arial" w:hAnsi="Arial"/>
          <w:sz w:val="17"/>
          <w:szCs w:val="17"/>
          <w:u w:val="single" w:color="auto"/>
          <w:color w:val="auto"/>
        </w:rPr>
        <w:t>Prospectus</w:t>
      </w:r>
      <w:r>
        <w:rPr>
          <w:rFonts w:ascii="Arial" w:cs="Arial" w:eastAsia="Arial" w:hAnsi="Arial"/>
          <w:sz w:val="17"/>
          <w:szCs w:val="17"/>
          <w:color w:val="auto"/>
        </w:rPr>
        <w:t>”), of $300,000,000 aggregate principal amount of 2.500% Notes due 2026 (the “</w:t>
      </w:r>
      <w:r>
        <w:rPr>
          <w:rFonts w:ascii="Arial" w:cs="Arial" w:eastAsia="Arial" w:hAnsi="Arial"/>
          <w:sz w:val="17"/>
          <w:szCs w:val="17"/>
          <w:u w:val="single" w:color="auto"/>
          <w:color w:val="auto"/>
        </w:rPr>
        <w:t>Securities</w:t>
      </w:r>
      <w:r>
        <w:rPr>
          <w:rFonts w:ascii="Arial" w:cs="Arial" w:eastAsia="Arial" w:hAnsi="Arial"/>
          <w:sz w:val="17"/>
          <w:szCs w:val="17"/>
          <w:color w:val="auto"/>
        </w:rPr>
        <w:t>”). The Securities were issued pursuant to an indenture dated as of January 22, 2018 (the “</w:t>
      </w:r>
      <w:r>
        <w:rPr>
          <w:rFonts w:ascii="Arial" w:cs="Arial" w:eastAsia="Arial" w:hAnsi="Arial"/>
          <w:sz w:val="17"/>
          <w:szCs w:val="17"/>
          <w:u w:val="single" w:color="auto"/>
          <w:color w:val="auto"/>
        </w:rPr>
        <w:t>Base Indenture</w:t>
      </w:r>
      <w:r>
        <w:rPr>
          <w:rFonts w:ascii="Arial" w:cs="Arial" w:eastAsia="Arial" w:hAnsi="Arial"/>
          <w:sz w:val="17"/>
          <w:szCs w:val="17"/>
          <w:color w:val="auto"/>
        </w:rPr>
        <w:t>”) between the Company and Wells Fargo Bank, National Association,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as supplemented with respect to the Securities by the Third Supplemental Indenture thereto dated as of February 3, 2021 (the “</w:t>
      </w:r>
      <w:r>
        <w:rPr>
          <w:rFonts w:ascii="Arial" w:cs="Arial" w:eastAsia="Arial" w:hAnsi="Arial"/>
          <w:sz w:val="17"/>
          <w:szCs w:val="17"/>
          <w:u w:val="single" w:color="auto"/>
          <w:color w:val="auto"/>
        </w:rPr>
        <w:t>Supplemental Indenture</w:t>
      </w:r>
      <w:r>
        <w:rPr>
          <w:rFonts w:ascii="Arial" w:cs="Arial" w:eastAsia="Arial" w:hAnsi="Arial"/>
          <w:sz w:val="17"/>
          <w:szCs w:val="17"/>
          <w:color w:val="auto"/>
        </w:rPr>
        <w:t>” and, together with the Base Indenture, the “</w:t>
      </w:r>
      <w:r>
        <w:rPr>
          <w:rFonts w:ascii="Arial" w:cs="Arial" w:eastAsia="Arial" w:hAnsi="Arial"/>
          <w:sz w:val="17"/>
          <w:szCs w:val="17"/>
          <w:u w:val="single" w:color="auto"/>
          <w:color w:val="auto"/>
        </w:rPr>
        <w:t>Indenture</w:t>
      </w:r>
      <w:r>
        <w:rPr>
          <w:rFonts w:ascii="Arial" w:cs="Arial" w:eastAsia="Arial" w:hAnsi="Arial"/>
          <w:sz w:val="17"/>
          <w:szCs w:val="17"/>
          <w:color w:val="auto"/>
        </w:rPr>
        <w:t>”) between the Company and the Trustee.</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arriving at the opinion expressed below, we have reviewed the following documents:</w:t>
      </w:r>
    </w:p>
    <w:p>
      <w:pPr>
        <w:spacing w:after="0" w:line="131" w:lineRule="exact"/>
        <w:rPr>
          <w:sz w:val="20"/>
          <w:szCs w:val="20"/>
          <w:color w:val="auto"/>
        </w:rPr>
      </w:pPr>
    </w:p>
    <w:p>
      <w:pPr>
        <w:ind w:left="1420" w:hanging="43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109220</wp:posOffset>
            </wp:positionV>
            <wp:extent cx="3771900" cy="857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771900" cy="8572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Sixth Street Specialty Lending, Inc., p. 2</w:t>
      </w:r>
    </w:p>
    <w:p>
      <w:pPr>
        <w:spacing w:after="0" w:line="158" w:lineRule="exact"/>
        <w:rPr>
          <w:sz w:val="20"/>
          <w:szCs w:val="20"/>
          <w:color w:val="auto"/>
        </w:rPr>
      </w:pPr>
    </w:p>
    <w:p>
      <w:pPr>
        <w:ind w:left="1420" w:right="360" w:hanging="43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executed copy of the Underwriting Agreement, dated January 27, 2021, among the Company, Sixth Street Specialty Lending Advisers, LLC and the several underwriters named in Schedule 1 thereto;</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copy of the Securities in global form as executed by the Company and authenticated by the Trustee;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executed copies of the Base Indenture and the Supplemental Indenture;</w:t>
      </w:r>
    </w:p>
    <w:p>
      <w:pPr>
        <w:spacing w:after="0" w:line="130" w:lineRule="exact"/>
        <w:rPr>
          <w:rFonts w:ascii="Arial" w:cs="Arial" w:eastAsia="Arial" w:hAnsi="Arial"/>
          <w:sz w:val="18"/>
          <w:szCs w:val="18"/>
          <w:color w:val="auto"/>
        </w:rPr>
      </w:pPr>
    </w:p>
    <w:p>
      <w:pPr>
        <w:ind w:left="1420" w:right="140" w:hanging="43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executed copy of the Unanimous Written Consent of the Board of Directors of the Company, dated January 27, 2021, approving the offering of the Securities; and</w:t>
      </w:r>
    </w:p>
    <w:p>
      <w:pPr>
        <w:spacing w:after="0" w:line="75" w:lineRule="exact"/>
        <w:rPr>
          <w:rFonts w:ascii="Arial" w:cs="Arial" w:eastAsia="Arial" w:hAnsi="Arial"/>
          <w:sz w:val="18"/>
          <w:szCs w:val="18"/>
          <w:color w:val="auto"/>
        </w:rPr>
      </w:pPr>
    </w:p>
    <w:p>
      <w:pPr>
        <w:ind w:left="1420" w:right="180" w:hanging="43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copies of the Company’s Restated Certificate of Incorporation, certified by the Secretary of State of the State of Delaware, and the Company’s Amended and Restated Bylaws, certified by the Secretary of the Company.</w:t>
      </w:r>
    </w:p>
    <w:p>
      <w:pPr>
        <w:spacing w:after="0" w:line="17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In addition, we have reviewed the originals or copies certified or otherwise identified to our satisfaction of all such corporate records of the Company and such other documents, and we have made such investigations of law, as we have deemed appropriate as a basis for the opinion expressed below.</w:t>
      </w:r>
    </w:p>
    <w:p>
      <w:pPr>
        <w:spacing w:after="0" w:line="124" w:lineRule="exact"/>
        <w:rPr>
          <w:sz w:val="20"/>
          <w:szCs w:val="20"/>
          <w:color w:val="auto"/>
        </w:rPr>
      </w:pPr>
    </w:p>
    <w:p>
      <w:pPr>
        <w:ind w:right="320" w:firstLine="991"/>
        <w:spacing w:after="0" w:line="263" w:lineRule="auto"/>
        <w:rPr>
          <w:sz w:val="20"/>
          <w:szCs w:val="20"/>
          <w:color w:val="auto"/>
        </w:rPr>
      </w:pPr>
      <w:r>
        <w:rPr>
          <w:rFonts w:ascii="Arial" w:cs="Arial" w:eastAsia="Arial" w:hAnsi="Arial"/>
          <w:sz w:val="18"/>
          <w:szCs w:val="18"/>
          <w:color w:val="auto"/>
        </w:rPr>
        <w:t>In rendering the opinion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w:t>
      </w:r>
    </w:p>
    <w:p>
      <w:pPr>
        <w:spacing w:after="0" w:line="184"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Based on the foregoing, and subject to the further assumptions and qualifications set forth below, it is our opinion that the Securities are the valid, binding and enforceable obligations of the Company, entitled to the benefits of the Indenture.</w:t>
      </w:r>
    </w:p>
    <w:p>
      <w:pPr>
        <w:spacing w:after="0" w:line="170"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Insofar as the foregoing opinion relates to the valid existence and good standing of the Company or any subsidiary of the Company, it is based solely on confirmation from public officials. Insofar as the foregoing opinion relates to the validity, binding effect or enforceability of any agreement or obligation of the Company, (x) we have assumed that the Company and each other party to such agreement or obligation has satisfied those legal requirements that are applicable to it to the extent necessary to make such agreement or obligation enforceable against it (except that no such assumption is made as to the Company regarding matters of the law of the State of New York or the General Corporation Law of the State of Delaware that in our experience normally would be applicable to general business entities with respect to such agreement or obligation), (y) we express no opinion with respect to the effect of any mandatory choice of law rules and (z) such opinion is subject to applicable bankruptcy, insolvency and similar laws affecting creditors’ rights generally and to general principles of equity.</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foregoing opinion is limited to the law of the State of New York and the General Corporation Law of the State of Delaware.</w:t>
      </w:r>
    </w:p>
    <w:p>
      <w:pPr>
        <w:sectPr>
          <w:pgSz w:w="11900" w:h="16838" w:orient="portrait"/>
          <w:cols w:equalWidth="0" w:num="1">
            <w:col w:w="10980"/>
          </w:cols>
          <w:pgMar w:left="440" w:top="274" w:right="47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Sixth Street Specialty Lending, Inc., p. 3</w:t>
      </w:r>
    </w:p>
    <w:p>
      <w:pPr>
        <w:spacing w:after="0" w:line="158" w:lineRule="exact"/>
        <w:rPr>
          <w:sz w:val="20"/>
          <w:szCs w:val="20"/>
          <w:color w:val="auto"/>
        </w:rPr>
      </w:pPr>
    </w:p>
    <w:p>
      <w:pPr>
        <w:jc w:val="both"/>
        <w:ind w:firstLine="991"/>
        <w:spacing w:after="0" w:line="279" w:lineRule="auto"/>
        <w:rPr>
          <w:sz w:val="20"/>
          <w:szCs w:val="20"/>
          <w:color w:val="auto"/>
        </w:rPr>
      </w:pPr>
      <w:r>
        <w:rPr>
          <w:rFonts w:ascii="Arial" w:cs="Arial" w:eastAsia="Arial" w:hAnsi="Arial"/>
          <w:sz w:val="17"/>
          <w:szCs w:val="17"/>
          <w:color w:val="auto"/>
        </w:rPr>
        <w:t>We hereby consent to the use of our name in the Prospectus Supplement and the Prospectus under the headings “Legal Matters” as counsel for the Company that has passed on the validity of the Securities, and to the use of this opinion as Exhibit 5.1 to the Company’s Current Report on Form 8-K dated February 3, 2021. In giving this consent, we do not thereby admit that we are within the category of persons whose consent is required under Section 7 of the Securities Act or the rules and regulations of the Securities and Exchange Commission thereunder.</w:t>
      </w:r>
    </w:p>
    <w:p>
      <w:pPr>
        <w:spacing w:after="0" w:line="171"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The opinion expressed herein is rendered on and as of the date hereof, and we assume no obligation to advise you or any other person, or to make any investigations, as to any legal developments or factual matters arising subsequent to the date hereof that might affect the opinion expressed herein.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CLEARY GOTTLIEB STEEN &amp; HAMILTON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Adam E. Fleisher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Adam E. Fleisher, a Partner</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Letter"/>
      <w:start w:val="4"/>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5"/>
    </w:lvl>
    <w:lvl w:ilvl="1">
      <w:lvlJc w:val="left"/>
      <w:lvlText w:val="%2"/>
      <w:numFmt w:val="lowerLetter"/>
      <w:start w:val="1"/>
    </w:lvl>
  </w:abstractNum>
  <w:abstractNum w:abstractNumId="4">
    <w:nsid w:val="1F16E9E8"/>
    <w:multiLevelType w:val="hybridMultilevel"/>
    <w:lvl w:ilvl="0">
      <w:lvlJc w:val="left"/>
      <w:lvlText w:val="(%1)"/>
      <w:numFmt w:val="lowerLetter"/>
      <w:start w:val="1"/>
    </w:lvl>
    <w:lvl w:ilvl="1">
      <w:lvlJc w:val="left"/>
      <w:lvlText w:val="%2"/>
      <w:numFmt w:val="lowerLetter"/>
      <w:start w:val="1"/>
    </w:lvl>
  </w:abstractNum>
  <w:abstractNum w:abstractNumId="5">
    <w:nsid w:val="1190CDE7"/>
    <w:multiLevelType w:val="hybridMultilevel"/>
    <w:lvl w:ilvl="0">
      <w:lvlJc w:val="left"/>
      <w:lvlText w:val="(%1)"/>
      <w:numFmt w:val="lowerRoman"/>
      <w:start w:val="2"/>
    </w:lvl>
  </w:abstractNum>
  <w:abstractNum w:abstractNumId="6">
    <w:nsid w:val="66EF438D"/>
    <w:multiLevelType w:val="hybridMultilevel"/>
    <w:lvl w:ilvl="0">
      <w:lvlJc w:val="left"/>
      <w:lvlText w:val="(%1)"/>
      <w:numFmt w:val="lowerRoman"/>
      <w:start w:val="1"/>
    </w:lvl>
  </w:abstractNum>
  <w:abstractNum w:abstractNumId="7">
    <w:nsid w:val="140E0F76"/>
    <w:multiLevelType w:val="hybridMultilevel"/>
    <w:lvl w:ilvl="0">
      <w:lvlJc w:val="left"/>
      <w:lvlText w:val="(%1)"/>
      <w:numFmt w:val="lowerLetter"/>
      <w:start w:val="10"/>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lowerRoman"/>
      <w:start w:val="2"/>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jpe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19" Type="http://schemas.openxmlformats.org/officeDocument/2006/relationships/hyperlink" Target="http://www.sec.gov/Archives/edgar/data/1508655/000119312518016134/d428064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2021-02-03T15:18:30Z</dcterms:created>
  <dcterms:modified xsi:type="dcterms:W3CDTF">2021-02-03T15:18:30Z</dcterms:modified>
</cp:coreProperties>
</file>