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7"/>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 Submission of Matters to a Vote of Security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Meeting of Stockholders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23, 2024, Sixth Street Specialty Lending, Inc. (the “Company”) held its annual meeting of stockholders. Stockholders considered two proposals as described in the Company’s proxy statement filed on April 11, 2024. The final results of the voting on each matter submitted to stockholders at the annual meeting are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 Election of Class I Directors. </w:t>
      </w:r>
      <w:r>
        <w:rPr>
          <w:rFonts w:ascii="Times New Roman" w:cs="Times New Roman" w:eastAsia="Times New Roman" w:hAnsi="Times New Roman"/>
          <w:sz w:val="18"/>
          <w:szCs w:val="18"/>
          <w:color w:val="auto"/>
        </w:rPr>
        <w:t>The stockholders elected the nominees for Class I director by the vote shown below.</w:t>
      </w:r>
    </w:p>
    <w:p>
      <w:pPr>
        <w:spacing w:after="0" w:line="250"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185"/>
        </w:trPr>
        <w:tc>
          <w:tcPr>
            <w:tcW w:w="5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David</w:t>
            </w:r>
          </w:p>
        </w:tc>
        <w:tc>
          <w:tcPr>
            <w:tcW w:w="48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Stiepleman</w:t>
            </w:r>
          </w:p>
        </w:tc>
        <w:tc>
          <w:tcPr>
            <w:tcW w:w="860" w:type="dxa"/>
            <w:vAlign w:val="bottom"/>
            <w:tcBorders>
              <w:top w:val="single" w:sz="8" w:color="auto"/>
            </w:tcBorders>
          </w:tcPr>
          <w:p>
            <w:pPr>
              <w:ind w:left="40"/>
              <w:spacing w:after="0" w:line="185" w:lineRule="exact"/>
              <w:rPr>
                <w:sz w:val="20"/>
                <w:szCs w:val="20"/>
                <w:color w:val="auto"/>
              </w:rPr>
            </w:pPr>
            <w:r>
              <w:rPr>
                <w:rFonts w:ascii="Times New Roman" w:cs="Times New Roman" w:eastAsia="Times New Roman" w:hAnsi="Times New Roman"/>
                <w:sz w:val="18"/>
                <w:szCs w:val="18"/>
                <w:color w:val="auto"/>
                <w:w w:val="98"/>
              </w:rPr>
              <w:t>36,156,617</w:t>
            </w:r>
          </w:p>
        </w:tc>
        <w:tc>
          <w:tcPr>
            <w:tcW w:w="380" w:type="dxa"/>
            <w:vAlign w:val="bottom"/>
          </w:tcPr>
          <w:p>
            <w:pPr>
              <w:spacing w:after="0"/>
              <w:rPr>
                <w:sz w:val="16"/>
                <w:szCs w:val="16"/>
                <w:color w:val="auto"/>
              </w:rPr>
            </w:pPr>
          </w:p>
        </w:tc>
        <w:tc>
          <w:tcPr>
            <w:tcW w:w="11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7,330,297</w:t>
            </w:r>
          </w:p>
        </w:tc>
        <w:tc>
          <w:tcPr>
            <w:tcW w:w="400" w:type="dxa"/>
            <w:vAlign w:val="bottom"/>
          </w:tcPr>
          <w:p>
            <w:pPr>
              <w:spacing w:after="0"/>
              <w:rPr>
                <w:sz w:val="16"/>
                <w:szCs w:val="16"/>
                <w:color w:val="auto"/>
              </w:rPr>
            </w:pPr>
          </w:p>
        </w:tc>
        <w:tc>
          <w:tcPr>
            <w:tcW w:w="11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28,164,115</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35,528,512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7,958,402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28,164,115</w:t>
            </w:r>
          </w:p>
        </w:tc>
      </w:t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37,806,507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5,680,407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28,164,115</w:t>
            </w:r>
          </w:p>
        </w:tc>
      </w:tr>
    </w:tbl>
    <w:p>
      <w:pPr>
        <w:spacing w:after="0" w:line="19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 Ratification of Appointment of Independent Registered Public Accounting Firm. </w:t>
      </w:r>
      <w:r>
        <w:rPr>
          <w:rFonts w:ascii="Times New Roman" w:cs="Times New Roman" w:eastAsia="Times New Roman" w:hAnsi="Times New Roman"/>
          <w:sz w:val="18"/>
          <w:szCs w:val="18"/>
          <w:color w:val="auto"/>
        </w:rPr>
        <w:t>The stockholders ratified the retention of KPMG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LLP as our independent registered public accounting firm for the fiscal year ending December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62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70,576,048</w:t>
            </w:r>
          </w:p>
        </w:tc>
        <w:tc>
          <w:tcPr>
            <w:tcW w:w="160" w:type="dxa"/>
            <w:vAlign w:val="bottom"/>
          </w:tcPr>
          <w:p>
            <w:pPr>
              <w:spacing w:after="0"/>
              <w:rPr>
                <w:sz w:val="19"/>
                <w:szCs w:val="19"/>
                <w:color w:val="auto"/>
              </w:rPr>
            </w:pPr>
          </w:p>
        </w:tc>
        <w:tc>
          <w:tcPr>
            <w:tcW w:w="26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474,691</w:t>
            </w:r>
          </w:p>
        </w:tc>
        <w:tc>
          <w:tcPr>
            <w:tcW w:w="120" w:type="dxa"/>
            <w:vAlign w:val="bottom"/>
          </w:tcPr>
          <w:p>
            <w:pPr>
              <w:spacing w:after="0"/>
              <w:rPr>
                <w:sz w:val="19"/>
                <w:szCs w:val="19"/>
                <w:color w:val="auto"/>
              </w:rPr>
            </w:pPr>
          </w:p>
        </w:tc>
        <w:tc>
          <w:tcPr>
            <w:tcW w:w="276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rPr>
              <w:t>600,290</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8"/>
                <w:szCs w:val="18"/>
                <w:color w:val="auto"/>
              </w:rPr>
              <w:t>0</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w:t>
      </w:r>
    </w:p>
    <w:p>
      <w:pPr>
        <w:spacing w:after="0" w:line="121"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On May 23, 2024, the Company also held a special meeting of stockholders. Stockholders considered one proposal as described in the Company’s proxy statement filed on April 11, 2024. The final results of the voting on the matter submitted to stockholders at the special meeting are set forth below.</w:t>
      </w:r>
    </w:p>
    <w:p>
      <w:pPr>
        <w:spacing w:after="0" w:line="136"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Proposal 1 – Sales of Common Stock Below NAV. </w:t>
      </w:r>
      <w:r>
        <w:rPr>
          <w:rFonts w:ascii="Times New Roman" w:cs="Times New Roman" w:eastAsia="Times New Roman" w:hAnsi="Times New Roman"/>
          <w:sz w:val="18"/>
          <w:szCs w:val="18"/>
          <w:color w:val="auto"/>
        </w:rPr>
        <w:t>The stockholders approved the proposal to authorize the Company to sell or otherwise issue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common stock at a price below its then-current net asset value per share in one or more offerings, in each case subject to the approval of its board of directors and subject to certain conditions as set forth in the proxy statement (including that the number of shares issued does not exceed 25% of the Company’s then-outstanding common stock immediately prior to each such offering), by the vote shown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on the proposal, including affiliated and unaffiliated shares,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86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62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43,101,070</w:t>
            </w:r>
          </w:p>
        </w:tc>
        <w:tc>
          <w:tcPr>
            <w:tcW w:w="160" w:type="dxa"/>
            <w:vAlign w:val="bottom"/>
          </w:tcPr>
          <w:p>
            <w:pPr>
              <w:spacing w:after="0"/>
              <w:rPr>
                <w:sz w:val="19"/>
                <w:szCs w:val="19"/>
                <w:color w:val="auto"/>
              </w:rPr>
            </w:pPr>
          </w:p>
        </w:tc>
        <w:tc>
          <w:tcPr>
            <w:tcW w:w="262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4,532,050</w:t>
            </w:r>
          </w:p>
        </w:tc>
        <w:tc>
          <w:tcPr>
            <w:tcW w:w="120" w:type="dxa"/>
            <w:vAlign w:val="bottom"/>
          </w:tcPr>
          <w:p>
            <w:pPr>
              <w:spacing w:after="0"/>
              <w:rPr>
                <w:sz w:val="19"/>
                <w:szCs w:val="19"/>
                <w:color w:val="auto"/>
              </w:rPr>
            </w:pPr>
          </w:p>
        </w:tc>
        <w:tc>
          <w:tcPr>
            <w:tcW w:w="276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1,017,039</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on the proposal, adjusted to exclude 3,005,076 affiliated shares,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62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40,446,085</w:t>
            </w:r>
          </w:p>
        </w:tc>
        <w:tc>
          <w:tcPr>
            <w:tcW w:w="160" w:type="dxa"/>
            <w:vAlign w:val="bottom"/>
          </w:tcPr>
          <w:p>
            <w:pPr>
              <w:spacing w:after="0"/>
              <w:rPr>
                <w:sz w:val="19"/>
                <w:szCs w:val="19"/>
                <w:color w:val="auto"/>
              </w:rPr>
            </w:pPr>
          </w:p>
        </w:tc>
        <w:tc>
          <w:tcPr>
            <w:tcW w:w="262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4,532,050</w:t>
            </w:r>
          </w:p>
        </w:tc>
        <w:tc>
          <w:tcPr>
            <w:tcW w:w="120" w:type="dxa"/>
            <w:vAlign w:val="bottom"/>
          </w:tcPr>
          <w:p>
            <w:pPr>
              <w:spacing w:after="0"/>
              <w:rPr>
                <w:sz w:val="19"/>
                <w:szCs w:val="19"/>
                <w:color w:val="auto"/>
              </w:rPr>
            </w:pPr>
          </w:p>
        </w:tc>
        <w:tc>
          <w:tcPr>
            <w:tcW w:w="276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rPr>
              <w:t>666,948</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2024-05-24T16:02:46Z</dcterms:created>
  <dcterms:modified xsi:type="dcterms:W3CDTF">2024-05-24T16:02:46Z</dcterms:modified>
</cp:coreProperties>
</file>