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6"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SCHEDULE 13G</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Amendment No. 0</w:t>
      </w:r>
    </w:p>
    <w:p>
      <w:pPr>
        <w:ind w:left="6"/>
        <w:spacing w:after="0" w:line="238" w:lineRule="auto"/>
        <w:rPr>
          <w:sz w:val="20"/>
          <w:szCs w:val="20"/>
          <w:color w:val="auto"/>
        </w:rPr>
      </w:pPr>
      <w:r>
        <w:rPr>
          <w:rFonts w:ascii="Courier New" w:cs="Courier New" w:eastAsia="Courier New" w:hAnsi="Courier New"/>
          <w:sz w:val="19"/>
          <w:szCs w:val="19"/>
          <w:color w:val="auto"/>
        </w:rPr>
        <w:t>TPG SPECIALTY LENDING INC</w:t>
      </w:r>
    </w:p>
    <w:p>
      <w:pPr>
        <w:ind w:left="6"/>
        <w:spacing w:after="0"/>
        <w:rPr>
          <w:sz w:val="20"/>
          <w:szCs w:val="20"/>
          <w:color w:val="auto"/>
        </w:rPr>
      </w:pPr>
      <w:r>
        <w:rPr>
          <w:rFonts w:ascii="Courier New" w:cs="Courier New" w:eastAsia="Courier New" w:hAnsi="Courier New"/>
          <w:sz w:val="19"/>
          <w:szCs w:val="19"/>
          <w:color w:val="auto"/>
        </w:rPr>
        <w:t>COMMON STOCK</w:t>
      </w:r>
    </w:p>
    <w:p>
      <w:pPr>
        <w:ind w:left="6"/>
        <w:spacing w:after="0" w:line="237" w:lineRule="auto"/>
        <w:rPr>
          <w:sz w:val="20"/>
          <w:szCs w:val="20"/>
          <w:color w:val="auto"/>
        </w:rPr>
      </w:pPr>
      <w:r>
        <w:rPr>
          <w:rFonts w:ascii="Courier New" w:cs="Courier New" w:eastAsia="Courier New" w:hAnsi="Courier New"/>
          <w:sz w:val="19"/>
          <w:szCs w:val="19"/>
          <w:color w:val="auto"/>
        </w:rPr>
        <w:t>Cusip #87265K102</w:t>
      </w:r>
    </w:p>
    <w:p>
      <w:pPr>
        <w:ind w:left="6"/>
        <w:spacing w:after="0"/>
        <w:rPr>
          <w:sz w:val="20"/>
          <w:szCs w:val="20"/>
          <w:color w:val="auto"/>
        </w:rPr>
      </w:pPr>
      <w:r>
        <w:rPr>
          <w:rFonts w:ascii="Courier New" w:cs="Courier New" w:eastAsia="Courier New" w:hAnsi="Courier New"/>
          <w:sz w:val="19"/>
          <w:szCs w:val="19"/>
          <w:color w:val="auto"/>
        </w:rPr>
        <w:t>Check the appropriate box to designate the rule pursuant to which this</w:t>
      </w:r>
    </w:p>
    <w:p>
      <w:pPr>
        <w:ind w:left="6"/>
        <w:spacing w:after="0" w:line="237" w:lineRule="auto"/>
        <w:rPr>
          <w:sz w:val="20"/>
          <w:szCs w:val="20"/>
          <w:color w:val="auto"/>
        </w:rPr>
      </w:pPr>
      <w:r>
        <w:rPr>
          <w:rFonts w:ascii="Courier New" w:cs="Courier New" w:eastAsia="Courier New" w:hAnsi="Courier New"/>
          <w:sz w:val="19"/>
          <w:szCs w:val="19"/>
          <w:color w:val="auto"/>
        </w:rPr>
        <w:t>Schedule is filed:</w:t>
      </w:r>
    </w:p>
    <w:p>
      <w:pPr>
        <w:spacing w:after="0" w:line="6" w:lineRule="exact"/>
        <w:rPr>
          <w:sz w:val="24"/>
          <w:szCs w:val="24"/>
          <w:color w:val="auto"/>
        </w:rPr>
      </w:pPr>
    </w:p>
    <w:p>
      <w:pPr>
        <w:jc w:val="both"/>
        <w:ind w:left="6" w:right="8800" w:hanging="6"/>
        <w:spacing w:after="0" w:line="254" w:lineRule="auto"/>
        <w:tabs>
          <w:tab w:leader="none" w:pos="45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 [ ] Rule 13d-1(c) [ ] Rule 13d-1(d)</w:t>
      </w:r>
    </w:p>
    <w:p>
      <w:pPr>
        <w:spacing w:after="0" w:line="201"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Cusip #87265K102</w:t>
      </w:r>
    </w:p>
    <w:p>
      <w:pPr>
        <w:ind w:left="6"/>
        <w:spacing w:after="0" w:line="238" w:lineRule="auto"/>
        <w:rPr>
          <w:sz w:val="20"/>
          <w:szCs w:val="20"/>
          <w:color w:val="auto"/>
        </w:rPr>
      </w:pPr>
      <w:r>
        <w:rPr>
          <w:rFonts w:ascii="Courier New" w:cs="Courier New" w:eastAsia="Courier New" w:hAnsi="Courier New"/>
          <w:sz w:val="19"/>
          <w:szCs w:val="19"/>
          <w:color w:val="auto"/>
        </w:rPr>
        <w:t>Item 1: Reporting Person - FMR LLC</w:t>
      </w:r>
    </w:p>
    <w:p>
      <w:pPr>
        <w:ind w:left="6"/>
        <w:spacing w:after="0"/>
        <w:tabs>
          <w:tab w:leader="none" w:pos="1426" w:val="left"/>
        </w:tabs>
        <w:rPr>
          <w:sz w:val="20"/>
          <w:szCs w:val="20"/>
          <w:color w:val="auto"/>
        </w:rPr>
      </w:pPr>
      <w:r>
        <w:rPr>
          <w:rFonts w:ascii="Courier New" w:cs="Courier New" w:eastAsia="Courier New" w:hAnsi="Courier New"/>
          <w:sz w:val="19"/>
          <w:szCs w:val="19"/>
          <w:color w:val="auto"/>
        </w:rPr>
        <w:t>Item 2: (a)</w:t>
      </w:r>
      <w:r>
        <w:rPr>
          <w:sz w:val="20"/>
          <w:szCs w:val="20"/>
          <w:color w:val="auto"/>
        </w:rPr>
        <w:tab/>
      </w:r>
      <w:r>
        <w:rPr>
          <w:rFonts w:ascii="Courier New" w:cs="Courier New" w:eastAsia="Courier New" w:hAnsi="Courier New"/>
          <w:sz w:val="18"/>
          <w:szCs w:val="18"/>
          <w:color w:val="auto"/>
        </w:rPr>
        <w:t>[ ]</w:t>
      </w:r>
    </w:p>
    <w:p>
      <w:pPr>
        <w:spacing w:after="0" w:line="5" w:lineRule="exact"/>
        <w:rPr>
          <w:sz w:val="24"/>
          <w:szCs w:val="24"/>
          <w:color w:val="auto"/>
        </w:rPr>
      </w:pPr>
    </w:p>
    <w:p>
      <w:pPr>
        <w:jc w:val="both"/>
        <w:ind w:left="6" w:right="8900" w:firstLine="884"/>
        <w:spacing w:after="0" w:line="251" w:lineRule="auto"/>
        <w:tabs>
          <w:tab w:leader="none" w:pos="1452"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Item 4: Delaware Item 5: 543,328 Item 6: 0</w:t>
      </w:r>
    </w:p>
    <w:p>
      <w:pPr>
        <w:ind w:left="6"/>
        <w:spacing w:after="0" w:line="238" w:lineRule="auto"/>
        <w:rPr>
          <w:rFonts w:ascii="Courier New" w:cs="Courier New" w:eastAsia="Courier New" w:hAnsi="Courier New"/>
          <w:sz w:val="18"/>
          <w:szCs w:val="18"/>
          <w:color w:val="auto"/>
        </w:rPr>
      </w:pPr>
      <w:r>
        <w:rPr>
          <w:rFonts w:ascii="Courier New" w:cs="Courier New" w:eastAsia="Courier New" w:hAnsi="Courier New"/>
          <w:sz w:val="19"/>
          <w:szCs w:val="19"/>
          <w:color w:val="auto"/>
        </w:rPr>
        <w:t>Item 7: 5,514,942</w:t>
      </w:r>
    </w:p>
    <w:p>
      <w:pPr>
        <w:ind w:left="6"/>
        <w:spacing w:after="0" w:line="238" w:lineRule="auto"/>
        <w:rPr>
          <w:rFonts w:ascii="Courier New" w:cs="Courier New" w:eastAsia="Courier New" w:hAnsi="Courier New"/>
          <w:sz w:val="18"/>
          <w:szCs w:val="18"/>
          <w:color w:val="auto"/>
        </w:rPr>
      </w:pPr>
      <w:r>
        <w:rPr>
          <w:rFonts w:ascii="Courier New" w:cs="Courier New" w:eastAsia="Courier New" w:hAnsi="Courier New"/>
          <w:sz w:val="19"/>
          <w:szCs w:val="19"/>
          <w:color w:val="auto"/>
        </w:rPr>
        <w:t>Item 8: 0</w:t>
      </w:r>
    </w:p>
    <w:p>
      <w:pPr>
        <w:ind w:left="6"/>
        <w:spacing w:after="0" w:line="238" w:lineRule="auto"/>
        <w:rPr>
          <w:rFonts w:ascii="Courier New" w:cs="Courier New" w:eastAsia="Courier New" w:hAnsi="Courier New"/>
          <w:sz w:val="18"/>
          <w:szCs w:val="18"/>
          <w:color w:val="auto"/>
        </w:rPr>
      </w:pPr>
      <w:r>
        <w:rPr>
          <w:rFonts w:ascii="Courier New" w:cs="Courier New" w:eastAsia="Courier New" w:hAnsi="Courier New"/>
          <w:sz w:val="19"/>
          <w:szCs w:val="19"/>
          <w:color w:val="auto"/>
        </w:rPr>
        <w:t>Item 9: 5,514,942</w:t>
      </w:r>
    </w:p>
    <w:p>
      <w:pPr>
        <w:ind w:left="6"/>
        <w:spacing w:after="0" w:line="238" w:lineRule="auto"/>
        <w:rPr>
          <w:rFonts w:ascii="Courier New" w:cs="Courier New" w:eastAsia="Courier New" w:hAnsi="Courier New"/>
          <w:sz w:val="18"/>
          <w:szCs w:val="18"/>
          <w:color w:val="auto"/>
        </w:rPr>
      </w:pPr>
      <w:r>
        <w:rPr>
          <w:rFonts w:ascii="Courier New" w:cs="Courier New" w:eastAsia="Courier New" w:hAnsi="Courier New"/>
          <w:sz w:val="19"/>
          <w:szCs w:val="19"/>
          <w:color w:val="auto"/>
        </w:rPr>
        <w:t>Item 11: 8.434%</w:t>
      </w:r>
    </w:p>
    <w:p>
      <w:pPr>
        <w:ind w:left="6"/>
        <w:spacing w:after="0" w:line="238" w:lineRule="auto"/>
        <w:rPr>
          <w:rFonts w:ascii="Courier New" w:cs="Courier New" w:eastAsia="Courier New" w:hAnsi="Courier New"/>
          <w:sz w:val="18"/>
          <w:szCs w:val="18"/>
          <w:color w:val="auto"/>
        </w:rPr>
      </w:pPr>
      <w:r>
        <w:rPr>
          <w:rFonts w:ascii="Courier New" w:cs="Courier New" w:eastAsia="Courier New" w:hAnsi="Courier New"/>
          <w:sz w:val="19"/>
          <w:szCs w:val="19"/>
          <w:color w:val="auto"/>
        </w:rPr>
        <w:t>Item 12: HC</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Cusip #87265K102</w:t>
      </w:r>
    </w:p>
    <w:p>
      <w:pPr>
        <w:ind w:left="6"/>
        <w:spacing w:after="0" w:line="238" w:lineRule="auto"/>
        <w:rPr>
          <w:sz w:val="20"/>
          <w:szCs w:val="20"/>
          <w:color w:val="auto"/>
        </w:rPr>
      </w:pPr>
      <w:r>
        <w:rPr>
          <w:rFonts w:ascii="Courier New" w:cs="Courier New" w:eastAsia="Courier New" w:hAnsi="Courier New"/>
          <w:sz w:val="19"/>
          <w:szCs w:val="19"/>
          <w:color w:val="auto"/>
        </w:rPr>
        <w:t>Item 1: Reporting Person - Abigail P. Johnson</w:t>
      </w:r>
    </w:p>
    <w:p>
      <w:pPr>
        <w:ind w:left="6"/>
        <w:spacing w:after="0"/>
        <w:tabs>
          <w:tab w:leader="none" w:pos="1426" w:val="left"/>
        </w:tabs>
        <w:rPr>
          <w:sz w:val="20"/>
          <w:szCs w:val="20"/>
          <w:color w:val="auto"/>
        </w:rPr>
      </w:pPr>
      <w:r>
        <w:rPr>
          <w:rFonts w:ascii="Courier New" w:cs="Courier New" w:eastAsia="Courier New" w:hAnsi="Courier New"/>
          <w:sz w:val="19"/>
          <w:szCs w:val="19"/>
          <w:color w:val="auto"/>
        </w:rPr>
        <w:t>Item 2: (a)</w:t>
      </w:r>
      <w:r>
        <w:rPr>
          <w:sz w:val="20"/>
          <w:szCs w:val="20"/>
          <w:color w:val="auto"/>
        </w:rPr>
        <w:tab/>
      </w:r>
      <w:r>
        <w:rPr>
          <w:rFonts w:ascii="Courier New" w:cs="Courier New" w:eastAsia="Courier New" w:hAnsi="Courier New"/>
          <w:sz w:val="18"/>
          <w:szCs w:val="18"/>
          <w:color w:val="auto"/>
        </w:rPr>
        <w:t>[ ]</w:t>
      </w:r>
    </w:p>
    <w:p>
      <w:pPr>
        <w:ind w:left="1446" w:hanging="556"/>
        <w:spacing w:after="0" w:line="237" w:lineRule="auto"/>
        <w:tabs>
          <w:tab w:leader="none" w:pos="1446" w:val="left"/>
        </w:tabs>
        <w:numPr>
          <w:ilvl w:val="0"/>
          <w:numId w:val="3"/>
        </w:numPr>
        <w:rPr>
          <w:rFonts w:ascii="Courier New" w:cs="Courier New" w:eastAsia="Courier New" w:hAnsi="Courier New"/>
          <w:sz w:val="19"/>
          <w:szCs w:val="19"/>
          <w:color w:val="auto"/>
        </w:rPr>
      </w:pPr>
      <w:r>
        <w:rPr>
          <w:rFonts w:ascii="Courier New" w:cs="Courier New" w:eastAsia="Courier New" w:hAnsi="Courier New"/>
          <w:sz w:val="19"/>
          <w:szCs w:val="19"/>
          <w:color w:val="auto"/>
        </w:rPr>
        <w:t>[ ]</w:t>
      </w:r>
    </w:p>
    <w:p>
      <w:pPr>
        <w:ind w:left="6"/>
        <w:spacing w:after="0"/>
        <w:rPr>
          <w:sz w:val="20"/>
          <w:szCs w:val="20"/>
          <w:color w:val="auto"/>
        </w:rPr>
      </w:pPr>
      <w:r>
        <w:rPr>
          <w:rFonts w:ascii="Courier New" w:cs="Courier New" w:eastAsia="Courier New" w:hAnsi="Courier New"/>
          <w:sz w:val="19"/>
          <w:szCs w:val="19"/>
          <w:color w:val="auto"/>
        </w:rPr>
        <w:t>Item 4: United States of America</w:t>
      </w:r>
    </w:p>
    <w:p>
      <w:pPr>
        <w:ind w:left="6"/>
        <w:spacing w:after="0" w:line="237" w:lineRule="auto"/>
        <w:rPr>
          <w:sz w:val="20"/>
          <w:szCs w:val="20"/>
          <w:color w:val="auto"/>
        </w:rPr>
      </w:pPr>
      <w:r>
        <w:rPr>
          <w:rFonts w:ascii="Courier New" w:cs="Courier New" w:eastAsia="Courier New" w:hAnsi="Courier New"/>
          <w:sz w:val="19"/>
          <w:szCs w:val="19"/>
          <w:color w:val="auto"/>
        </w:rPr>
        <w:t>Item 5: 0</w:t>
      </w:r>
    </w:p>
    <w:p>
      <w:pPr>
        <w:ind w:left="6"/>
        <w:spacing w:after="0"/>
        <w:rPr>
          <w:sz w:val="20"/>
          <w:szCs w:val="20"/>
          <w:color w:val="auto"/>
        </w:rPr>
      </w:pPr>
      <w:r>
        <w:rPr>
          <w:rFonts w:ascii="Courier New" w:cs="Courier New" w:eastAsia="Courier New" w:hAnsi="Courier New"/>
          <w:sz w:val="19"/>
          <w:szCs w:val="19"/>
          <w:color w:val="auto"/>
        </w:rPr>
        <w:t>Item 6: 0</w:t>
      </w:r>
    </w:p>
    <w:p>
      <w:pPr>
        <w:ind w:left="6"/>
        <w:spacing w:after="0" w:line="237" w:lineRule="auto"/>
        <w:rPr>
          <w:sz w:val="20"/>
          <w:szCs w:val="20"/>
          <w:color w:val="auto"/>
        </w:rPr>
      </w:pPr>
      <w:r>
        <w:rPr>
          <w:rFonts w:ascii="Courier New" w:cs="Courier New" w:eastAsia="Courier New" w:hAnsi="Courier New"/>
          <w:sz w:val="19"/>
          <w:szCs w:val="19"/>
          <w:color w:val="auto"/>
        </w:rPr>
        <w:t>Item 7: 5,514,942</w:t>
      </w:r>
    </w:p>
    <w:p>
      <w:pPr>
        <w:ind w:left="6"/>
        <w:spacing w:after="0"/>
        <w:rPr>
          <w:sz w:val="20"/>
          <w:szCs w:val="20"/>
          <w:color w:val="auto"/>
        </w:rPr>
      </w:pPr>
      <w:r>
        <w:rPr>
          <w:rFonts w:ascii="Courier New" w:cs="Courier New" w:eastAsia="Courier New" w:hAnsi="Courier New"/>
          <w:sz w:val="19"/>
          <w:szCs w:val="19"/>
          <w:color w:val="auto"/>
        </w:rPr>
        <w:t>Item 8: 0</w:t>
      </w:r>
    </w:p>
    <w:p>
      <w:pPr>
        <w:ind w:left="6"/>
        <w:spacing w:after="0" w:line="237" w:lineRule="auto"/>
        <w:rPr>
          <w:sz w:val="20"/>
          <w:szCs w:val="20"/>
          <w:color w:val="auto"/>
        </w:rPr>
      </w:pPr>
      <w:r>
        <w:rPr>
          <w:rFonts w:ascii="Courier New" w:cs="Courier New" w:eastAsia="Courier New" w:hAnsi="Courier New"/>
          <w:sz w:val="19"/>
          <w:szCs w:val="19"/>
          <w:color w:val="auto"/>
        </w:rPr>
        <w:t>Item 9: 5,514,942</w:t>
      </w:r>
    </w:p>
    <w:p>
      <w:pPr>
        <w:ind w:left="6"/>
        <w:spacing w:after="0"/>
        <w:rPr>
          <w:sz w:val="20"/>
          <w:szCs w:val="20"/>
          <w:color w:val="auto"/>
        </w:rPr>
      </w:pPr>
      <w:r>
        <w:rPr>
          <w:rFonts w:ascii="Courier New" w:cs="Courier New" w:eastAsia="Courier New" w:hAnsi="Courier New"/>
          <w:sz w:val="19"/>
          <w:szCs w:val="19"/>
          <w:color w:val="auto"/>
        </w:rPr>
        <w:t>Item 11: 8.434%</w:t>
      </w:r>
    </w:p>
    <w:p>
      <w:pPr>
        <w:ind w:left="6"/>
        <w:spacing w:after="0" w:line="237" w:lineRule="auto"/>
        <w:rPr>
          <w:sz w:val="20"/>
          <w:szCs w:val="20"/>
          <w:color w:val="auto"/>
        </w:rPr>
      </w:pPr>
      <w:r>
        <w:rPr>
          <w:rFonts w:ascii="Courier New" w:cs="Courier New" w:eastAsia="Courier New" w:hAnsi="Courier New"/>
          <w:sz w:val="19"/>
          <w:szCs w:val="19"/>
          <w:color w:val="auto"/>
        </w:rPr>
        <w:t>Item 12: IN</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Item 1(a). Name of Issuer:</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TPG SPECIALTY LENDING INC</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Item 1(b). Address of Issuer's Principal Executive Offices:</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301 Commerce Street, Suite 3300</w:t>
      </w:r>
    </w:p>
    <w:p>
      <w:pPr>
        <w:ind w:left="6"/>
        <w:spacing w:after="0" w:line="238" w:lineRule="auto"/>
        <w:rPr>
          <w:sz w:val="20"/>
          <w:szCs w:val="20"/>
          <w:color w:val="auto"/>
        </w:rPr>
      </w:pPr>
      <w:r>
        <w:rPr>
          <w:rFonts w:ascii="Courier New" w:cs="Courier New" w:eastAsia="Courier New" w:hAnsi="Courier New"/>
          <w:sz w:val="19"/>
          <w:szCs w:val="19"/>
          <w:color w:val="auto"/>
        </w:rPr>
        <w:t>Fort Worth, TX 76102</w:t>
      </w:r>
    </w:p>
    <w:p>
      <w:pPr>
        <w:ind w:left="6"/>
        <w:spacing w:after="0"/>
        <w:rPr>
          <w:sz w:val="20"/>
          <w:szCs w:val="20"/>
          <w:color w:val="auto"/>
        </w:rPr>
      </w:pPr>
      <w:r>
        <w:rPr>
          <w:rFonts w:ascii="Courier New" w:cs="Courier New" w:eastAsia="Courier New" w:hAnsi="Courier New"/>
          <w:sz w:val="19"/>
          <w:szCs w:val="19"/>
          <w:color w:val="auto"/>
        </w:rPr>
        <w:t>USA</w:t>
      </w:r>
    </w:p>
    <w:p>
      <w:pPr>
        <w:spacing w:after="0" w:line="212"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Item 2(a). Name of Person Filing:</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FMR LLC</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Item 2(b). Address or Principal Business Office or, if None, Residence:</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245 Summer Street, Boston, Massachusetts 02210</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Item 2(c). Citizenship:</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Not applicable</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Item 2(d). Title of Class of Securities:</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COMMON STOCK</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Item 2(e). CUSIP Number:</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87265K102</w:t>
      </w:r>
    </w:p>
    <w:p>
      <w:pPr>
        <w:spacing w:after="0" w:line="219" w:lineRule="exact"/>
        <w:rPr>
          <w:sz w:val="24"/>
          <w:szCs w:val="24"/>
          <w:color w:val="auto"/>
        </w:rPr>
      </w:pPr>
    </w:p>
    <w:p>
      <w:pPr>
        <w:ind w:left="6" w:right="2000"/>
        <w:spacing w:after="0" w:line="236" w:lineRule="auto"/>
        <w:rPr>
          <w:sz w:val="20"/>
          <w:szCs w:val="20"/>
          <w:color w:val="auto"/>
        </w:rPr>
      </w:pPr>
      <w:r>
        <w:rPr>
          <w:rFonts w:ascii="Courier New" w:cs="Courier New" w:eastAsia="Courier New" w:hAnsi="Courier New"/>
          <w:sz w:val="19"/>
          <w:szCs w:val="19"/>
          <w:color w:val="auto"/>
        </w:rPr>
        <w:t>Item 3. This statement is filed pursuant to Rule 13d-1(b) or 13d-2(b) or (c) and the person filing, FMR LLC, is a parent holding company in accordance with Section 240.13d-1(b)(1)(ii)(G). (Note: See Exhibit A).</w:t>
      </w:r>
    </w:p>
    <w:p>
      <w:pPr>
        <w:sectPr>
          <w:pgSz w:w="12240" w:h="15926" w:orient="portrait"/>
          <w:cols w:equalWidth="0" w:num="1">
            <w:col w:w="10686"/>
          </w:cols>
          <w:pgMar w:left="114" w:top="109" w:right="1440" w:bottom="0" w:gutter="0" w:footer="0" w:header="0"/>
        </w:sectPr>
      </w:pPr>
    </w:p>
    <w:bookmarkStart w:id="1" w:name="page2"/>
    <w:bookmarkEnd w:id="1"/>
    <w:p>
      <w:pPr>
        <w:ind w:left="6"/>
        <w:spacing w:after="0"/>
        <w:rPr>
          <w:sz w:val="20"/>
          <w:szCs w:val="20"/>
          <w:color w:val="auto"/>
        </w:rPr>
      </w:pPr>
      <w:r>
        <w:rPr>
          <w:rFonts w:ascii="Courier New" w:cs="Courier New" w:eastAsia="Courier New" w:hAnsi="Courier New"/>
          <w:sz w:val="19"/>
          <w:szCs w:val="19"/>
          <w:color w:val="auto"/>
        </w:rPr>
        <w:t>Item 4. Ownership</w:t>
      </w:r>
    </w:p>
    <w:p>
      <w:pPr>
        <w:spacing w:after="0" w:line="213" w:lineRule="exact"/>
        <w:rPr>
          <w:sz w:val="20"/>
          <w:szCs w:val="20"/>
          <w:color w:val="auto"/>
        </w:rPr>
      </w:pPr>
    </w:p>
    <w:p>
      <w:pPr>
        <w:ind w:left="446" w:hanging="446"/>
        <w:spacing w:after="0"/>
        <w:tabs>
          <w:tab w:leader="none" w:pos="446" w:val="left"/>
        </w:tabs>
        <w:numPr>
          <w:ilvl w:val="0"/>
          <w:numId w:val="4"/>
        </w:numPr>
        <w:rPr>
          <w:rFonts w:ascii="Courier New" w:cs="Courier New" w:eastAsia="Courier New" w:hAnsi="Courier New"/>
          <w:sz w:val="19"/>
          <w:szCs w:val="19"/>
          <w:color w:val="auto"/>
        </w:rPr>
      </w:pPr>
      <w:r>
        <w:rPr>
          <w:rFonts w:ascii="Courier New" w:cs="Courier New" w:eastAsia="Courier New" w:hAnsi="Courier New"/>
          <w:sz w:val="19"/>
          <w:szCs w:val="19"/>
          <w:color w:val="auto"/>
        </w:rPr>
        <w:t>Amount Beneficially Owned: 5,514,942</w:t>
      </w:r>
    </w:p>
    <w:p>
      <w:pPr>
        <w:spacing w:after="0" w:line="212" w:lineRule="exact"/>
        <w:rPr>
          <w:rFonts w:ascii="Courier New" w:cs="Courier New" w:eastAsia="Courier New" w:hAnsi="Courier New"/>
          <w:sz w:val="19"/>
          <w:szCs w:val="19"/>
          <w:color w:val="auto"/>
        </w:rPr>
      </w:pPr>
    </w:p>
    <w:p>
      <w:pPr>
        <w:ind w:left="446" w:hanging="446"/>
        <w:spacing w:after="0"/>
        <w:tabs>
          <w:tab w:leader="none" w:pos="446" w:val="left"/>
        </w:tabs>
        <w:numPr>
          <w:ilvl w:val="0"/>
          <w:numId w:val="4"/>
        </w:numPr>
        <w:rPr>
          <w:rFonts w:ascii="Courier New" w:cs="Courier New" w:eastAsia="Courier New" w:hAnsi="Courier New"/>
          <w:sz w:val="19"/>
          <w:szCs w:val="19"/>
          <w:color w:val="auto"/>
        </w:rPr>
      </w:pPr>
      <w:r>
        <w:rPr>
          <w:rFonts w:ascii="Courier New" w:cs="Courier New" w:eastAsia="Courier New" w:hAnsi="Courier New"/>
          <w:sz w:val="19"/>
          <w:szCs w:val="19"/>
          <w:color w:val="auto"/>
        </w:rPr>
        <w:t>Percent of Class: 8.434%</w:t>
      </w:r>
    </w:p>
    <w:p>
      <w:pPr>
        <w:spacing w:after="0" w:line="212" w:lineRule="exact"/>
        <w:rPr>
          <w:rFonts w:ascii="Courier New" w:cs="Courier New" w:eastAsia="Courier New" w:hAnsi="Courier New"/>
          <w:sz w:val="19"/>
          <w:szCs w:val="19"/>
          <w:color w:val="auto"/>
        </w:rPr>
      </w:pPr>
    </w:p>
    <w:p>
      <w:pPr>
        <w:ind w:left="446" w:hanging="446"/>
        <w:spacing w:after="0"/>
        <w:tabs>
          <w:tab w:leader="none" w:pos="446" w:val="left"/>
        </w:tabs>
        <w:numPr>
          <w:ilvl w:val="0"/>
          <w:numId w:val="4"/>
        </w:numPr>
        <w:rPr>
          <w:rFonts w:ascii="Courier New" w:cs="Courier New" w:eastAsia="Courier New" w:hAnsi="Courier New"/>
          <w:sz w:val="19"/>
          <w:szCs w:val="19"/>
          <w:color w:val="auto"/>
        </w:rPr>
      </w:pPr>
      <w:r>
        <w:rPr>
          <w:rFonts w:ascii="Courier New" w:cs="Courier New" w:eastAsia="Courier New" w:hAnsi="Courier New"/>
          <w:sz w:val="19"/>
          <w:szCs w:val="19"/>
          <w:color w:val="auto"/>
        </w:rPr>
        <w:t>Number of shares as to which such person has:</w:t>
      </w:r>
    </w:p>
    <w:p>
      <w:pPr>
        <w:spacing w:after="0" w:line="212" w:lineRule="exact"/>
        <w:rPr>
          <w:rFonts w:ascii="Courier New" w:cs="Courier New" w:eastAsia="Courier New" w:hAnsi="Courier New"/>
          <w:sz w:val="19"/>
          <w:szCs w:val="19"/>
          <w:color w:val="auto"/>
        </w:rPr>
      </w:pPr>
    </w:p>
    <w:p>
      <w:pPr>
        <w:ind w:left="446" w:hanging="446"/>
        <w:spacing w:after="0"/>
        <w:tabs>
          <w:tab w:leader="none" w:pos="446"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sole power to vote or to direct the vote: 543,328</w:t>
      </w:r>
    </w:p>
    <w:p>
      <w:pPr>
        <w:spacing w:after="0" w:line="212" w:lineRule="exact"/>
        <w:rPr>
          <w:rFonts w:ascii="Courier New" w:cs="Courier New" w:eastAsia="Courier New" w:hAnsi="Courier New"/>
          <w:sz w:val="19"/>
          <w:szCs w:val="19"/>
          <w:color w:val="auto"/>
        </w:rPr>
      </w:pPr>
    </w:p>
    <w:p>
      <w:pPr>
        <w:ind w:left="566" w:hanging="566"/>
        <w:spacing w:after="0"/>
        <w:tabs>
          <w:tab w:leader="none" w:pos="566" w:val="left"/>
        </w:tabs>
        <w:numPr>
          <w:ilvl w:val="0"/>
          <w:numId w:val="6"/>
        </w:numPr>
        <w:rPr>
          <w:rFonts w:ascii="Courier New" w:cs="Courier New" w:eastAsia="Courier New" w:hAnsi="Courier New"/>
          <w:sz w:val="19"/>
          <w:szCs w:val="19"/>
          <w:color w:val="auto"/>
        </w:rPr>
      </w:pPr>
      <w:r>
        <w:rPr>
          <w:rFonts w:ascii="Courier New" w:cs="Courier New" w:eastAsia="Courier New" w:hAnsi="Courier New"/>
          <w:sz w:val="19"/>
          <w:szCs w:val="19"/>
          <w:color w:val="auto"/>
        </w:rPr>
        <w:t>shared power to vote or to direct the vote: 0</w:t>
      </w:r>
    </w:p>
    <w:p>
      <w:pPr>
        <w:spacing w:after="0" w:line="219" w:lineRule="exact"/>
        <w:rPr>
          <w:rFonts w:ascii="Courier New" w:cs="Courier New" w:eastAsia="Courier New" w:hAnsi="Courier New"/>
          <w:sz w:val="19"/>
          <w:szCs w:val="19"/>
          <w:color w:val="auto"/>
        </w:rPr>
      </w:pPr>
    </w:p>
    <w:p>
      <w:pPr>
        <w:ind w:left="6" w:right="2900" w:hanging="6"/>
        <w:spacing w:after="0" w:line="508" w:lineRule="auto"/>
        <w:tabs>
          <w:tab w:leader="none" w:pos="674"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5,514,942 (iv) shared power to dispose or to direct the disposition of: 0</w:t>
      </w:r>
    </w:p>
    <w:p>
      <w:pPr>
        <w:spacing w:after="0" w:line="200"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5. Ownership of Five Percent or Less of a Class.</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Not applicable.</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6. Ownership of More than Five Percent on Behalf of Another Person.</w:t>
      </w:r>
    </w:p>
    <w:p>
      <w:pPr>
        <w:spacing w:after="0" w:line="219" w:lineRule="exact"/>
        <w:rPr>
          <w:sz w:val="20"/>
          <w:szCs w:val="20"/>
          <w:color w:val="auto"/>
        </w:rPr>
      </w:pPr>
    </w:p>
    <w:p>
      <w:pPr>
        <w:ind w:left="6" w:right="2000"/>
        <w:spacing w:after="0" w:line="237" w:lineRule="auto"/>
        <w:rPr>
          <w:sz w:val="20"/>
          <w:szCs w:val="20"/>
          <w:color w:val="auto"/>
        </w:rPr>
      </w:pPr>
      <w:r>
        <w:rPr>
          <w:rFonts w:ascii="Courier New" w:cs="Courier New" w:eastAsia="Courier New" w:hAnsi="Courier New"/>
          <w:sz w:val="19"/>
          <w:szCs w:val="19"/>
          <w:color w:val="auto"/>
        </w:rPr>
        <w:t>One or more other persons are known to have the right to receive or the power to direct the receipt of dividends from, or the proceeds from the sale of, the COMMON STOCK of TPG SPECIALTY LENDING INC. No one other person's interest in the COMMON STOCK of TPG SPECIALTY LENDING INC is more than five percent of the total outstanding COMMON STOCK.</w:t>
      </w:r>
    </w:p>
    <w:p>
      <w:pPr>
        <w:spacing w:after="0" w:line="221" w:lineRule="exact"/>
        <w:rPr>
          <w:sz w:val="20"/>
          <w:szCs w:val="20"/>
          <w:color w:val="auto"/>
        </w:rPr>
      </w:pPr>
    </w:p>
    <w:p>
      <w:pPr>
        <w:ind w:left="6" w:right="2000"/>
        <w:spacing w:after="0" w:line="235" w:lineRule="auto"/>
        <w:rPr>
          <w:sz w:val="20"/>
          <w:szCs w:val="20"/>
          <w:color w:val="auto"/>
        </w:rPr>
      </w:pPr>
      <w:r>
        <w:rPr>
          <w:rFonts w:ascii="Courier New" w:cs="Courier New" w:eastAsia="Courier New" w:hAnsi="Courier New"/>
          <w:sz w:val="19"/>
          <w:szCs w:val="19"/>
          <w:color w:val="auto"/>
        </w:rPr>
        <w:t>Item 7. Identification and Classification of the Subsidiary Which Acquired the Security Being Reported on By the Parent Holding Company.</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See attached Exhibit A.</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8. Identification and Classification of Members of the Group.</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Not applicable.</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9. Notice of Dissolution of Group.</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Not applicable.</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10. Certifications.</w:t>
      </w:r>
    </w:p>
    <w:p>
      <w:pPr>
        <w:spacing w:after="0" w:line="219" w:lineRule="exact"/>
        <w:rPr>
          <w:sz w:val="20"/>
          <w:szCs w:val="20"/>
          <w:color w:val="auto"/>
        </w:rPr>
      </w:pPr>
    </w:p>
    <w:p>
      <w:pPr>
        <w:ind w:left="6" w:right="2000"/>
        <w:spacing w:after="0" w:line="237" w:lineRule="auto"/>
        <w:rPr>
          <w:sz w:val="20"/>
          <w:szCs w:val="20"/>
          <w:color w:val="auto"/>
        </w:rPr>
      </w:pPr>
      <w:r>
        <w:rPr>
          <w:rFonts w:ascii="Courier New" w:cs="Courier New" w:eastAsia="Courier New" w:hAnsi="Courier New"/>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5"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Signature</w:t>
      </w:r>
    </w:p>
    <w:p>
      <w:pPr>
        <w:spacing w:after="0" w:line="219" w:lineRule="exact"/>
        <w:rPr>
          <w:sz w:val="20"/>
          <w:szCs w:val="20"/>
          <w:color w:val="auto"/>
        </w:rPr>
      </w:pPr>
    </w:p>
    <w:p>
      <w:pPr>
        <w:ind w:left="6" w:right="2000"/>
        <w:spacing w:after="0" w:line="236" w:lineRule="auto"/>
        <w:rPr>
          <w:sz w:val="20"/>
          <w:szCs w:val="20"/>
          <w:color w:val="auto"/>
        </w:rPr>
      </w:pPr>
      <w:r>
        <w:rPr>
          <w:rFonts w:ascii="Courier New" w:cs="Courier New" w:eastAsia="Courier New" w:hAnsi="Courier New"/>
          <w:sz w:val="19"/>
          <w:szCs w:val="19"/>
          <w:color w:val="auto"/>
        </w:rPr>
        <w:t>After reasonable inquiry and to the best of my knowledge and belief, I certify that the information set forth in this statement is true, complete and correct.</w:t>
      </w:r>
    </w:p>
    <w:p>
      <w:pPr>
        <w:spacing w:after="0" w:line="214"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February 13, 2019</w:t>
      </w:r>
    </w:p>
    <w:p>
      <w:pPr>
        <w:ind w:left="6"/>
        <w:spacing w:after="0" w:line="238" w:lineRule="auto"/>
        <w:rPr>
          <w:sz w:val="20"/>
          <w:szCs w:val="20"/>
          <w:color w:val="auto"/>
        </w:rPr>
      </w:pPr>
      <w:r>
        <w:rPr>
          <w:rFonts w:ascii="Courier New" w:cs="Courier New" w:eastAsia="Courier New" w:hAnsi="Courier New"/>
          <w:sz w:val="19"/>
          <w:szCs w:val="19"/>
          <w:color w:val="auto"/>
        </w:rPr>
        <w:t>Date</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/s/ Kevin M. Meagher</w:t>
      </w:r>
    </w:p>
    <w:p>
      <w:pPr>
        <w:ind w:left="6"/>
        <w:spacing w:after="0" w:line="238" w:lineRule="auto"/>
        <w:rPr>
          <w:sz w:val="20"/>
          <w:szCs w:val="20"/>
          <w:color w:val="auto"/>
        </w:rPr>
      </w:pPr>
      <w:r>
        <w:rPr>
          <w:rFonts w:ascii="Courier New" w:cs="Courier New" w:eastAsia="Courier New" w:hAnsi="Courier New"/>
          <w:sz w:val="19"/>
          <w:szCs w:val="19"/>
          <w:color w:val="auto"/>
        </w:rPr>
        <w:t>Signature</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Kevin M. Meagher</w:t>
      </w:r>
    </w:p>
    <w:p>
      <w:pPr>
        <w:spacing w:after="0" w:line="5" w:lineRule="exact"/>
        <w:rPr>
          <w:sz w:val="20"/>
          <w:szCs w:val="20"/>
          <w:color w:val="auto"/>
        </w:rPr>
      </w:pPr>
    </w:p>
    <w:p>
      <w:pPr>
        <w:ind w:left="6" w:right="2000"/>
        <w:spacing w:after="0" w:line="235" w:lineRule="auto"/>
        <w:rPr>
          <w:sz w:val="20"/>
          <w:szCs w:val="20"/>
          <w:color w:val="auto"/>
        </w:rPr>
      </w:pPr>
      <w:r>
        <w:rPr>
          <w:rFonts w:ascii="Courier New" w:cs="Courier New" w:eastAsia="Courier New" w:hAnsi="Courier New"/>
          <w:sz w:val="19"/>
          <w:szCs w:val="19"/>
          <w:color w:val="auto"/>
        </w:rPr>
        <w:t>Duly authorized under Power of Attorney effective as of September 28, 2018, by and on behalf of FMR LLC and its direct and indirect subsidiaries*</w:t>
      </w:r>
    </w:p>
    <w:p>
      <w:pPr>
        <w:spacing w:after="0" w:line="200" w:lineRule="exact"/>
        <w:rPr>
          <w:sz w:val="20"/>
          <w:szCs w:val="20"/>
          <w:color w:val="auto"/>
        </w:rPr>
      </w:pPr>
    </w:p>
    <w:p>
      <w:pPr>
        <w:spacing w:after="0" w:line="234" w:lineRule="exact"/>
        <w:rPr>
          <w:sz w:val="20"/>
          <w:szCs w:val="20"/>
          <w:color w:val="auto"/>
        </w:rPr>
      </w:pPr>
    </w:p>
    <w:p>
      <w:pPr>
        <w:ind w:left="6" w:right="2120" w:hanging="6"/>
        <w:spacing w:after="0" w:line="236" w:lineRule="auto"/>
        <w:tabs>
          <w:tab w:leader="none" w:pos="229" w:val="left"/>
        </w:tabs>
        <w:numPr>
          <w:ilvl w:val="0"/>
          <w:numId w:val="8"/>
        </w:numPr>
        <w:rPr>
          <w:rFonts w:ascii="Courier New" w:cs="Courier New" w:eastAsia="Courier New" w:hAnsi="Courier New"/>
          <w:sz w:val="19"/>
          <w:szCs w:val="19"/>
          <w:color w:val="auto"/>
        </w:rPr>
      </w:pPr>
      <w:r>
        <w:rPr>
          <w:rFonts w:ascii="Courier New" w:cs="Courier New" w:eastAsia="Courier New" w:hAnsi="Courier New"/>
          <w:sz w:val="19"/>
          <w:szCs w:val="19"/>
          <w:color w:val="auto"/>
        </w:rPr>
        <w:t>This power of attorney is incorporated herein by reference to Exhibit 24 to the Schedule 13G filed by FMR LLC on October 9, 2018, accession number: 0000315066-18-002414.</w:t>
      </w:r>
    </w:p>
    <w:p>
      <w:pPr>
        <w:sectPr>
          <w:pgSz w:w="12240" w:h="15840" w:orient="portrait"/>
          <w:cols w:equalWidth="0" w:num="1">
            <w:col w:w="10686"/>
          </w:cols>
          <w:pgMar w:left="114" w:top="209" w:right="1440" w:bottom="0" w:gutter="0" w:footer="0" w:header="0"/>
        </w:sectPr>
      </w:pPr>
    </w:p>
    <w:bookmarkStart w:id="2" w:name="page3"/>
    <w:bookmarkEnd w:id="2"/>
    <w:p>
      <w:pPr>
        <w:ind w:left="6"/>
        <w:spacing w:after="0"/>
        <w:rPr>
          <w:sz w:val="20"/>
          <w:szCs w:val="20"/>
          <w:color w:val="auto"/>
        </w:rPr>
      </w:pPr>
      <w:r>
        <w:rPr>
          <w:rFonts w:ascii="Courier New" w:cs="Courier New" w:eastAsia="Courier New" w:hAnsi="Courier New"/>
          <w:sz w:val="19"/>
          <w:szCs w:val="19"/>
          <w:color w:val="auto"/>
        </w:rPr>
        <w:t>Exhibit A</w:t>
      </w:r>
    </w:p>
    <w:p>
      <w:pPr>
        <w:spacing w:after="0" w:line="200" w:lineRule="exact"/>
        <w:rPr>
          <w:sz w:val="20"/>
          <w:szCs w:val="20"/>
          <w:color w:val="auto"/>
        </w:rPr>
      </w:pPr>
    </w:p>
    <w:p>
      <w:pPr>
        <w:spacing w:after="0" w:line="233" w:lineRule="exact"/>
        <w:rPr>
          <w:sz w:val="20"/>
          <w:szCs w:val="20"/>
          <w:color w:val="auto"/>
        </w:rPr>
      </w:pPr>
    </w:p>
    <w:p>
      <w:pPr>
        <w:ind w:left="6" w:right="2120"/>
        <w:spacing w:after="0" w:line="237" w:lineRule="auto"/>
        <w:rPr>
          <w:sz w:val="20"/>
          <w:szCs w:val="20"/>
          <w:color w:val="auto"/>
        </w:rPr>
      </w:pPr>
      <w:r>
        <w:rPr>
          <w:rFonts w:ascii="Courier New" w:cs="Courier New" w:eastAsia="Courier New" w:hAnsi="Courier New"/>
          <w:sz w:val="19"/>
          <w:szCs w:val="19"/>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213" w:lineRule="exact"/>
        <w:rPr>
          <w:sz w:val="20"/>
          <w:szCs w:val="20"/>
          <w:color w:val="auto"/>
        </w:rPr>
      </w:pPr>
    </w:p>
    <w:p>
      <w:pPr>
        <w:ind w:left="6"/>
        <w:spacing w:after="0"/>
        <w:tabs>
          <w:tab w:leader="none" w:pos="986" w:val="left"/>
        </w:tabs>
        <w:rPr>
          <w:sz w:val="20"/>
          <w:szCs w:val="20"/>
          <w:color w:val="auto"/>
        </w:rPr>
      </w:pPr>
      <w:r>
        <w:rPr>
          <w:rFonts w:ascii="Courier New" w:cs="Courier New" w:eastAsia="Courier New" w:hAnsi="Courier New"/>
          <w:sz w:val="19"/>
          <w:szCs w:val="19"/>
          <w:color w:val="auto"/>
        </w:rPr>
        <w:t>Entity</w:t>
      </w:r>
      <w:r>
        <w:rPr>
          <w:sz w:val="20"/>
          <w:szCs w:val="20"/>
          <w:color w:val="auto"/>
        </w:rPr>
        <w:tab/>
      </w:r>
      <w:r>
        <w:rPr>
          <w:rFonts w:ascii="Courier New" w:cs="Courier New" w:eastAsia="Courier New" w:hAnsi="Courier New"/>
          <w:sz w:val="19"/>
          <w:szCs w:val="19"/>
          <w:color w:val="auto"/>
        </w:rPr>
        <w:t>ITEM 3 Classification</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FMR CO., INC * IA</w:t>
      </w:r>
    </w:p>
    <w:p>
      <w:pPr>
        <w:spacing w:after="0" w:line="200" w:lineRule="exact"/>
        <w:rPr>
          <w:sz w:val="20"/>
          <w:szCs w:val="20"/>
          <w:color w:val="auto"/>
        </w:rPr>
      </w:pPr>
    </w:p>
    <w:p>
      <w:pPr>
        <w:spacing w:after="0" w:line="233" w:lineRule="exact"/>
        <w:rPr>
          <w:sz w:val="20"/>
          <w:szCs w:val="20"/>
          <w:color w:val="auto"/>
        </w:rPr>
      </w:pPr>
    </w:p>
    <w:p>
      <w:pPr>
        <w:ind w:left="6" w:right="2560" w:hanging="6"/>
        <w:spacing w:after="0" w:line="235" w:lineRule="auto"/>
        <w:tabs>
          <w:tab w:leader="none" w:pos="229" w:val="left"/>
        </w:tabs>
        <w:numPr>
          <w:ilvl w:val="0"/>
          <w:numId w:val="9"/>
        </w:numPr>
        <w:rPr>
          <w:rFonts w:ascii="Courier New" w:cs="Courier New" w:eastAsia="Courier New" w:hAnsi="Courier New"/>
          <w:sz w:val="19"/>
          <w:szCs w:val="19"/>
          <w:color w:val="auto"/>
        </w:rPr>
      </w:pPr>
      <w:r>
        <w:rPr>
          <w:rFonts w:ascii="Courier New" w:cs="Courier New" w:eastAsia="Courier New" w:hAnsi="Courier New"/>
          <w:sz w:val="19"/>
          <w:szCs w:val="19"/>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34" w:lineRule="exact"/>
        <w:rPr>
          <w:sz w:val="20"/>
          <w:szCs w:val="20"/>
          <w:color w:val="auto"/>
        </w:rPr>
      </w:pPr>
    </w:p>
    <w:p>
      <w:pPr>
        <w:ind w:left="6" w:right="2000"/>
        <w:spacing w:after="0" w:line="235" w:lineRule="auto"/>
        <w:rPr>
          <w:sz w:val="20"/>
          <w:szCs w:val="20"/>
          <w:color w:val="auto"/>
        </w:rPr>
      </w:pPr>
      <w:r>
        <w:rPr>
          <w:rFonts w:ascii="Courier New" w:cs="Courier New" w:eastAsia="Courier New" w:hAnsi="Courier New"/>
          <w:sz w:val="19"/>
          <w:szCs w:val="19"/>
          <w:color w:val="auto"/>
        </w:rPr>
        <w:t>Abigail P. Johnson is a Director, the Chairman and the Chief Executive Officer of FMR LLC.</w:t>
      </w:r>
    </w:p>
    <w:p>
      <w:pPr>
        <w:spacing w:after="0" w:line="220" w:lineRule="exact"/>
        <w:rPr>
          <w:sz w:val="20"/>
          <w:szCs w:val="20"/>
          <w:color w:val="auto"/>
        </w:rPr>
      </w:pPr>
    </w:p>
    <w:p>
      <w:pPr>
        <w:ind w:left="6" w:right="2000"/>
        <w:spacing w:after="0" w:line="237" w:lineRule="auto"/>
        <w:rPr>
          <w:sz w:val="20"/>
          <w:szCs w:val="20"/>
          <w:color w:val="auto"/>
        </w:rPr>
      </w:pPr>
      <w:r>
        <w:rPr>
          <w:rFonts w:ascii="Courier New" w:cs="Courier New" w:eastAsia="Courier New" w:hAnsi="Courier New"/>
          <w:sz w:val="19"/>
          <w:szCs w:val="19"/>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28" w:lineRule="exact"/>
        <w:rPr>
          <w:sz w:val="20"/>
          <w:szCs w:val="20"/>
          <w:color w:val="auto"/>
        </w:rPr>
      </w:pPr>
    </w:p>
    <w:p>
      <w:pPr>
        <w:ind w:left="6" w:right="2240"/>
        <w:spacing w:after="0" w:line="237" w:lineRule="auto"/>
        <w:rPr>
          <w:sz w:val="20"/>
          <w:szCs w:val="20"/>
          <w:color w:val="auto"/>
        </w:rPr>
      </w:pPr>
      <w:r>
        <w:rPr>
          <w:rFonts w:ascii="Courier New" w:cs="Courier New" w:eastAsia="Courier New" w:hAnsi="Courier New"/>
          <w:sz w:val="19"/>
          <w:szCs w:val="19"/>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FMR Co carries out the voting of the shares under written guidelines established by the Fidelity Funds' Boards of Trustees.</w:t>
      </w:r>
    </w:p>
    <w:p>
      <w:pPr>
        <w:spacing w:after="0" w:line="224" w:lineRule="exact"/>
        <w:rPr>
          <w:sz w:val="20"/>
          <w:szCs w:val="20"/>
          <w:color w:val="auto"/>
        </w:rPr>
      </w:pPr>
    </w:p>
    <w:p>
      <w:pPr>
        <w:ind w:left="6" w:right="2000"/>
        <w:spacing w:after="0" w:line="237" w:lineRule="auto"/>
        <w:rPr>
          <w:sz w:val="20"/>
          <w:szCs w:val="20"/>
          <w:color w:val="auto"/>
        </w:rPr>
      </w:pPr>
      <w:r>
        <w:rPr>
          <w:rFonts w:ascii="Courier New" w:cs="Courier New" w:eastAsia="Courier New" w:hAnsi="Courier New"/>
          <w:sz w:val="19"/>
          <w:szCs w:val="19"/>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31"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RULE 13d-1(k)(1) AGREEMENT</w:t>
      </w:r>
    </w:p>
    <w:p>
      <w:pPr>
        <w:spacing w:after="0" w:line="219" w:lineRule="exact"/>
        <w:rPr>
          <w:sz w:val="20"/>
          <w:szCs w:val="20"/>
          <w:color w:val="auto"/>
        </w:rPr>
      </w:pPr>
    </w:p>
    <w:p>
      <w:pPr>
        <w:ind w:left="6" w:right="2120"/>
        <w:spacing w:after="0" w:line="237" w:lineRule="auto"/>
        <w:rPr>
          <w:sz w:val="20"/>
          <w:szCs w:val="20"/>
          <w:color w:val="auto"/>
        </w:rPr>
      </w:pPr>
      <w:r>
        <w:rPr>
          <w:rFonts w:ascii="Courier New" w:cs="Courier New" w:eastAsia="Courier New" w:hAnsi="Courier New"/>
          <w:sz w:val="19"/>
          <w:szCs w:val="19"/>
          <w:color w:val="auto"/>
        </w:rPr>
        <w:t>The undersigned persons, on February 13, 2019, agree and consent to the joint filing on their behalf of this Schedule 13G in connection with their beneficial ownership of the COMMON STOCK of TPG SPECIALTY LENDING INC at December 31, 2018.</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FMR LLC</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By /s/ Kevin M. Meagher</w:t>
      </w:r>
    </w:p>
    <w:p>
      <w:pPr>
        <w:ind w:left="6"/>
        <w:spacing w:after="0" w:line="238" w:lineRule="auto"/>
        <w:rPr>
          <w:sz w:val="20"/>
          <w:szCs w:val="20"/>
          <w:color w:val="auto"/>
        </w:rPr>
      </w:pPr>
      <w:r>
        <w:rPr>
          <w:rFonts w:ascii="Courier New" w:cs="Courier New" w:eastAsia="Courier New" w:hAnsi="Courier New"/>
          <w:sz w:val="19"/>
          <w:szCs w:val="19"/>
          <w:color w:val="auto"/>
        </w:rPr>
        <w:t>Kevin M. Meagher</w:t>
      </w:r>
    </w:p>
    <w:p>
      <w:pPr>
        <w:spacing w:after="0" w:line="6" w:lineRule="exact"/>
        <w:rPr>
          <w:sz w:val="20"/>
          <w:szCs w:val="20"/>
          <w:color w:val="auto"/>
        </w:rPr>
      </w:pPr>
    </w:p>
    <w:p>
      <w:pPr>
        <w:ind w:left="6" w:right="2000"/>
        <w:spacing w:after="0" w:line="235" w:lineRule="auto"/>
        <w:rPr>
          <w:sz w:val="20"/>
          <w:szCs w:val="20"/>
          <w:color w:val="auto"/>
        </w:rPr>
      </w:pPr>
      <w:r>
        <w:rPr>
          <w:rFonts w:ascii="Courier New" w:cs="Courier New" w:eastAsia="Courier New" w:hAnsi="Courier New"/>
          <w:sz w:val="19"/>
          <w:szCs w:val="19"/>
          <w:color w:val="auto"/>
        </w:rPr>
        <w:t>Duly authorized under Power of Attorney effective as of September 28, 2018, by and on behalf of FMR LLC and its direct and indirect subsidiaries*</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Abigail P. Johnson</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By /s/ Kevin M. Meagher</w:t>
      </w:r>
    </w:p>
    <w:p>
      <w:pPr>
        <w:ind w:left="6"/>
        <w:spacing w:after="0" w:line="238" w:lineRule="auto"/>
        <w:rPr>
          <w:sz w:val="20"/>
          <w:szCs w:val="20"/>
          <w:color w:val="auto"/>
        </w:rPr>
      </w:pPr>
      <w:r>
        <w:rPr>
          <w:rFonts w:ascii="Courier New" w:cs="Courier New" w:eastAsia="Courier New" w:hAnsi="Courier New"/>
          <w:sz w:val="19"/>
          <w:szCs w:val="19"/>
          <w:color w:val="auto"/>
        </w:rPr>
        <w:t>Kevin M. Meagher</w:t>
      </w:r>
    </w:p>
    <w:p>
      <w:pPr>
        <w:spacing w:after="0" w:line="6" w:lineRule="exact"/>
        <w:rPr>
          <w:sz w:val="20"/>
          <w:szCs w:val="20"/>
          <w:color w:val="auto"/>
        </w:rPr>
      </w:pPr>
    </w:p>
    <w:p>
      <w:pPr>
        <w:ind w:left="6" w:right="2000"/>
        <w:spacing w:after="0" w:line="235" w:lineRule="auto"/>
        <w:rPr>
          <w:sz w:val="20"/>
          <w:szCs w:val="20"/>
          <w:color w:val="auto"/>
        </w:rPr>
      </w:pPr>
      <w:r>
        <w:rPr>
          <w:rFonts w:ascii="Courier New" w:cs="Courier New" w:eastAsia="Courier New" w:hAnsi="Courier New"/>
          <w:sz w:val="19"/>
          <w:szCs w:val="19"/>
          <w:color w:val="auto"/>
        </w:rPr>
        <w:t>Duly authorized under Power of Attorney effective as of September 30, 2018, by and on behalf of Abigail P. Johnson*</w:t>
      </w:r>
    </w:p>
    <w:p>
      <w:pPr>
        <w:spacing w:after="0" w:line="200" w:lineRule="exact"/>
        <w:rPr>
          <w:sz w:val="20"/>
          <w:szCs w:val="20"/>
          <w:color w:val="auto"/>
        </w:rPr>
      </w:pPr>
    </w:p>
    <w:p>
      <w:pPr>
        <w:spacing w:after="0" w:line="234" w:lineRule="exact"/>
        <w:rPr>
          <w:sz w:val="20"/>
          <w:szCs w:val="20"/>
          <w:color w:val="auto"/>
        </w:rPr>
      </w:pPr>
    </w:p>
    <w:p>
      <w:pPr>
        <w:ind w:left="6"/>
        <w:spacing w:after="0"/>
        <w:rPr>
          <w:sz w:val="20"/>
          <w:szCs w:val="20"/>
          <w:color w:val="auto"/>
        </w:rPr>
      </w:pPr>
      <w:r>
        <w:rPr>
          <w:rFonts w:ascii="Courier New" w:cs="Courier New" w:eastAsia="Courier New" w:hAnsi="Courier New"/>
          <w:sz w:val="18"/>
          <w:szCs w:val="18"/>
          <w:color w:val="auto"/>
        </w:rPr>
        <w:t>* This power of attorney is incorporated herein by reference to Exhibit 24 to</w:t>
      </w:r>
    </w:p>
    <w:p>
      <w:pPr>
        <w:sectPr>
          <w:pgSz w:w="12240" w:h="15840" w:orient="portrait"/>
          <w:cols w:equalWidth="0" w:num="1">
            <w:col w:w="10686"/>
          </w:cols>
          <w:pgMar w:left="114" w:top="209"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the Schedule 13G filed by FMR LLC on October 9, 2018, accession number: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0000315066-18-002414.</w:t>
      </w:r>
    </w:p>
    <w:sectPr>
      <w:pgSz w:w="12240" w:h="15840" w:orient="portrait"/>
      <w:cols w:equalWidth="0" w:num="1">
        <w:col w:w="10680"/>
      </w:cols>
      <w:pgMar w:left="120" w:top="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Roman"/>
      <w:start w:val="10"/>
    </w:lvl>
  </w:abstractNum>
  <w:abstractNum w:abstractNumId="1">
    <w:nsid w:val="3D1B58BA"/>
    <w:multiLevelType w:val="hybridMultilevel"/>
    <w:lvl w:ilvl="0">
      <w:lvlJc w:val="left"/>
      <w:lvlText w:val="(%1)"/>
      <w:numFmt w:val="lowerLetter"/>
      <w:start w:val="2"/>
    </w:lvl>
  </w:abstractNum>
  <w:abstractNum w:abstractNumId="2">
    <w:nsid w:val="507ED7AB"/>
    <w:multiLevelType w:val="hybridMultilevel"/>
    <w:lvl w:ilvl="0">
      <w:lvlJc w:val="left"/>
      <w:lvlText w:val="(%1)"/>
      <w:numFmt w:val="lowerLetter"/>
      <w:start w:val="2"/>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9"/>
    </w:lvl>
  </w:abstractNum>
  <w:abstractNum w:abstractNumId="5">
    <w:nsid w:val="79E2A9E3"/>
    <w:multiLevelType w:val="hybridMultilevel"/>
    <w:lvl w:ilvl="0">
      <w:lvlJc w:val="left"/>
      <w:lvlText w:val="(%1)"/>
      <w:numFmt w:val="lowerLetter"/>
      <w:start w:val="35"/>
    </w:lvl>
  </w:abstractNum>
  <w:abstractNum w:abstractNumId="6">
    <w:nsid w:val="7545E146"/>
    <w:multiLevelType w:val="hybridMultilevel"/>
    <w:lvl w:ilvl="0">
      <w:lvlJc w:val="left"/>
      <w:lvlText w:val="(%1)"/>
      <w:numFmt w:val="lowerLetter"/>
      <w:start w:val="6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2019-12-15T18:05:44Z</dcterms:created>
  <dcterms:modified xsi:type="dcterms:W3CDTF">2019-12-15T18:05:44Z</dcterms:modified>
</cp:coreProperties>
</file>