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1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22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44"/>
          </w:cols>
          <w:pgMar w:left="436" w:top="517" w:right="519" w:bottom="43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1 TO THE 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APRIL 13, 2021 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STOCKHOLDERS TO BE HELD ON MAY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80" w:firstLine="440"/>
        <w:spacing w:after="0" w:line="259" w:lineRule="auto"/>
        <w:rPr>
          <w:sz w:val="20"/>
          <w:szCs w:val="20"/>
          <w:color w:val="auto"/>
        </w:rPr>
      </w:pPr>
      <w:r>
        <w:rPr>
          <w:rFonts w:ascii="Arial" w:cs="Arial" w:eastAsia="Arial" w:hAnsi="Arial"/>
          <w:sz w:val="18"/>
          <w:szCs w:val="18"/>
          <w:color w:val="auto"/>
        </w:rPr>
        <w:t>This Amendment No. 1 to Schedule 14A (“Amendment No. 1”) is being filed to amend Sixth Street Specialty Lending, Inc.’s definitive proxy statement for its 2021 Annual Meeting of Shareholders (the “Meeting”), which was filed with the Securities and Exchange Commission on April 13, 2021 (the “Proxy Statement”), in order to correct an error to the amount of shares outstanding included in the Proxy Statement. All other items of the Proxy Statement are incorporated herein by reference without changes.</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Except as specifically discussed in this Explanatory Note, this Amendment No. 1 does not otherwise modify or update any other disclosures presented in the Proxy Statement. In addition, this Amendment No. 1 does not reflect events occurring after the date of the Proxy Statement or modify or update disclosures that may have been affected by subsequent events.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TO THE PROXY STATEMENT</w:t>
      </w:r>
    </w:p>
    <w:p>
      <w:pPr>
        <w:spacing w:after="0" w:line="22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Each mention of the number of shares outstanding as of the record date in the Proxy Statement is amended and restated to read “71,969,998 shares.” All other information in the “Security Ownership of Certain Beneficial Owners and Management,” section of the Proxy Statement, including the number of shares of common stock beneficially owned and the percent of common stock beneficial owned included within the table therein, remain unchanged.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to the Availability of Proxy Materials for the Meeting to be Held on May 26, 2021:</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change to the Proxy Statement in this Amendment No. 1 has been incorporated into the Notice of the Meeting and the Proxy Statement which are available on the internet at www.proxyvote.com. This material is first being distributed to stockholders on or about April 16, 2021, and should be read together with the Proxy Statement.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2021-04-16T15:17:14Z</dcterms:created>
  <dcterms:modified xsi:type="dcterms:W3CDTF">2021-04-16T15:17:14Z</dcterms:modified>
</cp:coreProperties>
</file>