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22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2224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Fishman Michael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TPG GLOBAL, LLC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301 COMMERCE ST., SUITE 3300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TPG Specialty Lending,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TSLX</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10/15/2014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63"/>
        <w:spacing w:after="0"/>
        <w:rPr>
          <w:sz w:val="20"/>
          <w:szCs w:val="20"/>
          <w:color w:val="auto"/>
        </w:rPr>
      </w:pPr>
      <w:r>
        <w:rPr>
          <w:rFonts w:ascii="Arial" w:cs="Arial" w:eastAsia="Arial" w:hAnsi="Arial"/>
          <w:sz w:val="18"/>
          <w:szCs w:val="18"/>
          <w:color w:val="0000FF"/>
        </w:rPr>
        <w:t>Co-Chief Executive Officer</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6"/>
              </w:rPr>
              <w:t>FORT WORTH</w:t>
            </w:r>
          </w:p>
        </w:tc>
        <w:tc>
          <w:tcPr>
            <w:tcW w:w="920" w:type="dxa"/>
            <w:vAlign w:val="bottom"/>
          </w:tcPr>
          <w:p>
            <w:pPr>
              <w:ind w:left="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76102</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4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4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540" w:type="dxa"/>
            <w:vAlign w:val="bottom"/>
            <w:gridSpan w:val="2"/>
            <w:vMerge w:val="restart"/>
          </w:tcPr>
          <w:p>
            <w:pPr>
              <w:ind w:left="540"/>
              <w:spacing w:after="0"/>
              <w:rPr>
                <w:sz w:val="20"/>
                <w:szCs w:val="20"/>
                <w:color w:val="auto"/>
              </w:rPr>
            </w:pPr>
            <w:r>
              <w:rPr>
                <w:rFonts w:ascii="Arial" w:cs="Arial" w:eastAsia="Arial" w:hAnsi="Arial"/>
                <w:sz w:val="18"/>
                <w:szCs w:val="18"/>
                <w:color w:val="0000FF"/>
              </w:rPr>
              <w:t>10/15/2014</w:t>
            </w: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vMerge w:val="restart"/>
          </w:tcPr>
          <w:p>
            <w:pPr>
              <w:ind w:left="80"/>
              <w:spacing w:after="0"/>
              <w:rPr>
                <w:sz w:val="20"/>
                <w:szCs w:val="20"/>
                <w:color w:val="auto"/>
              </w:rPr>
            </w:pPr>
            <w:r>
              <w:rPr>
                <w:rFonts w:ascii="Arial" w:cs="Arial" w:eastAsia="Arial" w:hAnsi="Arial"/>
                <w:sz w:val="27"/>
                <w:szCs w:val="27"/>
                <w:color w:val="0000FF"/>
                <w:vertAlign w:val="subscript"/>
              </w:rPr>
              <w:t>P</w:t>
            </w:r>
            <w:r>
              <w:rPr>
                <w:rFonts w:ascii="Arial" w:cs="Arial" w:eastAsia="Arial" w:hAnsi="Arial"/>
                <w:sz w:val="11"/>
                <w:szCs w:val="11"/>
                <w:color w:val="008000"/>
              </w:rPr>
              <w:t>(1)</w:t>
            </w:r>
          </w:p>
        </w:tc>
        <w:tc>
          <w:tcPr>
            <w:tcW w:w="780" w:type="dxa"/>
            <w:vAlign w:val="bottom"/>
            <w:vMerge w:val="restart"/>
          </w:tcPr>
          <w:p>
            <w:pPr>
              <w:ind w:left="240"/>
              <w:spacing w:after="0"/>
              <w:rPr>
                <w:sz w:val="20"/>
                <w:szCs w:val="20"/>
                <w:color w:val="auto"/>
              </w:rPr>
            </w:pPr>
            <w:r>
              <w:rPr>
                <w:rFonts w:ascii="Arial" w:cs="Arial" w:eastAsia="Arial" w:hAnsi="Arial"/>
                <w:sz w:val="18"/>
                <w:szCs w:val="18"/>
                <w:color w:val="0000FF"/>
              </w:rPr>
              <w:t>3.9</w:t>
            </w:r>
          </w:p>
        </w:tc>
        <w:tc>
          <w:tcPr>
            <w:tcW w:w="500" w:type="dxa"/>
            <w:vAlign w:val="bottom"/>
            <w:vMerge w:val="restart"/>
          </w:tcPr>
          <w:p>
            <w:pPr>
              <w:ind w:left="180"/>
              <w:spacing w:after="0"/>
              <w:rPr>
                <w:sz w:val="20"/>
                <w:szCs w:val="20"/>
                <w:color w:val="auto"/>
              </w:rPr>
            </w:pPr>
            <w:r>
              <w:rPr>
                <w:rFonts w:ascii="Arial" w:cs="Arial" w:eastAsia="Arial" w:hAnsi="Arial"/>
                <w:sz w:val="18"/>
                <w:szCs w:val="18"/>
                <w:color w:val="0000FF"/>
              </w:rPr>
              <w:t>A</w:t>
            </w:r>
          </w:p>
        </w:tc>
        <w:tc>
          <w:tcPr>
            <w:tcW w:w="680" w:type="dxa"/>
            <w:vAlign w:val="bottom"/>
            <w:gridSpan w:val="2"/>
            <w:vMerge w:val="restart"/>
          </w:tcPr>
          <w:p>
            <w:pPr>
              <w:ind w:left="60"/>
              <w:spacing w:after="0"/>
              <w:rPr>
                <w:sz w:val="20"/>
                <w:szCs w:val="20"/>
                <w:color w:val="auto"/>
              </w:rPr>
            </w:pPr>
            <w:r>
              <w:rPr>
                <w:rFonts w:ascii="Arial" w:cs="Arial" w:eastAsia="Arial" w:hAnsi="Arial"/>
                <w:sz w:val="18"/>
                <w:szCs w:val="18"/>
                <w:color w:val="auto"/>
                <w:w w:val="82"/>
              </w:rPr>
              <w:t>$</w:t>
            </w:r>
            <w:r>
              <w:rPr>
                <w:rFonts w:ascii="Arial" w:cs="Arial" w:eastAsia="Arial" w:hAnsi="Arial"/>
                <w:sz w:val="18"/>
                <w:szCs w:val="18"/>
                <w:color w:val="0000FF"/>
                <w:w w:val="82"/>
              </w:rPr>
              <w:t>15.66</w:t>
            </w:r>
            <w:r>
              <w:rPr>
                <w:rFonts w:ascii="Arial" w:cs="Arial" w:eastAsia="Arial" w:hAnsi="Arial"/>
                <w:sz w:val="22"/>
                <w:szCs w:val="22"/>
                <w:color w:val="008000"/>
                <w:w w:val="82"/>
                <w:vertAlign w:val="superscript"/>
              </w:rPr>
              <w:t>(2)</w:t>
            </w:r>
          </w:p>
        </w:tc>
        <w:tc>
          <w:tcPr>
            <w:tcW w:w="1320" w:type="dxa"/>
            <w:vAlign w:val="bottom"/>
            <w:gridSpan w:val="3"/>
            <w:vMerge w:val="restart"/>
          </w:tcPr>
          <w:p>
            <w:pPr>
              <w:ind w:left="320"/>
              <w:spacing w:after="0"/>
              <w:rPr>
                <w:sz w:val="20"/>
                <w:szCs w:val="20"/>
                <w:color w:val="auto"/>
              </w:rPr>
            </w:pPr>
            <w:r>
              <w:rPr>
                <w:rFonts w:ascii="Arial" w:cs="Arial" w:eastAsia="Arial" w:hAnsi="Arial"/>
                <w:sz w:val="18"/>
                <w:szCs w:val="18"/>
                <w:color w:val="0000FF"/>
              </w:rPr>
              <w:t>36,366.11</w:t>
            </w:r>
          </w:p>
        </w:tc>
        <w:tc>
          <w:tcPr>
            <w:tcW w:w="320" w:type="dxa"/>
            <w:vAlign w:val="bottom"/>
          </w:tcPr>
          <w:p>
            <w:pPr>
              <w:spacing w:after="0"/>
              <w:rPr>
                <w:sz w:val="18"/>
                <w:szCs w:val="18"/>
                <w:color w:val="auto"/>
              </w:rPr>
            </w:pPr>
          </w:p>
        </w:tc>
        <w:tc>
          <w:tcPr>
            <w:tcW w:w="54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w w:val="99"/>
              </w:rPr>
              <w:t>Explanation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60" w:type="dxa"/>
            <w:vAlign w:val="bottom"/>
            <w:vMerge w:val="restart"/>
          </w:tcPr>
          <w:p>
            <w:pPr>
              <w:ind w:left="80"/>
              <w:spacing w:after="0"/>
              <w:rPr>
                <w:sz w:val="20"/>
                <w:szCs w:val="20"/>
                <w:color w:val="auto"/>
              </w:rPr>
            </w:pPr>
            <w:r>
              <w:rPr>
                <w:rFonts w:ascii="Arial" w:cs="Arial" w:eastAsia="Arial" w:hAnsi="Arial"/>
                <w:sz w:val="18"/>
                <w:szCs w:val="18"/>
                <w:color w:val="0000FF"/>
              </w:rPr>
              <w:t>of</w:t>
            </w: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0000FF"/>
                <w:w w:val="87"/>
              </w:rPr>
              <w:t>Responses</w:t>
            </w:r>
            <w:r>
              <w:rPr>
                <w:rFonts w:ascii="Arial" w:cs="Arial" w:eastAsia="Arial" w:hAnsi="Arial"/>
                <w:sz w:val="22"/>
                <w:szCs w:val="22"/>
                <w:color w:val="008000"/>
                <w:w w:val="87"/>
                <w:vertAlign w:val="superscript"/>
              </w:rPr>
              <w:t>(3)</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purchases reported in this Form 4 were effected pursuant to a Rule 10b5-1 trading plan adopted by TSL Advisers, LLC ("TSL Advisers"), dated as of March 11, 2014.</w:t>
      </w:r>
    </w:p>
    <w:p>
      <w:pPr>
        <w:spacing w:after="0" w:line="41" w:lineRule="exact"/>
        <w:rPr>
          <w:rFonts w:ascii="Arial" w:cs="Arial" w:eastAsia="Arial" w:hAnsi="Arial"/>
          <w:sz w:val="14"/>
          <w:szCs w:val="14"/>
          <w:color w:val="008000"/>
        </w:rPr>
      </w:pPr>
    </w:p>
    <w:p>
      <w:pPr>
        <w:ind w:left="40" w:right="1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purchased in multiple transactions at prices ranging from $15.65 to $15.69, inclusive. The reporting person undertakes to provide to the Issuer, any security holder of the Issuer, or the staff of the Securities and Exchange Commission, upon request, full information regarding the number of shares sold at each separate price within the range set forth herein.</w:t>
      </w:r>
    </w:p>
    <w:p>
      <w:pPr>
        <w:spacing w:after="0" w:line="30" w:lineRule="exact"/>
        <w:rPr>
          <w:rFonts w:ascii="Arial" w:cs="Arial" w:eastAsia="Arial" w:hAnsi="Arial"/>
          <w:sz w:val="14"/>
          <w:szCs w:val="14"/>
          <w:color w:val="008000"/>
        </w:rPr>
      </w:pPr>
    </w:p>
    <w:p>
      <w:pPr>
        <w:ind w:left="40" w:right="1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TSL Advisers directly holds 2,799,817 shares of Common Stock of the Issuer, including 36,366.11 shares of Common Stock of the Issuer indirectly beneficially owned by Mr. Fishman (through his limited partnership interest in TSL Equity Partners, L.P., which is a member of TSL Advisers).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360" w:firstLine="9"/>
        <w:spacing w:after="0" w:line="239" w:lineRule="auto"/>
        <w:tabs>
          <w:tab w:leader="none" w:pos="17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Ronald Cami is signing on behalf of Mr. Fishman pursuant to the authorization and designation letter dated July 1, 2013, which was previously filed with the Securities and Exchange Commission as an exhibit to a Form 4 filed by Mr. Fishman on September 17, 2013 (SEC File No. 814-00854).</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3"/>
              </w:rPr>
              <w:t>/s/ Ronald Cami, on behalf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10/17/2014</w:t>
            </w:r>
          </w:p>
        </w:tc>
        <w:tc>
          <w:tcPr>
            <w:tcW w:w="0" w:type="dxa"/>
            <w:vAlign w:val="bottom"/>
          </w:tcPr>
          <w:p>
            <w:pPr>
              <w:spacing w:after="0"/>
              <w:rPr>
                <w:sz w:val="1"/>
                <w:szCs w:val="1"/>
                <w:color w:val="auto"/>
              </w:rPr>
            </w:pPr>
          </w:p>
        </w:tc>
      </w:tr>
      <w:tr>
        <w:trPr>
          <w:trHeight w:val="88"/>
        </w:trPr>
        <w:tc>
          <w:tcPr>
            <w:tcW w:w="208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Michael Fishman (4)</w:t>
            </w: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8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80" w:type="dxa"/>
            <w:vAlign w:val="bottom"/>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7378"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2019-12-16T07:50:28Z</dcterms:created>
  <dcterms:modified xsi:type="dcterms:W3CDTF">2019-12-16T07:50:28Z</dcterms:modified>
</cp:coreProperties>
</file>