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920" w:hanging="439"/>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TPG Specialty Lending, Inc., together with the other participants named herein (collectively, “TSLX”), filed a definitive proxy statement and an accompanying GOLD proxy card with the Securities and Exchange Commission (the “SEC”) to be used to solicit votes from the stockholders of TICC Capital Corp. (“TICC”) to: (a) 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 part of the above-referenced solicitation, TSLX updated certain pages of its website, </w:t>
      </w:r>
      <w:r>
        <w:rPr>
          <w:rFonts w:ascii="Arial" w:cs="Arial" w:eastAsia="Arial" w:hAnsi="Arial"/>
          <w:sz w:val="18"/>
          <w:szCs w:val="18"/>
          <w:u w:val="single" w:color="auto"/>
          <w:color w:val="auto"/>
        </w:rPr>
        <w:t>http://www.changeticcnow.com/</w:t>
      </w:r>
      <w:r>
        <w:rPr>
          <w:rFonts w:ascii="Arial" w:cs="Arial" w:eastAsia="Arial" w:hAnsi="Arial"/>
          <w:sz w:val="18"/>
          <w:szCs w:val="18"/>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340"/>
          </w:cols>
          <w:pgMar w:left="240" w:top="382"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565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1865" cy="556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5"/>
          </w:tcPr>
          <w:p>
            <w:pPr>
              <w:spacing w:after="0"/>
              <w:rPr>
                <w:sz w:val="20"/>
                <w:szCs w:val="20"/>
                <w:color w:val="auto"/>
              </w:rPr>
            </w:pPr>
            <w:r>
              <w:rPr>
                <w:rFonts w:ascii="Arial" w:cs="Arial" w:eastAsia="Arial" w:hAnsi="Arial"/>
                <w:sz w:val="14"/>
                <w:szCs w:val="14"/>
                <w:color w:val="FFFFFF"/>
                <w:w w:val="89"/>
              </w:rPr>
              <w:t>DISCLAIMER About TPG Specialty Lending TPG Specialty Lending, Inc. (“TSLX” or the “Company”) is a specialty finance company focused on lending to middle-market companies. The Company seeks to</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generate current income primarily in U.S.-domiciled middle-market companies through direct originations of senior secured loans and, to a lesser extent, originations of mezzanine loans and investments in</w:t>
            </w:r>
          </w:p>
        </w:tc>
      </w:tr>
      <w:tr>
        <w:trPr>
          <w:trHeight w:val="41"/>
        </w:trPr>
        <w:tc>
          <w:tcPr>
            <w:tcW w:w="4240" w:type="dxa"/>
            <w:vAlign w:val="bottom"/>
            <w:gridSpan w:val="2"/>
          </w:tcPr>
          <w:p>
            <w:pPr>
              <w:spacing w:after="0"/>
              <w:rPr>
                <w:sz w:val="20"/>
                <w:szCs w:val="20"/>
                <w:color w:val="auto"/>
              </w:rPr>
            </w:pPr>
            <w:r>
              <w:rPr>
                <w:rFonts w:ascii="Arial" w:cs="Arial" w:eastAsia="Arial" w:hAnsi="Arial"/>
                <w:sz w:val="3"/>
                <w:szCs w:val="3"/>
                <w:color w:val="FFFFFF"/>
              </w:rPr>
              <w:t>corporate bonds and equity securities. The Company has elected to be</w:t>
            </w:r>
          </w:p>
        </w:tc>
        <w:tc>
          <w:tcPr>
            <w:tcW w:w="7160" w:type="dxa"/>
            <w:vAlign w:val="bottom"/>
            <w:gridSpan w:val="3"/>
          </w:tcPr>
          <w:p>
            <w:pPr>
              <w:jc w:val="right"/>
              <w:ind w:right="563"/>
              <w:spacing w:after="0"/>
              <w:rPr>
                <w:sz w:val="20"/>
                <w:szCs w:val="20"/>
                <w:color w:val="auto"/>
              </w:rPr>
            </w:pPr>
            <w:r>
              <w:rPr>
                <w:rFonts w:ascii="Arial" w:cs="Arial" w:eastAsia="Arial" w:hAnsi="Arial"/>
                <w:sz w:val="3"/>
                <w:szCs w:val="3"/>
                <w:color w:val="FFFFFF"/>
              </w:rPr>
              <w:t>as a business development company, or BDC, under the Investment Company Act of 1940 and the rules and regulations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promulgated thereunder. TSLX is externally managed by TSL Advisers,regulatedLLC, Securities and Exchange Commission registered investment adviser. TSLX leverages the deep investment, sector, and operating</w:t>
            </w: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resources of TPG Special Situations Partners, the dedicated special situations and credit platform of TPG, with approximately $16 billion of assets under management</w:t>
            </w:r>
          </w:p>
        </w:tc>
        <w:tc>
          <w:tcPr>
            <w:tcW w:w="2340" w:type="dxa"/>
            <w:vAlign w:val="bottom"/>
          </w:tcPr>
          <w:p>
            <w:pPr>
              <w:jc w:val="right"/>
              <w:ind w:right="23"/>
              <w:spacing w:after="0"/>
              <w:rPr>
                <w:sz w:val="20"/>
                <w:szCs w:val="20"/>
                <w:color w:val="auto"/>
              </w:rPr>
            </w:pPr>
            <w:r>
              <w:rPr>
                <w:rFonts w:ascii="Arial" w:cs="Arial" w:eastAsia="Arial" w:hAnsi="Arial"/>
                <w:sz w:val="3"/>
                <w:szCs w:val="3"/>
                <w:color w:val="FFFFFF"/>
              </w:rPr>
              <w:t>of March 31, 2016, and the broader TPG</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platform, a global private investment firm with approximately $74 billion of assets under management as of March 31, 2016. For more information, visit the Company’as website at www.tpgspecialtylending.com.</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Forward-Looking Statements Information set forth herein may contain forward-looking statements, including, but not limited to, statements with regard to the expected future financial position, results of</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operations, cash flows, dividends, portfolio, financing plans, business strategy budgets, capital expenditures, competitive positions, growth opportunities, plans and objectives of management of TICC Capital</w:t>
            </w: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Corp. (“TICC”), statements with regard to the expected future financial position, results of operations, cash flows, dividends, portfolio, financing plans, business</w:t>
            </w:r>
          </w:p>
        </w:tc>
        <w:tc>
          <w:tcPr>
            <w:tcW w:w="2340" w:type="dxa"/>
            <w:vAlign w:val="bottom"/>
          </w:tcPr>
          <w:p>
            <w:pPr>
              <w:jc w:val="right"/>
              <w:ind w:right="563"/>
              <w:spacing w:after="0"/>
              <w:rPr>
                <w:sz w:val="20"/>
                <w:szCs w:val="20"/>
                <w:color w:val="auto"/>
              </w:rPr>
            </w:pPr>
            <w:r>
              <w:rPr>
                <w:rFonts w:ascii="Arial" w:cs="Arial" w:eastAsia="Arial" w:hAnsi="Arial"/>
                <w:sz w:val="3"/>
                <w:szCs w:val="3"/>
                <w:color w:val="FFFFFF"/>
              </w:rPr>
              <w:t>, budgets, capital expenditures,</w:t>
            </w:r>
          </w:p>
        </w:tc>
      </w:tr>
      <w:tr>
        <w:trPr>
          <w:trHeight w:val="41"/>
        </w:trPr>
        <w:tc>
          <w:tcPr>
            <w:tcW w:w="7280" w:type="dxa"/>
            <w:vAlign w:val="bottom"/>
            <w:gridSpan w:val="3"/>
          </w:tcPr>
          <w:p>
            <w:pPr>
              <w:spacing w:after="0"/>
              <w:rPr>
                <w:sz w:val="20"/>
                <w:szCs w:val="20"/>
                <w:color w:val="auto"/>
              </w:rPr>
            </w:pPr>
            <w:r>
              <w:rPr>
                <w:rFonts w:ascii="Arial" w:cs="Arial" w:eastAsia="Arial" w:hAnsi="Arial"/>
                <w:sz w:val="3"/>
                <w:szCs w:val="3"/>
                <w:color w:val="FFFFFF"/>
              </w:rPr>
              <w:t>competitive positions, growth opportunities, plans and objectives of management of TPG Specialty Lending, Inc. (“TSLX”), and</w:t>
            </w:r>
          </w:p>
        </w:tc>
        <w:tc>
          <w:tcPr>
            <w:tcW w:w="4120" w:type="dxa"/>
            <w:vAlign w:val="bottom"/>
            <w:gridSpan w:val="2"/>
          </w:tcPr>
          <w:p>
            <w:pPr>
              <w:jc w:val="right"/>
              <w:ind w:right="203"/>
              <w:spacing w:after="0"/>
              <w:rPr>
                <w:sz w:val="20"/>
                <w:szCs w:val="20"/>
                <w:color w:val="auto"/>
              </w:rPr>
            </w:pPr>
            <w:r>
              <w:rPr>
                <w:rFonts w:ascii="Arial" w:cs="Arial" w:eastAsia="Arial" w:hAnsi="Arial"/>
                <w:sz w:val="3"/>
                <w:szCs w:val="3"/>
                <w:color w:val="FFFFFF"/>
              </w:rPr>
              <w:t>with regard to TSLX’strategyproposed business combination transaction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wi h TICC (including any financing required in connection with a possible transaction and the benefits, results, effects and timingstatementsofpossible transaction). Statements set forth herein concerning the business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outlook or future economic performance, anticipated profitability, revenues, expenses, dividends or other financial items, and product or services line growth of TSLX, TICC and/or the combined businesses of</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TSLX and TICC, including, but not limited to, statements containing words such as “anticipate,” “approximate,” “believe,” “plan,” “estimate,” “expect,” “project,” “could,” “would,” “should,” “will,” “intend,”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“may,” “potential,” “upside” and other similar expressions, together with other statements that are not historical facts, are forward-looking statements that are estimates reflecting the best judgment of TSLX</w:t>
            </w: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based upon currently</w:t>
            </w:r>
          </w:p>
        </w:tc>
        <w:tc>
          <w:tcPr>
            <w:tcW w:w="2500" w:type="dxa"/>
            <w:vAlign w:val="bottom"/>
          </w:tcPr>
          <w:p>
            <w:pPr>
              <w:ind w:left="600"/>
              <w:spacing w:after="0"/>
              <w:rPr>
                <w:sz w:val="20"/>
                <w:szCs w:val="20"/>
                <w:color w:val="auto"/>
              </w:rPr>
            </w:pPr>
            <w:r>
              <w:rPr>
                <w:rFonts w:ascii="Arial" w:cs="Arial" w:eastAsia="Arial" w:hAnsi="Arial"/>
                <w:sz w:val="3"/>
                <w:szCs w:val="3"/>
                <w:color w:val="FFFFFF"/>
              </w:rPr>
              <w:t>. Such   ward-looking statements</w:t>
            </w:r>
          </w:p>
        </w:tc>
        <w:tc>
          <w:tcPr>
            <w:tcW w:w="7160" w:type="dxa"/>
            <w:vAlign w:val="bottom"/>
            <w:gridSpan w:val="3"/>
          </w:tcPr>
          <w:p>
            <w:pPr>
              <w:jc w:val="right"/>
              <w:ind w:right="23"/>
              <w:spacing w:after="0"/>
              <w:rPr>
                <w:sz w:val="20"/>
                <w:szCs w:val="20"/>
                <w:color w:val="auto"/>
              </w:rPr>
            </w:pPr>
            <w:r>
              <w:rPr>
                <w:rFonts w:ascii="Arial" w:cs="Arial" w:eastAsia="Arial" w:hAnsi="Arial"/>
                <w:sz w:val="3"/>
                <w:szCs w:val="3"/>
                <w:color w:val="FFFFFF"/>
              </w:rPr>
              <w:t>re inherently uncertain, and stockholders and other potential investors must recognize that actual results may differ materially from</w:t>
            </w:r>
          </w:p>
        </w:tc>
      </w:tr>
      <w:tr>
        <w:trPr>
          <w:trHeight w:val="213"/>
        </w:trPr>
        <w:tc>
          <w:tcPr>
            <w:tcW w:w="7280" w:type="dxa"/>
            <w:vAlign w:val="bottom"/>
            <w:gridSpan w:val="3"/>
          </w:tcPr>
          <w:p>
            <w:pPr>
              <w:spacing w:after="0"/>
              <w:rPr>
                <w:sz w:val="20"/>
                <w:szCs w:val="20"/>
                <w:color w:val="auto"/>
              </w:rPr>
            </w:pPr>
            <w:r>
              <w:rPr>
                <w:rFonts w:ascii="Arial" w:cs="Arial" w:eastAsia="Arial" w:hAnsi="Arial"/>
                <w:sz w:val="14"/>
                <w:szCs w:val="14"/>
                <w:color w:val="FFFFFF"/>
              </w:rPr>
              <w:t>TSLX’s expectations availableasresultinformationofvariety of factors including, without limitation, those discussed</w:t>
            </w:r>
          </w:p>
        </w:tc>
        <w:tc>
          <w:tcPr>
            <w:tcW w:w="1780" w:type="dxa"/>
            <w:vAlign w:val="bottom"/>
          </w:tcPr>
          <w:p>
            <w:pPr>
              <w:spacing w:after="0"/>
              <w:rPr>
                <w:sz w:val="18"/>
                <w:szCs w:val="18"/>
                <w:color w:val="auto"/>
              </w:rPr>
            </w:pPr>
          </w:p>
        </w:tc>
        <w:tc>
          <w:tcPr>
            <w:tcW w:w="234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965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865" cy="496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8"/>
          </w:tcPr>
          <w:p>
            <w:pPr>
              <w:spacing w:after="0"/>
              <w:rPr>
                <w:sz w:val="20"/>
                <w:szCs w:val="20"/>
                <w:color w:val="auto"/>
              </w:rPr>
            </w:pPr>
            <w:r>
              <w:rPr>
                <w:rFonts w:ascii="Arial" w:cs="Arial" w:eastAsia="Arial" w:hAnsi="Arial"/>
                <w:sz w:val="14"/>
                <w:szCs w:val="14"/>
                <w:color w:val="FFFFFF"/>
                <w:w w:val="87"/>
              </w:rPr>
              <w:t>below. Such forward-looking statements are based upon TSLX’s current expectations and include known and unknown risks,</w:t>
            </w:r>
          </w:p>
        </w:tc>
        <w:tc>
          <w:tcPr>
            <w:tcW w:w="4600" w:type="dxa"/>
            <w:vAlign w:val="bottom"/>
            <w:gridSpan w:val="3"/>
          </w:tcPr>
          <w:p>
            <w:pPr>
              <w:jc w:val="right"/>
              <w:ind w:right="43"/>
              <w:spacing w:after="0"/>
              <w:rPr>
                <w:sz w:val="20"/>
                <w:szCs w:val="20"/>
                <w:color w:val="auto"/>
              </w:rPr>
            </w:pPr>
            <w:r>
              <w:rPr>
                <w:rFonts w:ascii="Arial" w:cs="Arial" w:eastAsia="Arial" w:hAnsi="Arial"/>
                <w:sz w:val="14"/>
                <w:szCs w:val="14"/>
                <w:color w:val="FFFFFF"/>
              </w:rPr>
              <w:t>and other factors, many of which TSLX is unable to predict   control,</w:t>
            </w:r>
          </w:p>
        </w:tc>
      </w:tr>
      <w:tr>
        <w:trPr>
          <w:trHeight w:val="41"/>
        </w:trPr>
        <w:tc>
          <w:tcPr>
            <w:tcW w:w="9600" w:type="dxa"/>
            <w:vAlign w:val="bottom"/>
            <w:gridSpan w:val="10"/>
          </w:tcPr>
          <w:p>
            <w:pPr>
              <w:spacing w:after="0"/>
              <w:rPr>
                <w:sz w:val="20"/>
                <w:szCs w:val="20"/>
                <w:color w:val="auto"/>
              </w:rPr>
            </w:pPr>
            <w:r>
              <w:rPr>
                <w:rFonts w:ascii="Arial" w:cs="Arial" w:eastAsia="Arial" w:hAnsi="Arial"/>
                <w:sz w:val="3"/>
                <w:szCs w:val="3"/>
                <w:color w:val="FFFFFF"/>
              </w:rPr>
              <w:t>that may cause TSLX’s plans with respect to TICC or the actual results or performance of TICC, TSLX or TICC and TSLX onuncertaintiescombined basis to differ materially from any</w:t>
            </w:r>
          </w:p>
        </w:tc>
        <w:tc>
          <w:tcPr>
            <w:tcW w:w="1800" w:type="dxa"/>
            <w:vAlign w:val="bottom"/>
          </w:tcPr>
          <w:p>
            <w:pPr>
              <w:jc w:val="right"/>
              <w:ind w:right="23"/>
              <w:spacing w:after="0"/>
              <w:rPr>
                <w:sz w:val="20"/>
                <w:szCs w:val="20"/>
                <w:color w:val="auto"/>
              </w:rPr>
            </w:pPr>
            <w:r>
              <w:rPr>
                <w:rFonts w:ascii="Arial" w:cs="Arial" w:eastAsia="Arial" w:hAnsi="Arial"/>
                <w:sz w:val="3"/>
                <w:szCs w:val="3"/>
                <w:color w:val="FFFFFF"/>
              </w:rPr>
              <w:t>future results or performance</w:t>
            </w:r>
          </w:p>
        </w:tc>
      </w:tr>
      <w:tr>
        <w:trPr>
          <w:trHeight w:val="41"/>
        </w:trPr>
        <w:tc>
          <w:tcPr>
            <w:tcW w:w="3660" w:type="dxa"/>
            <w:vAlign w:val="bottom"/>
            <w:gridSpan w:val="5"/>
          </w:tcPr>
          <w:p>
            <w:pPr>
              <w:spacing w:after="0"/>
              <w:rPr>
                <w:sz w:val="20"/>
                <w:szCs w:val="20"/>
                <w:color w:val="auto"/>
              </w:rPr>
            </w:pPr>
            <w:r>
              <w:rPr>
                <w:rFonts w:ascii="Arial" w:cs="Arial" w:eastAsia="Arial" w:hAnsi="Arial"/>
                <w:sz w:val="3"/>
                <w:szCs w:val="3"/>
                <w:color w:val="FFFFFF"/>
              </w:rPr>
              <w:t>expressed or implied by such forward-looking statements. These</w:t>
            </w:r>
          </w:p>
        </w:tc>
        <w:tc>
          <w:tcPr>
            <w:tcW w:w="7740" w:type="dxa"/>
            <w:vAlign w:val="bottom"/>
            <w:gridSpan w:val="6"/>
          </w:tcPr>
          <w:p>
            <w:pPr>
              <w:jc w:val="right"/>
              <w:ind w:right="23"/>
              <w:spacing w:after="0"/>
              <w:rPr>
                <w:sz w:val="20"/>
                <w:szCs w:val="20"/>
                <w:color w:val="auto"/>
              </w:rPr>
            </w:pPr>
            <w:r>
              <w:rPr>
                <w:rFonts w:ascii="Arial" w:cs="Arial" w:eastAsia="Arial" w:hAnsi="Arial"/>
                <w:sz w:val="3"/>
                <w:szCs w:val="3"/>
                <w:color w:val="FFFFFF"/>
              </w:rPr>
              <w:t>involve risks, uncertainties and other factors discussed below and detailed from time to time in TSLX’plans,filings with the Securities and</w:t>
            </w:r>
          </w:p>
        </w:tc>
      </w:tr>
      <w:tr>
        <w:trPr>
          <w:trHeight w:val="41"/>
        </w:trPr>
        <w:tc>
          <w:tcPr>
            <w:tcW w:w="4480" w:type="dxa"/>
            <w:vAlign w:val="bottom"/>
            <w:gridSpan w:val="6"/>
          </w:tcPr>
          <w:p>
            <w:pPr>
              <w:spacing w:after="0"/>
              <w:rPr>
                <w:sz w:val="20"/>
                <w:szCs w:val="20"/>
                <w:color w:val="auto"/>
              </w:rPr>
            </w:pPr>
            <w:r>
              <w:rPr>
                <w:rFonts w:ascii="Arial" w:cs="Arial" w:eastAsia="Arial" w:hAnsi="Arial"/>
                <w:sz w:val="3"/>
                <w:szCs w:val="3"/>
                <w:color w:val="FFFFFF"/>
              </w:rPr>
              <w:t>Exchange Commission (“SEC”). Risks and uncertainties related tostatementspossible</w:t>
            </w:r>
          </w:p>
        </w:tc>
        <w:tc>
          <w:tcPr>
            <w:tcW w:w="6920" w:type="dxa"/>
            <w:vAlign w:val="bottom"/>
            <w:gridSpan w:val="5"/>
          </w:tcPr>
          <w:p>
            <w:pPr>
              <w:jc w:val="right"/>
              <w:spacing w:after="0"/>
              <w:rPr>
                <w:sz w:val="20"/>
                <w:szCs w:val="20"/>
                <w:color w:val="auto"/>
              </w:rPr>
            </w:pPr>
            <w:r>
              <w:rPr>
                <w:rFonts w:ascii="Arial" w:cs="Arial" w:eastAsia="Arial" w:hAnsi="Arial"/>
                <w:sz w:val="3"/>
                <w:szCs w:val="3"/>
                <w:color w:val="FFFFFF"/>
              </w:rPr>
              <w:t>include, among others, uncertainty as to whether TSLX will further pursue, enter into or consummate a transaction on the</w:t>
            </w:r>
          </w:p>
        </w:tc>
      </w:tr>
      <w:tr>
        <w:trPr>
          <w:trHeight w:val="41"/>
        </w:trPr>
        <w:tc>
          <w:tcPr>
            <w:tcW w:w="11400" w:type="dxa"/>
            <w:vAlign w:val="bottom"/>
            <w:gridSpan w:val="11"/>
          </w:tcPr>
          <w:p>
            <w:pPr>
              <w:spacing w:after="0"/>
              <w:rPr>
                <w:sz w:val="20"/>
                <w:szCs w:val="20"/>
                <w:color w:val="auto"/>
              </w:rPr>
            </w:pPr>
            <w:r>
              <w:rPr>
                <w:rFonts w:ascii="Arial" w:cs="Arial" w:eastAsia="Arial" w:hAnsi="Arial"/>
                <w:sz w:val="3"/>
                <w:szCs w:val="3"/>
                <w:color w:val="FFFFFF"/>
              </w:rPr>
              <w:t>terms set forth in its proposal or on other terms, uncertainty as to whether TICC’transactionboardof directors will engage in good faith, substantive discussions or negotiations with TSLX concerning its proposal or any</w:t>
            </w: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other possible</w:t>
            </w:r>
          </w:p>
        </w:tc>
        <w:tc>
          <w:tcPr>
            <w:tcW w:w="3600" w:type="dxa"/>
            <w:vAlign w:val="bottom"/>
            <w:gridSpan w:val="4"/>
          </w:tcPr>
          <w:p>
            <w:pPr>
              <w:ind w:left="580"/>
              <w:spacing w:after="0"/>
              <w:rPr>
                <w:sz w:val="20"/>
                <w:szCs w:val="20"/>
                <w:color w:val="auto"/>
              </w:rPr>
            </w:pPr>
            <w:r>
              <w:rPr>
                <w:rFonts w:ascii="Arial" w:cs="Arial" w:eastAsia="Arial" w:hAnsi="Arial"/>
                <w:sz w:val="3"/>
                <w:szCs w:val="3"/>
                <w:color w:val="FFFFFF"/>
              </w:rPr>
              <w:t>potential adverse reactions or changes to business</w:t>
            </w:r>
          </w:p>
        </w:tc>
        <w:tc>
          <w:tcPr>
            <w:tcW w:w="6920" w:type="dxa"/>
            <w:vAlign w:val="bottom"/>
            <w:gridSpan w:val="5"/>
          </w:tcPr>
          <w:p>
            <w:pPr>
              <w:jc w:val="right"/>
              <w:ind w:right="503"/>
              <w:spacing w:after="0"/>
              <w:rPr>
                <w:sz w:val="20"/>
                <w:szCs w:val="20"/>
                <w:color w:val="auto"/>
              </w:rPr>
            </w:pPr>
            <w:r>
              <w:rPr>
                <w:rFonts w:ascii="Arial" w:cs="Arial" w:eastAsia="Arial" w:hAnsi="Arial"/>
                <w:sz w:val="3"/>
                <w:szCs w:val="3"/>
                <w:color w:val="FFFFFF"/>
              </w:rPr>
              <w:t>resulting from the announcement or completion of a transaction, uncertainties as to the timing of  transaction,</w:t>
            </w: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effects</w:t>
            </w:r>
          </w:p>
        </w:tc>
        <w:tc>
          <w:tcPr>
            <w:tcW w:w="6340" w:type="dxa"/>
            <w:vAlign w:val="bottom"/>
            <w:gridSpan w:val="7"/>
          </w:tcPr>
          <w:p>
            <w:pPr>
              <w:ind w:left="100"/>
              <w:spacing w:after="0"/>
              <w:rPr>
                <w:sz w:val="20"/>
                <w:szCs w:val="20"/>
                <w:color w:val="auto"/>
              </w:rPr>
            </w:pPr>
            <w:r>
              <w:rPr>
                <w:rFonts w:ascii="Arial" w:cs="Arial" w:eastAsia="Arial" w:hAnsi="Arial"/>
                <w:sz w:val="3"/>
                <w:szCs w:val="3"/>
                <w:color w:val="FFFFFF"/>
              </w:rPr>
              <w:t>TSLX’transaction,stockprice resulting from the announcement or consummationrelationshipsoftransaction or any failure to complete</w:t>
            </w:r>
          </w:p>
        </w:tc>
        <w:tc>
          <w:tcPr>
            <w:tcW w:w="4600" w:type="dxa"/>
            <w:vAlign w:val="bottom"/>
            <w:gridSpan w:val="3"/>
          </w:tcPr>
          <w:p>
            <w:pPr>
              <w:jc w:val="right"/>
              <w:ind w:right="63"/>
              <w:spacing w:after="0"/>
              <w:rPr>
                <w:sz w:val="20"/>
                <w:szCs w:val="20"/>
                <w:color w:val="auto"/>
              </w:rPr>
            </w:pPr>
            <w:r>
              <w:rPr>
                <w:rFonts w:ascii="Arial" w:cs="Arial" w:eastAsia="Arial" w:hAnsi="Arial"/>
                <w:sz w:val="3"/>
                <w:szCs w:val="3"/>
                <w:color w:val="FFFFFF"/>
              </w:rPr>
              <w:t>transaction, competitive responses to the announcement or consummation ofadverse</w:t>
            </w:r>
          </w:p>
        </w:tc>
      </w:tr>
      <w:tr>
        <w:trPr>
          <w:trHeight w:val="41"/>
        </w:trPr>
        <w:tc>
          <w:tcPr>
            <w:tcW w:w="2860" w:type="dxa"/>
            <w:vAlign w:val="bottom"/>
            <w:gridSpan w:val="4"/>
          </w:tcPr>
          <w:p>
            <w:pPr>
              <w:spacing w:after="0"/>
              <w:rPr>
                <w:sz w:val="20"/>
                <w:szCs w:val="20"/>
                <w:color w:val="auto"/>
              </w:rPr>
            </w:pPr>
            <w:r>
              <w:rPr>
                <w:rFonts w:ascii="Arial" w:cs="Arial" w:eastAsia="Arial" w:hAnsi="Arial"/>
                <w:sz w:val="3"/>
                <w:szCs w:val="3"/>
                <w:color w:val="FFFFFF"/>
              </w:rPr>
              <w:t>transaction, the risk that regulatory or other</w:t>
            </w:r>
          </w:p>
        </w:tc>
        <w:tc>
          <w:tcPr>
            <w:tcW w:w="1620" w:type="dxa"/>
            <w:vAlign w:val="bottom"/>
            <w:gridSpan w:val="2"/>
          </w:tcPr>
          <w:p>
            <w:pPr>
              <w:ind w:left="80"/>
              <w:spacing w:after="0"/>
              <w:rPr>
                <w:sz w:val="20"/>
                <w:szCs w:val="20"/>
                <w:color w:val="auto"/>
              </w:rPr>
            </w:pPr>
            <w:r>
              <w:rPr>
                <w:rFonts w:ascii="Arial" w:cs="Arial" w:eastAsia="Arial" w:hAnsi="Arial"/>
                <w:sz w:val="3"/>
                <w:szCs w:val="3"/>
                <w:color w:val="FFFFFF"/>
              </w:rPr>
              <w:t>and any financing required</w:t>
            </w:r>
          </w:p>
        </w:tc>
        <w:tc>
          <w:tcPr>
            <w:tcW w:w="6920" w:type="dxa"/>
            <w:vAlign w:val="bottom"/>
            <w:gridSpan w:val="5"/>
          </w:tcPr>
          <w:p>
            <w:pPr>
              <w:jc w:val="right"/>
              <w:ind w:right="163"/>
              <w:spacing w:after="0"/>
              <w:rPr>
                <w:sz w:val="20"/>
                <w:szCs w:val="20"/>
                <w:color w:val="auto"/>
              </w:rPr>
            </w:pPr>
            <w:r>
              <w:rPr>
                <w:rFonts w:ascii="Arial" w:cs="Arial" w:eastAsia="Arial" w:hAnsi="Arial"/>
                <w:sz w:val="3"/>
                <w:szCs w:val="3"/>
                <w:color w:val="FFFFFF"/>
              </w:rPr>
              <w:t>connection with the consummation of a transaction are not obtained or are obtained subject to terms and conditions that are</w:t>
            </w:r>
          </w:p>
        </w:tc>
      </w:tr>
      <w:tr>
        <w:trPr>
          <w:trHeight w:val="41"/>
        </w:trPr>
        <w:tc>
          <w:tcPr>
            <w:tcW w:w="5060" w:type="dxa"/>
            <w:vAlign w:val="bottom"/>
            <w:gridSpan w:val="7"/>
          </w:tcPr>
          <w:p>
            <w:pPr>
              <w:spacing w:after="0"/>
              <w:rPr>
                <w:sz w:val="20"/>
                <w:szCs w:val="20"/>
                <w:color w:val="auto"/>
              </w:rPr>
            </w:pPr>
            <w:r>
              <w:rPr>
                <w:rFonts w:ascii="Arial" w:cs="Arial" w:eastAsia="Arial" w:hAnsi="Arial"/>
                <w:sz w:val="3"/>
                <w:szCs w:val="3"/>
                <w:color w:val="FFFFFF"/>
              </w:rPr>
              <w:t>not anticipated, costs and difficulties relatedapprovalstopotential integration of TICC’ businesses</w:t>
            </w:r>
          </w:p>
        </w:tc>
        <w:tc>
          <w:tcPr>
            <w:tcW w:w="6340" w:type="dxa"/>
            <w:vAlign w:val="bottom"/>
            <w:gridSpan w:val="4"/>
          </w:tcPr>
          <w:p>
            <w:pPr>
              <w:jc w:val="right"/>
              <w:ind w:right="43"/>
              <w:spacing w:after="0"/>
              <w:rPr>
                <w:sz w:val="20"/>
                <w:szCs w:val="20"/>
                <w:color w:val="auto"/>
              </w:rPr>
            </w:pPr>
            <w:r>
              <w:rPr>
                <w:rFonts w:ascii="Arial" w:cs="Arial" w:eastAsia="Arial" w:hAnsi="Arial"/>
                <w:sz w:val="3"/>
                <w:szCs w:val="3"/>
                <w:color w:val="FFFFFF"/>
              </w:rPr>
              <w:t>operations with TSLX’s businesses and operations, the inability to obtain, or delays in obtaining, cost savings and</w:t>
            </w: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synergies from</w:t>
            </w:r>
          </w:p>
        </w:tc>
        <w:tc>
          <w:tcPr>
            <w:tcW w:w="2780" w:type="dxa"/>
            <w:vAlign w:val="bottom"/>
            <w:gridSpan w:val="3"/>
          </w:tcPr>
          <w:p>
            <w:pPr>
              <w:ind w:left="60"/>
              <w:spacing w:after="0"/>
              <w:rPr>
                <w:sz w:val="20"/>
                <w:szCs w:val="20"/>
                <w:color w:val="auto"/>
              </w:rPr>
            </w:pPr>
            <w:r>
              <w:rPr>
                <w:rFonts w:ascii="Arial" w:cs="Arial" w:eastAsia="Arial" w:hAnsi="Arial"/>
                <w:sz w:val="3"/>
                <w:szCs w:val="3"/>
                <w:color w:val="FFFFFF"/>
              </w:rPr>
              <w:t>transaction, unexpected costs, liabilities, charges</w:t>
            </w:r>
          </w:p>
        </w:tc>
        <w:tc>
          <w:tcPr>
            <w:tcW w:w="4680" w:type="dxa"/>
            <w:vAlign w:val="bottom"/>
            <w:gridSpan w:val="4"/>
          </w:tcPr>
          <w:p>
            <w:pPr>
              <w:ind w:left="80"/>
              <w:spacing w:after="0"/>
              <w:rPr>
                <w:sz w:val="20"/>
                <w:szCs w:val="20"/>
                <w:color w:val="auto"/>
              </w:rPr>
            </w:pPr>
            <w:r>
              <w:rPr>
                <w:rFonts w:ascii="Arial" w:cs="Arial" w:eastAsia="Arial" w:hAnsi="Arial"/>
                <w:sz w:val="3"/>
                <w:szCs w:val="3"/>
                <w:color w:val="FFFFFF"/>
              </w:rPr>
              <w:t>expenses resulting fromand transaction, litigation relating to a transaction, the</w:t>
            </w:r>
          </w:p>
        </w:tc>
        <w:tc>
          <w:tcPr>
            <w:tcW w:w="3060" w:type="dxa"/>
            <w:vAlign w:val="bottom"/>
            <w:gridSpan w:val="2"/>
          </w:tcPr>
          <w:p>
            <w:pPr>
              <w:jc w:val="right"/>
              <w:ind w:right="243"/>
              <w:spacing w:after="0"/>
              <w:rPr>
                <w:sz w:val="20"/>
                <w:szCs w:val="20"/>
                <w:color w:val="auto"/>
              </w:rPr>
            </w:pPr>
            <w:r>
              <w:rPr>
                <w:rFonts w:ascii="Arial" w:cs="Arial" w:eastAsia="Arial" w:hAnsi="Arial"/>
                <w:sz w:val="3"/>
                <w:szCs w:val="3"/>
                <w:color w:val="FFFFFF"/>
              </w:rPr>
              <w:t>to retain key personnel, and any changes in general</w:t>
            </w:r>
          </w:p>
        </w:tc>
      </w:tr>
      <w:tr>
        <w:trPr>
          <w:trHeight w:val="41"/>
        </w:trPr>
        <w:tc>
          <w:tcPr>
            <w:tcW w:w="460" w:type="dxa"/>
            <w:vAlign w:val="bottom"/>
          </w:tcPr>
          <w:p>
            <w:pPr>
              <w:spacing w:after="0"/>
              <w:rPr>
                <w:sz w:val="3"/>
                <w:szCs w:val="3"/>
                <w:color w:val="auto"/>
              </w:rPr>
            </w:pPr>
          </w:p>
        </w:tc>
        <w:tc>
          <w:tcPr>
            <w:tcW w:w="3200" w:type="dxa"/>
            <w:vAlign w:val="bottom"/>
            <w:gridSpan w:val="4"/>
          </w:tcPr>
          <w:p>
            <w:pPr>
              <w:ind w:left="100"/>
              <w:spacing w:after="0"/>
              <w:rPr>
                <w:sz w:val="20"/>
                <w:szCs w:val="20"/>
                <w:color w:val="auto"/>
              </w:rPr>
            </w:pPr>
            <w:r>
              <w:rPr>
                <w:rFonts w:ascii="Arial" w:cs="Arial" w:eastAsia="Arial" w:hAnsi="Arial"/>
                <w:sz w:val="3"/>
                <w:szCs w:val="3"/>
                <w:color w:val="FFFFFF"/>
              </w:rPr>
              <w:t>and/or industry specific conditions. In addition to these</w:t>
            </w:r>
          </w:p>
        </w:tc>
        <w:tc>
          <w:tcPr>
            <w:tcW w:w="4680" w:type="dxa"/>
            <w:vAlign w:val="bottom"/>
            <w:gridSpan w:val="4"/>
          </w:tcPr>
          <w:p>
            <w:pPr>
              <w:ind w:left="360"/>
              <w:spacing w:after="0"/>
              <w:rPr>
                <w:sz w:val="20"/>
                <w:szCs w:val="20"/>
                <w:color w:val="auto"/>
              </w:rPr>
            </w:pPr>
            <w:r>
              <w:rPr>
                <w:rFonts w:ascii="Arial" w:cs="Arial" w:eastAsia="Arial" w:hAnsi="Arial"/>
                <w:sz w:val="3"/>
                <w:szCs w:val="3"/>
                <w:color w:val="FFFFFF"/>
              </w:rPr>
              <w:t>other factors that may affect TSLX’s plans, results or stock price are setinabilityforth</w:t>
            </w:r>
          </w:p>
        </w:tc>
        <w:tc>
          <w:tcPr>
            <w:tcW w:w="3060" w:type="dxa"/>
            <w:vAlign w:val="bottom"/>
            <w:gridSpan w:val="2"/>
          </w:tcPr>
          <w:p>
            <w:pPr>
              <w:jc w:val="right"/>
              <w:ind w:right="23"/>
              <w:spacing w:after="0"/>
              <w:rPr>
                <w:sz w:val="20"/>
                <w:szCs w:val="20"/>
                <w:color w:val="auto"/>
              </w:rPr>
            </w:pPr>
            <w:r>
              <w:rPr>
                <w:rFonts w:ascii="Arial" w:cs="Arial" w:eastAsia="Arial" w:hAnsi="Arial"/>
                <w:sz w:val="3"/>
                <w:szCs w:val="3"/>
                <w:color w:val="FFFFFF"/>
              </w:rPr>
              <w:t>TSLX’s Annual Report on Form 10-K and in its reports</w:t>
            </w:r>
          </w:p>
        </w:tc>
      </w:tr>
      <w:tr>
        <w:trPr>
          <w:trHeight w:val="41"/>
        </w:trPr>
        <w:tc>
          <w:tcPr>
            <w:tcW w:w="11400" w:type="dxa"/>
            <w:vAlign w:val="bottom"/>
            <w:gridSpan w:val="11"/>
          </w:tcPr>
          <w:p>
            <w:pPr>
              <w:spacing w:after="0"/>
              <w:rPr>
                <w:sz w:val="20"/>
                <w:szCs w:val="20"/>
                <w:color w:val="auto"/>
              </w:rPr>
            </w:pPr>
            <w:r>
              <w:rPr>
                <w:rFonts w:ascii="Arial" w:cs="Arial" w:eastAsia="Arial" w:hAnsi="Arial"/>
                <w:sz w:val="3"/>
                <w:szCs w:val="3"/>
                <w:color w:val="FFFFFF"/>
              </w:rPr>
              <w:t>economicForms 10-Q and 8-K. Many of these factors are beyond TSLX’factors,control. TSLX cautions investors that any forward-looking statements made by TSLX are not guarantees of future performance. TSLX</w:t>
            </w:r>
          </w:p>
        </w:tc>
      </w:tr>
      <w:tr>
        <w:trPr>
          <w:trHeight w:val="41"/>
        </w:trPr>
        <w:tc>
          <w:tcPr>
            <w:tcW w:w="2860" w:type="dxa"/>
            <w:vAlign w:val="bottom"/>
            <w:gridSpan w:val="4"/>
          </w:tcPr>
          <w:p>
            <w:pPr>
              <w:spacing w:after="0"/>
              <w:rPr>
                <w:sz w:val="20"/>
                <w:szCs w:val="20"/>
                <w:color w:val="auto"/>
              </w:rPr>
            </w:pPr>
            <w:r>
              <w:rPr>
                <w:rFonts w:ascii="Arial" w:cs="Arial" w:eastAsia="Arial" w:hAnsi="Arial"/>
                <w:sz w:val="3"/>
                <w:szCs w:val="3"/>
                <w:color w:val="FFFFFF"/>
              </w:rPr>
              <w:t>disclaims any obligation to update any such factors</w:t>
            </w:r>
          </w:p>
        </w:tc>
        <w:tc>
          <w:tcPr>
            <w:tcW w:w="8540" w:type="dxa"/>
            <w:vAlign w:val="bottom"/>
            <w:gridSpan w:val="7"/>
          </w:tcPr>
          <w:p>
            <w:pPr>
              <w:jc w:val="right"/>
              <w:ind w:right="223"/>
              <w:spacing w:after="0"/>
              <w:rPr>
                <w:sz w:val="20"/>
                <w:szCs w:val="20"/>
                <w:color w:val="auto"/>
              </w:rPr>
            </w:pPr>
            <w:r>
              <w:rPr>
                <w:rFonts w:ascii="Arial" w:cs="Arial" w:eastAsia="Arial" w:hAnsi="Arial"/>
                <w:sz w:val="3"/>
                <w:szCs w:val="3"/>
                <w:color w:val="FFFFFF"/>
              </w:rPr>
              <w:t>to announce publicly the results of any revisions to any of the forward-looking statements to reflect future events or developments. Third Party-Sourced</w:t>
            </w:r>
          </w:p>
        </w:tc>
      </w:tr>
      <w:tr>
        <w:trPr>
          <w:trHeight w:val="0"/>
        </w:trPr>
        <w:tc>
          <w:tcPr>
            <w:tcW w:w="1740" w:type="dxa"/>
            <w:vAlign w:val="bottom"/>
            <w:gridSpan w:val="3"/>
          </w:tcPr>
          <w:p>
            <w:pPr>
              <w:spacing w:after="0" w:line="80" w:lineRule="exact"/>
              <w:rPr>
                <w:sz w:val="20"/>
                <w:szCs w:val="20"/>
                <w:color w:val="auto"/>
              </w:rPr>
            </w:pPr>
            <w:r>
              <w:rPr>
                <w:rFonts w:ascii="Arial" w:cs="Arial" w:eastAsia="Arial" w:hAnsi="Arial"/>
                <w:sz w:val="9"/>
                <w:szCs w:val="9"/>
                <w:color w:val="FFFFFF"/>
              </w:rPr>
              <w:t>Statements and Information</w:t>
            </w:r>
          </w:p>
        </w:tc>
        <w:tc>
          <w:tcPr>
            <w:tcW w:w="9660" w:type="dxa"/>
            <w:vAlign w:val="bottom"/>
            <w:gridSpan w:val="8"/>
          </w:tcPr>
          <w:p>
            <w:pPr>
              <w:jc w:val="right"/>
              <w:spacing w:after="0" w:line="80" w:lineRule="exact"/>
              <w:rPr>
                <w:sz w:val="20"/>
                <w:szCs w:val="20"/>
                <w:color w:val="auto"/>
              </w:rPr>
            </w:pPr>
            <w:r>
              <w:rPr>
                <w:rFonts w:ascii="Arial" w:cs="Arial" w:eastAsia="Arial" w:hAnsi="Arial"/>
                <w:sz w:val="9"/>
                <w:szCs w:val="9"/>
                <w:color w:val="FFFFFF"/>
              </w:rPr>
              <w:t>statements and information included herein have been sourced from third parties. TSLX does not make any representations regarding the accuracy, completeness or timeliness</w:t>
            </w:r>
          </w:p>
        </w:tc>
      </w:tr>
    </w:tbl>
    <w:p>
      <w:pPr>
        <w:ind w:left="1540"/>
        <w:spacing w:after="0"/>
        <w:tabs>
          <w:tab w:leader="none" w:pos="4460" w:val="left"/>
        </w:tabs>
        <w:rPr>
          <w:sz w:val="20"/>
          <w:szCs w:val="20"/>
          <w:color w:val="auto"/>
        </w:rPr>
      </w:pPr>
      <w:r>
        <w:rPr>
          <w:rFonts w:ascii="Arial" w:cs="Arial" w:eastAsia="Arial" w:hAnsi="Arial"/>
          <w:sz w:val="3"/>
          <w:szCs w:val="3"/>
          <w:color w:val="FFFFFF"/>
        </w:rPr>
        <w:t>Certain</w:t>
      </w:r>
      <w:r>
        <w:rPr>
          <w:sz w:val="20"/>
          <w:szCs w:val="20"/>
          <w:color w:val="auto"/>
        </w:rPr>
        <w:tab/>
      </w:r>
      <w:r>
        <w:rPr>
          <w:rFonts w:ascii="Arial" w:cs="Arial" w:eastAsia="Arial" w:hAnsi="Arial"/>
          <w:sz w:val="3"/>
          <w:szCs w:val="3"/>
          <w:color w:val="FFFFFF"/>
        </w:rPr>
        <w:t>permission</w:t>
      </w:r>
    </w:p>
    <w:p>
      <w:pPr>
        <w:spacing w:after="0"/>
        <w:tabs>
          <w:tab w:leader="none" w:pos="5080" w:val="left"/>
        </w:tabs>
        <w:rPr>
          <w:sz w:val="20"/>
          <w:szCs w:val="20"/>
          <w:color w:val="auto"/>
        </w:rPr>
      </w:pPr>
      <w:r>
        <w:rPr>
          <w:rFonts w:ascii="Arial" w:cs="Arial" w:eastAsia="Arial" w:hAnsi="Arial"/>
          <w:sz w:val="2"/>
          <w:szCs w:val="2"/>
          <w:color w:val="FFFFFF"/>
        </w:rPr>
        <w:t>of such third party</w:t>
      </w:r>
      <w:r>
        <w:rPr>
          <w:rFonts w:ascii="Arial" w:cs="Arial" w:eastAsia="Arial" w:hAnsi="Arial"/>
          <w:sz w:val="4"/>
          <w:szCs w:val="4"/>
          <w:color w:val="FFFFFF"/>
          <w:vertAlign w:val="subscript"/>
        </w:rPr>
        <w:t>information</w:t>
      </w:r>
      <w:r>
        <w:rPr>
          <w:rFonts w:ascii="Arial" w:cs="Arial" w:eastAsia="Arial" w:hAnsi="Arial"/>
          <w:sz w:val="2"/>
          <w:szCs w:val="2"/>
          <w:color w:val="FFFFFF"/>
        </w:rPr>
        <w:t xml:space="preserve">stements or </w:t>
      </w:r>
      <w:r>
        <w:rPr>
          <w:rFonts w:ascii="Arial" w:cs="Arial" w:eastAsia="Arial" w:hAnsi="Arial"/>
          <w:sz w:val="4"/>
          <w:szCs w:val="4"/>
          <w:color w:val="FFFFFF"/>
          <w:vertAlign w:val="subscript"/>
        </w:rPr>
        <w:t>not</w:t>
      </w:r>
      <w:r>
        <w:rPr>
          <w:rFonts w:ascii="Arial" w:cs="Arial" w:eastAsia="Arial" w:hAnsi="Arial"/>
          <w:sz w:val="2"/>
          <w:szCs w:val="2"/>
          <w:color w:val="FFFFFF"/>
        </w:rPr>
        <w:t>formation. Except as expressly set forth herein,</w:t>
      </w:r>
      <w:r>
        <w:rPr>
          <w:sz w:val="20"/>
          <w:szCs w:val="20"/>
          <w:color w:val="auto"/>
        </w:rPr>
        <w:tab/>
      </w:r>
      <w:r>
        <w:rPr>
          <w:rFonts w:ascii="Arial" w:cs="Arial" w:eastAsia="Arial" w:hAnsi="Arial"/>
          <w:sz w:val="3"/>
          <w:szCs w:val="3"/>
          <w:color w:val="FFFFFF"/>
        </w:rPr>
        <w:t>to cite such statements or information has neither been sought nor obtained from such third parties. Any such</w:t>
      </w:r>
    </w:p>
    <w:p>
      <w:pPr>
        <w:spacing w:after="0"/>
        <w:tabs>
          <w:tab w:leader="none" w:pos="1400" w:val="left"/>
          <w:tab w:leader="none" w:pos="2020" w:val="left"/>
        </w:tabs>
        <w:rPr>
          <w:sz w:val="20"/>
          <w:szCs w:val="20"/>
          <w:color w:val="auto"/>
        </w:rPr>
      </w:pPr>
      <w:r>
        <w:rPr>
          <w:rFonts w:ascii="Arial" w:cs="Arial" w:eastAsia="Arial" w:hAnsi="Arial"/>
          <w:sz w:val="14"/>
          <w:szCs w:val="14"/>
          <w:color w:val="FFFFFF"/>
        </w:rPr>
        <w:t>statements or</w:t>
      </w:r>
      <w:r>
        <w:rPr>
          <w:sz w:val="20"/>
          <w:szCs w:val="20"/>
          <w:color w:val="auto"/>
        </w:rPr>
        <w:tab/>
      </w:r>
      <w:r>
        <w:rPr>
          <w:rFonts w:ascii="Arial" w:cs="Arial" w:eastAsia="Arial" w:hAnsi="Arial"/>
          <w:sz w:val="14"/>
          <w:szCs w:val="14"/>
          <w:color w:val="FFFFFF"/>
        </w:rPr>
        <w:t>should</w:t>
      </w:r>
      <w:r>
        <w:rPr>
          <w:sz w:val="20"/>
          <w:szCs w:val="20"/>
          <w:color w:val="auto"/>
        </w:rPr>
        <w:tab/>
      </w:r>
      <w:r>
        <w:rPr>
          <w:rFonts w:ascii="Arial" w:cs="Arial" w:eastAsia="Arial" w:hAnsi="Arial"/>
          <w:sz w:val="12"/>
          <w:szCs w:val="12"/>
          <w:color w:val="FFFFFF"/>
        </w:rPr>
        <w:t>be viewed as an indication of support from such third parties for the views expressed herein. All information</w:t>
      </w:r>
    </w:p>
    <w:p>
      <w:pPr>
        <w:sectPr>
          <w:pgSz w:w="11900" w:h="16838" w:orient="portrait"/>
          <w:cols w:equalWidth="0" w:num="1">
            <w:col w:w="11400"/>
          </w:cols>
          <w:pgMar w:left="240" w:top="1440"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305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865"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6"/>
          </w:tcPr>
          <w:p>
            <w:pPr>
              <w:ind w:left="140"/>
              <w:spacing w:after="0"/>
              <w:rPr>
                <w:sz w:val="20"/>
                <w:szCs w:val="20"/>
                <w:color w:val="auto"/>
              </w:rPr>
            </w:pPr>
            <w:r>
              <w:rPr>
                <w:rFonts w:ascii="Arial" w:cs="Arial" w:eastAsia="Arial" w:hAnsi="Arial"/>
                <w:sz w:val="14"/>
                <w:szCs w:val="14"/>
                <w:color w:val="FFFFFF"/>
                <w:w w:val="89"/>
              </w:rPr>
              <w:t>this communication regarding TICC, including its businesses, operations and financial results, was obtained from public sources. While TSLX has no knowledge that any such information is inaccurate or</w:t>
            </w:r>
          </w:p>
        </w:tc>
      </w:tr>
      <w:tr>
        <w:trPr>
          <w:trHeight w:val="41"/>
        </w:trPr>
        <w:tc>
          <w:tcPr>
            <w:tcW w:w="5840" w:type="dxa"/>
            <w:vAlign w:val="bottom"/>
            <w:gridSpan w:val="4"/>
          </w:tcPr>
          <w:p>
            <w:pPr>
              <w:spacing w:after="0"/>
              <w:rPr>
                <w:sz w:val="20"/>
                <w:szCs w:val="20"/>
                <w:color w:val="auto"/>
              </w:rPr>
            </w:pPr>
            <w:r>
              <w:rPr>
                <w:rFonts w:ascii="Arial" w:cs="Arial" w:eastAsia="Arial" w:hAnsi="Arial"/>
                <w:sz w:val="3"/>
                <w:szCs w:val="3"/>
                <w:color w:val="FFFFFF"/>
              </w:rPr>
              <w:t>incomplete, TSLX has not verified any of that information. TSLX reserves the right to change any of its</w:t>
            </w:r>
          </w:p>
        </w:tc>
        <w:tc>
          <w:tcPr>
            <w:tcW w:w="5520" w:type="dxa"/>
            <w:vAlign w:val="bottom"/>
            <w:gridSpan w:val="2"/>
          </w:tcPr>
          <w:p>
            <w:pPr>
              <w:ind w:left="320"/>
              <w:spacing w:after="0"/>
              <w:rPr>
                <w:sz w:val="20"/>
                <w:szCs w:val="20"/>
                <w:color w:val="auto"/>
              </w:rPr>
            </w:pPr>
            <w:r>
              <w:rPr>
                <w:rFonts w:ascii="Arial" w:cs="Arial" w:eastAsia="Arial" w:hAnsi="Arial"/>
                <w:sz w:val="3"/>
                <w:szCs w:val="3"/>
                <w:color w:val="FFFFFF"/>
              </w:rPr>
              <w:t>expressed herein at any time as it deems appropriate. TSLX disclaims any obligation to update</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the data, information or opinions contained herein. Proxy Solicitation Information In connection with TSLX’opinionssolicitation of proxies for the 2016 annual meeting of TICC stockholders in favor of (a) the election</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of TSLX’s nominee to serve as a director of TICC and (b) TSLX’s proposal to terminate the Investment Advisory Agreement, dated as of July 1, 2011, by and between TICC and TICC Management, LLC, as</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contemplated by Section 15(a) of the Investment Company Act of 1940, as amended, TSLX filed a preliminary proxy statement on Schedule 14A with the SEC on May 12, 2016 (as amended,    “TSLX</w:t>
            </w:r>
          </w:p>
        </w:tc>
      </w:tr>
      <w:tr>
        <w:trPr>
          <w:trHeight w:val="41"/>
        </w:trPr>
        <w:tc>
          <w:tcPr>
            <w:tcW w:w="4520" w:type="dxa"/>
            <w:vAlign w:val="bottom"/>
            <w:gridSpan w:val="3"/>
          </w:tcPr>
          <w:p>
            <w:pPr>
              <w:spacing w:after="0"/>
              <w:rPr>
                <w:sz w:val="20"/>
                <w:szCs w:val="20"/>
                <w:color w:val="auto"/>
              </w:rPr>
            </w:pPr>
            <w:r>
              <w:rPr>
                <w:rFonts w:ascii="Arial" w:cs="Arial" w:eastAsia="Arial" w:hAnsi="Arial"/>
                <w:sz w:val="3"/>
                <w:szCs w:val="3"/>
                <w:color w:val="FFFFFF"/>
              </w:rPr>
              <w:t>Preliminary Proxy Statement”) and filed a definitive proxy statement in connection</w:t>
            </w:r>
          </w:p>
        </w:tc>
        <w:tc>
          <w:tcPr>
            <w:tcW w:w="6840" w:type="dxa"/>
            <w:vAlign w:val="bottom"/>
            <w:gridSpan w:val="3"/>
          </w:tcPr>
          <w:p>
            <w:pPr>
              <w:ind w:left="560"/>
              <w:spacing w:after="0"/>
              <w:rPr>
                <w:sz w:val="20"/>
                <w:szCs w:val="20"/>
                <w:color w:val="auto"/>
              </w:rPr>
            </w:pPr>
            <w:r>
              <w:rPr>
                <w:rFonts w:ascii="Arial" w:cs="Arial" w:eastAsia="Arial" w:hAnsi="Arial"/>
                <w:sz w:val="3"/>
                <w:szCs w:val="3"/>
                <w:color w:val="FFFFFF"/>
              </w:rPr>
              <w:t>on Schedule 14A with the SEC on June 20, 2016 (the “TSLX Definitive Proxy Statement” and, together with the</w:t>
            </w:r>
          </w:p>
        </w:tc>
      </w:tr>
      <w:tr>
        <w:trPr>
          <w:trHeight w:val="41"/>
        </w:trPr>
        <w:tc>
          <w:tcPr>
            <w:tcW w:w="4520" w:type="dxa"/>
            <w:vAlign w:val="bottom"/>
            <w:gridSpan w:val="3"/>
          </w:tcPr>
          <w:p>
            <w:pPr>
              <w:spacing w:after="0"/>
              <w:rPr>
                <w:sz w:val="20"/>
                <w:szCs w:val="20"/>
                <w:color w:val="auto"/>
              </w:rPr>
            </w:pPr>
            <w:r>
              <w:rPr>
                <w:rFonts w:ascii="Arial" w:cs="Arial" w:eastAsia="Arial" w:hAnsi="Arial"/>
                <w:sz w:val="3"/>
                <w:szCs w:val="3"/>
                <w:color w:val="FFFFFF"/>
              </w:rPr>
              <w:t>TSLX Preliminary Proxy Statement, the “TSLX Proxy Statement”). TSLX</w:t>
            </w:r>
          </w:p>
        </w:tc>
        <w:tc>
          <w:tcPr>
            <w:tcW w:w="6840" w:type="dxa"/>
            <w:vAlign w:val="bottom"/>
            <w:gridSpan w:val="3"/>
          </w:tcPr>
          <w:p>
            <w:pPr>
              <w:ind w:left="20"/>
              <w:spacing w:after="0"/>
              <w:rPr>
                <w:sz w:val="20"/>
                <w:szCs w:val="20"/>
                <w:color w:val="auto"/>
              </w:rPr>
            </w:pPr>
            <w:r>
              <w:rPr>
                <w:rFonts w:ascii="Arial" w:cs="Arial" w:eastAsia="Arial" w:hAnsi="Arial"/>
                <w:sz w:val="3"/>
                <w:szCs w:val="3"/>
                <w:color w:val="FFFFFF"/>
              </w:rPr>
              <w:t>therewiththatwill commence mailing of the TSLX Definitive Proxy Statement and accompanying GOLD proxy card to</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stockholders of TICC on or about June 20, 2016. This communication is notanticipatessubstitute for the TSLX Proxy Statement. TSLX STRONGLY ADVISES ALL STOCKHOLDERS OF TICC TO READ THE</w:t>
            </w:r>
          </w:p>
        </w:tc>
      </w:tr>
      <w:tr>
        <w:trPr>
          <w:trHeight w:val="41"/>
        </w:trPr>
        <w:tc>
          <w:tcPr>
            <w:tcW w:w="5840" w:type="dxa"/>
            <w:vAlign w:val="bottom"/>
            <w:gridSpan w:val="4"/>
          </w:tcPr>
          <w:p>
            <w:pPr>
              <w:spacing w:after="0"/>
              <w:rPr>
                <w:sz w:val="20"/>
                <w:szCs w:val="20"/>
                <w:color w:val="auto"/>
              </w:rPr>
            </w:pPr>
            <w:r>
              <w:rPr>
                <w:rFonts w:ascii="Arial" w:cs="Arial" w:eastAsia="Arial" w:hAnsi="Arial"/>
                <w:sz w:val="3"/>
                <w:szCs w:val="3"/>
                <w:color w:val="FFFFFF"/>
              </w:rPr>
              <w:t>TSLX PROXY STATEMENT AND THE OTHER PROXY MATERIALS AS THEY BECOME AV</w:t>
            </w:r>
          </w:p>
        </w:tc>
        <w:tc>
          <w:tcPr>
            <w:tcW w:w="3600" w:type="dxa"/>
            <w:vAlign w:val="bottom"/>
          </w:tcPr>
          <w:p>
            <w:pPr>
              <w:ind w:left="200"/>
              <w:spacing w:after="0"/>
              <w:rPr>
                <w:sz w:val="20"/>
                <w:szCs w:val="20"/>
                <w:color w:val="auto"/>
              </w:rPr>
            </w:pPr>
            <w:r>
              <w:rPr>
                <w:rFonts w:ascii="Arial" w:cs="Arial" w:eastAsia="Arial" w:hAnsi="Arial"/>
                <w:sz w:val="3"/>
                <w:szCs w:val="3"/>
                <w:color w:val="FFFFFF"/>
              </w:rPr>
              <w:t>BECAUSE THEY CONTAIN IMPOR ANT INFORMA</w:t>
            </w:r>
          </w:p>
        </w:tc>
        <w:tc>
          <w:tcPr>
            <w:tcW w:w="1920" w:type="dxa"/>
            <w:vAlign w:val="bottom"/>
          </w:tcPr>
          <w:p>
            <w:pPr>
              <w:spacing w:after="0"/>
              <w:rPr>
                <w:sz w:val="20"/>
                <w:szCs w:val="20"/>
                <w:color w:val="auto"/>
              </w:rPr>
            </w:pPr>
            <w:r>
              <w:rPr>
                <w:rFonts w:ascii="Arial" w:cs="Arial" w:eastAsia="Arial" w:hAnsi="Arial"/>
                <w:sz w:val="3"/>
                <w:szCs w:val="3"/>
                <w:color w:val="FFFFFF"/>
              </w:rPr>
              <w:t>. SUCH TSLX PROXY</w:t>
            </w:r>
          </w:p>
        </w:tc>
      </w:tr>
      <w:tr>
        <w:trPr>
          <w:trHeight w:val="41"/>
        </w:trPr>
        <w:tc>
          <w:tcPr>
            <w:tcW w:w="3160" w:type="dxa"/>
            <w:vAlign w:val="bottom"/>
            <w:gridSpan w:val="2"/>
          </w:tcPr>
          <w:p>
            <w:pPr>
              <w:spacing w:after="0"/>
              <w:rPr>
                <w:sz w:val="20"/>
                <w:szCs w:val="20"/>
                <w:color w:val="auto"/>
              </w:rPr>
            </w:pPr>
            <w:r>
              <w:rPr>
                <w:rFonts w:ascii="Arial" w:cs="Arial" w:eastAsia="Arial" w:hAnsi="Arial"/>
                <w:sz w:val="3"/>
                <w:szCs w:val="3"/>
                <w:color w:val="FFFFFF"/>
              </w:rPr>
              <w:t>MATERIALS ARE AND WILL BECOME AVAILABLE</w:t>
            </w:r>
          </w:p>
        </w:tc>
        <w:tc>
          <w:tcPr>
            <w:tcW w:w="6280" w:type="dxa"/>
            <w:vAlign w:val="bottom"/>
            <w:gridSpan w:val="3"/>
          </w:tcPr>
          <w:p>
            <w:pPr>
              <w:ind w:left="100"/>
              <w:spacing w:after="0"/>
              <w:rPr>
                <w:sz w:val="20"/>
                <w:szCs w:val="20"/>
                <w:color w:val="auto"/>
              </w:rPr>
            </w:pPr>
            <w:r>
              <w:rPr>
                <w:rFonts w:ascii="Arial" w:cs="Arial" w:eastAsia="Arial" w:hAnsi="Arial"/>
                <w:sz w:val="3"/>
                <w:szCs w:val="3"/>
                <w:color w:val="FFFFFF"/>
              </w:rPr>
              <w:t>T NO CHARGE ON THE SEC’S WEB AILABLESITEHTTP://WWW.SEC.GOV AND ON TSLX’S WEBSITE ATION</w:t>
            </w:r>
          </w:p>
        </w:tc>
        <w:tc>
          <w:tcPr>
            <w:tcW w:w="1920" w:type="dxa"/>
            <w:vAlign w:val="bottom"/>
          </w:tcPr>
          <w:p>
            <w:pPr>
              <w:spacing w:after="0"/>
              <w:rPr>
                <w:sz w:val="3"/>
                <w:szCs w:val="3"/>
                <w:color w:val="auto"/>
              </w:rPr>
            </w:pPr>
          </w:p>
        </w:tc>
      </w:tr>
      <w:tr>
        <w:trPr>
          <w:trHeight w:val="41"/>
        </w:trPr>
        <w:tc>
          <w:tcPr>
            <w:tcW w:w="2040" w:type="dxa"/>
            <w:vAlign w:val="bottom"/>
          </w:tcPr>
          <w:p>
            <w:pPr>
              <w:spacing w:after="0"/>
              <w:rPr>
                <w:sz w:val="20"/>
                <w:szCs w:val="20"/>
                <w:color w:val="auto"/>
              </w:rPr>
            </w:pPr>
            <w:r>
              <w:rPr>
                <w:rFonts w:ascii="Arial" w:cs="Arial" w:eastAsia="Arial" w:hAnsi="Arial"/>
                <w:sz w:val="3"/>
                <w:szCs w:val="3"/>
                <w:color w:val="FFFFFF"/>
              </w:rPr>
              <w:t>HTTP://WWW.TPGSPECIAL</w:t>
            </w:r>
          </w:p>
        </w:tc>
        <w:tc>
          <w:tcPr>
            <w:tcW w:w="9320" w:type="dxa"/>
            <w:vAlign w:val="bottom"/>
            <w:gridSpan w:val="5"/>
          </w:tcPr>
          <w:p>
            <w:pPr>
              <w:ind w:left="400"/>
              <w:spacing w:after="0"/>
              <w:rPr>
                <w:sz w:val="20"/>
                <w:szCs w:val="20"/>
                <w:color w:val="auto"/>
              </w:rPr>
            </w:pPr>
            <w:r>
              <w:rPr>
                <w:rFonts w:ascii="Arial" w:cs="Arial" w:eastAsia="Arial" w:hAnsi="Arial"/>
                <w:sz w:val="3"/>
                <w:szCs w:val="3"/>
                <w:color w:val="FFFFFF"/>
              </w:rPr>
              <w:t>.COM. IN ADDITION, TSLX WILL PROVIDE COPIES OF THE TSLX PROXY STATEMENT WITHOUT CHARGE UPON REQUEST. REQUESTS FOR</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COPIES SHOULD BE DIRECTEDTYLENDINGOTSLX’S PROXY SOLICITOR AT TPG@MACKENZIEPARTNERS.COM. The participants in the solicitation are TSLX and T. Kelley Millet, and certain of TSLX’s</w:t>
            </w:r>
          </w:p>
        </w:tc>
      </w:tr>
      <w:tr>
        <w:trPr>
          <w:trHeight w:val="41"/>
        </w:trPr>
        <w:tc>
          <w:tcPr>
            <w:tcW w:w="3160" w:type="dxa"/>
            <w:vAlign w:val="bottom"/>
            <w:gridSpan w:val="2"/>
          </w:tcPr>
          <w:p>
            <w:pPr>
              <w:spacing w:after="0"/>
              <w:rPr>
                <w:sz w:val="20"/>
                <w:szCs w:val="20"/>
                <w:color w:val="auto"/>
              </w:rPr>
            </w:pPr>
            <w:r>
              <w:rPr>
                <w:rFonts w:ascii="Arial" w:cs="Arial" w:eastAsia="Arial" w:hAnsi="Arial"/>
                <w:sz w:val="3"/>
                <w:szCs w:val="3"/>
                <w:color w:val="FFFFFF"/>
              </w:rPr>
              <w:t>directors and executive officers may also be deemed to</w:t>
            </w:r>
          </w:p>
        </w:tc>
        <w:tc>
          <w:tcPr>
            <w:tcW w:w="8200" w:type="dxa"/>
            <w:vAlign w:val="bottom"/>
            <w:gridSpan w:val="4"/>
          </w:tcPr>
          <w:p>
            <w:pPr>
              <w:ind w:left="20"/>
              <w:spacing w:after="0"/>
              <w:rPr>
                <w:sz w:val="20"/>
                <w:szCs w:val="20"/>
                <w:color w:val="auto"/>
              </w:rPr>
            </w:pPr>
            <w:r>
              <w:rPr>
                <w:rFonts w:ascii="Arial" w:cs="Arial" w:eastAsia="Arial" w:hAnsi="Arial"/>
                <w:sz w:val="3"/>
                <w:szCs w:val="3"/>
                <w:color w:val="FFFFFF"/>
              </w:rPr>
              <w:t>participants in the solicitation. As of the date hereof, TSLX directly beneficially owned 1,633,719 shares of common stock of TICC. As of the date</w:t>
            </w:r>
          </w:p>
        </w:tc>
      </w:tr>
      <w:tr>
        <w:trPr>
          <w:trHeight w:val="213"/>
        </w:trPr>
        <w:tc>
          <w:tcPr>
            <w:tcW w:w="5840" w:type="dxa"/>
            <w:vAlign w:val="bottom"/>
            <w:gridSpan w:val="4"/>
          </w:tcPr>
          <w:p>
            <w:pPr>
              <w:spacing w:after="0"/>
              <w:rPr>
                <w:sz w:val="20"/>
                <w:szCs w:val="20"/>
                <w:color w:val="auto"/>
              </w:rPr>
            </w:pPr>
            <w:r>
              <w:rPr>
                <w:rFonts w:ascii="Arial" w:cs="Arial" w:eastAsia="Arial" w:hAnsi="Arial"/>
                <w:sz w:val="14"/>
                <w:szCs w:val="14"/>
                <w:color w:val="FFFFFF"/>
                <w:w w:val="94"/>
              </w:rPr>
              <w:t>hereof, Mr. Millet did not directly or indirectly beneficially own any shares of common stock of TICC.</w:t>
            </w:r>
          </w:p>
        </w:tc>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ectPr>
          <w:pgSz w:w="11900" w:h="16838" w:orient="portrait"/>
          <w:cols w:equalWidth="0" w:num="1">
            <w:col w:w="11360"/>
          </w:cols>
          <w:pgMar w:left="240" w:top="1440"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2992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186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194" w:lineRule="auto"/>
        <w:rPr>
          <w:sz w:val="20"/>
          <w:szCs w:val="20"/>
          <w:color w:val="auto"/>
        </w:rPr>
      </w:pPr>
      <w:r>
        <w:rPr>
          <w:rFonts w:ascii="Arial" w:cs="Arial" w:eastAsia="Arial" w:hAnsi="Arial"/>
          <w:sz w:val="5"/>
          <w:szCs w:val="5"/>
          <w:color w:val="FFFFFF"/>
        </w:rPr>
        <w:t>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documinterests,nts can be obtained free of charge from the sources indicated above. Additional information regarding theintrestsoftheseparticipantsintheproxysolicitationanddescriptionoftheirdirectandindirectbysecurityholdingsorisavailableintheTSLXDefinitiveProxyStatementandother</w:t>
      </w:r>
    </w:p>
    <w:p>
      <w:pPr>
        <w:spacing w:after="0"/>
        <w:tabs>
          <w:tab w:leader="none" w:pos="3040" w:val="left"/>
          <w:tab w:leader="none" w:pos="7100" w:val="left"/>
        </w:tabs>
        <w:rPr>
          <w:sz w:val="20"/>
          <w:szCs w:val="20"/>
          <w:color w:val="auto"/>
        </w:rPr>
      </w:pPr>
      <w:r>
        <w:rPr>
          <w:rFonts w:ascii="Arial" w:cs="Arial" w:eastAsia="Arial" w:hAnsi="Arial"/>
          <w:sz w:val="1"/>
          <w:szCs w:val="1"/>
          <w:color w:val="FFFFFF"/>
        </w:rPr>
        <w:t>relevant</w:t>
      </w:r>
      <w:r>
        <w:rPr>
          <w:sz w:val="20"/>
          <w:szCs w:val="20"/>
          <w:color w:val="auto"/>
        </w:rPr>
        <w:tab/>
      </w:r>
      <w:r>
        <w:rPr>
          <w:rFonts w:ascii="Arial" w:cs="Arial" w:eastAsia="Arial" w:hAnsi="Arial"/>
          <w:sz w:val="3"/>
          <w:szCs w:val="3"/>
          <w:color w:val="FFFFFF"/>
        </w:rPr>
        <w:t>ava</w:t>
      </w:r>
      <w:r>
        <w:rPr>
          <w:sz w:val="20"/>
          <w:szCs w:val="20"/>
          <w:color w:val="auto"/>
        </w:rPr>
        <w:tab/>
      </w:r>
      <w:r>
        <w:rPr>
          <w:rFonts w:ascii="Arial" w:cs="Arial" w:eastAsia="Arial" w:hAnsi="Arial"/>
          <w:sz w:val="3"/>
          <w:szCs w:val="3"/>
          <w:color w:val="FFFFFF"/>
        </w:rPr>
        <w:t>otherwise,</w:t>
      </w:r>
    </w:p>
    <w:p>
      <w:pPr>
        <w:ind w:left="480"/>
        <w:spacing w:after="0" w:line="194" w:lineRule="auto"/>
        <w:tabs>
          <w:tab w:leader="none" w:pos="7660" w:val="left"/>
        </w:tabs>
        <w:rPr>
          <w:sz w:val="20"/>
          <w:szCs w:val="20"/>
          <w:color w:val="auto"/>
        </w:rPr>
      </w:pPr>
      <w:r>
        <w:rPr>
          <w:rFonts w:ascii="Arial" w:cs="Arial" w:eastAsia="Arial" w:hAnsi="Arial"/>
          <w:sz w:val="3"/>
          <w:szCs w:val="3"/>
          <w:color w:val="FFFFFF"/>
        </w:rPr>
        <w:t xml:space="preserve">materials to be filed with the SEC (if and when </w:t>
      </w:r>
      <w:r>
        <w:rPr>
          <w:rFonts w:ascii="Arial" w:cs="Arial" w:eastAsia="Arial" w:hAnsi="Arial"/>
          <w:sz w:val="5"/>
          <w:szCs w:val="5"/>
          <w:color w:val="FFFFFF"/>
          <w:vertAlign w:val="subscript"/>
        </w:rPr>
        <w:t>which</w:t>
      </w:r>
      <w:r>
        <w:rPr>
          <w:rFonts w:ascii="Arial" w:cs="Arial" w:eastAsia="Arial" w:hAnsi="Arial"/>
          <w:sz w:val="3"/>
          <w:szCs w:val="3"/>
          <w:color w:val="FFFFFF"/>
        </w:rPr>
        <w:t>lable). This document shall not constitute an offer to sell, buy or exchange or</w:t>
      </w:r>
      <w:r>
        <w:rPr>
          <w:sz w:val="20"/>
          <w:szCs w:val="20"/>
          <w:color w:val="auto"/>
        </w:rPr>
        <w:tab/>
      </w:r>
      <w:r>
        <w:rPr>
          <w:rFonts w:ascii="Arial" w:cs="Arial" w:eastAsia="Arial" w:hAnsi="Arial"/>
          <w:sz w:val="5"/>
          <w:szCs w:val="5"/>
          <w:color w:val="FFFFFF"/>
        </w:rPr>
        <w:t>solicitation of an offer to sell, buy or exchange any securities, nor</w:t>
      </w:r>
    </w:p>
    <w:p>
      <w:pPr>
        <w:spacing w:after="0" w:line="190" w:lineRule="auto"/>
        <w:rPr>
          <w:sz w:val="20"/>
          <w:szCs w:val="20"/>
          <w:color w:val="auto"/>
        </w:rPr>
      </w:pPr>
      <w:r>
        <w:rPr>
          <w:rFonts w:ascii="Arial" w:cs="Arial" w:eastAsia="Arial" w:hAnsi="Arial"/>
          <w:sz w:val="11"/>
          <w:szCs w:val="11"/>
          <w:color w:val="FFFFFF"/>
        </w:rPr>
        <w:t>shall there be any sale of securities in any jurisdiction in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785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865" cy="478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FFFFFF"/>
        </w:rPr>
        <w:t>Presentations Nominee How to Vote About TPG Specialty Lending Contact</w:t>
      </w:r>
    </w:p>
    <w:p>
      <w:pPr>
        <w:spacing w:after="0" w:line="211" w:lineRule="auto"/>
        <w:rPr>
          <w:sz w:val="20"/>
          <w:szCs w:val="20"/>
          <w:color w:val="auto"/>
        </w:rPr>
      </w:pPr>
      <w:r>
        <w:rPr>
          <w:rFonts w:ascii="Arial" w:cs="Arial" w:eastAsia="Arial" w:hAnsi="Arial"/>
          <w:sz w:val="8"/>
          <w:szCs w:val="8"/>
          <w:color w:val="FFFFFF"/>
        </w:rPr>
        <w:t>Wnominee,TICCurgestockholdersyouvotedeservetoterminatechangetheandinvestmentTSLXis advisorycommittedagreementtodeliveringbetweenmeaningfulTICCCapitalchangeCorp.andreal(“TICC”)value toandstockholdersitsexternal manager, TICC Management, LLC, and to elect our highly-qualified, independent</w:t>
      </w:r>
    </w:p>
    <w:p>
      <w:pPr>
        <w:ind w:right="20"/>
        <w:spacing w:after="0"/>
        <w:rPr>
          <w:sz w:val="20"/>
          <w:szCs w:val="20"/>
          <w:color w:val="auto"/>
        </w:rPr>
      </w:pPr>
      <w:r>
        <w:rPr>
          <w:rFonts w:ascii="Arial" w:cs="Arial" w:eastAsia="Arial" w:hAnsi="Arial"/>
          <w:sz w:val="7"/>
          <w:szCs w:val="7"/>
          <w:color w:val="FFFFFF"/>
        </w:rPr>
        <w:t>It is your right,T.KelleyunderMillet,theInvestmenttotheBoardCompanyofDirectorsActofat 1940,TICC’as 2016amended,annualto meeting.terminate the external manager’s contract at no cost to stockholders. The need to change the external manager and enhance the Board is clear. The existing external manager and the TICC Board have:</w:t>
      </w:r>
    </w:p>
    <w:p>
      <w:pPr>
        <w:spacing w:after="0" w:line="7" w:lineRule="exact"/>
        <w:rPr>
          <w:sz w:val="20"/>
          <w:szCs w:val="20"/>
          <w:color w:val="auto"/>
        </w:rPr>
      </w:pPr>
    </w:p>
    <w:p>
      <w:pPr>
        <w:ind w:left="7020"/>
        <w:spacing w:after="0"/>
        <w:rPr>
          <w:sz w:val="20"/>
          <w:szCs w:val="20"/>
          <w:color w:val="auto"/>
        </w:rPr>
      </w:pPr>
      <w:r>
        <w:rPr>
          <w:rFonts w:ascii="Arial" w:cs="Arial" w:eastAsia="Arial" w:hAnsi="Arial"/>
          <w:sz w:val="3"/>
          <w:szCs w:val="3"/>
          <w:color w:val="FFFFFF"/>
        </w:rPr>
        <w:t>DeCollectedivered millionsadecade ofmanagementfailedreturns,andunderperformingincentivefees, intheadditionBDCCompositetosignificantand U.S. Treasuries-relatedcompensation,bysignificantdespitemargins.this abysmal performance.</w:t>
      </w:r>
    </w:p>
    <w:p>
      <w:pPr>
        <w:ind w:right="180"/>
        <w:spacing w:after="0" w:line="230" w:lineRule="auto"/>
        <w:rPr>
          <w:sz w:val="20"/>
          <w:szCs w:val="20"/>
          <w:color w:val="auto"/>
        </w:rPr>
      </w:pPr>
      <w:r>
        <w:rPr>
          <w:rFonts w:ascii="Arial" w:cs="Arial" w:eastAsia="Arial" w:hAnsi="Arial"/>
          <w:sz w:val="11"/>
          <w:szCs w:val="11"/>
          <w:color w:val="FFFFFF"/>
        </w:rPr>
        <w:t>Paid an unsustainable dividend as the company has under-earned its dividend byBoardcumulative 45.3% in the six most recent quarters. By TICC’s own admission, its past dividends have been in part a return of investor capital.</w:t>
      </w:r>
    </w:p>
    <w:p>
      <w:pPr>
        <w:spacing w:after="0" w:line="181" w:lineRule="auto"/>
        <w:rPr>
          <w:sz w:val="20"/>
          <w:szCs w:val="20"/>
          <w:color w:val="auto"/>
        </w:rPr>
      </w:pPr>
      <w:r>
        <w:rPr>
          <w:rFonts w:ascii="Arial" w:cs="Arial" w:eastAsia="Arial" w:hAnsi="Arial"/>
          <w:sz w:val="7"/>
          <w:szCs w:val="7"/>
          <w:color w:val="FFFFFF"/>
        </w:rPr>
        <w:t>Taken blatant self-serving actions to protect the external manager at the expense of stockholders. Not only has a federal judge found that TICC likely violated federal securities law but the owners of the external manager, including two Board members, are buying TICC shares for the first time in four years and, for the first time in 11 years, the Company has not publicly announced a record date or set a date for its annual meeting.</w:t>
      </w:r>
    </w:p>
    <w:p>
      <w:pPr>
        <w:spacing w:after="0"/>
        <w:rPr>
          <w:sz w:val="20"/>
          <w:szCs w:val="20"/>
          <w:color w:val="auto"/>
        </w:rPr>
      </w:pPr>
      <w:r>
        <w:rPr>
          <w:rFonts w:ascii="Arial" w:cs="Arial" w:eastAsia="Arial" w:hAnsi="Arial"/>
          <w:sz w:val="14"/>
          <w:szCs w:val="14"/>
          <w:color w:val="FFFFFF"/>
        </w:rPr>
        <w:t>The time for change is now.</w:t>
      </w:r>
    </w:p>
    <w:p>
      <w:pPr>
        <w:sectPr>
          <w:pgSz w:w="11900" w:h="16838" w:orient="portrait"/>
          <w:cols w:equalWidth="0" w:num="1">
            <w:col w:w="11360"/>
          </w:cols>
          <w:pgMar w:left="240" w:top="1440" w:right="2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14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94" w:lineRule="auto"/>
        <w:rPr>
          <w:sz w:val="20"/>
          <w:szCs w:val="20"/>
          <w:color w:val="auto"/>
        </w:rPr>
      </w:pPr>
      <w:r>
        <w:rPr>
          <w:rFonts w:ascii="Arial" w:cs="Arial" w:eastAsia="Arial" w:hAnsi="Arial"/>
          <w:sz w:val="10"/>
          <w:szCs w:val="10"/>
          <w:color w:val="FFFFFF"/>
        </w:rPr>
        <w:t>VOTE THE GOLD PROXY CARD TODAY TO TERMINATE THE EXISTING MANAGER AND SET TICC ON THE PATH TOWARD VALUE CREATION, STOCKHOLDER ALIGNMENT AND REAL CHANGE.</w:t>
      </w:r>
    </w:p>
    <w:p>
      <w:pPr>
        <w:spacing w:after="0" w:line="188" w:lineRule="auto"/>
        <w:rPr>
          <w:sz w:val="20"/>
          <w:szCs w:val="20"/>
          <w:color w:val="auto"/>
        </w:rPr>
      </w:pPr>
      <w:r>
        <w:rPr>
          <w:rFonts w:ascii="Arial" w:cs="Arial" w:eastAsia="Arial" w:hAnsi="Arial"/>
          <w:sz w:val="9"/>
          <w:szCs w:val="9"/>
          <w:color w:val="FFFFFF"/>
        </w:rPr>
        <w:t>PRESS RELEASES</w:t>
      </w:r>
    </w:p>
    <w:p>
      <w:pPr>
        <w:spacing w:after="0"/>
        <w:rPr>
          <w:sz w:val="20"/>
          <w:szCs w:val="20"/>
          <w:color w:val="auto"/>
        </w:rPr>
      </w:pPr>
      <w:r>
        <w:rPr>
          <w:rFonts w:ascii="Arial" w:cs="Arial" w:eastAsia="Arial" w:hAnsi="Arial"/>
          <w:sz w:val="3"/>
          <w:szCs w:val="3"/>
          <w:color w:val="FFFFFF"/>
        </w:rPr>
        <w:t>6/20/2016TPGSpecialty Lending, Inc. to Start Distributing Proxy Materials to TICC Capital Corp. Stockholders</w:t>
      </w:r>
    </w:p>
    <w:p>
      <w:pPr>
        <w:spacing w:after="0" w:line="6" w:lineRule="exact"/>
        <w:rPr>
          <w:sz w:val="20"/>
          <w:szCs w:val="20"/>
          <w:color w:val="auto"/>
        </w:rPr>
      </w:pPr>
    </w:p>
    <w:p>
      <w:pPr>
        <w:ind w:right="4660"/>
        <w:spacing w:after="0" w:line="187" w:lineRule="auto"/>
        <w:rPr>
          <w:sz w:val="20"/>
          <w:szCs w:val="20"/>
          <w:color w:val="auto"/>
        </w:rPr>
      </w:pPr>
      <w:r>
        <w:rPr>
          <w:rFonts w:ascii="Arial" w:cs="Arial" w:eastAsia="Arial" w:hAnsi="Arial"/>
          <w:sz w:val="9"/>
          <w:szCs w:val="9"/>
          <w:color w:val="FFFFFF"/>
        </w:rPr>
        <w:t>TPG Specialty Lending, Inc. Sends Letter to TICC Capital Corp. Questioning Highly Inappropriate Insider Share Purchases 6/7/2016</w:t>
      </w:r>
    </w:p>
    <w:p>
      <w:pPr>
        <w:ind w:right="2400"/>
        <w:spacing w:after="0" w:line="187" w:lineRule="auto"/>
        <w:rPr>
          <w:sz w:val="20"/>
          <w:szCs w:val="20"/>
          <w:color w:val="auto"/>
        </w:rPr>
      </w:pPr>
      <w:r>
        <w:rPr>
          <w:rFonts w:ascii="Arial" w:cs="Arial" w:eastAsia="Arial" w:hAnsi="Arial"/>
          <w:sz w:val="9"/>
          <w:szCs w:val="9"/>
          <w:color w:val="FFFFFF"/>
        </w:rPr>
        <w:t>TPG Specialty Lending, Inc. Sends Letter to Independent Directors of TICC Capital Corp. Questioning Recent Self-Interested Actions by Conflicted Board Members 5/17/2016</w:t>
      </w:r>
    </w:p>
    <w:p>
      <w:pPr>
        <w:ind w:right="4260"/>
        <w:spacing w:after="0" w:line="187" w:lineRule="auto"/>
        <w:rPr>
          <w:sz w:val="20"/>
          <w:szCs w:val="20"/>
          <w:color w:val="auto"/>
        </w:rPr>
      </w:pPr>
      <w:r>
        <w:rPr>
          <w:rFonts w:ascii="Arial" w:cs="Arial" w:eastAsia="Arial" w:hAnsi="Arial"/>
          <w:sz w:val="9"/>
          <w:szCs w:val="9"/>
          <w:color w:val="FFFFFF"/>
        </w:rPr>
        <w:t>TPG Specialty Lending, Inc. Calls on TICC Capital Corp. to Address Critical Investor Questions During Earnings Conference Call 5/2/2016</w:t>
      </w:r>
    </w:p>
    <w:p>
      <w:pPr>
        <w:spacing w:after="0"/>
        <w:rPr>
          <w:sz w:val="20"/>
          <w:szCs w:val="20"/>
          <w:color w:val="auto"/>
        </w:rPr>
      </w:pPr>
      <w:r>
        <w:rPr>
          <w:rFonts w:ascii="Arial" w:cs="Arial" w:eastAsia="Arial" w:hAnsi="Arial"/>
          <w:sz w:val="3"/>
          <w:szCs w:val="3"/>
          <w:color w:val="FFFFFF"/>
        </w:rPr>
        <w:t>WHAT PEOPLE ARE SAYING…</w:t>
      </w:r>
    </w:p>
    <w:p>
      <w:pPr>
        <w:spacing w:after="0" w:line="194" w:lineRule="auto"/>
        <w:rPr>
          <w:sz w:val="20"/>
          <w:szCs w:val="20"/>
          <w:color w:val="auto"/>
        </w:rPr>
      </w:pPr>
      <w:r>
        <w:rPr>
          <w:rFonts w:ascii="Arial" w:cs="Arial" w:eastAsia="Arial" w:hAnsi="Arial"/>
          <w:sz w:val="3"/>
          <w:szCs w:val="3"/>
          <w:color w:val="FFFFFF"/>
        </w:rPr>
        <w:t>“The $0.29 [TICC] dividend is not sustainable,</w:t>
      </w:r>
      <w:r>
        <w:rPr>
          <w:rFonts w:ascii="Arial" w:cs="Arial" w:eastAsia="Arial" w:hAnsi="Arial"/>
          <w:sz w:val="5"/>
          <w:szCs w:val="5"/>
          <w:color w:val="FFFFFF"/>
          <w:vertAlign w:val="subscript"/>
        </w:rPr>
        <w:t>negotiating</w:t>
      </w:r>
      <w:r>
        <w:rPr>
          <w:rFonts w:ascii="Arial" w:cs="Arial" w:eastAsia="Arial" w:hAnsi="Arial"/>
          <w:sz w:val="3"/>
          <w:szCs w:val="3"/>
          <w:color w:val="FFFFFF"/>
        </w:rPr>
        <w:t xml:space="preserve">d </w:t>
      </w:r>
      <w:r>
        <w:rPr>
          <w:rFonts w:ascii="Arial" w:cs="Arial" w:eastAsia="Arial" w:hAnsi="Arial"/>
          <w:sz w:val="5"/>
          <w:szCs w:val="5"/>
          <w:color w:val="FFFFFF"/>
          <w:vertAlign w:val="subscript"/>
        </w:rPr>
        <w:t>with</w:t>
      </w:r>
      <w:r>
        <w:rPr>
          <w:rFonts w:ascii="Arial" w:cs="Arial" w:eastAsia="Arial" w:hAnsi="Arial"/>
          <w:sz w:val="3"/>
          <w:szCs w:val="3"/>
          <w:color w:val="FFFFFF"/>
        </w:rPr>
        <w:t>eexpect it will be cut regardless of what happens.</w:t>
      </w:r>
      <w:r>
        <w:rPr>
          <w:rFonts w:ascii="Arial" w:cs="Arial" w:eastAsia="Arial" w:hAnsi="Arial"/>
          <w:sz w:val="5"/>
          <w:szCs w:val="5"/>
          <w:color w:val="FFFFFF"/>
          <w:vertAlign w:val="subscript"/>
        </w:rPr>
        <w:t>questioning</w:t>
      </w:r>
      <w:r>
        <w:rPr>
          <w:rFonts w:ascii="Arial" w:cs="Arial" w:eastAsia="Arial" w:hAnsi="Arial"/>
          <w:sz w:val="3"/>
          <w:szCs w:val="3"/>
          <w:color w:val="FFFFFF"/>
        </w:rPr>
        <w:t>Whavebeen talking about a dividend cut for over a year now…Now TSLX provides an interesting offer</w:t>
      </w:r>
    </w:p>
    <w:p>
      <w:pPr>
        <w:spacing w:after="0"/>
        <w:tabs>
          <w:tab w:leader="none" w:pos="3060" w:val="left"/>
          <w:tab w:leader="none" w:pos="6240" w:val="left"/>
        </w:tabs>
        <w:rPr>
          <w:sz w:val="20"/>
          <w:szCs w:val="20"/>
          <w:color w:val="auto"/>
        </w:rPr>
      </w:pPr>
      <w:r>
        <w:rPr>
          <w:rFonts w:ascii="Arial" w:cs="Arial" w:eastAsia="Arial" w:hAnsi="Arial"/>
          <w:sz w:val="2"/>
          <w:szCs w:val="2"/>
          <w:color w:val="FFFFFF"/>
        </w:rPr>
        <w:t>and the [TICC] Board rejects it without</w:t>
      </w:r>
      <w:r>
        <w:rPr>
          <w:rFonts w:ascii="Arial" w:cs="Arial" w:eastAsia="Arial" w:hAnsi="Arial"/>
          <w:sz w:val="4"/>
          <w:szCs w:val="4"/>
          <w:color w:val="FFFFFF"/>
          <w:vertAlign w:val="subscript"/>
        </w:rPr>
        <w:t>September</w:t>
      </w:r>
      <w:r>
        <w:rPr>
          <w:sz w:val="20"/>
          <w:szCs w:val="20"/>
          <w:color w:val="auto"/>
        </w:rPr>
        <w:tab/>
      </w:r>
      <w:r>
        <w:rPr>
          <w:rFonts w:ascii="Arial" w:cs="Arial" w:eastAsia="Arial" w:hAnsi="Arial"/>
          <w:sz w:val="3"/>
          <w:szCs w:val="3"/>
          <w:color w:val="FFFFFF"/>
        </w:rPr>
        <w:t>TSLX. As the title of our note implies, we are</w:t>
      </w:r>
      <w:r>
        <w:rPr>
          <w:sz w:val="20"/>
          <w:szCs w:val="20"/>
          <w:color w:val="auto"/>
        </w:rPr>
        <w:tab/>
      </w:r>
      <w:r>
        <w:rPr>
          <w:rFonts w:ascii="Arial" w:cs="Arial" w:eastAsia="Arial" w:hAnsi="Arial"/>
          <w:sz w:val="3"/>
          <w:szCs w:val="3"/>
          <w:color w:val="FFFFFF"/>
        </w:rPr>
        <w:t>whether the [TICC] Board is really doing all they can to maximize shareholder value.” –</w:t>
      </w:r>
    </w:p>
    <w:p>
      <w:pPr>
        <w:spacing w:after="0"/>
        <w:tabs>
          <w:tab w:leader="none" w:pos="2500" w:val="left"/>
        </w:tabs>
        <w:rPr>
          <w:sz w:val="20"/>
          <w:szCs w:val="20"/>
          <w:color w:val="auto"/>
        </w:rPr>
      </w:pPr>
      <w:r>
        <w:rPr>
          <w:rFonts w:ascii="Arial" w:cs="Arial" w:eastAsia="Arial" w:hAnsi="Arial"/>
          <w:sz w:val="3"/>
          <w:szCs w:val="3"/>
          <w:color w:val="FFFFFF"/>
        </w:rPr>
        <w:t>Keefe, Bruyette &amp; Woods report –</w:t>
      </w:r>
      <w:r>
        <w:rPr>
          <w:sz w:val="20"/>
          <w:szCs w:val="20"/>
          <w:color w:val="auto"/>
        </w:rPr>
        <w:tab/>
      </w:r>
      <w:r>
        <w:rPr>
          <w:rFonts w:ascii="Arial" w:cs="Arial" w:eastAsia="Arial" w:hAnsi="Arial"/>
          <w:sz w:val="3"/>
          <w:szCs w:val="3"/>
          <w:color w:val="FFFFFF"/>
        </w:rPr>
        <w:t>16, 2015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VIEW ALL</w:t>
      </w:r>
    </w:p>
    <w:p>
      <w:pPr>
        <w:sectPr>
          <w:pgSz w:w="11900" w:h="16838" w:orient="portrait"/>
          <w:cols w:equalWidth="0" w:num="1">
            <w:col w:w="11360"/>
          </w:cols>
          <w:pgMar w:left="240" w:top="1440" w:right="2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19"/>
        <w:spacing w:after="0" w:line="194" w:lineRule="auto"/>
        <w:rPr>
          <w:sz w:val="20"/>
          <w:szCs w:val="20"/>
          <w:color w:val="auto"/>
        </w:rPr>
      </w:pPr>
      <w:r>
        <w:rPr>
          <w:rFonts w:ascii="Arial" w:cs="Arial" w:eastAsia="Arial" w:hAnsi="Arial"/>
          <w:sz w:val="10"/>
          <w:szCs w:val="10"/>
          <w:color w:val="FFFFFF"/>
        </w:rPr>
        <w:t>TPG Specialty Lending, Inc. Sends Letter to TICC Board of Directors Calling Recent Actions Wholly Unacceptable and Affirming Commitment to Deliver Value to TICC Stockholders 3/17/2016</w:t>
      </w:r>
    </w:p>
    <w:p>
      <w:pPr>
        <w:ind w:right="1939"/>
        <w:spacing w:after="0" w:line="187" w:lineRule="auto"/>
        <w:rPr>
          <w:sz w:val="20"/>
          <w:szCs w:val="20"/>
          <w:color w:val="auto"/>
        </w:rPr>
      </w:pPr>
      <w:r>
        <w:rPr>
          <w:rFonts w:ascii="Arial" w:cs="Arial" w:eastAsia="Arial" w:hAnsi="Arial"/>
          <w:sz w:val="9"/>
          <w:szCs w:val="9"/>
          <w:color w:val="FFFFFF"/>
        </w:rPr>
        <w:t>TPG Specialty Lending, Inc. Seeks to Elect New Independent Candidate to Board and Terminate Investment Advisory Agreement at TICC Capital Corp. 2/4/2016</w:t>
      </w:r>
    </w:p>
    <w:p>
      <w:pPr>
        <w:ind w:right="3099"/>
        <w:spacing w:after="0" w:line="187" w:lineRule="auto"/>
        <w:rPr>
          <w:sz w:val="20"/>
          <w:szCs w:val="20"/>
          <w:color w:val="auto"/>
        </w:rPr>
      </w:pPr>
      <w:r>
        <w:rPr>
          <w:rFonts w:ascii="Arial" w:cs="Arial" w:eastAsia="Arial" w:hAnsi="Arial"/>
          <w:sz w:val="9"/>
          <w:szCs w:val="9"/>
          <w:color w:val="FFFFFF"/>
        </w:rPr>
        <w:t>TPG Specialty Lending, Inc. Comments on TICC Capital Corp. Stockholders’ Rejection of Conflicted Sale of Advisory Agreement 12/22/2015</w:t>
      </w:r>
    </w:p>
    <w:p>
      <w:pPr>
        <w:ind w:right="359"/>
        <w:spacing w:after="0" w:line="187" w:lineRule="auto"/>
        <w:rPr>
          <w:sz w:val="20"/>
          <w:szCs w:val="20"/>
          <w:color w:val="auto"/>
        </w:rPr>
      </w:pPr>
      <w:r>
        <w:rPr>
          <w:rFonts w:ascii="Arial" w:cs="Arial" w:eastAsia="Arial" w:hAnsi="Arial"/>
          <w:sz w:val="9"/>
          <w:szCs w:val="9"/>
          <w:color w:val="FFFFFF"/>
        </w:rPr>
        <w:t>TPG Specialty Lending, Inc. Urges Stockholders to Vote the GOLD Proxy Card AGAINST the Benefit Street Partners Transaction at the Special Meeting Scheduled for December 22 12/21/2015</w:t>
      </w:r>
    </w:p>
    <w:p>
      <w:pPr>
        <w:ind w:right="4319"/>
        <w:spacing w:after="0"/>
        <w:rPr>
          <w:sz w:val="20"/>
          <w:szCs w:val="20"/>
          <w:color w:val="auto"/>
        </w:rPr>
      </w:pPr>
      <w:r>
        <w:rPr>
          <w:rFonts w:ascii="Arial" w:cs="Arial" w:eastAsia="Arial" w:hAnsi="Arial"/>
          <w:sz w:val="11"/>
          <w:szCs w:val="11"/>
          <w:color w:val="FFFFFF"/>
        </w:rPr>
        <w:t>TPG Specialty Lending, Inc. Affirms Commitment to Hold TICC Capital Corp. Accountable to Stockholders 12/14/2015</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462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8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279"/>
        <w:spacing w:after="0" w:line="194" w:lineRule="auto"/>
        <w:rPr>
          <w:sz w:val="20"/>
          <w:szCs w:val="20"/>
          <w:color w:val="auto"/>
        </w:rPr>
      </w:pPr>
      <w:r>
        <w:rPr>
          <w:rFonts w:ascii="Arial" w:cs="Arial" w:eastAsia="Arial" w:hAnsi="Arial"/>
          <w:sz w:val="10"/>
          <w:szCs w:val="10"/>
          <w:color w:val="FFFFFF"/>
        </w:rPr>
        <w:t>TPG Specialty Lending, Inc. Sends Letter to TICC Board of Directors Calling on TICC to Deliver Clarity and Meaningful Change to Stockholders 11/29/2015</w:t>
      </w:r>
    </w:p>
    <w:p>
      <w:pPr>
        <w:ind w:right="1059"/>
        <w:spacing w:after="0" w:line="230" w:lineRule="auto"/>
        <w:rPr>
          <w:sz w:val="20"/>
          <w:szCs w:val="20"/>
          <w:color w:val="auto"/>
        </w:rPr>
      </w:pPr>
      <w:r>
        <w:rPr>
          <w:rFonts w:ascii="Arial" w:cs="Arial" w:eastAsia="Arial" w:hAnsi="Arial"/>
          <w:sz w:val="11"/>
          <w:szCs w:val="11"/>
          <w:color w:val="FFFFFF"/>
        </w:rPr>
        <w:t>TPG Specialty Lending, Inc. Comments on TICC Capital Corp.’s Third Quarter 2015 Financial Results and Reiterates Compelling Value of its Proposal to Acquire TICC 11/6/2015</w:t>
      </w:r>
    </w:p>
    <w:p>
      <w:pPr>
        <w:spacing w:after="0"/>
        <w:rPr>
          <w:sz w:val="20"/>
          <w:szCs w:val="20"/>
          <w:color w:val="auto"/>
        </w:rPr>
      </w:pPr>
      <w:r>
        <w:rPr>
          <w:rFonts w:ascii="Arial" w:cs="Arial" w:eastAsia="Arial" w:hAnsi="Arial"/>
          <w:sz w:val="3"/>
          <w:szCs w:val="3"/>
          <w:color w:val="FFFFFF"/>
        </w:rPr>
        <w:t>11/2/2015TPGSpecialty Lending, Inc. Increases Proposal to Acquire TICC Capital Corp.</w:t>
      </w:r>
    </w:p>
    <w:p>
      <w:pPr>
        <w:spacing w:after="0" w:line="6" w:lineRule="exact"/>
        <w:rPr>
          <w:sz w:val="20"/>
          <w:szCs w:val="20"/>
          <w:color w:val="auto"/>
        </w:rPr>
      </w:pPr>
    </w:p>
    <w:p>
      <w:pPr>
        <w:ind w:right="3679"/>
        <w:spacing w:after="0" w:line="187" w:lineRule="auto"/>
        <w:rPr>
          <w:sz w:val="20"/>
          <w:szCs w:val="20"/>
          <w:color w:val="auto"/>
        </w:rPr>
      </w:pPr>
      <w:r>
        <w:rPr>
          <w:rFonts w:ascii="Arial" w:cs="Arial" w:eastAsia="Arial" w:hAnsi="Arial"/>
          <w:sz w:val="9"/>
          <w:szCs w:val="9"/>
          <w:color w:val="FFFFFF"/>
        </w:rPr>
        <w:t>TPG Specialty Lending, Inc. Addresses TICC’s Desperate Attempts to Protect a Misplaced Payment to a Failed Manager 10/28/2015</w:t>
      </w:r>
    </w:p>
    <w:p>
      <w:pPr>
        <w:ind w:right="3039"/>
        <w:spacing w:after="0" w:line="187" w:lineRule="auto"/>
        <w:rPr>
          <w:sz w:val="20"/>
          <w:szCs w:val="20"/>
          <w:color w:val="auto"/>
        </w:rPr>
      </w:pPr>
      <w:r>
        <w:rPr>
          <w:rFonts w:ascii="Arial" w:cs="Arial" w:eastAsia="Arial" w:hAnsi="Arial"/>
          <w:sz w:val="9"/>
          <w:szCs w:val="9"/>
          <w:color w:val="FFFFFF"/>
        </w:rPr>
        <w:t>TPG Specialty Lending, Inc. Sets the Record Straight on TICC Capital Corp.’s Efforts to Mislead Investors in Letter to Stockholders 10/26/2015</w:t>
      </w:r>
    </w:p>
    <w:p>
      <w:pPr>
        <w:ind w:right="79"/>
        <w:spacing w:after="0"/>
        <w:rPr>
          <w:sz w:val="20"/>
          <w:szCs w:val="20"/>
          <w:color w:val="auto"/>
        </w:rPr>
      </w:pPr>
      <w:r>
        <w:rPr>
          <w:rFonts w:ascii="Arial" w:cs="Arial" w:eastAsia="Arial" w:hAnsi="Arial"/>
          <w:sz w:val="11"/>
          <w:szCs w:val="11"/>
          <w:color w:val="FFFFFF"/>
        </w:rPr>
        <w:t>TPG Specialty Lending, Inc. Issues Presentation Detailing Why TICC Capital Corp. Stockholders Should Vote AGAINST All Proposals at Upcoming TICC Capital Corp. Special Meeting 10/21/2015</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428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542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979"/>
        <w:spacing w:after="0" w:line="194" w:lineRule="auto"/>
        <w:rPr>
          <w:sz w:val="20"/>
          <w:szCs w:val="20"/>
          <w:color w:val="auto"/>
        </w:rPr>
      </w:pPr>
      <w:r>
        <w:rPr>
          <w:rFonts w:ascii="Arial" w:cs="Arial" w:eastAsia="Arial" w:hAnsi="Arial"/>
          <w:sz w:val="10"/>
          <w:szCs w:val="10"/>
          <w:color w:val="FFFFFF"/>
        </w:rPr>
        <w:t>TPG Specialty Lending, Inc. Reiterates Importance of Protecting Stockholder Value by Voting AGAINST All Proposals at Upcoming TICC Capital Corp. Special Meeting 10/19/2015</w:t>
      </w:r>
    </w:p>
    <w:p>
      <w:pPr>
        <w:ind w:right="2819"/>
        <w:spacing w:after="0" w:line="187" w:lineRule="auto"/>
        <w:rPr>
          <w:sz w:val="20"/>
          <w:szCs w:val="20"/>
          <w:color w:val="auto"/>
        </w:rPr>
      </w:pPr>
      <w:r>
        <w:rPr>
          <w:rFonts w:ascii="Arial" w:cs="Arial" w:eastAsia="Arial" w:hAnsi="Arial"/>
          <w:sz w:val="9"/>
          <w:szCs w:val="9"/>
          <w:color w:val="FFFFFF"/>
        </w:rPr>
        <w:t>ISS, Glass Lewis and Egan-Jones Recommend TICC Capital Corp. Stockholders Vote AGAINST the Benefit Street Partners Transaction 10/16/2015</w:t>
      </w:r>
    </w:p>
    <w:p>
      <w:pPr>
        <w:ind w:right="3179"/>
        <w:spacing w:after="0" w:line="230" w:lineRule="auto"/>
        <w:rPr>
          <w:sz w:val="20"/>
          <w:szCs w:val="20"/>
          <w:color w:val="auto"/>
        </w:rPr>
      </w:pPr>
      <w:r>
        <w:rPr>
          <w:rFonts w:ascii="Arial" w:cs="Arial" w:eastAsia="Arial" w:hAnsi="Arial"/>
          <w:sz w:val="11"/>
          <w:szCs w:val="11"/>
          <w:color w:val="FFFFFF"/>
        </w:rPr>
        <w:t>TPG Specialty Lending, Inc. Welcomes TICC Capital Corp.’s Admission of Failed Leadership and Highlights Four Simple Truths 10/16/2015</w:t>
      </w:r>
    </w:p>
    <w:p>
      <w:pPr>
        <w:spacing w:after="0"/>
        <w:rPr>
          <w:sz w:val="20"/>
          <w:szCs w:val="20"/>
          <w:color w:val="auto"/>
        </w:rPr>
      </w:pPr>
      <w:r>
        <w:rPr>
          <w:rFonts w:ascii="Arial" w:cs="Arial" w:eastAsia="Arial" w:hAnsi="Arial"/>
          <w:sz w:val="3"/>
          <w:szCs w:val="3"/>
          <w:color w:val="FFFFFF"/>
        </w:rPr>
        <w:t>10/15/2015TPGSpecialty Lending, Inc. Sets the Record Straight on Management Fees</w:t>
      </w:r>
    </w:p>
    <w:p>
      <w:pPr>
        <w:spacing w:after="0" w:line="6" w:lineRule="exact"/>
        <w:rPr>
          <w:sz w:val="20"/>
          <w:szCs w:val="20"/>
          <w:color w:val="auto"/>
        </w:rPr>
      </w:pPr>
    </w:p>
    <w:p>
      <w:pPr>
        <w:ind w:right="4059"/>
        <w:spacing w:after="0" w:line="230" w:lineRule="auto"/>
        <w:rPr>
          <w:sz w:val="20"/>
          <w:szCs w:val="20"/>
          <w:color w:val="auto"/>
        </w:rPr>
      </w:pPr>
      <w:r>
        <w:rPr>
          <w:rFonts w:ascii="Arial" w:cs="Arial" w:eastAsia="Arial" w:hAnsi="Arial"/>
          <w:sz w:val="11"/>
          <w:szCs w:val="11"/>
          <w:color w:val="FFFFFF"/>
        </w:rPr>
        <w:t>TPG Specialty Lending, Inc. Highlights Four Key Facts for TICC Stockholders to Consider about Their Dividend 10/13/2015</w:t>
      </w:r>
    </w:p>
    <w:p>
      <w:pPr>
        <w:spacing w:after="0"/>
        <w:rPr>
          <w:sz w:val="20"/>
          <w:szCs w:val="20"/>
          <w:color w:val="auto"/>
        </w:rPr>
      </w:pPr>
      <w:r>
        <w:rPr>
          <w:rFonts w:ascii="Arial" w:cs="Arial" w:eastAsia="Arial" w:hAnsi="Arial"/>
          <w:sz w:val="14"/>
          <w:szCs w:val="14"/>
          <w:color w:val="FFFFFF"/>
        </w:rPr>
        <w:t>10/12/2015TPGSpecialty Lending, Inc. Questions Payment to Failed Leadership in Letter to TICC Capital Corp. Stockholders.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382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865" cy="438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FFFFFF"/>
        </w:rPr>
        <w:t>10/8/2015TPGSpecialty Lending, Inc. Corrects Misleading Statements from TICC Capital Corp.</w:t>
      </w:r>
    </w:p>
    <w:p>
      <w:pPr>
        <w:ind w:right="359"/>
        <w:spacing w:after="0" w:line="230" w:lineRule="auto"/>
        <w:rPr>
          <w:sz w:val="20"/>
          <w:szCs w:val="20"/>
          <w:color w:val="auto"/>
        </w:rPr>
      </w:pPr>
      <w:r>
        <w:rPr>
          <w:rFonts w:ascii="Arial" w:cs="Arial" w:eastAsia="Arial" w:hAnsi="Arial"/>
          <w:sz w:val="11"/>
          <w:szCs w:val="11"/>
          <w:color w:val="FFFFFF"/>
        </w:rPr>
        <w:t>TPG Specialty Lending, Inc. Files Definitive Proxy Materials with SEC to Solicit TICC Capital Corp. Stockholders to Vote AGAINST the Inferior Benefit Street Partners Transaction 10/5/2015</w:t>
      </w:r>
    </w:p>
    <w:p>
      <w:pPr>
        <w:spacing w:after="0"/>
        <w:rPr>
          <w:sz w:val="20"/>
          <w:szCs w:val="20"/>
          <w:color w:val="auto"/>
        </w:rPr>
      </w:pPr>
      <w:r>
        <w:rPr>
          <w:rFonts w:ascii="Arial" w:cs="Arial" w:eastAsia="Arial" w:hAnsi="Arial"/>
          <w:sz w:val="3"/>
          <w:szCs w:val="3"/>
          <w:color w:val="FFFFFF"/>
        </w:rPr>
        <w:t>9/30/2015TPGSpecialty Lending, Inc. Corrects Misleading Statements from TICC Capital Corp.</w:t>
      </w:r>
    </w:p>
    <w:p>
      <w:pPr>
        <w:spacing w:after="0" w:line="6" w:lineRule="exact"/>
        <w:rPr>
          <w:sz w:val="20"/>
          <w:szCs w:val="20"/>
          <w:color w:val="auto"/>
        </w:rPr>
      </w:pPr>
    </w:p>
    <w:p>
      <w:pPr>
        <w:ind w:right="3739"/>
        <w:spacing w:after="0" w:line="187" w:lineRule="auto"/>
        <w:rPr>
          <w:sz w:val="20"/>
          <w:szCs w:val="20"/>
          <w:color w:val="auto"/>
        </w:rPr>
      </w:pPr>
      <w:r>
        <w:rPr>
          <w:rFonts w:ascii="Arial" w:cs="Arial" w:eastAsia="Arial" w:hAnsi="Arial"/>
          <w:sz w:val="9"/>
          <w:szCs w:val="9"/>
          <w:color w:val="FFFFFF"/>
        </w:rPr>
        <w:t>TPG Specialty Lending, Inc. Demonstrates Superior Value of Its Proposal in Letter to TICC Capital Corp. Stockholders 9/28/2015</w:t>
      </w:r>
    </w:p>
    <w:p>
      <w:pPr>
        <w:ind w:right="4379"/>
        <w:spacing w:after="0"/>
        <w:rPr>
          <w:sz w:val="20"/>
          <w:szCs w:val="20"/>
          <w:color w:val="auto"/>
        </w:rPr>
      </w:pPr>
      <w:r>
        <w:rPr>
          <w:rFonts w:ascii="Arial" w:cs="Arial" w:eastAsia="Arial" w:hAnsi="Arial"/>
          <w:sz w:val="11"/>
          <w:szCs w:val="11"/>
          <w:color w:val="FFFFFF"/>
        </w:rPr>
        <w:t>TPG Specialty Lending, Inc. Sends Letter to TICC Capital Corp. Stockholders Outlining Merits of Proposal 9/21/2015</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3070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86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FFFFFF"/>
        </w:rPr>
        <w:t>9/16/2015TPGSpecialty Lending Proposes to Acquire TICC Capital Corp. for $7.50 per Share</w:t>
      </w:r>
    </w:p>
    <w:p>
      <w:pPr>
        <w:spacing w:after="0"/>
        <w:rPr>
          <w:sz w:val="20"/>
          <w:szCs w:val="20"/>
          <w:color w:val="auto"/>
        </w:rPr>
      </w:pPr>
      <w:r>
        <w:rPr>
          <w:rFonts w:ascii="Arial" w:cs="Arial" w:eastAsia="Arial" w:hAnsi="Arial"/>
          <w:sz w:val="14"/>
          <w:szCs w:val="14"/>
          <w:color w:val="FFFFFF"/>
        </w:rPr>
        <w:t>VIEW ALL</w:t>
      </w:r>
    </w:p>
    <w:p>
      <w:pPr>
        <w:sectPr>
          <w:pgSz w:w="11900" w:h="16838" w:orient="portrait"/>
          <w:cols w:equalWidth="0" w:num="1">
            <w:col w:w="10219"/>
          </w:cols>
          <w:pgMar w:left="240" w:top="1440"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www.tpgspecialtylending.com.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0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0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1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 preliminary proxy statement on Schedule 14A with the SEC on May 12, 2016 (as amended, the “TSLX Preliminary Proxy Statement”) and filed a definitive proxy statement in connection therewith on Schedule 14A with the SEC on June 20, 2016 (the “TSLX Definitive Proxy Statement” and, together with the TSLX Preliminary Proxy Statement, the “TSLX Proxy Statement”). TSLX anticipates that it will commence mailing of the TSLX Definitive Proxy Statement and accompanying GOLD proxy card to stockholders of TICC on or about June 20, 2016. This communication is not a substitute for the TSLX Proxy Statement.</w:t>
      </w:r>
    </w:p>
    <w:p>
      <w:pPr>
        <w:spacing w:after="0" w:line="10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1,633,719 shares of common stock of TICC. As of the date hereof, Mr. Millet did not directly or indirectly beneficially own any shares of common stock of TICC.</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Definitive Proxy Statement and other relevant materials to be filed with the SEC (if and when available).</w:t>
      </w:r>
    </w:p>
    <w:p>
      <w:pPr>
        <w:spacing w:after="0" w:line="13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2019-12-20T23:15:10Z</dcterms:created>
  <dcterms:modified xsi:type="dcterms:W3CDTF">2019-12-20T23:15:10Z</dcterms:modified>
</cp:coreProperties>
</file>