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0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0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81"/>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01"/>
        <w:spacing w:after="0"/>
        <w:rPr>
          <w:sz w:val="20"/>
          <w:szCs w:val="20"/>
          <w:color w:val="auto"/>
        </w:rPr>
      </w:pPr>
      <w:r>
        <w:rPr>
          <w:rFonts w:ascii="Arial" w:cs="Arial" w:eastAsia="Arial" w:hAnsi="Arial"/>
          <w:sz w:val="22"/>
          <w:szCs w:val="22"/>
          <w:b w:val="1"/>
          <w:bCs w:val="1"/>
          <w:color w:val="auto"/>
        </w:rPr>
        <w:t>Pursuant to Section 13 or 15(d)</w:t>
      </w:r>
    </w:p>
    <w:p>
      <w:pPr>
        <w:jc w:val="center"/>
        <w:ind w:right="-30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22"/>
        <w:spacing w:after="0"/>
        <w:rPr>
          <w:sz w:val="20"/>
          <w:szCs w:val="20"/>
          <w:color w:val="auto"/>
        </w:rPr>
      </w:pPr>
      <w:r>
        <w:rPr>
          <w:rFonts w:ascii="Arial" w:cs="Arial" w:eastAsia="Arial" w:hAnsi="Arial"/>
          <w:sz w:val="22"/>
          <w:szCs w:val="22"/>
          <w:b w:val="1"/>
          <w:bCs w:val="1"/>
          <w:color w:val="auto"/>
        </w:rPr>
        <w:t>Date of Report (Date of earliest event reported): February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01"/>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301"/>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922" w:type="dxa"/>
        <w:tblCellMar>
          <w:top w:w="0" w:type="dxa"/>
          <w:left w:w="0" w:type="dxa"/>
          <w:bottom w:w="0" w:type="dxa"/>
          <w:right w:w="0" w:type="dxa"/>
        </w:tblCellMar>
      </w:tblPr>
      <w:tr>
        <w:trPr>
          <w:trHeight w:val="212"/>
        </w:trPr>
        <w:tc>
          <w:tcPr>
            <w:tcW w:w="3060" w:type="dxa"/>
            <w:vAlign w:val="bottom"/>
          </w:tcPr>
          <w:p>
            <w:pPr>
              <w:jc w:val="center"/>
              <w:ind w:right="1259"/>
              <w:spacing w:after="0"/>
              <w:rPr>
                <w:sz w:val="20"/>
                <w:szCs w:val="20"/>
                <w:color w:val="auto"/>
              </w:rPr>
            </w:pPr>
            <w:r>
              <w:rPr>
                <w:rFonts w:ascii="Arial" w:cs="Arial" w:eastAsia="Arial" w:hAnsi="Arial"/>
                <w:sz w:val="18"/>
                <w:szCs w:val="18"/>
                <w:b w:val="1"/>
                <w:bCs w:val="1"/>
                <w:color w:val="auto"/>
                <w:w w:val="91"/>
              </w:rPr>
              <w:t>Delaware</w:t>
            </w:r>
          </w:p>
        </w:tc>
        <w:tc>
          <w:tcPr>
            <w:tcW w:w="1900" w:type="dxa"/>
            <w:vAlign w:val="bottom"/>
          </w:tcPr>
          <w:p>
            <w:pPr>
              <w:ind w:left="240"/>
              <w:spacing w:after="0"/>
              <w:rPr>
                <w:sz w:val="20"/>
                <w:szCs w:val="20"/>
                <w:color w:val="auto"/>
              </w:rPr>
            </w:pPr>
            <w:r>
              <w:rPr>
                <w:rFonts w:ascii="Arial" w:cs="Arial" w:eastAsia="Arial" w:hAnsi="Arial"/>
                <w:sz w:val="18"/>
                <w:szCs w:val="18"/>
                <w:b w:val="1"/>
                <w:bCs w:val="1"/>
                <w:color w:val="auto"/>
              </w:rPr>
              <w:t>001-36364</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060" w:type="dxa"/>
            <w:vAlign w:val="bottom"/>
          </w:tcPr>
          <w:p>
            <w:pPr>
              <w:jc w:val="center"/>
              <w:ind w:right="125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60" w:type="dxa"/>
            <w:vAlign w:val="bottom"/>
          </w:tcPr>
          <w:p>
            <w:pPr>
              <w:jc w:val="center"/>
              <w:ind w:right="1259"/>
              <w:spacing w:after="0"/>
              <w:rPr>
                <w:sz w:val="20"/>
                <w:szCs w:val="20"/>
                <w:color w:val="auto"/>
              </w:rPr>
            </w:pPr>
            <w:r>
              <w:rPr>
                <w:rFonts w:ascii="Arial" w:cs="Arial" w:eastAsia="Arial" w:hAnsi="Arial"/>
                <w:sz w:val="14"/>
                <w:szCs w:val="14"/>
                <w:b w:val="1"/>
                <w:bCs w:val="1"/>
                <w:color w:val="auto"/>
                <w:w w:val="96"/>
              </w:rPr>
              <w:t>of Incorporation)</w:t>
            </w:r>
          </w:p>
        </w:tc>
        <w:tc>
          <w:tcPr>
            <w:tcW w:w="1900" w:type="dxa"/>
            <w:vAlign w:val="bottom"/>
          </w:tcPr>
          <w:p>
            <w:pPr>
              <w:ind w:left="2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960" w:type="dxa"/>
            <w:vAlign w:val="bottom"/>
            <w:gridSpan w:val="2"/>
          </w:tcPr>
          <w:p>
            <w:pPr>
              <w:jc w:val="center"/>
              <w:ind w:right="422"/>
              <w:spacing w:after="0"/>
              <w:rPr>
                <w:sz w:val="20"/>
                <w:szCs w:val="20"/>
                <w:color w:val="auto"/>
              </w:rPr>
            </w:pPr>
            <w:r>
              <w:rPr>
                <w:rFonts w:ascii="Arial" w:cs="Arial" w:eastAsia="Arial" w:hAnsi="Arial"/>
                <w:sz w:val="18"/>
                <w:szCs w:val="18"/>
                <w:b w:val="1"/>
                <w:bCs w:val="1"/>
                <w:color w:val="auto"/>
                <w:w w:val="89"/>
              </w:rPr>
              <w:t>301 Commerce Street, Suite 3300</w:t>
            </w:r>
          </w:p>
        </w:tc>
        <w:tc>
          <w:tcPr>
            <w:tcW w:w="2000" w:type="dxa"/>
            <w:vAlign w:val="bottom"/>
          </w:tcPr>
          <w:p>
            <w:pPr>
              <w:spacing w:after="0"/>
              <w:rPr>
                <w:sz w:val="24"/>
                <w:szCs w:val="24"/>
                <w:color w:val="auto"/>
              </w:rPr>
            </w:pPr>
          </w:p>
        </w:tc>
      </w:tr>
      <w:tr>
        <w:trPr>
          <w:trHeight w:val="225"/>
        </w:trPr>
        <w:tc>
          <w:tcPr>
            <w:tcW w:w="3060" w:type="dxa"/>
            <w:vAlign w:val="bottom"/>
          </w:tcPr>
          <w:p>
            <w:pPr>
              <w:jc w:val="center"/>
              <w:ind w:left="1319"/>
              <w:spacing w:after="0"/>
              <w:rPr>
                <w:sz w:val="20"/>
                <w:szCs w:val="20"/>
                <w:color w:val="auto"/>
              </w:rPr>
            </w:pPr>
            <w:r>
              <w:rPr>
                <w:rFonts w:ascii="Arial" w:cs="Arial" w:eastAsia="Arial" w:hAnsi="Arial"/>
                <w:sz w:val="18"/>
                <w:szCs w:val="18"/>
                <w:b w:val="1"/>
                <w:bCs w:val="1"/>
                <w:color w:val="auto"/>
                <w:w w:val="97"/>
              </w:rPr>
              <w:t>Fort Worth, TX</w:t>
            </w:r>
          </w:p>
        </w:tc>
        <w:tc>
          <w:tcPr>
            <w:tcW w:w="190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96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ind w:left="2922"/>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2"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582" w:hanging="582"/>
        <w:spacing w:after="0"/>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2" w:hanging="582"/>
        <w:spacing w:after="0"/>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2" w:hanging="582"/>
        <w:spacing w:after="0"/>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2" w:hanging="582"/>
        <w:spacing w:after="0"/>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2"/>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2"/>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2"/>
          </w:cols>
          <w:pgMar w:left="438" w:top="288" w:right="7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14, 2019, TPG Specialty Lending, Inc. (the “Company”) entered into an eighth amendment to the Company’s second amended and restated senior secured revolving credit facility, dated February 27, 2014 (as amended, the “Revolving Credit Facility”), (a) increasing the aggregate commitments under the Revolving Credit Facility from $940.0 million to $1.17 billion, (b) extending the termination of the revolving period from February 18, 2022 to February 14, 2023 and the stated maturity date from February 17, 2023 to February 14, 2024 and (c) increasing the accordion feature, which allows the Company, under certain circumstances, to increase the size of the Revolving Credit Facility, from a maximum of $1.25 billion to a maximum of $1.5 billion.</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0980"/>
          </w:cols>
          <w:pgMar w:left="440" w:top="190" w:right="47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14, 2019</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80"/>
      </w:cols>
      <w:pgMar w:left="440" w:top="194"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2019-12-15T18:04:02Z</dcterms:created>
  <dcterms:modified xsi:type="dcterms:W3CDTF">2019-12-15T18:04:02Z</dcterms:modified>
</cp:coreProperties>
</file>