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158750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161290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88265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tbl>
      <w:tblPr>
        <w:tblLayout w:type="fixed"/>
        <w:tblInd w:w="560" w:type="dxa"/>
        <w:tblCellMar>
          <w:top w:w="0" w:type="dxa"/>
          <w:left w:w="0" w:type="dxa"/>
          <w:bottom w:w="0" w:type="dxa"/>
          <w:right w:w="0" w:type="dxa"/>
        </w:tblCellMar>
      </w:tblPr>
      <w:tr>
        <w:trPr>
          <w:trHeight w:val="234"/>
        </w:trPr>
        <w:tc>
          <w:tcPr>
            <w:tcW w:w="3740" w:type="dxa"/>
            <w:vAlign w:val="bottom"/>
          </w:tcPr>
          <w:p>
            <w:pPr>
              <w:jc w:val="center"/>
              <w:ind w:right="979"/>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ind w:left="1040"/>
              <w:spacing w:after="0"/>
              <w:rPr>
                <w:sz w:val="20"/>
                <w:szCs w:val="20"/>
                <w:color w:val="auto"/>
              </w:rPr>
            </w:pPr>
            <w:r>
              <w:rPr>
                <w:rFonts w:ascii="Arial" w:cs="Arial" w:eastAsia="Arial" w:hAnsi="Arial"/>
                <w:sz w:val="18"/>
                <w:szCs w:val="18"/>
                <w:b w:val="1"/>
                <w:bCs w:val="1"/>
                <w:color w:val="auto"/>
              </w:rPr>
              <w:t>001-36364</w:t>
            </w:r>
          </w:p>
        </w:tc>
        <w:tc>
          <w:tcPr>
            <w:tcW w:w="2480" w:type="dxa"/>
            <w:vAlign w:val="bottom"/>
          </w:tcPr>
          <w:p>
            <w:pPr>
              <w:jc w:val="center"/>
              <w:ind w:left="1281"/>
              <w:spacing w:after="0"/>
              <w:rPr>
                <w:sz w:val="20"/>
                <w:szCs w:val="20"/>
                <w:color w:val="auto"/>
              </w:rPr>
            </w:pPr>
            <w:r>
              <w:rPr>
                <w:rFonts w:ascii="Arial" w:cs="Arial" w:eastAsia="Arial" w:hAnsi="Arial"/>
                <w:sz w:val="18"/>
                <w:szCs w:val="18"/>
                <w:b w:val="1"/>
                <w:bCs w:val="1"/>
                <w:color w:val="auto"/>
                <w:w w:val="91"/>
              </w:rPr>
              <w:t>27-3380000</w:t>
            </w:r>
          </w:p>
        </w:tc>
      </w:tr>
      <w:tr>
        <w:trPr>
          <w:trHeight w:val="153"/>
        </w:trPr>
        <w:tc>
          <w:tcPr>
            <w:tcW w:w="3740" w:type="dxa"/>
            <w:vAlign w:val="bottom"/>
          </w:tcPr>
          <w:p>
            <w:pPr>
              <w:jc w:val="center"/>
              <w:ind w:right="959"/>
              <w:spacing w:after="0" w:line="153" w:lineRule="exact"/>
              <w:rPr>
                <w:sz w:val="20"/>
                <w:szCs w:val="20"/>
                <w:color w:val="auto"/>
              </w:rPr>
            </w:pPr>
            <w:r>
              <w:rPr>
                <w:rFonts w:ascii="Arial" w:cs="Arial" w:eastAsia="Arial" w:hAnsi="Arial"/>
                <w:sz w:val="14"/>
                <w:szCs w:val="14"/>
                <w:b w:val="1"/>
                <w:bCs w:val="1"/>
                <w:color w:val="auto"/>
                <w:w w:val="93"/>
              </w:rPr>
              <w:t>(State or Other Jurisdiction</w:t>
            </w:r>
          </w:p>
        </w:tc>
        <w:tc>
          <w:tcPr>
            <w:tcW w:w="3220" w:type="dxa"/>
            <w:vAlign w:val="bottom"/>
          </w:tcPr>
          <w:p>
            <w:pPr>
              <w:ind w:left="1040"/>
              <w:spacing w:after="0" w:line="153"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81"/>
              <w:spacing w:after="0" w:line="153"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4"/>
              </w:rPr>
              <w:t>of Incorporation)</w:t>
            </w:r>
          </w:p>
        </w:tc>
        <w:tc>
          <w:tcPr>
            <w:tcW w:w="3220" w:type="dxa"/>
            <w:vAlign w:val="bottom"/>
          </w:tcPr>
          <w:p>
            <w:pPr>
              <w:ind w:left="102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8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0"/>
              </w:rPr>
              <w:t>2100 McKinney Avenue, Suite 1500</w:t>
            </w:r>
          </w:p>
        </w:tc>
        <w:tc>
          <w:tcPr>
            <w:tcW w:w="3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4"/>
        </w:trPr>
        <w:tc>
          <w:tcPr>
            <w:tcW w:w="3740" w:type="dxa"/>
            <w:vAlign w:val="bottom"/>
          </w:tcPr>
          <w:p>
            <w:pPr>
              <w:jc w:val="center"/>
              <w:ind w:right="959"/>
              <w:spacing w:after="0"/>
              <w:rPr>
                <w:sz w:val="20"/>
                <w:szCs w:val="20"/>
                <w:color w:val="auto"/>
              </w:rPr>
            </w:pPr>
            <w:r>
              <w:rPr>
                <w:rFonts w:ascii="Arial" w:cs="Arial" w:eastAsia="Arial" w:hAnsi="Arial"/>
                <w:sz w:val="18"/>
                <w:szCs w:val="18"/>
                <w:b w:val="1"/>
                <w:bCs w:val="1"/>
                <w:color w:val="auto"/>
                <w:w w:val="95"/>
              </w:rPr>
              <w:t>Dallas, TX</w:t>
            </w:r>
          </w:p>
        </w:tc>
        <w:tc>
          <w:tcPr>
            <w:tcW w:w="3220" w:type="dxa"/>
            <w:vAlign w:val="bottom"/>
          </w:tcPr>
          <w:p>
            <w:pPr>
              <w:spacing w:after="0"/>
              <w:rPr>
                <w:sz w:val="20"/>
                <w:szCs w:val="20"/>
                <w:color w:val="auto"/>
              </w:rPr>
            </w:pPr>
          </w:p>
        </w:tc>
        <w:tc>
          <w:tcPr>
            <w:tcW w:w="2480" w:type="dxa"/>
            <w:vAlign w:val="bottom"/>
          </w:tcPr>
          <w:p>
            <w:pPr>
              <w:jc w:val="center"/>
              <w:ind w:left="1301"/>
              <w:spacing w:after="0"/>
              <w:rPr>
                <w:sz w:val="20"/>
                <w:szCs w:val="20"/>
                <w:color w:val="auto"/>
              </w:rPr>
            </w:pPr>
            <w:r>
              <w:rPr>
                <w:rFonts w:ascii="Arial" w:cs="Arial" w:eastAsia="Arial" w:hAnsi="Arial"/>
                <w:sz w:val="18"/>
                <w:szCs w:val="18"/>
                <w:b w:val="1"/>
                <w:bCs w:val="1"/>
                <w:color w:val="auto"/>
                <w:w w:val="91"/>
              </w:rPr>
              <w:t>75201</w:t>
            </w:r>
          </w:p>
        </w:tc>
      </w:tr>
      <w:tr>
        <w:trPr>
          <w:trHeight w:val="190"/>
        </w:trPr>
        <w:tc>
          <w:tcPr>
            <w:tcW w:w="3740" w:type="dxa"/>
            <w:vAlign w:val="bottom"/>
          </w:tcPr>
          <w:p>
            <w:pPr>
              <w:jc w:val="center"/>
              <w:ind w:right="95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20" w:type="dxa"/>
            <w:vAlign w:val="bottom"/>
          </w:tcPr>
          <w:p>
            <w:pPr>
              <w:spacing w:after="0"/>
              <w:rPr>
                <w:sz w:val="16"/>
                <w:szCs w:val="16"/>
                <w:color w:val="auto"/>
              </w:rPr>
            </w:pPr>
          </w:p>
        </w:tc>
        <w:tc>
          <w:tcPr>
            <w:tcW w:w="2480" w:type="dxa"/>
            <w:vAlign w:val="bottom"/>
          </w:tcPr>
          <w:p>
            <w:pPr>
              <w:jc w:val="center"/>
              <w:ind w:left="1301"/>
              <w:spacing w:after="0"/>
              <w:rPr>
                <w:sz w:val="20"/>
                <w:szCs w:val="20"/>
                <w:color w:val="auto"/>
              </w:rPr>
            </w:pPr>
            <w:r>
              <w:rPr>
                <w:rFonts w:ascii="Arial" w:cs="Arial" w:eastAsia="Arial" w:hAnsi="Arial"/>
                <w:sz w:val="14"/>
                <w:szCs w:val="14"/>
                <w:b w:val="1"/>
                <w:bCs w:val="1"/>
                <w:color w:val="auto"/>
                <w:w w:val="88"/>
              </w:rPr>
              <w:t>(zip code)</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68580</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5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9" w:lineRule="exact"/>
        <w:rPr>
          <w:sz w:val="24"/>
          <w:szCs w:val="24"/>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39"/>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27"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37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52"/>
        </w:trPr>
        <w:tc>
          <w:tcPr>
            <w:tcW w:w="3760" w:type="dxa"/>
            <w:vAlign w:val="bottom"/>
            <w:tcBorders>
              <w:left w:val="single" w:sz="8" w:color="auto"/>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2"/>
              </w:rPr>
              <w:t>Common Stock, par value $0.01 per share</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rPr>
              <w:t>TSLX</w:t>
            </w:r>
          </w:p>
        </w:tc>
        <w:tc>
          <w:tcPr>
            <w:tcW w:w="3740" w:type="dxa"/>
            <w:vAlign w:val="bottom"/>
            <w:tcBorders>
              <w:bottom w:val="single" w:sz="8" w:color="auto"/>
              <w:right w:val="single" w:sz="8" w:color="auto"/>
            </w:tcBorders>
          </w:tcPr>
          <w:p>
            <w:pPr>
              <w:jc w:val="center"/>
              <w:spacing w:after="0" w:line="152" w:lineRule="exact"/>
              <w:rPr>
                <w:sz w:val="20"/>
                <w:szCs w:val="20"/>
                <w:color w:val="auto"/>
              </w:rPr>
            </w:pPr>
            <w:r>
              <w:rPr>
                <w:rFonts w:ascii="Arial" w:cs="Arial" w:eastAsia="Arial" w:hAnsi="Arial"/>
                <w:sz w:val="14"/>
                <w:szCs w:val="14"/>
                <w:b w:val="1"/>
                <w:bCs w:val="1"/>
                <w:color w:val="auto"/>
                <w:w w:val="92"/>
              </w:rPr>
              <w:t>The New York Stock Exchange</w:t>
            </w:r>
          </w:p>
        </w:tc>
      </w:tr>
    </w:tbl>
    <w:p>
      <w:pPr>
        <w:spacing w:after="0" w:line="10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2"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424180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November 2, 2023, the registrant issued a press release announcing its financial results for the quarter ended September 30, 2023.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On November 2, 2023, the registrant issued a press release, included herewith as Exhibit 99.1, announcing the declaration of a fourth quarter 2023 base dividend per share of $0.46 to shareholders of record as of December 15, 2023, payable on December 29, 2023, and a third quarter 2023 supplemental dividend per share of $0.07 to shareholders of record as of November 30, 2023, payable on December 20, 2023.</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9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25"/>
        </w:trPr>
        <w:tc>
          <w:tcPr>
            <w:tcW w:w="1120" w:type="dxa"/>
            <w:vAlign w:val="bottom"/>
          </w:tcPr>
          <w:p>
            <w:pPr>
              <w:ind w:left="20"/>
              <w:spacing w:after="0"/>
              <w:rPr>
                <w:sz w:val="20"/>
                <w:szCs w:val="20"/>
                <w:color w:val="auto"/>
              </w:rPr>
            </w:pPr>
            <w:r>
              <w:rPr>
                <w:rFonts w:ascii="Arial" w:cs="Arial" w:eastAsia="Arial" w:hAnsi="Arial"/>
                <w:sz w:val="18"/>
                <w:szCs w:val="18"/>
                <w:color w:val="auto"/>
              </w:rPr>
              <w:t>99.1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0000FF"/>
              </w:rPr>
              <w:t>Press Release, dated November 2, 2023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60" w:type="dxa"/>
            <w:vAlign w:val="bottom"/>
            <w:tcBorders>
              <w:right w:val="single" w:sz="8" w:color="0000EE"/>
            </w:tcBorders>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8"/>
                <w:szCs w:val="18"/>
                <w:color w:val="auto"/>
              </w:rPr>
              <w:t>The cover page of this Current Report on Form 8-K, formatted in Inline XBRL</w:t>
            </w:r>
          </w:p>
        </w:tc>
        <w:tc>
          <w:tcPr>
            <w:tcW w:w="0" w:type="dxa"/>
            <w:vAlign w:val="bottom"/>
          </w:tcPr>
          <w:p>
            <w:pPr>
              <w:spacing w:after="0"/>
              <w:rPr>
                <w:sz w:val="1"/>
                <w:szCs w:val="1"/>
                <w:color w:val="auto"/>
              </w:rPr>
            </w:pPr>
          </w:p>
        </w:tc>
      </w:tr>
      <w:tr>
        <w:trPr>
          <w:trHeight w:val="560"/>
        </w:trPr>
        <w:tc>
          <w:tcPr>
            <w:tcW w:w="1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Arial" w:cs="Arial" w:eastAsia="Arial" w:hAnsi="Arial"/>
                <w:sz w:val="20"/>
                <w:szCs w:val="20"/>
                <w:color w:val="auto"/>
              </w:rPr>
              <w:t>SIXTH STREET SPECIALTY LENDING, INC.</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80" w:type="dxa"/>
            <w:vAlign w:val="bottom"/>
          </w:tcPr>
          <w:p>
            <w:pPr>
              <w:ind w:left="480"/>
              <w:spacing w:after="0"/>
              <w:rPr>
                <w:sz w:val="20"/>
                <w:szCs w:val="20"/>
                <w:color w:val="auto"/>
              </w:rPr>
            </w:pPr>
            <w:r>
              <w:rPr>
                <w:rFonts w:ascii="Arial" w:cs="Arial" w:eastAsia="Arial" w:hAnsi="Arial"/>
                <w:sz w:val="18"/>
                <w:szCs w:val="18"/>
                <w:color w:val="auto"/>
              </w:rPr>
              <w:t>(Registrant)</w:t>
            </w:r>
          </w:p>
        </w:tc>
      </w:tr>
      <w:tr>
        <w:trPr>
          <w:trHeight w:val="493"/>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2, 2023</w:t>
            </w:r>
          </w:p>
        </w:tc>
        <w:tc>
          <w:tcPr>
            <w:tcW w:w="7520" w:type="dxa"/>
            <w:vAlign w:val="bottom"/>
            <w:gridSpan w:val="2"/>
          </w:tcPr>
          <w:p>
            <w:pPr>
              <w:ind w:left="1920"/>
              <w:spacing w:after="0"/>
              <w:rPr>
                <w:sz w:val="20"/>
                <w:szCs w:val="20"/>
                <w:color w:val="auto"/>
              </w:rPr>
            </w:pPr>
            <w:r>
              <w:rPr>
                <w:rFonts w:ascii="Arial" w:cs="Arial" w:eastAsia="Arial" w:hAnsi="Arial"/>
                <w:sz w:val="18"/>
                <w:szCs w:val="18"/>
                <w:color w:val="auto"/>
              </w:rPr>
              <w:t>By:  /s/ Ian Simmonds</w:t>
            </w:r>
          </w:p>
        </w:tc>
      </w:tr>
      <w:tr>
        <w:trPr>
          <w:trHeight w:val="230"/>
        </w:trPr>
        <w:tc>
          <w:tcPr>
            <w:tcW w:w="37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Ian Simmonds</w:t>
            </w:r>
          </w:p>
        </w:tc>
      </w:tr>
      <w:tr>
        <w:trPr>
          <w:trHeight w:val="242"/>
        </w:trPr>
        <w:tc>
          <w:tcPr>
            <w:tcW w:w="37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561"/>
        </w:trPr>
        <w:tc>
          <w:tcPr>
            <w:tcW w:w="37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137160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THIRD QUARTER 2023 EARNINGS RESULTS</w:t>
      </w:r>
    </w:p>
    <w:p>
      <w:pPr>
        <w:spacing w:after="0" w:line="75"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color w:val="auto"/>
        </w:rPr>
        <w:t>Sixth Street Specialty Lending, Inc. Reports Third Quarter Results; Declares a Fourth Quarter Base Dividend Per Share of $0.46, and a Third Quarter Supplemental Dividend Per Share of $0.07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0"/>
        <w:spacing w:after="0" w:line="300" w:lineRule="auto"/>
        <w:rPr>
          <w:sz w:val="20"/>
          <w:szCs w:val="20"/>
          <w:color w:val="auto"/>
        </w:rPr>
      </w:pPr>
      <w:r>
        <w:rPr>
          <w:rFonts w:ascii="Arial" w:cs="Arial" w:eastAsia="Arial" w:hAnsi="Arial"/>
          <w:sz w:val="16"/>
          <w:szCs w:val="16"/>
          <w:color w:val="auto"/>
        </w:rPr>
        <w:t>NEW YORK—November 2, 2023— Sixth Street Specialty Lending, Inc. (NYSE: TSLX, or the “Company”) today reported net investment income of $0.57 per share and net income of $0.74 per share for the third quarter ended September 30, 2023. These results correspond to an annualized return on equity (ROE) on net investment income and net income of 13.7% and 17.8%, respectvely.</w:t>
      </w:r>
    </w:p>
    <w:p>
      <w:pPr>
        <w:spacing w:after="0" w:line="52" w:lineRule="exact"/>
        <w:rPr>
          <w:sz w:val="20"/>
          <w:szCs w:val="20"/>
          <w:color w:val="auto"/>
        </w:rPr>
      </w:pPr>
    </w:p>
    <w:p>
      <w:pPr>
        <w:jc w:val="both"/>
        <w:ind w:left="20"/>
        <w:spacing w:after="0" w:line="287" w:lineRule="auto"/>
        <w:rPr>
          <w:sz w:val="20"/>
          <w:szCs w:val="20"/>
          <w:color w:val="auto"/>
        </w:rPr>
      </w:pPr>
      <w:r>
        <w:rPr>
          <w:rFonts w:ascii="Arial" w:cs="Arial" w:eastAsia="Arial" w:hAnsi="Arial"/>
          <w:sz w:val="16"/>
          <w:szCs w:val="16"/>
          <w:color w:val="auto"/>
        </w:rPr>
        <w:t>Both net investment income per share and net income per share include approximately $0.03 per share of capital gains incentve fee expenses that were accrued, but not paid or payable, related to cumulatve unrealized capital gains in excess of cumulatve net realized capital gains less any cumulatve unrealized losses and capital gains incentve fees paid incepton-to-date. Excluding the impact of the accrued capital gains incentve fee expenses, the Company’s adjusted net investment income and adjusted net income for the quarter ended September 30, 2023, were $52.3 million, or $0.60 per share, and $67.4 million, or $0.77 per share, respectvely. These results correspond to an annualized return on equity (ROE) on adjusted net investment income and adjusted net income of 14.4% and 18.5%, respectvely. The Company’s strong net investment income in the third quarter refects contnued strength of the core earnings power of its portolio. Net investment income was supported by elevated portolio yields driven by higher interest rates.</w:t>
      </w:r>
    </w:p>
    <w:p>
      <w:pPr>
        <w:spacing w:after="0" w:line="64" w:lineRule="exact"/>
        <w:rPr>
          <w:sz w:val="20"/>
          <w:szCs w:val="20"/>
          <w:color w:val="auto"/>
        </w:rPr>
      </w:pPr>
    </w:p>
    <w:p>
      <w:pPr>
        <w:jc w:val="both"/>
        <w:ind w:left="20"/>
        <w:spacing w:after="0" w:line="274" w:lineRule="auto"/>
        <w:rPr>
          <w:sz w:val="20"/>
          <w:szCs w:val="20"/>
          <w:color w:val="auto"/>
        </w:rPr>
      </w:pPr>
      <w:r>
        <w:rPr>
          <w:rFonts w:ascii="Arial" w:cs="Arial" w:eastAsia="Arial" w:hAnsi="Arial"/>
          <w:sz w:val="17"/>
          <w:szCs w:val="17"/>
          <w:color w:val="auto"/>
        </w:rPr>
        <w:t>Reported net asset value (NAV) per share was $16.97 at September 30, 2023 as compared to NAV per share of $16.74 or an adjusted NAV per share of $16.68 at June 30, 2023 (which accounts for the impact of the $0.06 per share second quarter 2023 supplemental dividend). The drivers of this quarter’s NAV per share growth were primarily the contnued overearning of the Company’s base quarterly dividend and net unrealized and realized gains from investments.</w:t>
      </w:r>
    </w:p>
    <w:p>
      <w:pPr>
        <w:spacing w:after="0" w:line="72"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Company announced that its Board of Directors has declared a fourth quarter 2023 base dividend of $0.46 per share to shareholders of record as of December 15, 2023, payable on December 29, 2023, and a third quarter supplemental dividend of $0.07 per share to shareholders of record as of November 30, 2023, payable on December 20, 2023. Adjusted for the impact of the supplemental dividend related to this quarter’s earnings, the Company’s Q3 adjusted NAV per share was $16.90.</w:t>
      </w:r>
    </w:p>
    <w:p>
      <w:pPr>
        <w:spacing w:after="0" w:line="84"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On August 7, 2023, the Company issued $300.0 million aggregate principal amount of unsecured notes that mature on August 14, 2028 (the "2028 Notes"). The 2028 Notes bear interest at a rate of 6.95% per year. The Company used the net proceeds of the 2028 Notes to repay outstanding indebtedness under the Revolving Credit Facility.</w:t>
      </w:r>
    </w:p>
    <w:p>
      <w:pPr>
        <w:spacing w:after="0" w:line="82"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In connecton with the ofering, the Company entered into an interest rate swap to beter align the interest rate of its liabilites with the Company's investment portolio, which consists of predominately foatng rate loans. As a result of the swap, the Company's efectve interest rate on the 2028 Notes is SOFR plus 299 basis points.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2348865"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48865" cy="21463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$0.57</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(adjusted):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$0.60</w:t>
            </w:r>
          </w:p>
        </w:tc>
      </w:tr>
      <w:tr>
        <w:trPr>
          <w:trHeight w:val="316"/>
        </w:trPr>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1"/>
        </w:trPr>
        <w:tc>
          <w:tcPr>
            <w:tcW w:w="320" w:type="dxa"/>
            <w:vAlign w:val="bottom"/>
            <w:shd w:val="clear" w:color="auto" w:fill="0F2F50"/>
          </w:tcPr>
          <w:p>
            <w:pPr>
              <w:spacing w:after="0"/>
              <w:rPr>
                <w:sz w:val="21"/>
                <w:szCs w:val="21"/>
                <w:color w:val="auto"/>
              </w:rPr>
            </w:pPr>
          </w:p>
        </w:tc>
        <w:tc>
          <w:tcPr>
            <w:tcW w:w="380" w:type="dxa"/>
            <w:vAlign w:val="bottom"/>
            <w:shd w:val="clear" w:color="auto" w:fill="0F2F50"/>
          </w:tcPr>
          <w:p>
            <w:pPr>
              <w:spacing w:after="0"/>
              <w:rPr>
                <w:sz w:val="21"/>
                <w:szCs w:val="21"/>
                <w:color w:val="auto"/>
              </w:rPr>
            </w:pPr>
          </w:p>
        </w:tc>
        <w:tc>
          <w:tcPr>
            <w:tcW w:w="232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7"/>
              </w:rPr>
              <w:t>Net Income Per Share</w:t>
            </w:r>
          </w:p>
        </w:tc>
        <w:tc>
          <w:tcPr>
            <w:tcW w:w="680" w:type="dxa"/>
            <w:vAlign w:val="bottom"/>
            <w:shd w:val="clear" w:color="auto" w:fill="0F2F50"/>
          </w:tcPr>
          <w:p>
            <w:pPr>
              <w:spacing w:after="0"/>
              <w:rPr>
                <w:sz w:val="21"/>
                <w:szCs w:val="21"/>
                <w:color w:val="auto"/>
              </w:rPr>
            </w:pPr>
          </w:p>
        </w:tc>
      </w:tr>
      <w:tr>
        <w:trPr>
          <w:trHeight w:val="87"/>
        </w:trPr>
        <w:tc>
          <w:tcPr>
            <w:tcW w:w="320" w:type="dxa"/>
            <w:vAlign w:val="bottom"/>
            <w:shd w:val="clear" w:color="auto" w:fill="0F2F50"/>
          </w:tcPr>
          <w:p>
            <w:pPr>
              <w:spacing w:after="0"/>
              <w:rPr>
                <w:sz w:val="7"/>
                <w:szCs w:val="7"/>
                <w:color w:val="auto"/>
              </w:rPr>
            </w:pPr>
          </w:p>
        </w:tc>
        <w:tc>
          <w:tcPr>
            <w:tcW w:w="2700" w:type="dxa"/>
            <w:vAlign w:val="bottom"/>
            <w:gridSpan w:val="2"/>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51"/>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2023:</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$0.74</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(adjusted):</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$0.77</w:t>
            </w:r>
          </w:p>
        </w:tc>
      </w:tr>
      <w:tr>
        <w:trPr>
          <w:trHeight w:val="316"/>
        </w:trPr>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1"/>
        </w:trPr>
        <w:tc>
          <w:tcPr>
            <w:tcW w:w="320" w:type="dxa"/>
            <w:vAlign w:val="bottom"/>
            <w:shd w:val="clear" w:color="auto" w:fill="0F2F50"/>
          </w:tcPr>
          <w:p>
            <w:pPr>
              <w:spacing w:after="0"/>
              <w:rPr>
                <w:sz w:val="21"/>
                <w:szCs w:val="21"/>
                <w:color w:val="auto"/>
              </w:rPr>
            </w:pPr>
          </w:p>
        </w:tc>
        <w:tc>
          <w:tcPr>
            <w:tcW w:w="380" w:type="dxa"/>
            <w:vAlign w:val="bottom"/>
            <w:shd w:val="clear" w:color="auto" w:fill="0F2F50"/>
          </w:tcPr>
          <w:p>
            <w:pPr>
              <w:spacing w:after="0"/>
              <w:rPr>
                <w:sz w:val="21"/>
                <w:szCs w:val="21"/>
                <w:color w:val="auto"/>
              </w:rPr>
            </w:pPr>
          </w:p>
        </w:tc>
        <w:tc>
          <w:tcPr>
            <w:tcW w:w="232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4"/>
              </w:rPr>
              <w:t>Annualized ROE</w:t>
            </w:r>
          </w:p>
        </w:tc>
        <w:tc>
          <w:tcPr>
            <w:tcW w:w="680" w:type="dxa"/>
            <w:vAlign w:val="bottom"/>
            <w:shd w:val="clear" w:color="auto" w:fill="0F2F50"/>
          </w:tcPr>
          <w:p>
            <w:pPr>
              <w:spacing w:after="0"/>
              <w:rPr>
                <w:sz w:val="21"/>
                <w:szCs w:val="21"/>
                <w:color w:val="auto"/>
              </w:rPr>
            </w:pPr>
          </w:p>
        </w:tc>
      </w:tr>
      <w:tr>
        <w:trPr>
          <w:trHeight w:val="87"/>
        </w:trPr>
        <w:tc>
          <w:tcPr>
            <w:tcW w:w="320" w:type="dxa"/>
            <w:vAlign w:val="bottom"/>
            <w:shd w:val="clear" w:color="auto" w:fill="0F2F50"/>
          </w:tcPr>
          <w:p>
            <w:pPr>
              <w:spacing w:after="0"/>
              <w:rPr>
                <w:sz w:val="7"/>
                <w:szCs w:val="7"/>
                <w:color w:val="auto"/>
              </w:rPr>
            </w:pPr>
          </w:p>
        </w:tc>
        <w:tc>
          <w:tcPr>
            <w:tcW w:w="380" w:type="dxa"/>
            <w:vAlign w:val="bottom"/>
            <w:shd w:val="clear" w:color="auto" w:fill="0F2F50"/>
          </w:tcPr>
          <w:p>
            <w:pPr>
              <w:spacing w:after="0"/>
              <w:rPr>
                <w:sz w:val="7"/>
                <w:szCs w:val="7"/>
                <w:color w:val="auto"/>
              </w:rPr>
            </w:pPr>
          </w:p>
        </w:tc>
        <w:tc>
          <w:tcPr>
            <w:tcW w:w="2320" w:type="dxa"/>
            <w:vAlign w:val="bottom"/>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51"/>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(NII):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(NI):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17.8%</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(Adj NII):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(Adj NI):</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18.5%</w:t>
            </w:r>
          </w:p>
        </w:tc>
      </w:tr>
      <w:tr>
        <w:trPr>
          <w:trHeight w:val="316"/>
        </w:trPr>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320" w:type="dxa"/>
            <w:vAlign w:val="bottom"/>
            <w:shd w:val="clear" w:color="auto" w:fill="0F2F50"/>
          </w:tcPr>
          <w:p>
            <w:pPr>
              <w:spacing w:after="0"/>
              <w:rPr>
                <w:sz w:val="21"/>
                <w:szCs w:val="21"/>
                <w:color w:val="auto"/>
              </w:rPr>
            </w:pPr>
          </w:p>
        </w:tc>
        <w:tc>
          <w:tcPr>
            <w:tcW w:w="380" w:type="dxa"/>
            <w:vAlign w:val="bottom"/>
            <w:shd w:val="clear" w:color="auto" w:fill="0F2F50"/>
          </w:tcPr>
          <w:p>
            <w:pPr>
              <w:spacing w:after="0"/>
              <w:rPr>
                <w:sz w:val="21"/>
                <w:szCs w:val="21"/>
                <w:color w:val="auto"/>
              </w:rPr>
            </w:pPr>
          </w:p>
        </w:tc>
        <w:tc>
          <w:tcPr>
            <w:tcW w:w="232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9"/>
              </w:rPr>
              <w:t>NAV</w:t>
            </w:r>
          </w:p>
        </w:tc>
        <w:tc>
          <w:tcPr>
            <w:tcW w:w="680" w:type="dxa"/>
            <w:vAlign w:val="bottom"/>
            <w:shd w:val="clear" w:color="auto" w:fill="0F2F50"/>
          </w:tcPr>
          <w:p>
            <w:pPr>
              <w:spacing w:after="0"/>
              <w:rPr>
                <w:sz w:val="21"/>
                <w:szCs w:val="21"/>
                <w:color w:val="auto"/>
              </w:rPr>
            </w:pPr>
          </w:p>
        </w:tc>
      </w:tr>
      <w:tr>
        <w:trPr>
          <w:trHeight w:val="87"/>
        </w:trPr>
        <w:tc>
          <w:tcPr>
            <w:tcW w:w="320" w:type="dxa"/>
            <w:vAlign w:val="bottom"/>
            <w:shd w:val="clear" w:color="auto" w:fill="0F2F50"/>
          </w:tcPr>
          <w:p>
            <w:pPr>
              <w:spacing w:after="0"/>
              <w:rPr>
                <w:sz w:val="7"/>
                <w:szCs w:val="7"/>
                <w:color w:val="auto"/>
              </w:rPr>
            </w:pPr>
          </w:p>
        </w:tc>
        <w:tc>
          <w:tcPr>
            <w:tcW w:w="380" w:type="dxa"/>
            <w:vAlign w:val="bottom"/>
            <w:shd w:val="clear" w:color="auto" w:fill="0F2F50"/>
          </w:tcPr>
          <w:p>
            <w:pPr>
              <w:spacing w:after="0"/>
              <w:rPr>
                <w:sz w:val="7"/>
                <w:szCs w:val="7"/>
                <w:color w:val="auto"/>
              </w:rPr>
            </w:pPr>
          </w:p>
        </w:tc>
        <w:tc>
          <w:tcPr>
            <w:tcW w:w="2320" w:type="dxa"/>
            <w:vAlign w:val="bottom"/>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50"/>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($MM):</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91"/>
              </w:rPr>
              <w:t>$1,485.8</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(per share):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$16.97</w:t>
            </w:r>
          </w:p>
        </w:tc>
      </w:tr>
      <w:tr>
        <w:trPr>
          <w:trHeight w:val="87"/>
        </w:trPr>
        <w:tc>
          <w:tcPr>
            <w:tcW w:w="3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(per share, adj):</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$16.90</w:t>
            </w:r>
          </w:p>
        </w:tc>
      </w:tr>
      <w:tr>
        <w:trPr>
          <w:trHeight w:val="317"/>
        </w:trPr>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320" w:type="dxa"/>
            <w:vAlign w:val="bottom"/>
            <w:shd w:val="clear" w:color="auto" w:fill="0F2F50"/>
          </w:tcPr>
          <w:p>
            <w:pPr>
              <w:spacing w:after="0"/>
              <w:rPr>
                <w:sz w:val="21"/>
                <w:szCs w:val="21"/>
                <w:color w:val="auto"/>
              </w:rPr>
            </w:pPr>
          </w:p>
        </w:tc>
        <w:tc>
          <w:tcPr>
            <w:tcW w:w="380" w:type="dxa"/>
            <w:vAlign w:val="bottom"/>
            <w:shd w:val="clear" w:color="auto" w:fill="0F2F50"/>
          </w:tcPr>
          <w:p>
            <w:pPr>
              <w:spacing w:after="0"/>
              <w:rPr>
                <w:sz w:val="21"/>
                <w:szCs w:val="21"/>
                <w:color w:val="auto"/>
              </w:rPr>
            </w:pPr>
          </w:p>
        </w:tc>
        <w:tc>
          <w:tcPr>
            <w:tcW w:w="2320" w:type="dxa"/>
            <w:vAlign w:val="bottom"/>
            <w:shd w:val="clear" w:color="auto" w:fill="0F2F50"/>
          </w:tcPr>
          <w:p>
            <w:pPr>
              <w:jc w:val="center"/>
              <w:spacing w:after="0"/>
              <w:rPr>
                <w:sz w:val="20"/>
                <w:szCs w:val="20"/>
                <w:color w:val="auto"/>
              </w:rPr>
            </w:pPr>
            <w:r>
              <w:rPr>
                <w:rFonts w:ascii="Arial" w:cs="Arial" w:eastAsia="Arial" w:hAnsi="Arial"/>
                <w:sz w:val="18"/>
                <w:szCs w:val="18"/>
                <w:b w:val="1"/>
                <w:bCs w:val="1"/>
                <w:color w:val="FFFFFF"/>
                <w:w w:val="86"/>
              </w:rPr>
              <w:t>Dividends Declared (per share)</w:t>
            </w:r>
          </w:p>
        </w:tc>
        <w:tc>
          <w:tcPr>
            <w:tcW w:w="680" w:type="dxa"/>
            <w:vAlign w:val="bottom"/>
            <w:shd w:val="clear" w:color="auto" w:fill="0F2F50"/>
          </w:tcPr>
          <w:p>
            <w:pPr>
              <w:spacing w:after="0"/>
              <w:rPr>
                <w:sz w:val="21"/>
                <w:szCs w:val="21"/>
                <w:color w:val="auto"/>
              </w:rPr>
            </w:pPr>
          </w:p>
        </w:tc>
      </w:tr>
      <w:tr>
        <w:trPr>
          <w:trHeight w:val="87"/>
        </w:trPr>
        <w:tc>
          <w:tcPr>
            <w:tcW w:w="320" w:type="dxa"/>
            <w:vAlign w:val="bottom"/>
            <w:shd w:val="clear" w:color="auto" w:fill="0F2F50"/>
          </w:tcPr>
          <w:p>
            <w:pPr>
              <w:spacing w:after="0"/>
              <w:rPr>
                <w:sz w:val="7"/>
                <w:szCs w:val="7"/>
                <w:color w:val="auto"/>
              </w:rPr>
            </w:pPr>
          </w:p>
        </w:tc>
        <w:tc>
          <w:tcPr>
            <w:tcW w:w="380" w:type="dxa"/>
            <w:vAlign w:val="bottom"/>
            <w:shd w:val="clear" w:color="auto" w:fill="0F2F50"/>
          </w:tcPr>
          <w:p>
            <w:pPr>
              <w:spacing w:after="0"/>
              <w:rPr>
                <w:sz w:val="7"/>
                <w:szCs w:val="7"/>
                <w:color w:val="auto"/>
              </w:rPr>
            </w:pPr>
          </w:p>
        </w:tc>
        <w:tc>
          <w:tcPr>
            <w:tcW w:w="2320" w:type="dxa"/>
            <w:vAlign w:val="bottom"/>
            <w:shd w:val="clear" w:color="auto" w:fill="0F2F50"/>
          </w:tcPr>
          <w:p>
            <w:pPr>
              <w:spacing w:after="0"/>
              <w:rPr>
                <w:sz w:val="7"/>
                <w:szCs w:val="7"/>
                <w:color w:val="auto"/>
              </w:rPr>
            </w:pPr>
          </w:p>
        </w:tc>
        <w:tc>
          <w:tcPr>
            <w:tcW w:w="680" w:type="dxa"/>
            <w:vAlign w:val="bottom"/>
            <w:shd w:val="clear" w:color="auto" w:fill="0F2F50"/>
          </w:tcPr>
          <w:p>
            <w:pPr>
              <w:spacing w:after="0"/>
              <w:rPr>
                <w:sz w:val="7"/>
                <w:szCs w:val="7"/>
                <w:color w:val="auto"/>
              </w:rPr>
            </w:pPr>
          </w:p>
        </w:tc>
      </w:tr>
      <w:tr>
        <w:trPr>
          <w:trHeight w:val="250"/>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380" w:type="dxa"/>
            <w:vAlign w:val="bottom"/>
          </w:tcPr>
          <w:p>
            <w:pPr>
              <w:ind w:left="20"/>
              <w:spacing w:after="0"/>
              <w:rPr>
                <w:sz w:val="20"/>
                <w:szCs w:val="20"/>
                <w:color w:val="auto"/>
              </w:rPr>
            </w:pPr>
            <w:r>
              <w:rPr>
                <w:rFonts w:ascii="Arial" w:cs="Arial" w:eastAsia="Arial" w:hAnsi="Arial"/>
                <w:sz w:val="18"/>
                <w:szCs w:val="18"/>
                <w:b w:val="1"/>
                <w:bCs w:val="1"/>
                <w:color w:val="auto"/>
                <w:w w:val="84"/>
              </w:rPr>
              <w:t>2023</w:t>
            </w:r>
          </w:p>
        </w:tc>
        <w:tc>
          <w:tcPr>
            <w:tcW w:w="2320" w:type="dxa"/>
            <w:vAlign w:val="bottom"/>
          </w:tcPr>
          <w:p>
            <w:pPr>
              <w:ind w:left="40"/>
              <w:spacing w:after="0"/>
              <w:rPr>
                <w:sz w:val="20"/>
                <w:szCs w:val="20"/>
                <w:color w:val="auto"/>
              </w:rPr>
            </w:pPr>
            <w:r>
              <w:rPr>
                <w:rFonts w:ascii="Arial" w:cs="Arial" w:eastAsia="Arial" w:hAnsi="Arial"/>
                <w:sz w:val="18"/>
                <w:szCs w:val="18"/>
                <w:b w:val="1"/>
                <w:bCs w:val="1"/>
                <w:color w:val="auto"/>
              </w:rPr>
              <w:t>(Base):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$0.46</w:t>
            </w:r>
          </w:p>
        </w:tc>
      </w:tr>
      <w:tr>
        <w:trPr>
          <w:trHeight w:val="87"/>
        </w:trPr>
        <w:tc>
          <w:tcPr>
            <w:tcW w:w="3020" w:type="dxa"/>
            <w:vAlign w:val="bottom"/>
            <w:tcBorders>
              <w:bottom w:val="single" w:sz="8" w:color="auto"/>
            </w:tcBorders>
            <w:gridSpan w:val="3"/>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020" w:type="dxa"/>
            <w:vAlign w:val="bottom"/>
            <w:gridSpan w:val="3"/>
          </w:tcPr>
          <w:p>
            <w:pPr>
              <w:ind w:left="80"/>
              <w:spacing w:after="0"/>
              <w:rPr>
                <w:sz w:val="20"/>
                <w:szCs w:val="20"/>
                <w:color w:val="auto"/>
              </w:rPr>
            </w:pPr>
            <w:r>
              <w:rPr>
                <w:rFonts w:ascii="Arial" w:cs="Arial" w:eastAsia="Arial" w:hAnsi="Arial"/>
                <w:sz w:val="18"/>
                <w:szCs w:val="18"/>
                <w:b w:val="1"/>
                <w:bCs w:val="1"/>
                <w:color w:val="auto"/>
              </w:rPr>
              <w:t>LTM Q3’23 (Base):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$1.83</w:t>
            </w:r>
          </w:p>
        </w:tc>
      </w:tr>
      <w:tr>
        <w:trPr>
          <w:trHeight w:val="87"/>
        </w:trPr>
        <w:tc>
          <w:tcPr>
            <w:tcW w:w="3020" w:type="dxa"/>
            <w:vAlign w:val="bottom"/>
            <w:tcBorders>
              <w:bottom w:val="single" w:sz="8" w:color="auto"/>
            </w:tcBorders>
            <w:gridSpan w:val="3"/>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020" w:type="dxa"/>
            <w:vAlign w:val="bottom"/>
            <w:gridSpan w:val="3"/>
          </w:tcPr>
          <w:p>
            <w:pPr>
              <w:ind w:left="80"/>
              <w:spacing w:after="0"/>
              <w:rPr>
                <w:sz w:val="20"/>
                <w:szCs w:val="20"/>
                <w:color w:val="auto"/>
              </w:rPr>
            </w:pPr>
            <w:r>
              <w:rPr>
                <w:rFonts w:ascii="Arial" w:cs="Arial" w:eastAsia="Arial" w:hAnsi="Arial"/>
                <w:sz w:val="18"/>
                <w:szCs w:val="18"/>
                <w:b w:val="1"/>
                <w:bCs w:val="1"/>
                <w:color w:val="auto"/>
              </w:rPr>
              <w:t>LTM Q3’23 (Supplemental):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$0.19</w:t>
            </w:r>
          </w:p>
        </w:tc>
      </w:tr>
      <w:tr>
        <w:trPr>
          <w:trHeight w:val="87"/>
        </w:trPr>
        <w:tc>
          <w:tcPr>
            <w:tcW w:w="3020" w:type="dxa"/>
            <w:vAlign w:val="bottom"/>
            <w:tcBorders>
              <w:bottom w:val="single" w:sz="8" w:color="auto"/>
            </w:tcBorders>
            <w:gridSpan w:val="3"/>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244"/>
        </w:trPr>
        <w:tc>
          <w:tcPr>
            <w:tcW w:w="3020" w:type="dxa"/>
            <w:vAlign w:val="bottom"/>
            <w:gridSpan w:val="3"/>
          </w:tcPr>
          <w:p>
            <w:pPr>
              <w:ind w:left="80"/>
              <w:spacing w:after="0"/>
              <w:rPr>
                <w:sz w:val="20"/>
                <w:szCs w:val="20"/>
                <w:color w:val="auto"/>
              </w:rPr>
            </w:pPr>
            <w:r>
              <w:rPr>
                <w:rFonts w:ascii="Arial" w:cs="Arial" w:eastAsia="Arial" w:hAnsi="Arial"/>
                <w:sz w:val="18"/>
                <w:szCs w:val="18"/>
                <w:b w:val="1"/>
                <w:bCs w:val="1"/>
                <w:color w:val="auto"/>
              </w:rPr>
              <w:t>LTM Q3’23 (Total):</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$2.02</w:t>
            </w:r>
          </w:p>
        </w:tc>
      </w:tr>
    </w:tbl>
    <w:p>
      <w:pPr>
        <w:spacing w:after="0" w:line="361" w:lineRule="exact"/>
        <w:rPr>
          <w:sz w:val="20"/>
          <w:szCs w:val="20"/>
          <w:color w:val="auto"/>
        </w:rPr>
      </w:pPr>
    </w:p>
    <w:p>
      <w:pPr>
        <w:sectPr>
          <w:pgSz w:w="11900" w:h="16838" w:orient="portrait"/>
          <w:cols w:equalWidth="0" w:num="2">
            <w:col w:w="7300" w:space="240"/>
            <w:col w:w="3700"/>
          </w:cols>
          <w:pgMar w:left="320" w:top="105" w:right="339" w:bottom="1440" w:gutter="0" w:footer="0" w:header="0"/>
          <w:type w:val="continuous"/>
        </w:sectPr>
      </w:pPr>
    </w:p>
    <w:p>
      <w:pPr>
        <w:spacing w:after="0" w:line="266" w:lineRule="exact"/>
        <w:rPr>
          <w:sz w:val="20"/>
          <w:szCs w:val="20"/>
          <w:color w:val="auto"/>
        </w:rPr>
      </w:pPr>
    </w:p>
    <w:p>
      <w:pPr>
        <w:ind w:left="1114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275" w:lineRule="exact"/>
        <w:rPr>
          <w:sz w:val="20"/>
          <w:szCs w:val="20"/>
          <w:color w:val="auto"/>
        </w:rPr>
      </w:pPr>
    </w:p>
    <w:p>
      <w:pPr>
        <w:jc w:val="both"/>
        <w:ind w:left="20"/>
        <w:spacing w:after="0" w:line="273" w:lineRule="auto"/>
        <w:rPr>
          <w:sz w:val="20"/>
          <w:szCs w:val="20"/>
          <w:color w:val="auto"/>
        </w:rPr>
      </w:pPr>
      <w:r>
        <w:rPr>
          <w:rFonts w:ascii="Arial" w:cs="Arial" w:eastAsia="Arial" w:hAnsi="Arial"/>
          <w:sz w:val="18"/>
          <w:szCs w:val="18"/>
          <w:color w:val="auto"/>
        </w:rPr>
        <w:t>For the quarter ended September 30, 2023, new investment commitments totaled $205.8 million. This compares to $260.4 million for the quarter ended June 30, 2023.</w:t>
      </w:r>
    </w:p>
    <w:p>
      <w:pPr>
        <w:spacing w:after="0" w:line="83"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For the quarter ended September 30, 2023, the principal amount of new investments funded was $151.6 million across 8 new portolio companies and 2 upsizes to existng portolio companies. For this period, the Company had $158.9 million aggregate principal amount in exits and repayments. For the quarter ended June 30, 2023, the principal amount of new investments funded was $240.0 million across 6 new portolio companies and 4 upsizes to existng portolio companies. For that period, the Company had $114.0 million aggregate principal amount in exits and repayments.</w:t>
      </w:r>
    </w:p>
    <w:p>
      <w:pPr>
        <w:spacing w:after="0" w:line="54" w:lineRule="exact"/>
        <w:rPr>
          <w:sz w:val="20"/>
          <w:szCs w:val="20"/>
          <w:color w:val="auto"/>
        </w:rPr>
      </w:pPr>
    </w:p>
    <w:p>
      <w:pPr>
        <w:jc w:val="both"/>
        <w:ind w:left="20"/>
        <w:spacing w:after="0" w:line="232" w:lineRule="auto"/>
        <w:rPr>
          <w:sz w:val="20"/>
          <w:szCs w:val="20"/>
          <w:color w:val="auto"/>
        </w:rPr>
      </w:pPr>
      <w:r>
        <w:rPr>
          <w:rFonts w:ascii="Arial" w:cs="Arial" w:eastAsia="Arial" w:hAnsi="Arial"/>
          <w:sz w:val="18"/>
          <w:szCs w:val="18"/>
          <w:color w:val="auto"/>
        </w:rPr>
        <w:t>As of September 30, 2023 and June 30, 2023, the Company had investments in 89</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and 86</w:t>
      </w:r>
      <w:r>
        <w:rPr>
          <w:rFonts w:ascii="Arial" w:cs="Arial" w:eastAsia="Arial" w:hAnsi="Arial"/>
          <w:sz w:val="24"/>
          <w:szCs w:val="24"/>
          <w:color w:val="auto"/>
          <w:vertAlign w:val="superscript"/>
        </w:rPr>
        <w:t>2</w:t>
      </w:r>
      <w:r>
        <w:rPr>
          <w:rFonts w:ascii="Arial" w:cs="Arial" w:eastAsia="Arial" w:hAnsi="Arial"/>
          <w:sz w:val="18"/>
          <w:szCs w:val="18"/>
          <w:color w:val="auto"/>
        </w:rPr>
        <w:t xml:space="preserve"> portolio companies, respectvely, with an aggregate fair value of $3,113.3 million and $3,089.0 million, respectvely. As of September 30, 2023, the average investment size in each portolio company was $34.4</w:t>
      </w:r>
      <w:r>
        <w:rPr>
          <w:rFonts w:ascii="Arial" w:cs="Arial" w:eastAsia="Arial" w:hAnsi="Arial"/>
          <w:sz w:val="24"/>
          <w:szCs w:val="24"/>
          <w:color w:val="auto"/>
          <w:vertAlign w:val="superscript"/>
        </w:rPr>
        <w:t>1</w:t>
      </w:r>
      <w:r>
        <w:rPr>
          <w:rFonts w:ascii="Arial" w:cs="Arial" w:eastAsia="Arial" w:hAnsi="Arial"/>
          <w:sz w:val="18"/>
          <w:szCs w:val="18"/>
          <w:color w:val="auto"/>
        </w:rPr>
        <w:t xml:space="preserve"> million based on fair value.</w:t>
      </w:r>
    </w:p>
    <w:p>
      <w:pPr>
        <w:spacing w:after="0" w:line="59"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As of September 30, 2023, the Company’s portolio based on fair value consisted of 91.0% frst-lien debt investments, 1.3% second-lien debt investments, 1.7% structured credit investments, 1.2% mezzanine debt investments, and 4.8% equity and other investments. As of June 30, 2023, the Company’s portolio based on fair value consisted of 90.6% frst-lien debt investments, 1.3% second-lien debt investments, 1.8% structured credit investments, 1.3% mezzanine debt investments, and 5.0% equity and other investments.</w:t>
      </w:r>
    </w:p>
    <w:p>
      <w:pPr>
        <w:spacing w:after="0" w:line="64" w:lineRule="exact"/>
        <w:rPr>
          <w:sz w:val="20"/>
          <w:szCs w:val="20"/>
          <w:color w:val="auto"/>
        </w:rPr>
      </w:pPr>
    </w:p>
    <w:p>
      <w:pPr>
        <w:jc w:val="both"/>
        <w:ind w:left="20"/>
        <w:spacing w:after="0" w:line="258" w:lineRule="auto"/>
        <w:rPr>
          <w:sz w:val="20"/>
          <w:szCs w:val="20"/>
          <w:color w:val="auto"/>
        </w:rPr>
      </w:pPr>
      <w:r>
        <w:rPr>
          <w:rFonts w:ascii="Arial" w:cs="Arial" w:eastAsia="Arial" w:hAnsi="Arial"/>
          <w:sz w:val="17"/>
          <w:szCs w:val="17"/>
          <w:color w:val="auto"/>
        </w:rPr>
        <w:t>As of September 30, 2023, 99.7% of debt investments</w:t>
      </w:r>
      <w:r>
        <w:rPr>
          <w:rFonts w:ascii="Arial" w:cs="Arial" w:eastAsia="Arial" w:hAnsi="Arial"/>
          <w:sz w:val="23"/>
          <w:szCs w:val="23"/>
          <w:color w:val="auto"/>
          <w:vertAlign w:val="superscript"/>
        </w:rPr>
        <w:t>3</w:t>
      </w:r>
      <w:r>
        <w:rPr>
          <w:rFonts w:ascii="Arial" w:cs="Arial" w:eastAsia="Arial" w:hAnsi="Arial"/>
          <w:sz w:val="17"/>
          <w:szCs w:val="17"/>
          <w:color w:val="auto"/>
        </w:rPr>
        <w:t xml:space="preserve"> based on fair value in the portolio bore interest at foatng rates with 100.0% of these subject to reference rate foors. The Company’s credit facilites also bear interest at foatng rates. In connecton with the Company’s Unsecured Notes, which bear interest at fxed rates, the Company has entered into fxed-to-foatng interest rate swaps in order to align the nature of the interest rates of its liabilites with its investment portolio.</w:t>
      </w:r>
    </w:p>
    <w:p>
      <w:pPr>
        <w:spacing w:after="0" w:line="84"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As of September 30, 2023 and June 30, 2023, the weighted average total yield of debt and income-producing securites at fair value (which includes interest income and amortzaton of fees and discounts) was 14.2% and 14.0%, respectvely, and the weighted average total yield of debt and income-producing securites at amortzed cost (which includes interest income and amortzaton of fees and discounts) was 14.3% and 14.1% for the quarter ended September 30, 2023 and June 30, 2023, respectvely.</w:t>
      </w:r>
    </w:p>
    <w:p>
      <w:pPr>
        <w:spacing w:after="0" w:line="84" w:lineRule="exact"/>
        <w:rPr>
          <w:sz w:val="20"/>
          <w:szCs w:val="20"/>
          <w:color w:val="auto"/>
        </w:rPr>
      </w:pPr>
    </w:p>
    <w:p>
      <w:pPr>
        <w:jc w:val="both"/>
        <w:ind w:left="20"/>
        <w:spacing w:after="0" w:line="262" w:lineRule="auto"/>
        <w:rPr>
          <w:sz w:val="20"/>
          <w:szCs w:val="20"/>
          <w:color w:val="auto"/>
        </w:rPr>
      </w:pPr>
      <w:r>
        <w:rPr>
          <w:rFonts w:ascii="Arial" w:cs="Arial" w:eastAsia="Arial" w:hAnsi="Arial"/>
          <w:sz w:val="18"/>
          <w:szCs w:val="18"/>
          <w:color w:val="auto"/>
        </w:rPr>
        <w:t>As of September 30, 2023 and June 30, 2023, 0.66% and 0.63% of the portolio at fair value was on non-accrual status, respectvely. No new investments were added to non-accrual status during the quarter.</w:t>
      </w:r>
    </w:p>
    <w:p>
      <w:pPr>
        <w:spacing w:after="0" w:line="86" w:lineRule="exact"/>
        <w:rPr>
          <w:sz w:val="20"/>
          <w:szCs w:val="20"/>
          <w:color w:val="auto"/>
        </w:rPr>
      </w:pPr>
    </w:p>
    <w:p>
      <w:pPr>
        <w:ind w:left="280" w:hanging="259"/>
        <w:spacing w:after="0"/>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September 30, 2023, excludes 42 structured credit investments with a total fair value of $54.0 million.</w:t>
      </w:r>
    </w:p>
    <w:p>
      <w:pPr>
        <w:spacing w:after="0" w:line="26" w:lineRule="exact"/>
        <w:rPr>
          <w:rFonts w:ascii="Arial" w:cs="Arial" w:eastAsia="Arial" w:hAnsi="Arial"/>
          <w:sz w:val="14"/>
          <w:szCs w:val="14"/>
          <w:color w:val="auto"/>
        </w:rPr>
      </w:pPr>
    </w:p>
    <w:p>
      <w:pPr>
        <w:ind w:left="280" w:hanging="259"/>
        <w:spacing w:after="0"/>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As of June 30, 2023, excludes 44 structured credit investments with a total fair value of $54.2 million.</w:t>
      </w:r>
    </w:p>
    <w:p>
      <w:pPr>
        <w:spacing w:after="0" w:line="8" w:lineRule="exact"/>
        <w:rPr>
          <w:rFonts w:ascii="Arial" w:cs="Arial" w:eastAsia="Arial" w:hAnsi="Arial"/>
          <w:sz w:val="14"/>
          <w:szCs w:val="14"/>
          <w:color w:val="auto"/>
        </w:rPr>
      </w:pPr>
    </w:p>
    <w:p>
      <w:pPr>
        <w:ind w:left="280" w:hanging="259"/>
        <w:spacing w:after="0"/>
        <w:tabs>
          <w:tab w:leader="none" w:pos="280"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Calculaton includes income earning debt investments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2480" w:type="dxa"/>
            <w:vAlign w:val="bottom"/>
            <w:shd w:val="clear" w:color="auto" w:fill="0F2F50"/>
          </w:tcPr>
          <w:p>
            <w:pPr>
              <w:ind w:left="1000"/>
              <w:spacing w:after="0"/>
              <w:rPr>
                <w:sz w:val="20"/>
                <w:szCs w:val="20"/>
                <w:color w:val="auto"/>
              </w:rPr>
            </w:pPr>
            <w:r>
              <w:rPr>
                <w:rFonts w:ascii="Arial" w:cs="Arial" w:eastAsia="Arial" w:hAnsi="Arial"/>
                <w:sz w:val="18"/>
                <w:szCs w:val="18"/>
                <w:b w:val="1"/>
                <w:bCs w:val="1"/>
                <w:color w:val="FFFFFF"/>
                <w:w w:val="93"/>
              </w:rPr>
              <w:t>Originaton Actvity</w:t>
            </w:r>
          </w:p>
        </w:tc>
        <w:tc>
          <w:tcPr>
            <w:tcW w:w="980" w:type="dxa"/>
            <w:vAlign w:val="bottom"/>
            <w:shd w:val="clear" w:color="auto" w:fill="0F2F50"/>
          </w:tcPr>
          <w:p>
            <w:pPr>
              <w:spacing w:after="0"/>
              <w:rPr>
                <w:sz w:val="19"/>
                <w:szCs w:val="19"/>
                <w:color w:val="auto"/>
              </w:rPr>
            </w:pPr>
          </w:p>
        </w:tc>
      </w:tr>
      <w:tr>
        <w:trPr>
          <w:trHeight w:val="230"/>
        </w:trPr>
        <w:tc>
          <w:tcPr>
            <w:tcW w:w="2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Commitments:</w:t>
            </w: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$205.8MM</w:t>
            </w:r>
          </w:p>
        </w:tc>
      </w:tr>
      <w:tr>
        <w:trPr>
          <w:trHeight w:val="223"/>
        </w:trPr>
        <w:tc>
          <w:tcPr>
            <w:tcW w:w="24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Fundings:</w:t>
            </w: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$151.6MM</w:t>
            </w:r>
          </w:p>
        </w:tc>
      </w:tr>
      <w:tr>
        <w:trPr>
          <w:trHeight w:val="224"/>
        </w:trPr>
        <w:tc>
          <w:tcPr>
            <w:tcW w:w="2480" w:type="dxa"/>
            <w:vAlign w:val="bottom"/>
          </w:tcPr>
          <w:p>
            <w:pPr>
              <w:ind w:left="60"/>
              <w:spacing w:after="0"/>
              <w:rPr>
                <w:sz w:val="20"/>
                <w:szCs w:val="20"/>
                <w:color w:val="auto"/>
              </w:rPr>
            </w:pPr>
            <w:r>
              <w:rPr>
                <w:rFonts w:ascii="Arial" w:cs="Arial" w:eastAsia="Arial" w:hAnsi="Arial"/>
                <w:sz w:val="18"/>
                <w:szCs w:val="18"/>
                <w:b w:val="1"/>
                <w:bCs w:val="1"/>
                <w:color w:val="auto"/>
              </w:rPr>
              <w:t>Net Payofs:</w:t>
            </w: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$7.2MM</w:t>
            </w: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Average Investment Size</w:t>
      </w:r>
      <w:r>
        <w:rPr>
          <w:rFonts w:ascii="Arial" w:cs="Arial" w:eastAsia="Arial" w:hAnsi="Arial"/>
          <w:sz w:val="24"/>
          <w:szCs w:val="24"/>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-139700</wp:posOffset>
            </wp:positionV>
            <wp:extent cx="2202815"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jc w:val="center"/>
        <w:spacing w:after="0" w:line="237" w:lineRule="auto"/>
        <w:rPr>
          <w:sz w:val="20"/>
          <w:szCs w:val="20"/>
          <w:color w:val="auto"/>
        </w:rPr>
      </w:pPr>
      <w:r>
        <w:rPr>
          <w:rFonts w:ascii="Arial" w:cs="Arial" w:eastAsia="Arial" w:hAnsi="Arial"/>
          <w:sz w:val="18"/>
          <w:szCs w:val="18"/>
          <w:b w:val="1"/>
          <w:bCs w:val="1"/>
          <w:color w:val="auto"/>
        </w:rPr>
        <w:t>$34.4MM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(1.1% of the portolio at fair value)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First Lien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2202815"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spacing w:after="0" w:line="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91.0%</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Secured Debt Investments (% FV)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-109220</wp:posOffset>
            </wp:positionV>
            <wp:extent cx="220281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02815" cy="145415"/>
                    </a:xfrm>
                    <a:prstGeom prst="rect">
                      <a:avLst/>
                    </a:prstGeom>
                    <a:noFill/>
                  </pic:spPr>
                </pic:pic>
              </a:graphicData>
            </a:graphic>
          </wp:anchor>
        </w:drawing>
      </w:r>
    </w:p>
    <w:p>
      <w:pPr>
        <w:spacing w:after="0" w:line="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92.3%</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FFFF"/>
        </w:rPr>
        <w:t>Floatng Rate Debt Investments</w:t>
      </w:r>
      <w:r>
        <w:rPr>
          <w:rFonts w:ascii="Arial" w:cs="Arial" w:eastAsia="Arial" w:hAnsi="Arial"/>
          <w:sz w:val="24"/>
          <w:szCs w:val="24"/>
          <w:b w:val="1"/>
          <w:bCs w:val="1"/>
          <w:color w:val="FFFFFF"/>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-173990</wp:posOffset>
            </wp:positionV>
            <wp:extent cx="2202815" cy="360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02815" cy="360045"/>
                    </a:xfrm>
                    <a:prstGeom prst="rect">
                      <a:avLst/>
                    </a:prstGeom>
                    <a:noFill/>
                  </pic:spPr>
                </pic:pic>
              </a:graphicData>
            </a:graphic>
          </wp:anchor>
        </w:drawing>
      </w:r>
    </w:p>
    <w:p>
      <w:pPr>
        <w:jc w:val="center"/>
        <w:spacing w:after="0" w:line="237" w:lineRule="auto"/>
        <w:rPr>
          <w:sz w:val="20"/>
          <w:szCs w:val="20"/>
          <w:color w:val="auto"/>
        </w:rPr>
      </w:pPr>
      <w:r>
        <w:rPr>
          <w:rFonts w:ascii="Arial" w:cs="Arial" w:eastAsia="Arial" w:hAnsi="Arial"/>
          <w:sz w:val="18"/>
          <w:szCs w:val="18"/>
          <w:b w:val="1"/>
          <w:bCs w:val="1"/>
          <w:color w:val="FFFFFF"/>
        </w:rPr>
        <w:t>(% FV)</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99.7%</w:t>
      </w:r>
    </w:p>
    <w:p>
      <w:pPr>
        <w:spacing w:after="0" w:line="374" w:lineRule="exact"/>
        <w:rPr>
          <w:sz w:val="20"/>
          <w:szCs w:val="20"/>
          <w:color w:val="auto"/>
        </w:rPr>
      </w:pPr>
    </w:p>
    <w:p>
      <w:pPr>
        <w:ind w:left="600" w:right="420" w:hanging="235"/>
        <w:spacing w:after="0" w:line="310" w:lineRule="auto"/>
        <w:rPr>
          <w:sz w:val="20"/>
          <w:szCs w:val="20"/>
          <w:color w:val="auto"/>
        </w:rPr>
      </w:pPr>
      <w:r>
        <w:rPr>
          <w:rFonts w:ascii="Arial" w:cs="Arial" w:eastAsia="Arial" w:hAnsi="Arial"/>
          <w:sz w:val="15"/>
          <w:szCs w:val="15"/>
          <w:b w:val="1"/>
          <w:bCs w:val="1"/>
          <w:color w:val="FFFFFF"/>
        </w:rPr>
        <w:t>Weighted Average Yield of Debt and Incoming-Producing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-260350</wp:posOffset>
            </wp:positionV>
            <wp:extent cx="2202815" cy="2825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2815" cy="28257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1"/>
        </w:trPr>
        <w:tc>
          <w:tcPr>
            <w:tcW w:w="2260" w:type="dxa"/>
            <w:vAlign w:val="bottom"/>
          </w:tcPr>
          <w:p>
            <w:pPr>
              <w:ind w:left="60"/>
              <w:spacing w:after="0"/>
              <w:rPr>
                <w:sz w:val="20"/>
                <w:szCs w:val="20"/>
                <w:color w:val="auto"/>
              </w:rPr>
            </w:pPr>
            <w:r>
              <w:rPr>
                <w:rFonts w:ascii="Arial" w:cs="Arial" w:eastAsia="Arial" w:hAnsi="Arial"/>
                <w:sz w:val="18"/>
                <w:szCs w:val="18"/>
                <w:b w:val="1"/>
                <w:bCs w:val="1"/>
                <w:color w:val="auto"/>
              </w:rPr>
              <w:t>Yield at Fair Value:</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14.2%</w:t>
            </w:r>
          </w:p>
        </w:tc>
      </w:tr>
      <w:tr>
        <w:trPr>
          <w:trHeight w:val="32"/>
        </w:trPr>
        <w:tc>
          <w:tcPr>
            <w:tcW w:w="2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4"/>
        </w:trPr>
        <w:tc>
          <w:tcPr>
            <w:tcW w:w="2260" w:type="dxa"/>
            <w:vAlign w:val="bottom"/>
          </w:tcPr>
          <w:p>
            <w:pPr>
              <w:ind w:left="60"/>
              <w:spacing w:after="0"/>
              <w:rPr>
                <w:sz w:val="20"/>
                <w:szCs w:val="20"/>
                <w:color w:val="auto"/>
              </w:rPr>
            </w:pPr>
            <w:r>
              <w:rPr>
                <w:rFonts w:ascii="Arial" w:cs="Arial" w:eastAsia="Arial" w:hAnsi="Arial"/>
                <w:sz w:val="18"/>
                <w:szCs w:val="18"/>
                <w:b w:val="1"/>
                <w:bCs w:val="1"/>
                <w:color w:val="auto"/>
              </w:rPr>
              <w:t>Yield at Amortzed Cost:</w:t>
            </w:r>
          </w:p>
        </w:tc>
        <w:tc>
          <w:tcPr>
            <w:tcW w:w="1200" w:type="dxa"/>
            <w:vAlign w:val="bottom"/>
          </w:tcPr>
          <w:p>
            <w:pPr>
              <w:jc w:val="right"/>
              <w:ind w:right="250"/>
              <w:spacing w:after="0"/>
              <w:rPr>
                <w:sz w:val="20"/>
                <w:szCs w:val="20"/>
                <w:color w:val="auto"/>
              </w:rPr>
            </w:pPr>
            <w:r>
              <w:rPr>
                <w:rFonts w:ascii="Arial" w:cs="Arial" w:eastAsia="Arial" w:hAnsi="Arial"/>
                <w:sz w:val="18"/>
                <w:szCs w:val="18"/>
                <w:b w:val="1"/>
                <w:bCs w:val="1"/>
                <w:color w:val="auto"/>
              </w:rPr>
              <w:t>14.3%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520" w:space="260"/>
            <w:col w:w="3460"/>
          </w:cols>
          <w:pgMar w:left="320" w:top="1040" w:right="3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RESULTS OF OPERATIONS FOR THE THREE MONTHS ENDED SEPTEMBER 30, 2023</w:t>
      </w:r>
    </w:p>
    <w:p>
      <w:pPr>
        <w:spacing w:after="0" w:line="34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Investment Income</w:t>
      </w:r>
    </w:p>
    <w:p>
      <w:pPr>
        <w:spacing w:after="0" w:line="308" w:lineRule="exact"/>
        <w:rPr>
          <w:sz w:val="20"/>
          <w:szCs w:val="20"/>
          <w:color w:val="auto"/>
        </w:rPr>
      </w:pPr>
    </w:p>
    <w:p>
      <w:pPr>
        <w:jc w:val="both"/>
        <w:ind w:left="20"/>
        <w:spacing w:after="0" w:line="284" w:lineRule="auto"/>
        <w:rPr>
          <w:sz w:val="20"/>
          <w:szCs w:val="20"/>
          <w:color w:val="auto"/>
        </w:rPr>
      </w:pPr>
      <w:r>
        <w:rPr>
          <w:rFonts w:ascii="Arial" w:cs="Arial" w:eastAsia="Arial" w:hAnsi="Arial"/>
          <w:sz w:val="17"/>
          <w:szCs w:val="17"/>
          <w:color w:val="auto"/>
        </w:rPr>
        <w:t>For the three months ended September 30, 2023 and 2022, investment income was $114.4 million and $77.8 million, respectvely. The increase in investment income was largely the result of net funding actvity and higher interest from investments driven by increased all-in yields.</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Expenses</w:t>
      </w:r>
    </w:p>
    <w:p>
      <w:pPr>
        <w:spacing w:after="0" w:line="362"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Net expenses totaled $64.0 million and $40.3 million for the three months ended September 30, 2023 and 2022, respectvely. The increase in net expenses was primarily due to the upward movement in reference rates which increased the Company’s weighted average interest rate on average debt outstanding.</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Debt and Capital Resources</w:t>
      </w:r>
    </w:p>
    <w:p>
      <w:pPr>
        <w:spacing w:after="0" w:line="362"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As of September 30, 2023, the Company had $29.9 million in cash and cash equivalents (including $26.9 million of restricted cash), total principal value of debt outstanding of $1,705.7 million, and $951.8 million of undrawn capacity on its revolving credit facility, subject to borrowing base and other limitatons. The Company’s weighted average interest rate on debt outstanding was 7.5% and 7.1% for the three-month periods ended September 30, 2023 and June 30, 2023, respectvely. At September 30, 2023, the Company’s debt to equity rato was 1.15x, compared to 1.16x at June 30, 2023. Average debt to equity was 1.18x for the three-month period ended September 30, 2023, compared to 1.22x for the three-month period ended June 30, 2023.</w:t>
      </w:r>
    </w:p>
    <w:p>
      <w:pPr>
        <w:spacing w:after="0" w:line="200" w:lineRule="exact"/>
        <w:rPr>
          <w:sz w:val="20"/>
          <w:szCs w:val="20"/>
          <w:color w:val="auto"/>
        </w:rPr>
      </w:pPr>
    </w:p>
    <w:p>
      <w:pPr>
        <w:spacing w:after="0" w:line="209" w:lineRule="exact"/>
        <w:rPr>
          <w:sz w:val="20"/>
          <w:szCs w:val="20"/>
          <w:color w:val="auto"/>
        </w:rPr>
      </w:pPr>
    </w:p>
    <w:p>
      <w:pPr>
        <w:jc w:val="both"/>
        <w:ind w:left="260" w:hanging="239"/>
        <w:spacing w:after="0" w:line="277"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average net assets during the quarter. Average net assets is calculated by startng with the prior quarter end net asset value and adjustng for capital actvity during the quarter (adding common stock oferings / DRIP contributons).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-177800</wp:posOffset>
            </wp:positionV>
            <wp:extent cx="2348865" cy="291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48865" cy="291465"/>
                    </a:xfrm>
                    <a:prstGeom prst="rect">
                      <a:avLst/>
                    </a:prstGeom>
                    <a:noFill/>
                  </pic:spPr>
                </pic:pic>
              </a:graphicData>
            </a:graphic>
          </wp:anchor>
        </w:drawing>
      </w:r>
    </w:p>
    <w:p>
      <w:pPr>
        <w:spacing w:after="0" w:line="340"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$114.4MM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541655</wp:posOffset>
            </wp:positionV>
            <wp:extent cx="2348865" cy="3257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3488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FFFFFF"/>
        </w:rPr>
        <w:t>Net Expenses</w:t>
      </w:r>
    </w:p>
    <w:p>
      <w:pPr>
        <w:spacing w:after="0" w:line="38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$64.0MM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721995</wp:posOffset>
            </wp:positionV>
            <wp:extent cx="2348865" cy="2914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34886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FFFFFF"/>
        </w:rPr>
        <w:t>Total Principal Debt Outstanding</w:t>
      </w:r>
    </w:p>
    <w:p>
      <w:pPr>
        <w:spacing w:after="0" w:line="360"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$1,705.7MM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2348865" cy="2914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48865" cy="291465"/>
                    </a:xfrm>
                    <a:prstGeom prst="rect">
                      <a:avLst/>
                    </a:prstGeom>
                    <a:noFill/>
                  </pic:spPr>
                </pic:pic>
              </a:graphicData>
            </a:graphic>
          </wp:anchor>
        </w:drawing>
      </w:r>
    </w:p>
    <w:p>
      <w:pPr>
        <w:spacing w:after="0" w:line="34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Debt-to-Equity Rato</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2023 Quarter End:</w:t>
            </w:r>
          </w:p>
        </w:tc>
        <w:tc>
          <w:tcPr>
            <w:tcW w:w="1440" w:type="dxa"/>
            <w:vAlign w:val="bottom"/>
          </w:tcPr>
          <w:p>
            <w:pPr>
              <w:ind w:left="560"/>
              <w:spacing w:after="0"/>
              <w:rPr>
                <w:sz w:val="20"/>
                <w:szCs w:val="20"/>
                <w:color w:val="auto"/>
              </w:rPr>
            </w:pPr>
            <w:r>
              <w:rPr>
                <w:rFonts w:ascii="Arial" w:cs="Arial" w:eastAsia="Arial" w:hAnsi="Arial"/>
                <w:sz w:val="18"/>
                <w:szCs w:val="18"/>
                <w:b w:val="1"/>
                <w:bCs w:val="1"/>
                <w:color w:val="auto"/>
              </w:rPr>
              <w:t>1.15x</w:t>
            </w:r>
          </w:p>
        </w:tc>
      </w:tr>
      <w:tr>
        <w:trPr>
          <w:trHeight w:val="141"/>
        </w:trPr>
        <w:tc>
          <w:tcPr>
            <w:tcW w:w="320" w:type="dxa"/>
            <w:vAlign w:val="bottom"/>
            <w:tcBorders>
              <w:bottom w:val="single" w:sz="8" w:color="auto"/>
            </w:tcBorders>
          </w:tcPr>
          <w:p>
            <w:pPr>
              <w:spacing w:after="0"/>
              <w:rPr>
                <w:sz w:val="12"/>
                <w:szCs w:val="12"/>
                <w:color w:val="auto"/>
              </w:rPr>
            </w:pPr>
          </w:p>
        </w:tc>
        <w:tc>
          <w:tcPr>
            <w:tcW w:w="19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r>
      <w:tr>
        <w:trPr>
          <w:trHeight w:val="391"/>
        </w:trPr>
        <w:tc>
          <w:tcPr>
            <w:tcW w:w="320" w:type="dxa"/>
            <w:vAlign w:val="bottom"/>
          </w:tcPr>
          <w:p>
            <w:pPr>
              <w:ind w:left="80"/>
              <w:spacing w:after="0"/>
              <w:rPr>
                <w:sz w:val="20"/>
                <w:szCs w:val="20"/>
                <w:color w:val="auto"/>
              </w:rPr>
            </w:pPr>
            <w:r>
              <w:rPr>
                <w:rFonts w:ascii="Arial" w:cs="Arial" w:eastAsia="Arial" w:hAnsi="Arial"/>
                <w:sz w:val="18"/>
                <w:szCs w:val="18"/>
                <w:b w:val="1"/>
                <w:bCs w:val="1"/>
                <w:color w:val="auto"/>
                <w:w w:val="91"/>
              </w:rPr>
              <w:t>Q3</w:t>
            </w:r>
          </w:p>
        </w:tc>
        <w:tc>
          <w:tcPr>
            <w:tcW w:w="1940" w:type="dxa"/>
            <w:vAlign w:val="bottom"/>
          </w:tcPr>
          <w:p>
            <w:pPr>
              <w:ind w:left="20"/>
              <w:spacing w:after="0"/>
              <w:rPr>
                <w:sz w:val="20"/>
                <w:szCs w:val="20"/>
                <w:color w:val="auto"/>
              </w:rPr>
            </w:pPr>
            <w:r>
              <w:rPr>
                <w:rFonts w:ascii="Arial" w:cs="Arial" w:eastAsia="Arial" w:hAnsi="Arial"/>
                <w:sz w:val="18"/>
                <w:szCs w:val="18"/>
                <w:b w:val="1"/>
                <w:bCs w:val="1"/>
                <w:color w:val="auto"/>
              </w:rPr>
              <w:t>2023 Average</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1440" w:type="dxa"/>
            <w:vAlign w:val="bottom"/>
          </w:tcPr>
          <w:p>
            <w:pPr>
              <w:ind w:left="560"/>
              <w:spacing w:after="0"/>
              <w:rPr>
                <w:sz w:val="20"/>
                <w:szCs w:val="20"/>
                <w:color w:val="auto"/>
              </w:rPr>
            </w:pPr>
            <w:r>
              <w:rPr>
                <w:rFonts w:ascii="Arial" w:cs="Arial" w:eastAsia="Arial" w:hAnsi="Arial"/>
                <w:sz w:val="18"/>
                <w:szCs w:val="18"/>
                <w:b w:val="1"/>
                <w:bCs w:val="1"/>
                <w:color w:val="auto"/>
              </w:rPr>
              <w:t>1.18x</w:t>
            </w:r>
          </w:p>
        </w:tc>
      </w:tr>
    </w:tbl>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7300" w:space="240"/>
            <w:col w:w="3700"/>
          </w:cols>
          <w:pgMar w:left="320" w:top="10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LIQUIDITY AND FUNDING PROFILE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Company’s liquidity at September 30, 2023 and changes to unfunded commitments since June 30, 2023.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460" w:type="dxa"/>
            <w:vAlign w:val="bottom"/>
          </w:tcPr>
          <w:p>
            <w:pPr>
              <w:spacing w:after="0"/>
              <w:rPr>
                <w:sz w:val="20"/>
                <w:szCs w:val="20"/>
                <w:color w:val="auto"/>
              </w:rPr>
            </w:pPr>
            <w:r>
              <w:rPr>
                <w:rFonts w:ascii="Arial" w:cs="Arial" w:eastAsia="Arial" w:hAnsi="Arial"/>
                <w:sz w:val="14"/>
                <w:szCs w:val="14"/>
                <w:color w:val="auto"/>
              </w:rPr>
              <w:t>$ Millions</w:t>
            </w: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6"/>
        </w:trPr>
        <w:tc>
          <w:tcPr>
            <w:tcW w:w="4460" w:type="dxa"/>
            <w:vAlign w:val="bottom"/>
            <w:shd w:val="clear" w:color="auto" w:fill="0F2F50"/>
          </w:tcPr>
          <w:p>
            <w:pPr>
              <w:ind w:left="1740"/>
              <w:spacing w:after="0"/>
              <w:rPr>
                <w:sz w:val="20"/>
                <w:szCs w:val="20"/>
                <w:color w:val="auto"/>
              </w:rPr>
            </w:pPr>
            <w:r>
              <w:rPr>
                <w:rFonts w:ascii="Arial" w:cs="Arial" w:eastAsia="Arial" w:hAnsi="Arial"/>
                <w:sz w:val="18"/>
                <w:szCs w:val="18"/>
                <w:b w:val="1"/>
                <w:bCs w:val="1"/>
                <w:color w:val="FFFFFF"/>
              </w:rPr>
              <w:t>Revolving Credit Facility</w:t>
            </w:r>
          </w:p>
        </w:tc>
        <w:tc>
          <w:tcPr>
            <w:tcW w:w="1100" w:type="dxa"/>
            <w:vAlign w:val="bottom"/>
            <w:shd w:val="clear" w:color="auto" w:fill="0F2F50"/>
          </w:tcPr>
          <w:p>
            <w:pPr>
              <w:spacing w:after="0"/>
              <w:rPr>
                <w:sz w:val="23"/>
                <w:szCs w:val="23"/>
                <w:color w:val="auto"/>
              </w:rPr>
            </w:pPr>
          </w:p>
        </w:tc>
        <w:tc>
          <w:tcPr>
            <w:tcW w:w="240" w:type="dxa"/>
            <w:vAlign w:val="bottom"/>
          </w:tcPr>
          <w:p>
            <w:pPr>
              <w:spacing w:after="0"/>
              <w:rPr>
                <w:sz w:val="23"/>
                <w:szCs w:val="23"/>
                <w:color w:val="auto"/>
              </w:rPr>
            </w:pPr>
          </w:p>
        </w:tc>
        <w:tc>
          <w:tcPr>
            <w:tcW w:w="4560" w:type="dxa"/>
            <w:vAlign w:val="bottom"/>
            <w:shd w:val="clear" w:color="auto" w:fill="0F2F50"/>
          </w:tcPr>
          <w:p>
            <w:pPr>
              <w:ind w:left="1380"/>
              <w:spacing w:after="0"/>
              <w:rPr>
                <w:sz w:val="20"/>
                <w:szCs w:val="20"/>
                <w:color w:val="auto"/>
              </w:rPr>
            </w:pPr>
            <w:r>
              <w:rPr>
                <w:rFonts w:ascii="Arial" w:cs="Arial" w:eastAsia="Arial" w:hAnsi="Arial"/>
                <w:sz w:val="18"/>
                <w:szCs w:val="18"/>
                <w:b w:val="1"/>
                <w:bCs w:val="1"/>
                <w:color w:val="FFFFFF"/>
              </w:rPr>
              <w:t>Unfunded Commitment Activity</w:t>
            </w:r>
          </w:p>
        </w:tc>
        <w:tc>
          <w:tcPr>
            <w:tcW w:w="880" w:type="dxa"/>
            <w:vAlign w:val="bottom"/>
            <w:shd w:val="clear" w:color="auto" w:fill="0F2F50"/>
          </w:tcPr>
          <w:p>
            <w:pPr>
              <w:spacing w:after="0"/>
              <w:rPr>
                <w:sz w:val="23"/>
                <w:szCs w:val="23"/>
                <w:color w:val="auto"/>
              </w:rPr>
            </w:pPr>
          </w:p>
        </w:tc>
      </w:tr>
      <w:tr>
        <w:trPr>
          <w:trHeight w:val="216"/>
        </w:trPr>
        <w:tc>
          <w:tcPr>
            <w:tcW w:w="446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$1,710</w:t>
            </w:r>
          </w:p>
        </w:tc>
        <w:tc>
          <w:tcPr>
            <w:tcW w:w="240" w:type="dxa"/>
            <w:vAlign w:val="bottom"/>
          </w:tcPr>
          <w:p>
            <w:pPr>
              <w:spacing w:after="0"/>
              <w:rPr>
                <w:sz w:val="18"/>
                <w:szCs w:val="18"/>
                <w:color w:val="auto"/>
              </w:rPr>
            </w:pPr>
          </w:p>
        </w:tc>
        <w:tc>
          <w:tcPr>
            <w:tcW w:w="4560" w:type="dxa"/>
            <w:vAlign w:val="bottom"/>
          </w:tcPr>
          <w:p>
            <w:pPr>
              <w:ind w:left="20"/>
              <w:spacing w:after="0"/>
              <w:rPr>
                <w:sz w:val="20"/>
                <w:szCs w:val="20"/>
                <w:color w:val="auto"/>
              </w:rPr>
            </w:pPr>
            <w:r>
              <w:rPr>
                <w:rFonts w:ascii="Arial" w:cs="Arial" w:eastAsia="Arial" w:hAnsi="Arial"/>
                <w:sz w:val="16"/>
                <w:szCs w:val="16"/>
                <w:b w:val="1"/>
                <w:bCs w:val="1"/>
                <w:color w:val="auto"/>
              </w:rPr>
              <w:t>Unfunded Commitments (See Note 8 in 6/30/23 10-Q)</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$299</w:t>
            </w:r>
          </w:p>
        </w:tc>
      </w:tr>
    </w:tbl>
    <w:p>
      <w:pPr>
        <w:spacing w:after="0" w:line="1" w:lineRule="exact"/>
        <w:rPr>
          <w:sz w:val="20"/>
          <w:szCs w:val="20"/>
          <w:color w:val="auto"/>
        </w:rPr>
      </w:pPr>
    </w:p>
    <w:p>
      <w:pPr>
        <w:sectPr>
          <w:pgSz w:w="11900" w:h="16838" w:orient="portrait"/>
          <w:cols w:equalWidth="0" w:num="1">
            <w:col w:w="11240"/>
          </w:cols>
          <w:pgMar w:left="320" w:top="1026" w:right="339" w:bottom="1440" w:gutter="0" w:footer="0" w:header="0"/>
        </w:sectPr>
      </w:pPr>
    </w:p>
    <w:tbl>
      <w:tblPr>
        <w:tblLayout w:type="fixed"/>
        <w:tblInd w:w="0" w:type="dxa"/>
        <w:tblCellMar>
          <w:top w:w="0" w:type="dxa"/>
          <w:left w:w="0" w:type="dxa"/>
          <w:bottom w:w="0" w:type="dxa"/>
          <w:right w:w="0" w:type="dxa"/>
        </w:tblCellMar>
      </w:tblPr>
      <w:tr>
        <w:trPr>
          <w:trHeight w:val="208"/>
        </w:trPr>
        <w:tc>
          <w:tcPr>
            <w:tcW w:w="438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18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($758)</w:t>
            </w:r>
          </w:p>
        </w:tc>
      </w:tr>
      <w:tr>
        <w:trPr>
          <w:trHeight w:val="206"/>
        </w:trPr>
        <w:tc>
          <w:tcPr>
            <w:tcW w:w="438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18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$3</w:t>
            </w:r>
          </w:p>
        </w:tc>
      </w:tr>
      <w:tr>
        <w:trPr>
          <w:trHeight w:val="204"/>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$955</w:t>
            </w:r>
          </w:p>
        </w:tc>
      </w:tr>
      <w:tr>
        <w:trPr>
          <w:trHeight w:val="24"/>
        </w:trPr>
        <w:tc>
          <w:tcPr>
            <w:tcW w:w="4380" w:type="dxa"/>
            <w:vAlign w:val="bottom"/>
            <w:tcBorders>
              <w:bottom w:val="single" w:sz="8" w:color="ECEEF0"/>
            </w:tcBorders>
          </w:tcPr>
          <w:p>
            <w:pPr>
              <w:spacing w:after="0"/>
              <w:rPr>
                <w:sz w:val="2"/>
                <w:szCs w:val="2"/>
                <w:color w:val="auto"/>
              </w:rPr>
            </w:pPr>
          </w:p>
        </w:tc>
        <w:tc>
          <w:tcPr>
            <w:tcW w:w="1180" w:type="dxa"/>
            <w:vAlign w:val="bottom"/>
            <w:tcBorders>
              <w:bottom w:val="single" w:sz="8" w:color="ECEEF0"/>
            </w:tcBorders>
          </w:tcPr>
          <w:p>
            <w:pPr>
              <w:spacing w:after="0"/>
              <w:rPr>
                <w:sz w:val="2"/>
                <w:szCs w:val="2"/>
                <w:color w:val="auto"/>
              </w:rPr>
            </w:pPr>
          </w:p>
        </w:tc>
      </w:tr>
      <w:tr>
        <w:trPr>
          <w:trHeight w:val="223"/>
        </w:trPr>
        <w:tc>
          <w:tcPr>
            <w:tcW w:w="4380" w:type="dxa"/>
            <w:vAlign w:val="bottom"/>
            <w:tcBorders>
              <w:bottom w:val="single" w:sz="8" w:color="ECEEF0"/>
            </w:tcBorders>
          </w:tcPr>
          <w:p>
            <w:pPr>
              <w:ind w:left="20"/>
              <w:spacing w:after="0" w:line="223" w:lineRule="exact"/>
              <w:rPr>
                <w:sz w:val="20"/>
                <w:szCs w:val="20"/>
                <w:color w:val="auto"/>
              </w:rPr>
            </w:pPr>
            <w:r>
              <w:rPr>
                <w:rFonts w:ascii="Arial" w:cs="Arial" w:eastAsia="Arial" w:hAnsi="Arial"/>
                <w:sz w:val="16"/>
                <w:szCs w:val="16"/>
                <w:color w:val="auto"/>
              </w:rPr>
              <w:t>Available Unfunded Commitments</w:t>
            </w:r>
            <w:r>
              <w:rPr>
                <w:rFonts w:ascii="Arial" w:cs="Arial" w:eastAsia="Arial" w:hAnsi="Arial"/>
                <w:sz w:val="21"/>
                <w:szCs w:val="21"/>
                <w:color w:val="auto"/>
                <w:vertAlign w:val="superscript"/>
              </w:rPr>
              <w:t>1</w:t>
            </w:r>
          </w:p>
        </w:tc>
        <w:tc>
          <w:tcPr>
            <w:tcW w:w="118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($197)</w:t>
            </w:r>
          </w:p>
        </w:tc>
      </w:tr>
      <w:tr>
        <w:trPr>
          <w:trHeight w:val="199"/>
        </w:trPr>
        <w:tc>
          <w:tcPr>
            <w:tcW w:w="4380" w:type="dxa"/>
            <w:vAlign w:val="bottom"/>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$758</w:t>
            </w:r>
          </w:p>
        </w:tc>
      </w:tr>
      <w:tr>
        <w:trPr>
          <w:trHeight w:val="24"/>
        </w:trPr>
        <w:tc>
          <w:tcPr>
            <w:tcW w:w="4380" w:type="dxa"/>
            <w:vAlign w:val="bottom"/>
            <w:tcBorders>
              <w:bottom w:val="single" w:sz="8" w:color="ECEEF0"/>
            </w:tcBorders>
          </w:tcPr>
          <w:p>
            <w:pPr>
              <w:spacing w:after="0"/>
              <w:rPr>
                <w:sz w:val="2"/>
                <w:szCs w:val="2"/>
                <w:color w:val="auto"/>
              </w:rPr>
            </w:pPr>
          </w:p>
        </w:tc>
        <w:tc>
          <w:tcPr>
            <w:tcW w:w="1180" w:type="dxa"/>
            <w:vAlign w:val="bottom"/>
            <w:tcBorders>
              <w:bottom w:val="single" w:sz="8" w:color="ECEEF0"/>
            </w:tcBorders>
          </w:tcPr>
          <w:p>
            <w:pPr>
              <w:spacing w:after="0"/>
              <w:rPr>
                <w:sz w:val="2"/>
                <w:szCs w:val="2"/>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40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Extinguished Unfunded Commitments</w:t>
            </w:r>
          </w:p>
        </w:tc>
        <w:tc>
          <w:tcPr>
            <w:tcW w:w="14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($13)</w:t>
            </w:r>
          </w:p>
        </w:tc>
      </w:tr>
      <w:tr>
        <w:trPr>
          <w:trHeight w:val="208"/>
        </w:trPr>
        <w:tc>
          <w:tcPr>
            <w:tcW w:w="40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New Unfunded Commitments</w:t>
            </w:r>
          </w:p>
        </w:tc>
        <w:tc>
          <w:tcPr>
            <w:tcW w:w="14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$55</w:t>
            </w:r>
          </w:p>
        </w:tc>
      </w:tr>
      <w:tr>
        <w:trPr>
          <w:trHeight w:val="220"/>
        </w:trPr>
        <w:tc>
          <w:tcPr>
            <w:tcW w:w="40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Net Drawdown of Unfunded Commitments</w:t>
            </w:r>
          </w:p>
        </w:tc>
        <w:tc>
          <w:tcPr>
            <w:tcW w:w="14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($14)</w:t>
            </w:r>
          </w:p>
        </w:tc>
      </w:tr>
      <w:tr>
        <w:trPr>
          <w:trHeight w:val="205"/>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Total Unfunded Commitments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$327</w:t>
            </w:r>
          </w:p>
        </w:tc>
      </w:tr>
      <w:tr>
        <w:trPr>
          <w:trHeight w:val="24"/>
        </w:trPr>
        <w:tc>
          <w:tcPr>
            <w:tcW w:w="4000" w:type="dxa"/>
            <w:vAlign w:val="bottom"/>
            <w:tcBorders>
              <w:bottom w:val="single" w:sz="8" w:color="ECEEF0"/>
            </w:tcBorders>
          </w:tcPr>
          <w:p>
            <w:pPr>
              <w:spacing w:after="0"/>
              <w:rPr>
                <w:sz w:val="2"/>
                <w:szCs w:val="2"/>
                <w:color w:val="auto"/>
              </w:rPr>
            </w:pPr>
          </w:p>
        </w:tc>
        <w:tc>
          <w:tcPr>
            <w:tcW w:w="1440" w:type="dxa"/>
            <w:vAlign w:val="bottom"/>
            <w:tcBorders>
              <w:bottom w:val="single" w:sz="8" w:color="ECEEF0"/>
            </w:tcBorders>
          </w:tcPr>
          <w:p>
            <w:pPr>
              <w:spacing w:after="0"/>
              <w:rPr>
                <w:sz w:val="2"/>
                <w:szCs w:val="2"/>
                <w:color w:val="auto"/>
              </w:rPr>
            </w:pPr>
          </w:p>
        </w:tc>
      </w:tr>
      <w:tr>
        <w:trPr>
          <w:trHeight w:val="223"/>
        </w:trPr>
        <w:tc>
          <w:tcPr>
            <w:tcW w:w="4000" w:type="dxa"/>
            <w:vAlign w:val="bottom"/>
            <w:tcBorders>
              <w:bottom w:val="single" w:sz="8" w:color="ECEEF0"/>
            </w:tcBorders>
          </w:tcPr>
          <w:p>
            <w:pPr>
              <w:ind w:left="20"/>
              <w:spacing w:after="0" w:line="223" w:lineRule="exact"/>
              <w:rPr>
                <w:sz w:val="20"/>
                <w:szCs w:val="20"/>
                <w:color w:val="auto"/>
              </w:rPr>
            </w:pPr>
            <w:r>
              <w:rPr>
                <w:rFonts w:ascii="Arial" w:cs="Arial" w:eastAsia="Arial" w:hAnsi="Arial"/>
                <w:sz w:val="16"/>
                <w:szCs w:val="16"/>
                <w:color w:val="auto"/>
              </w:rPr>
              <w:t>Unavailable Unfunded Commitments</w:t>
            </w:r>
            <w:r>
              <w:rPr>
                <w:rFonts w:ascii="Arial" w:cs="Arial" w:eastAsia="Arial" w:hAnsi="Arial"/>
                <w:sz w:val="21"/>
                <w:szCs w:val="21"/>
                <w:color w:val="auto"/>
                <w:vertAlign w:val="superscript"/>
              </w:rPr>
              <w:t>1</w:t>
            </w:r>
          </w:p>
        </w:tc>
        <w:tc>
          <w:tcPr>
            <w:tcW w:w="14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($130)</w:t>
            </w:r>
          </w:p>
        </w:tc>
      </w:tr>
      <w:tr>
        <w:trPr>
          <w:trHeight w:val="250"/>
        </w:trPr>
        <w:tc>
          <w:tcPr>
            <w:tcW w:w="4000" w:type="dxa"/>
            <w:vAlign w:val="bottom"/>
          </w:tcPr>
          <w:p>
            <w:pPr>
              <w:ind w:left="20"/>
              <w:spacing w:after="0"/>
              <w:rPr>
                <w:sz w:val="20"/>
                <w:szCs w:val="20"/>
                <w:color w:val="auto"/>
              </w:rPr>
            </w:pPr>
            <w:r>
              <w:rPr>
                <w:rFonts w:ascii="Arial" w:cs="Arial" w:eastAsia="Arial" w:hAnsi="Arial"/>
                <w:sz w:val="16"/>
                <w:szCs w:val="16"/>
                <w:b w:val="1"/>
                <w:bCs w:val="1"/>
                <w:color w:val="auto"/>
              </w:rPr>
              <w:t>Available Unfunded Commitments</w:t>
            </w:r>
            <w:r>
              <w:rPr>
                <w:rFonts w:ascii="Arial" w:cs="Arial" w:eastAsia="Arial" w:hAnsi="Arial"/>
                <w:sz w:val="21"/>
                <w:szCs w:val="21"/>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$197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34544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40"/>
            <w:col w:w="5440"/>
          </w:cols>
          <w:pgMar w:left="320" w:top="1026" w:right="339" w:bottom="1440" w:gutter="0" w:footer="0" w:header="0"/>
          <w:type w:val="continuous"/>
        </w:sectPr>
      </w:pPr>
    </w:p>
    <w:p>
      <w:pPr>
        <w:ind w:left="380" w:hanging="372"/>
        <w:spacing w:after="0" w:line="220" w:lineRule="auto"/>
        <w:tabs>
          <w:tab w:leader="none" w:pos="38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limitatons on borrowings set forth in the agreements between the Company and the applicable portolio company. As a result, portolio companies may not be eligible to borrow the full commitment amount on such date</w:t>
      </w:r>
    </w:p>
    <w:p>
      <w:pPr>
        <w:spacing w:after="0"/>
        <w:rPr>
          <w:sz w:val="20"/>
          <w:szCs w:val="20"/>
          <w:color w:val="auto"/>
        </w:rPr>
      </w:pPr>
      <w:r>
        <w:rPr>
          <w:rFonts w:ascii="Arial" w:cs="Arial" w:eastAsia="Arial" w:hAnsi="Arial"/>
          <w:sz w:val="13"/>
          <w:szCs w:val="13"/>
          <w:color w:val="auto"/>
        </w:rPr>
        <w:t>Note: May not sum due to rounding</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Profle</w:t>
      </w:r>
    </w:p>
    <w:p>
      <w:pPr>
        <w:spacing w:after="0" w:line="11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September 30, 2023, the Company’s funding mix was comprised of approximately 56% unsecured and 44% secured debt. As illustrated below, the Company’s nearest debt maturity is in November 2024 at $348 million, and the weighted average remaining life of investments funded with debt was ~2.7 years, compared to a weighted average remaining maturity on debt of ~3.9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6412230" cy="3223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12230"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 $50 million of non-extending commitments with a maturity of February 4, 2026 and a revolving period ending February 4, 2025; and $170 million of non-extending commitments with a maturity of April 23, 2027 and a revolving period ending April 24, 2026</w:t>
      </w:r>
    </w:p>
    <w:p>
      <w:pPr>
        <w:spacing w:after="0" w:line="1" w:lineRule="exact"/>
        <w:rPr>
          <w:sz w:val="20"/>
          <w:szCs w:val="20"/>
          <w:color w:val="auto"/>
        </w:rPr>
      </w:pPr>
    </w:p>
    <w:p>
      <w:pPr>
        <w:ind w:left="380" w:right="20" w:hanging="372"/>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Net of Deferred Financing Costs and Interest Rate Fair Value Hedging. Deferred Financing Costs total $23.4M at 9/30/23. Fair value hedge on interest rate swaps related to the 2024, 2026 and 2028 notes total ($55.9M) at 9/30/23</w:t>
      </w:r>
    </w:p>
    <w:p>
      <w:pPr>
        <w:jc w:val="both"/>
        <w:ind w:left="380" w:hanging="372"/>
        <w:spacing w:after="0" w:line="238"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amortzed cost of debt investments. Investments are fnanced by debt and equity capital. This analysis assumes longer-dated investments are currently funded by equity capital (48% of investments) and the remaining (shorter-dated) investments (52% of investments) are currently funded by debt fnancing. Investments for purposes of this analysis exclude unfunded commitments, and equity capital is defned as 9/30/23 net assets</w:t>
      </w:r>
    </w:p>
    <w:p>
      <w:pPr>
        <w:ind w:left="380" w:hanging="372"/>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Informaton:</w:t>
      </w:r>
    </w:p>
    <w:p>
      <w:pPr>
        <w:spacing w:after="0" w:line="3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conference call to discuss the Company’s fnancial results will be held at 8:30 a.m. Eastern Time on November 3, 2023. The conference call will be broadcast live in listen-only mode on the Investor Resources secton of TSLX’s website at htps://sixthstreetspecialtylending.gcs-web.com/events-and-presentatons. The Events &amp; Presentatons page of the Investor Resources secton of TSLX’s website also includes a slide presentaton that complements the Earnings Conference Call. Please visit the website to test your connecton before the webcast.</w:t>
      </w:r>
    </w:p>
    <w:p>
      <w:pPr>
        <w:spacing w:after="0" w:line="1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Research analysts who wish to partcipate in the conference call must frst register at htps://register.vevent.com/register/BI82799ddc9fd945e2953c259074c4ddf1. Upon registraton, all telephone partcipants will receive a confrmaton email detailing how to join the conference call, including the dial-in number along with a unique passcode and registrant ID that can be used to access the call.</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Informaton:</w:t>
      </w:r>
    </w:p>
    <w:p>
      <w:pPr>
        <w:spacing w:after="0" w:line="37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A recorded version will be available under the same webcast link (htps://sixthstreetspecialtylending.gcs-web.com/events-and-presentatons) following the conclusion of the conference call.</w:t>
      </w:r>
    </w:p>
    <w:p>
      <w:pPr>
        <w:spacing w:after="0" w:line="1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9"/>
        </w:trPr>
        <w:tc>
          <w:tcPr>
            <w:tcW w:w="6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85"/>
        </w:trPr>
        <w:tc>
          <w:tcPr>
            <w:tcW w:w="6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September 30, 2023</w:t>
            </w:r>
          </w:p>
        </w:tc>
        <w:tc>
          <w:tcPr>
            <w:tcW w:w="200" w:type="dxa"/>
            <w:vAlign w:val="bottom"/>
          </w:tcPr>
          <w:p>
            <w:pPr>
              <w:spacing w:after="0"/>
              <w:rPr>
                <w:sz w:val="16"/>
                <w:szCs w:val="16"/>
                <w:color w:val="auto"/>
              </w:rPr>
            </w:pPr>
          </w:p>
        </w:tc>
        <w:tc>
          <w:tcPr>
            <w:tcW w:w="1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 2023</w:t>
            </w:r>
          </w:p>
        </w:tc>
        <w:tc>
          <w:tcPr>
            <w:tcW w:w="15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7"/>
              </w:rPr>
              <w:t>September 30, 2022</w:t>
            </w:r>
          </w:p>
        </w:tc>
      </w:tr>
      <w:tr>
        <w:trPr>
          <w:trHeight w:val="237"/>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at Fair Value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3,113.3</w:t>
            </w: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3,089.0</w:t>
            </w:r>
          </w:p>
        </w:tc>
        <w:tc>
          <w:tcPr>
            <w:tcW w:w="220" w:type="dxa"/>
            <w:vAlign w:val="bottom"/>
            <w:shd w:val="clear" w:color="auto" w:fill="CFF0FC"/>
          </w:tcPr>
          <w:p>
            <w:pPr>
              <w:spacing w:after="0"/>
              <w:rPr>
                <w:sz w:val="20"/>
                <w:szCs w:val="20"/>
                <w:color w:val="auto"/>
              </w:rPr>
            </w:pPr>
          </w:p>
        </w:tc>
        <w:tc>
          <w:tcPr>
            <w:tcW w:w="480" w:type="dxa"/>
            <w:vAlign w:val="bottom"/>
            <w:tcBorders>
              <w:top w:val="single" w:sz="8" w:color="auto"/>
            </w:tcBorders>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2,806.1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3,174.1</w:t>
            </w:r>
          </w:p>
        </w:tc>
        <w:tc>
          <w:tcPr>
            <w:tcW w:w="24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3,141.2</w:t>
            </w:r>
          </w:p>
        </w:tc>
        <w:tc>
          <w:tcPr>
            <w:tcW w:w="220" w:type="dxa"/>
            <w:vAlign w:val="bottom"/>
          </w:tcPr>
          <w:p>
            <w:pPr>
              <w:spacing w:after="0"/>
              <w:rPr>
                <w:sz w:val="20"/>
                <w:szCs w:val="20"/>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2,859.7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 Value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Supplemental Dividend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0.07</w:t>
            </w:r>
          </w:p>
        </w:tc>
        <w:tc>
          <w:tcPr>
            <w:tcW w:w="24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20"/>
                <w:szCs w:val="20"/>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440" w:type="dxa"/>
            <w:vAlign w:val="bottom"/>
            <w:shd w:val="clear" w:color="auto" w:fill="CFF0FC"/>
          </w:tcPr>
          <w:p>
            <w:pPr>
              <w:ind w:left="20"/>
              <w:spacing w:after="0" w:line="249" w:lineRule="exact"/>
              <w:rPr>
                <w:sz w:val="20"/>
                <w:szCs w:val="20"/>
                <w:color w:val="auto"/>
              </w:rPr>
            </w:pPr>
            <w:r>
              <w:rPr>
                <w:rFonts w:ascii="Arial" w:cs="Arial" w:eastAsia="Arial" w:hAnsi="Arial"/>
                <w:sz w:val="18"/>
                <w:szCs w:val="18"/>
                <w:color w:val="auto"/>
              </w:rPr>
              <w:t xml:space="preserve">Adjusted Net Asset Value Per Share </w:t>
            </w:r>
            <w:r>
              <w:rPr>
                <w:rFonts w:ascii="Arial" w:cs="Arial" w:eastAsia="Arial" w:hAnsi="Arial"/>
                <w:sz w:val="24"/>
                <w:szCs w:val="24"/>
                <w:color w:val="auto"/>
                <w:vertAlign w:val="superscript"/>
              </w:rPr>
              <w:t>(1)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16.68</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20"/>
                <w:szCs w:val="20"/>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ind w:left="20"/>
              <w:spacing w:after="0"/>
              <w:rPr>
                <w:sz w:val="20"/>
                <w:szCs w:val="20"/>
                <w:color w:val="auto"/>
              </w:rPr>
            </w:pPr>
            <w:r>
              <w:rPr>
                <w:rFonts w:ascii="Arial" w:cs="Arial" w:eastAsia="Arial" w:hAnsi="Arial"/>
                <w:sz w:val="18"/>
                <w:szCs w:val="18"/>
                <w:color w:val="auto"/>
              </w:rPr>
              <w:t>Accrued Capital Gains Incentive Fee Expense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2"/>
                <w:szCs w:val="22"/>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22"/>
                <w:szCs w:val="22"/>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 xml:space="preserve">Adjusted Net Investment Income </w:t>
            </w:r>
            <w:r>
              <w:rPr>
                <w:rFonts w:ascii="Arial" w:cs="Arial" w:eastAsia="Arial" w:hAnsi="Arial"/>
                <w:sz w:val="24"/>
                <w:szCs w:val="24"/>
                <w:color w:val="auto"/>
                <w:vertAlign w:val="superscript"/>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52.6</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Adjusted Net Income </w:t>
            </w:r>
            <w:r>
              <w:rPr>
                <w:rFonts w:ascii="Arial" w:cs="Arial" w:eastAsia="Arial" w:hAnsi="Arial"/>
                <w:sz w:val="24"/>
                <w:szCs w:val="24"/>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67.4</w:t>
            </w:r>
          </w:p>
        </w:tc>
        <w:tc>
          <w:tcPr>
            <w:tcW w:w="24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53.8</w:t>
            </w:r>
          </w:p>
        </w:tc>
        <w:tc>
          <w:tcPr>
            <w:tcW w:w="220" w:type="dxa"/>
            <w:vAlign w:val="bottom"/>
          </w:tcPr>
          <w:p>
            <w:pPr>
              <w:spacing w:after="0"/>
              <w:rPr>
                <w:sz w:val="21"/>
                <w:szCs w:val="21"/>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Net Investment Income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0.57</w:t>
            </w:r>
          </w:p>
        </w:tc>
        <w:tc>
          <w:tcPr>
            <w:tcW w:w="240" w:type="dxa"/>
            <w:vAlign w:val="bottom"/>
          </w:tcPr>
          <w:p>
            <w:pPr>
              <w:spacing w:after="0"/>
              <w:rPr>
                <w:sz w:val="20"/>
                <w:szCs w:val="20"/>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0.58</w:t>
            </w:r>
          </w:p>
        </w:tc>
        <w:tc>
          <w:tcPr>
            <w:tcW w:w="220" w:type="dxa"/>
            <w:vAlign w:val="bottom"/>
          </w:tcPr>
          <w:p>
            <w:pPr>
              <w:spacing w:after="0"/>
              <w:rPr>
                <w:sz w:val="20"/>
                <w:szCs w:val="20"/>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6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0.63</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63"/>
        </w:trPr>
        <w:tc>
          <w:tcPr>
            <w:tcW w:w="6440" w:type="dxa"/>
            <w:vAlign w:val="bottom"/>
          </w:tcPr>
          <w:p>
            <w:pPr>
              <w:ind w:left="20"/>
              <w:spacing w:after="0"/>
              <w:rPr>
                <w:sz w:val="20"/>
                <w:szCs w:val="20"/>
                <w:color w:val="auto"/>
              </w:rPr>
            </w:pPr>
            <w:r>
              <w:rPr>
                <w:rFonts w:ascii="Arial" w:cs="Arial" w:eastAsia="Arial" w:hAnsi="Arial"/>
                <w:sz w:val="18"/>
                <w:szCs w:val="18"/>
                <w:color w:val="auto"/>
              </w:rPr>
              <w:t>Accrued Capital Gains Incentive Fee Expense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0.03</w:t>
            </w:r>
          </w:p>
        </w:tc>
        <w:tc>
          <w:tcPr>
            <w:tcW w:w="240" w:type="dxa"/>
            <w:vAlign w:val="bottom"/>
          </w:tcPr>
          <w:p>
            <w:pPr>
              <w:spacing w:after="0"/>
              <w:rPr>
                <w:sz w:val="22"/>
                <w:szCs w:val="22"/>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spacing w:after="0"/>
              <w:rPr>
                <w:sz w:val="22"/>
                <w:szCs w:val="22"/>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(0.00 )</w:t>
            </w:r>
          </w:p>
        </w:tc>
        <w:tc>
          <w:tcPr>
            <w:tcW w:w="60" w:type="dxa"/>
            <w:vAlign w:val="bottom"/>
          </w:tcPr>
          <w:p>
            <w:pPr>
              <w:spacing w:after="0"/>
              <w:rPr>
                <w:sz w:val="22"/>
                <w:szCs w:val="22"/>
                <w:color w:val="auto"/>
              </w:rPr>
            </w:pPr>
          </w:p>
        </w:tc>
      </w:tr>
      <w:tr>
        <w:trPr>
          <w:trHeight w:val="250"/>
        </w:trPr>
        <w:tc>
          <w:tcPr>
            <w:tcW w:w="644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 xml:space="preserve">Adjusted Net Investment Income Per Share </w:t>
            </w:r>
            <w:r>
              <w:rPr>
                <w:rFonts w:ascii="Arial" w:cs="Arial" w:eastAsia="Arial" w:hAnsi="Arial"/>
                <w:sz w:val="24"/>
                <w:szCs w:val="24"/>
                <w:color w:val="auto"/>
                <w:vertAlign w:val="superscript"/>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0.59</w:t>
            </w:r>
          </w:p>
        </w:tc>
        <w:tc>
          <w:tcPr>
            <w:tcW w:w="22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Adjusted Net Income Per Share </w:t>
            </w:r>
            <w:r>
              <w:rPr>
                <w:rFonts w:ascii="Arial" w:cs="Arial" w:eastAsia="Arial" w:hAnsi="Arial"/>
                <w:sz w:val="24"/>
                <w:szCs w:val="24"/>
                <w:color w:val="auto"/>
                <w:vertAlign w:val="superscript"/>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21"/>
                <w:szCs w:val="21"/>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0.64</w:t>
            </w:r>
          </w:p>
        </w:tc>
        <w:tc>
          <w:tcPr>
            <w:tcW w:w="220" w:type="dxa"/>
            <w:vAlign w:val="bottom"/>
          </w:tcPr>
          <w:p>
            <w:pPr>
              <w:spacing w:after="0"/>
              <w:rPr>
                <w:sz w:val="21"/>
                <w:szCs w:val="21"/>
                <w:color w:val="auto"/>
              </w:rPr>
            </w:pPr>
          </w:p>
        </w:tc>
        <w:tc>
          <w:tcPr>
            <w:tcW w:w="480" w:type="dxa"/>
            <w:vAlign w:val="bottom"/>
          </w:tcPr>
          <w:p>
            <w:pPr>
              <w:jc w:val="right"/>
              <w:ind w:right="291"/>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20"/>
        </w:trPr>
        <w:tc>
          <w:tcPr>
            <w:tcW w:w="6440" w:type="dxa"/>
            <w:vAlign w:val="bottom"/>
          </w:tcPr>
          <w:p>
            <w:pPr>
              <w:ind w:left="20"/>
              <w:spacing w:after="0" w:line="220" w:lineRule="exact"/>
              <w:rPr>
                <w:sz w:val="20"/>
                <w:szCs w:val="20"/>
                <w:color w:val="auto"/>
              </w:rPr>
            </w:pPr>
            <w:r>
              <w:rPr>
                <w:rFonts w:ascii="Arial" w:cs="Arial" w:eastAsia="Arial" w:hAnsi="Arial"/>
                <w:sz w:val="18"/>
                <w:szCs w:val="18"/>
                <w:color w:val="auto"/>
              </w:rPr>
              <w:t xml:space="preserve">Annualized Return on Equity (Net Investment Income) </w:t>
            </w:r>
            <w:r>
              <w:rPr>
                <w:rFonts w:ascii="Arial" w:cs="Arial" w:eastAsia="Arial" w:hAnsi="Arial"/>
                <w:sz w:val="24"/>
                <w:szCs w:val="24"/>
                <w:color w:val="auto"/>
                <w:vertAlign w:val="superscript"/>
              </w:rPr>
              <w:t>(3)</w:t>
            </w:r>
          </w:p>
        </w:tc>
        <w:tc>
          <w:tcPr>
            <w:tcW w:w="12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13.7 %</w:t>
            </w:r>
          </w:p>
        </w:tc>
        <w:tc>
          <w:tcPr>
            <w:tcW w:w="20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14.0 %</w:t>
            </w:r>
          </w:p>
        </w:tc>
        <w:tc>
          <w:tcPr>
            <w:tcW w:w="48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11.5 %</w:t>
            </w:r>
          </w:p>
        </w:tc>
      </w:tr>
      <w:tr>
        <w:trPr>
          <w:trHeight w:val="243"/>
        </w:trPr>
        <w:tc>
          <w:tcPr>
            <w:tcW w:w="64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Annualized Return on Equity (Net Income) </w:t>
            </w:r>
            <w:r>
              <w:rPr>
                <w:rFonts w:ascii="Arial" w:cs="Arial" w:eastAsia="Arial" w:hAnsi="Arial"/>
                <w:sz w:val="24"/>
                <w:szCs w:val="24"/>
                <w:color w:val="auto"/>
                <w:vertAlign w:val="superscript"/>
              </w:rPr>
              <w:t>(3)</w:t>
            </w:r>
          </w:p>
        </w:tc>
        <w:tc>
          <w:tcPr>
            <w:tcW w:w="1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17.8 %</w:t>
            </w:r>
          </w:p>
        </w:tc>
        <w:tc>
          <w:tcPr>
            <w:tcW w:w="20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15.2 %</w:t>
            </w:r>
          </w:p>
        </w:tc>
        <w:tc>
          <w:tcPr>
            <w:tcW w:w="4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10.7 %</w:t>
            </w:r>
          </w:p>
        </w:tc>
      </w:tr>
      <w:tr>
        <w:trPr>
          <w:trHeight w:val="243"/>
        </w:trPr>
        <w:tc>
          <w:tcPr>
            <w:tcW w:w="644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Annualized Return on Equity (Adjusted Net Investment Income) </w:t>
            </w:r>
            <w:r>
              <w:rPr>
                <w:rFonts w:ascii="Arial" w:cs="Arial" w:eastAsia="Arial" w:hAnsi="Arial"/>
                <w:sz w:val="24"/>
                <w:szCs w:val="24"/>
                <w:color w:val="auto"/>
                <w:vertAlign w:val="superscript"/>
              </w:rPr>
              <w:t>(2)(3)</w:t>
            </w:r>
          </w:p>
        </w:tc>
        <w:tc>
          <w:tcPr>
            <w:tcW w:w="120" w:type="dxa"/>
            <w:vAlign w:val="bottom"/>
          </w:tcPr>
          <w:p>
            <w:pPr>
              <w:spacing w:after="0"/>
              <w:rPr>
                <w:sz w:val="21"/>
                <w:szCs w:val="21"/>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14.4 %</w:t>
            </w:r>
          </w:p>
        </w:tc>
        <w:tc>
          <w:tcPr>
            <w:tcW w:w="20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14.2 %</w:t>
            </w:r>
          </w:p>
        </w:tc>
        <w:tc>
          <w:tcPr>
            <w:tcW w:w="4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11.5 %</w:t>
            </w:r>
          </w:p>
        </w:tc>
      </w:tr>
      <w:tr>
        <w:trPr>
          <w:trHeight w:val="266"/>
        </w:trPr>
        <w:tc>
          <w:tcPr>
            <w:tcW w:w="644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Annualized Return on Equity (Adjusted Net Income) </w:t>
            </w:r>
            <w:r>
              <w:rPr>
                <w:rFonts w:ascii="Arial" w:cs="Arial" w:eastAsia="Arial" w:hAnsi="Arial"/>
                <w:sz w:val="24"/>
                <w:szCs w:val="24"/>
                <w:color w:val="auto"/>
                <w:vertAlign w:val="superscript"/>
              </w:rPr>
              <w:t>(2)(3)</w:t>
            </w:r>
          </w:p>
        </w:tc>
        <w:tc>
          <w:tcPr>
            <w:tcW w:w="120" w:type="dxa"/>
            <w:vAlign w:val="bottom"/>
          </w:tcPr>
          <w:p>
            <w:pPr>
              <w:spacing w:after="0"/>
              <w:rPr>
                <w:sz w:val="23"/>
                <w:szCs w:val="2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18.5 %</w:t>
            </w:r>
          </w:p>
        </w:tc>
        <w:tc>
          <w:tcPr>
            <w:tcW w:w="200" w:type="dxa"/>
            <w:vAlign w:val="bottom"/>
          </w:tcPr>
          <w:p>
            <w:pPr>
              <w:spacing w:after="0"/>
              <w:rPr>
                <w:sz w:val="23"/>
                <w:szCs w:val="23"/>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15.4 %</w:t>
            </w:r>
          </w:p>
        </w:tc>
        <w:tc>
          <w:tcPr>
            <w:tcW w:w="48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10.6 %</w:t>
            </w:r>
          </w:p>
        </w:tc>
      </w:tr>
      <w:tr>
        <w:trPr>
          <w:trHeight w:val="50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Yield of Debt and Income Producing Securities at Fair Value</w:t>
            </w:r>
          </w:p>
        </w:tc>
        <w:tc>
          <w:tcPr>
            <w:tcW w:w="12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14.2 %</w:t>
            </w:r>
          </w:p>
        </w:tc>
        <w:tc>
          <w:tcPr>
            <w:tcW w:w="200" w:type="dxa"/>
            <w:vAlign w:val="bottom"/>
          </w:tcPr>
          <w:p>
            <w:pPr>
              <w:spacing w:after="0"/>
              <w:rPr>
                <w:sz w:val="24"/>
                <w:szCs w:val="2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14.0 %</w:t>
            </w:r>
          </w:p>
        </w:tc>
        <w:tc>
          <w:tcPr>
            <w:tcW w:w="48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12.3 %</w:t>
            </w:r>
          </w:p>
        </w:tc>
      </w:tr>
      <w:tr>
        <w:trPr>
          <w:trHeight w:val="234"/>
        </w:trPr>
        <w:tc>
          <w:tcPr>
            <w:tcW w:w="6440" w:type="dxa"/>
            <w:vAlign w:val="bottom"/>
          </w:tcPr>
          <w:p>
            <w:pPr>
              <w:ind w:left="20"/>
              <w:spacing w:after="0"/>
              <w:rPr>
                <w:sz w:val="20"/>
                <w:szCs w:val="20"/>
                <w:color w:val="auto"/>
              </w:rPr>
            </w:pPr>
            <w:r>
              <w:rPr>
                <w:rFonts w:ascii="Arial" w:cs="Arial" w:eastAsia="Arial" w:hAnsi="Arial"/>
                <w:sz w:val="18"/>
                <w:szCs w:val="18"/>
                <w:color w:val="auto"/>
                <w:w w:val="95"/>
              </w:rPr>
              <w:t>Weighted Average Yield of Debt and Income Producing Securities at Amortized Cost</w:t>
            </w:r>
          </w:p>
        </w:tc>
        <w:tc>
          <w:tcPr>
            <w:tcW w:w="12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14.3 %</w:t>
            </w: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14.1 %</w:t>
            </w:r>
          </w:p>
        </w:tc>
        <w:tc>
          <w:tcPr>
            <w:tcW w:w="480" w:type="dxa"/>
            <w:vAlign w:val="bottom"/>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12.2 %</w:t>
            </w:r>
          </w:p>
        </w:tc>
      </w:tr>
      <w:tr>
        <w:trPr>
          <w:trHeight w:val="266"/>
        </w:trPr>
        <w:tc>
          <w:tcPr>
            <w:tcW w:w="6440" w:type="dxa"/>
            <w:vAlign w:val="bottom"/>
          </w:tcPr>
          <w:p>
            <w:pPr>
              <w:ind w:left="20"/>
              <w:spacing w:after="0" w:line="266" w:lineRule="exact"/>
              <w:rPr>
                <w:sz w:val="20"/>
                <w:szCs w:val="20"/>
                <w:color w:val="auto"/>
              </w:rPr>
            </w:pPr>
            <w:r>
              <w:rPr>
                <w:rFonts w:ascii="Arial" w:cs="Arial" w:eastAsia="Arial" w:hAnsi="Arial"/>
                <w:sz w:val="18"/>
                <w:szCs w:val="18"/>
                <w:color w:val="auto"/>
              </w:rPr>
              <w:t xml:space="preserve">Percentage of Debt Investment Commitments at Floating Rates </w:t>
            </w:r>
            <w:r>
              <w:rPr>
                <w:rFonts w:ascii="Arial" w:cs="Arial" w:eastAsia="Arial" w:hAnsi="Arial"/>
                <w:sz w:val="24"/>
                <w:szCs w:val="24"/>
                <w:color w:val="auto"/>
                <w:vertAlign w:val="superscript"/>
              </w:rPr>
              <w:t>(4)</w:t>
            </w:r>
          </w:p>
        </w:tc>
        <w:tc>
          <w:tcPr>
            <w:tcW w:w="120" w:type="dxa"/>
            <w:vAlign w:val="bottom"/>
          </w:tcPr>
          <w:p>
            <w:pPr>
              <w:spacing w:after="0"/>
              <w:rPr>
                <w:sz w:val="23"/>
                <w:szCs w:val="2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99.7 %</w:t>
            </w:r>
          </w:p>
        </w:tc>
        <w:tc>
          <w:tcPr>
            <w:tcW w:w="200" w:type="dxa"/>
            <w:vAlign w:val="bottom"/>
          </w:tcPr>
          <w:p>
            <w:pPr>
              <w:spacing w:after="0"/>
              <w:rPr>
                <w:sz w:val="23"/>
                <w:szCs w:val="23"/>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99.2 %</w:t>
            </w:r>
          </w:p>
        </w:tc>
        <w:tc>
          <w:tcPr>
            <w:tcW w:w="480" w:type="dxa"/>
            <w:vAlign w:val="bottom"/>
          </w:tcPr>
          <w:p>
            <w:pPr>
              <w:spacing w:after="0"/>
              <w:rPr>
                <w:sz w:val="23"/>
                <w:szCs w:val="23"/>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98.9 %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-1096645</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71323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-462280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1" w:lineRule="exact"/>
        <w:rPr>
          <w:sz w:val="20"/>
          <w:szCs w:val="20"/>
          <w:color w:val="auto"/>
        </w:rPr>
      </w:pPr>
    </w:p>
    <w:p>
      <w:pPr>
        <w:ind w:left="760" w:hanging="378"/>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net asset value per share gives efect to the supplemental dividend declared related to earnings or special dividend in the applicable period.</w:t>
      </w:r>
    </w:p>
    <w:p>
      <w:pPr>
        <w:spacing w:after="0" w:line="20" w:lineRule="exact"/>
        <w:rPr>
          <w:rFonts w:ascii="Arial" w:cs="Arial" w:eastAsia="Arial" w:hAnsi="Arial"/>
          <w:sz w:val="14"/>
          <w:szCs w:val="14"/>
          <w:color w:val="auto"/>
        </w:rPr>
      </w:pPr>
    </w:p>
    <w:p>
      <w:pPr>
        <w:ind w:left="760" w:right="60" w:hanging="378"/>
        <w:spacing w:after="0" w:line="261"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incentve fee that was accrued, but not paid, related to cumulatve unrealized capital gains in excess of cumulatve net realized capital gains less any cumulatve unrealized losses and capital gains incentve fees paid incepton to date.</w:t>
      </w:r>
    </w:p>
    <w:p>
      <w:pPr>
        <w:ind w:left="760" w:hanging="378"/>
        <w:spacing w:after="0"/>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spacing w:after="0" w:line="14" w:lineRule="exact"/>
        <w:rPr>
          <w:rFonts w:ascii="Arial" w:cs="Arial" w:eastAsia="Arial" w:hAnsi="Arial"/>
          <w:sz w:val="14"/>
          <w:szCs w:val="14"/>
          <w:color w:val="auto"/>
        </w:rPr>
      </w:pPr>
    </w:p>
    <w:p>
      <w:pPr>
        <w:ind w:left="760" w:right="80" w:hanging="378"/>
        <w:spacing w:after="0" w:line="265" w:lineRule="auto"/>
        <w:tabs>
          <w:tab w:leader="none" w:pos="7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fxed rate investments for which the Company entered into an interest rate swap agreement to swap to foatng rate. Calculaton includes income earning debt investments only.</w:t>
      </w:r>
    </w:p>
    <w:p>
      <w:pPr>
        <w:spacing w:after="0" w:line="1"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8" w:right="27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5"/>
                <w:szCs w:val="15"/>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85"/>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r>
      <w:tr>
        <w:trPr>
          <w:trHeight w:val="236"/>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1"/>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Non-controlled, non-affiliated investments (amortized cost of $3,010,089 and $2,707,442,</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3,052,300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2,717,170</w:t>
            </w:r>
          </w:p>
        </w:tc>
        <w:tc>
          <w:tcPr>
            <w:tcW w:w="100" w:type="dxa"/>
            <w:vAlign w:val="bottom"/>
            <w:shd w:val="clear" w:color="auto" w:fill="CFF0FC"/>
          </w:tcPr>
          <w:p>
            <w:pPr>
              <w:spacing w:after="0"/>
              <w:rPr>
                <w:sz w:val="21"/>
                <w:szCs w:val="21"/>
                <w:color w:val="auto"/>
              </w:rPr>
            </w:pPr>
          </w:p>
        </w:tc>
      </w:tr>
      <w:tr>
        <w:trPr>
          <w:trHeight w:val="243"/>
        </w:trPr>
        <w:tc>
          <w:tcPr>
            <w:tcW w:w="7320" w:type="dxa"/>
            <w:vAlign w:val="bottom"/>
          </w:tcPr>
          <w:p>
            <w:pPr>
              <w:ind w:left="200"/>
              <w:spacing w:after="0"/>
              <w:rPr>
                <w:sz w:val="20"/>
                <w:szCs w:val="20"/>
                <w:color w:val="auto"/>
              </w:rPr>
            </w:pPr>
            <w:r>
              <w:rPr>
                <w:rFonts w:ascii="Arial" w:cs="Arial" w:eastAsia="Arial" w:hAnsi="Arial"/>
                <w:sz w:val="18"/>
                <w:szCs w:val="18"/>
                <w:color w:val="auto"/>
              </w:rPr>
              <w:t>Controlled, affiliated investments (amortized cost of $75,289 and $67,284, respectively)</w:t>
            </w:r>
          </w:p>
        </w:tc>
        <w:tc>
          <w:tcPr>
            <w:tcW w:w="26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60,977</w:t>
            </w:r>
          </w:p>
        </w:tc>
        <w:tc>
          <w:tcPr>
            <w:tcW w:w="2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70,755</w:t>
            </w:r>
          </w:p>
        </w:tc>
        <w:tc>
          <w:tcPr>
            <w:tcW w:w="100" w:type="dxa"/>
            <w:vAlign w:val="bottom"/>
          </w:tcPr>
          <w:p>
            <w:pPr>
              <w:spacing w:after="0"/>
              <w:rPr>
                <w:sz w:val="21"/>
                <w:szCs w:val="21"/>
                <w:color w:val="auto"/>
              </w:rPr>
            </w:pPr>
          </w:p>
        </w:tc>
      </w:tr>
      <w:tr>
        <w:trPr>
          <w:trHeight w:val="23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investments at fair value (amortized cost of $3,085,378 and $2,774,726, respectively)</w:t>
            </w:r>
          </w:p>
        </w:tc>
        <w:tc>
          <w:tcPr>
            <w:tcW w:w="26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3,113,277</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2,787,925</w:t>
            </w:r>
          </w:p>
        </w:tc>
        <w:tc>
          <w:tcPr>
            <w:tcW w:w="100" w:type="dxa"/>
            <w:vAlign w:val="bottom"/>
            <w:shd w:val="clear" w:color="auto" w:fill="CFF0FC"/>
          </w:tcPr>
          <w:p>
            <w:pPr>
              <w:spacing w:after="0"/>
              <w:rPr>
                <w:sz w:val="20"/>
                <w:szCs w:val="20"/>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Cash and cash equivalents (restricted cash of $26,890 and $15,437, respectively)</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29,880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25,647</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receivable</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23,460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18,846</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4,529</w:t>
            </w:r>
          </w:p>
        </w:tc>
        <w:tc>
          <w:tcPr>
            <w:tcW w:w="100" w:type="dxa"/>
            <w:vAlign w:val="bottom"/>
          </w:tcPr>
          <w:p>
            <w:pPr>
              <w:spacing w:after="0"/>
              <w:rPr>
                <w:sz w:val="20"/>
                <w:szCs w:val="20"/>
                <w:color w:val="auto"/>
              </w:rPr>
            </w:pPr>
          </w:p>
        </w:tc>
      </w:tr>
      <w:tr>
        <w:trPr>
          <w:trHeight w:val="283"/>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3,174,075</w:t>
            </w:r>
          </w:p>
        </w:tc>
        <w:tc>
          <w:tcPr>
            <w:tcW w:w="2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2,836,947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9"/>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Debt (net of deferred financing costs of $23,436 and $17,760, respectively)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1,623,010</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1,441,796</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Management fees payable to affiliate</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11,661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10,526</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Incentive fees on net investment income payable to affiliate</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11,151</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Incentive fees on net capital gains accrued to affiliate</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11,147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6,064</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payables to affiliate</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27,028</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22,809</w:t>
            </w:r>
          </w:p>
        </w:tc>
        <w:tc>
          <w:tcPr>
            <w:tcW w:w="100" w:type="dxa"/>
            <w:vAlign w:val="bottom"/>
          </w:tcPr>
          <w:p>
            <w:pPr>
              <w:spacing w:after="0"/>
              <w:rPr>
                <w:sz w:val="20"/>
                <w:szCs w:val="20"/>
                <w:color w:val="auto"/>
              </w:rPr>
            </w:pPr>
          </w:p>
        </w:tc>
      </w:tr>
      <w:tr>
        <w:trPr>
          <w:trHeight w:val="239"/>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1,688,253</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1,495,378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7320" w:type="dxa"/>
            <w:vAlign w:val="bottom"/>
          </w:tcPr>
          <w:p>
            <w:pPr>
              <w:ind w:left="20"/>
              <w:spacing w:after="0"/>
              <w:rPr>
                <w:sz w:val="20"/>
                <w:szCs w:val="20"/>
                <w:color w:val="auto"/>
              </w:rPr>
            </w:pPr>
            <w:r>
              <w:rPr>
                <w:rFonts w:ascii="Arial" w:cs="Arial" w:eastAsia="Arial" w:hAnsi="Arial"/>
                <w:sz w:val="18"/>
                <w:szCs w:val="18"/>
                <w:color w:val="auto"/>
              </w:rPr>
              <w:t>Commitments and contingencies (Note 8)</w:t>
            </w:r>
          </w:p>
        </w:tc>
        <w:tc>
          <w:tcPr>
            <w:tcW w:w="2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Assets</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5"/>
        </w:trPr>
        <w:tc>
          <w:tcPr>
            <w:tcW w:w="7320" w:type="dxa"/>
            <w:vAlign w:val="bottom"/>
          </w:tcPr>
          <w:p>
            <w:pPr>
              <w:ind w:left="20"/>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320" w:type="dxa"/>
            <w:vAlign w:val="bottom"/>
          </w:tcPr>
          <w:p>
            <w:pPr>
              <w:ind w:left="160"/>
              <w:spacing w:after="0"/>
              <w:rPr>
                <w:sz w:val="20"/>
                <w:szCs w:val="20"/>
                <w:color w:val="auto"/>
              </w:rPr>
            </w:pPr>
            <w:r>
              <w:rPr>
                <w:rFonts w:ascii="Arial" w:cs="Arial" w:eastAsia="Arial" w:hAnsi="Arial"/>
                <w:sz w:val="18"/>
                <w:szCs w:val="18"/>
                <w:color w:val="auto"/>
              </w:rPr>
              <w:t>issued and outstanding</w:t>
            </w:r>
          </w:p>
        </w:tc>
        <w:tc>
          <w:tcPr>
            <w:tcW w:w="26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2"/>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$0.01 par value; 400,000,000 shares authorized, 88,210,748</w:t>
            </w:r>
          </w:p>
        </w:tc>
        <w:tc>
          <w:tcPr>
            <w:tcW w:w="26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and 82,053,537 shares issued, respectively; and 87,546,498 and 81,389,287</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4"/>
        </w:trPr>
        <w:tc>
          <w:tcPr>
            <w:tcW w:w="73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shares outstanding, respectively</w:t>
            </w:r>
          </w:p>
        </w:tc>
        <w:tc>
          <w:tcPr>
            <w:tcW w:w="260" w:type="dxa"/>
            <w:vAlign w:val="bottom"/>
            <w:shd w:val="clear" w:color="auto" w:fill="CFF0FC"/>
          </w:tcPr>
          <w:p>
            <w:pPr>
              <w:spacing w:after="0"/>
              <w:rPr>
                <w:sz w:val="21"/>
                <w:szCs w:val="21"/>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w:t>
            </w:r>
          </w:p>
        </w:tc>
        <w:tc>
          <w:tcPr>
            <w:tcW w:w="100" w:type="dxa"/>
            <w:vAlign w:val="bottom"/>
            <w:shd w:val="clear" w:color="auto" w:fill="CFF0FC"/>
          </w:tcPr>
          <w:p>
            <w:pPr>
              <w:spacing w:after="0"/>
              <w:rPr>
                <w:sz w:val="21"/>
                <w:szCs w:val="21"/>
                <w:color w:val="auto"/>
              </w:rPr>
            </w:pP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1,401,245</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1,294,751</w:t>
            </w:r>
          </w:p>
        </w:tc>
        <w:tc>
          <w:tcPr>
            <w:tcW w:w="100" w:type="dxa"/>
            <w:vAlign w:val="bottom"/>
          </w:tcPr>
          <w:p>
            <w:pPr>
              <w:spacing w:after="0"/>
              <w:rPr>
                <w:sz w:val="20"/>
                <w:szCs w:val="20"/>
                <w:color w:val="auto"/>
              </w:rPr>
            </w:pPr>
          </w:p>
        </w:tc>
      </w:tr>
      <w:tr>
        <w:trPr>
          <w:trHeight w:val="249"/>
        </w:trPr>
        <w:tc>
          <w:tcPr>
            <w:tcW w:w="7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Treasury stock at cost; 664,250 and 664,250 shares held, respectively</w:t>
            </w:r>
          </w:p>
        </w:tc>
        <w:tc>
          <w:tcPr>
            <w:tcW w:w="26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(10,459 )</w:t>
            </w:r>
          </w:p>
        </w:tc>
        <w:tc>
          <w:tcPr>
            <w:tcW w:w="2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(10,459 )</w:t>
            </w:r>
          </w:p>
        </w:tc>
      </w:tr>
      <w:tr>
        <w:trPr>
          <w:trHeight w:val="237"/>
        </w:trPr>
        <w:tc>
          <w:tcPr>
            <w:tcW w:w="7320" w:type="dxa"/>
            <w:vAlign w:val="bottom"/>
          </w:tcPr>
          <w:p>
            <w:pPr>
              <w:ind w:left="20"/>
              <w:spacing w:after="0"/>
              <w:rPr>
                <w:sz w:val="20"/>
                <w:szCs w:val="20"/>
                <w:color w:val="auto"/>
              </w:rPr>
            </w:pPr>
            <w:r>
              <w:rPr>
                <w:rFonts w:ascii="Arial" w:cs="Arial" w:eastAsia="Arial" w:hAnsi="Arial"/>
                <w:sz w:val="18"/>
                <w:szCs w:val="18"/>
                <w:color w:val="auto"/>
              </w:rPr>
              <w:t>Distributable earnings</w:t>
            </w: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94,154</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56,456</w:t>
            </w:r>
          </w:p>
        </w:tc>
        <w:tc>
          <w:tcPr>
            <w:tcW w:w="100" w:type="dxa"/>
            <w:vAlign w:val="bottom"/>
          </w:tcPr>
          <w:p>
            <w:pPr>
              <w:spacing w:after="0"/>
              <w:rPr>
                <w:sz w:val="20"/>
                <w:szCs w:val="20"/>
                <w:color w:val="auto"/>
              </w:rPr>
            </w:pPr>
          </w:p>
        </w:tc>
      </w:tr>
      <w:tr>
        <w:trPr>
          <w:trHeight w:val="239"/>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Total Net Assets</w:t>
            </w:r>
          </w:p>
        </w:tc>
        <w:tc>
          <w:tcPr>
            <w:tcW w:w="260" w:type="dxa"/>
            <w:vAlign w:val="bottom"/>
            <w:tcBorders>
              <w:bottom w:val="single" w:sz="8" w:color="auto"/>
            </w:tcBorders>
            <w:shd w:val="clear" w:color="auto" w:fill="CFF0FC"/>
          </w:tcPr>
          <w:p>
            <w:pPr>
              <w:spacing w:after="0"/>
              <w:rPr>
                <w:sz w:val="20"/>
                <w:szCs w:val="20"/>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1,485,822</w:t>
            </w:r>
          </w:p>
        </w:tc>
        <w:tc>
          <w:tcPr>
            <w:tcW w:w="2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1,341,569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41"/>
        </w:trPr>
        <w:tc>
          <w:tcPr>
            <w:tcW w:w="732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Net Assets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3,174,075</w:t>
            </w:r>
          </w:p>
        </w:tc>
        <w:tc>
          <w:tcPr>
            <w:tcW w:w="28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2,836,947</w:t>
            </w:r>
          </w:p>
        </w:tc>
        <w:tc>
          <w:tcPr>
            <w:tcW w:w="100" w:type="dxa"/>
            <w:vAlign w:val="bottom"/>
          </w:tcPr>
          <w:p>
            <w:pPr>
              <w:spacing w:after="0"/>
              <w:rPr>
                <w:sz w:val="20"/>
                <w:szCs w:val="20"/>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32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b w:val="1"/>
                <w:bCs w:val="1"/>
                <w:color w:val="auto"/>
              </w:rPr>
              <w:t>Net Asset Value Per Share</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w:t>
            </w:r>
          </w:p>
        </w:tc>
        <w:tc>
          <w:tcPr>
            <w:tcW w:w="2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3"/>
        </w:trPr>
        <w:tc>
          <w:tcPr>
            <w:tcW w:w="7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7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-3779520</wp:posOffset>
            </wp:positionV>
            <wp:extent cx="1362710" cy="1797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62710" cy="17970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-2510790</wp:posOffset>
            </wp:positionV>
            <wp:extent cx="68580" cy="1625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1625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-847725</wp:posOffset>
            </wp:positionV>
            <wp:extent cx="68580" cy="1885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-847725</wp:posOffset>
            </wp:positionV>
            <wp:extent cx="685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-504825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-487680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Sixth Street Specialty Lending,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15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September 30, 2023</w:t>
            </w:r>
          </w:p>
        </w:tc>
        <w:tc>
          <w:tcPr>
            <w:tcW w:w="154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September 30, 2022</w:t>
            </w:r>
          </w:p>
        </w:tc>
        <w:tc>
          <w:tcPr>
            <w:tcW w:w="15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3"/>
              </w:rPr>
              <w:t>September 30, 2023</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September 30, 2022</w:t>
            </w:r>
          </w:p>
        </w:tc>
      </w:tr>
      <w:tr>
        <w:trPr>
          <w:trHeight w:val="169"/>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Income</w:t>
            </w:r>
          </w:p>
        </w:tc>
        <w:tc>
          <w:tcPr>
            <w:tcW w:w="3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Investment income from non-controlled, non-affiliated investments: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360" w:type="dxa"/>
            <w:vAlign w:val="bottom"/>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107,240</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73,769</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299,542</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198,047</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200"/>
              <w:spacing w:after="0"/>
              <w:rPr>
                <w:sz w:val="20"/>
                <w:szCs w:val="20"/>
                <w:color w:val="auto"/>
              </w:rPr>
            </w:pPr>
            <w:r>
              <w:rPr>
                <w:rFonts w:ascii="Arial" w:cs="Arial" w:eastAsia="Arial" w:hAnsi="Arial"/>
                <w:sz w:val="14"/>
                <w:szCs w:val="14"/>
                <w:color w:val="auto"/>
              </w:rPr>
              <w:t>Dividend income</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798</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2,204</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1,361</w:t>
            </w:r>
          </w:p>
        </w:tc>
        <w:tc>
          <w:tcPr>
            <w:tcW w:w="100" w:type="dxa"/>
            <w:vAlign w:val="bottom"/>
          </w:tcPr>
          <w:p>
            <w:pPr>
              <w:spacing w:after="0"/>
              <w:rPr>
                <w:sz w:val="15"/>
                <w:szCs w:val="15"/>
                <w:color w:val="auto"/>
              </w:rPr>
            </w:pPr>
          </w:p>
        </w:tc>
      </w:tr>
      <w:tr>
        <w:trPr>
          <w:trHeight w:val="176"/>
        </w:trPr>
        <w:tc>
          <w:tcPr>
            <w:tcW w:w="5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4,366</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2,741</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11,197</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6,091</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280" w:type="dxa"/>
            <w:vAlign w:val="bottom"/>
          </w:tcPr>
          <w:p>
            <w:pPr>
              <w:ind w:left="380"/>
              <w:spacing w:after="0"/>
              <w:rPr>
                <w:sz w:val="20"/>
                <w:szCs w:val="20"/>
                <w:color w:val="auto"/>
              </w:rPr>
            </w:pPr>
            <w:r>
              <w:rPr>
                <w:rFonts w:ascii="Arial" w:cs="Arial" w:eastAsia="Arial" w:hAnsi="Arial"/>
                <w:sz w:val="14"/>
                <w:szCs w:val="14"/>
                <w:color w:val="auto"/>
              </w:rPr>
              <w:t>Total investment income from non-controlled, non-affiliated investments</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112,404</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76,513</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312,943</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205,499</w:t>
            </w:r>
          </w:p>
        </w:tc>
        <w:tc>
          <w:tcPr>
            <w:tcW w:w="100" w:type="dxa"/>
            <w:vAlign w:val="bottom"/>
          </w:tcPr>
          <w:p>
            <w:pPr>
              <w:spacing w:after="0"/>
              <w:rPr>
                <w:sz w:val="14"/>
                <w:szCs w:val="14"/>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 from non-controlled, affiliated investments: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280" w:type="dxa"/>
            <w:vAlign w:val="bottom"/>
          </w:tcPr>
          <w:p>
            <w:pPr>
              <w:ind w:left="200"/>
              <w:spacing w:after="0"/>
              <w:rPr>
                <w:sz w:val="20"/>
                <w:szCs w:val="20"/>
                <w:color w:val="auto"/>
              </w:rPr>
            </w:pPr>
            <w:r>
              <w:rPr>
                <w:rFonts w:ascii="Arial" w:cs="Arial" w:eastAsia="Arial" w:hAnsi="Arial"/>
                <w:sz w:val="14"/>
                <w:szCs w:val="14"/>
                <w:color w:val="auto"/>
              </w:rPr>
              <w:t>Interest from investments</w:t>
            </w:r>
          </w:p>
        </w:tc>
        <w:tc>
          <w:tcPr>
            <w:tcW w:w="3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15"/>
                <w:szCs w:val="15"/>
                <w:color w:val="auto"/>
              </w:rPr>
            </w:pPr>
          </w:p>
        </w:tc>
      </w:tr>
      <w:tr>
        <w:trPr>
          <w:trHeight w:val="169"/>
        </w:trPr>
        <w:tc>
          <w:tcPr>
            <w:tcW w:w="52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Total investment income from non-controlled, affiliated investments</w:t>
            </w:r>
          </w:p>
        </w:tc>
        <w:tc>
          <w:tcPr>
            <w:tcW w:w="3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FF0FC"/>
          </w:tcPr>
          <w:p>
            <w:pPr>
              <w:spacing w:after="0"/>
              <w:rPr>
                <w:sz w:val="14"/>
                <w:szCs w:val="14"/>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Investment income from controlled, affiliated investments: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from investments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2,029</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5,599</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3,520</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200"/>
              <w:spacing w:after="0"/>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5"/>
                <w:szCs w:val="15"/>
                <w:color w:val="auto"/>
              </w:rPr>
            </w:pPr>
          </w:p>
        </w:tc>
      </w:tr>
      <w:tr>
        <w:trPr>
          <w:trHeight w:val="169"/>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investment income from controlled, affiliated investments</w:t>
            </w: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2,031</w:t>
            </w: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1,326</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5,603</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80" w:type="dxa"/>
            <w:vAlign w:val="bottom"/>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114,435</w:t>
            </w: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77,839</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318,546</w:t>
            </w: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209,155</w:t>
            </w:r>
          </w:p>
        </w:tc>
        <w:tc>
          <w:tcPr>
            <w:tcW w:w="100" w:type="dxa"/>
            <w:vAlign w:val="bottom"/>
          </w:tcPr>
          <w:p>
            <w:pPr>
              <w:spacing w:after="0"/>
              <w:rPr>
                <w:sz w:val="14"/>
                <w:szCs w:val="14"/>
                <w:color w:val="auto"/>
              </w:rPr>
            </w:pPr>
          </w:p>
        </w:tc>
      </w:tr>
      <w:tr>
        <w:trPr>
          <w:trHeight w:val="169"/>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Expenses</w:t>
            </w: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Interest</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35,042</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18,851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95,971</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40,416</w:t>
            </w: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Management fees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11,928</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10,330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34,071</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29,148</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Incentive fees on net investment income</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11,151</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7,882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31,139</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22,483</w:t>
            </w: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Incentive fees on net capital gains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2,577</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(22 )</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5,083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(7,720 )</w:t>
            </w:r>
          </w:p>
        </w:tc>
      </w:tr>
      <w:tr>
        <w:trPr>
          <w:trHeight w:val="175"/>
        </w:trPr>
        <w:tc>
          <w:tcPr>
            <w:tcW w:w="5280" w:type="dxa"/>
            <w:vAlign w:val="bottom"/>
          </w:tcPr>
          <w:p>
            <w:pPr>
              <w:ind w:left="20"/>
              <w:spacing w:after="0"/>
              <w:rPr>
                <w:sz w:val="20"/>
                <w:szCs w:val="20"/>
                <w:color w:val="auto"/>
              </w:rPr>
            </w:pPr>
            <w:r>
              <w:rPr>
                <w:rFonts w:ascii="Arial" w:cs="Arial" w:eastAsia="Arial" w:hAnsi="Arial"/>
                <w:sz w:val="14"/>
                <w:szCs w:val="14"/>
                <w:color w:val="auto"/>
              </w:rPr>
              <w:t>Professional fees</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1,921</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2,002</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5,427</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5,300</w:t>
            </w:r>
          </w:p>
        </w:tc>
        <w:tc>
          <w:tcPr>
            <w:tcW w:w="100" w:type="dxa"/>
            <w:vAlign w:val="bottom"/>
          </w:tcPr>
          <w:p>
            <w:pPr>
              <w:spacing w:after="0"/>
              <w:rPr>
                <w:sz w:val="15"/>
                <w:szCs w:val="15"/>
                <w:color w:val="auto"/>
              </w:rPr>
            </w:pPr>
          </w:p>
        </w:tc>
      </w:tr>
      <w:tr>
        <w:trPr>
          <w:trHeight w:val="176"/>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Directors’ fees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571</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FF0FC"/>
          </w:tcPr>
          <w:p>
            <w:pPr>
              <w:spacing w:after="0"/>
              <w:rPr>
                <w:sz w:val="15"/>
                <w:szCs w:val="15"/>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Other general and administrative</w:t>
            </w: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1,413</w:t>
            </w: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1,268</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3,615</w:t>
            </w:r>
          </w:p>
        </w:tc>
        <w:tc>
          <w:tcPr>
            <w:tcW w:w="22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4,013</w:t>
            </w:r>
          </w:p>
        </w:tc>
        <w:tc>
          <w:tcPr>
            <w:tcW w:w="100" w:type="dxa"/>
            <w:vAlign w:val="bottom"/>
          </w:tcPr>
          <w:p>
            <w:pPr>
              <w:spacing w:after="0"/>
              <w:rPr>
                <w:sz w:val="15"/>
                <w:szCs w:val="15"/>
                <w:color w:val="auto"/>
              </w:rPr>
            </w:pPr>
          </w:p>
        </w:tc>
      </w:tr>
      <w:tr>
        <w:trPr>
          <w:trHeight w:val="169"/>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Total expenses</w:t>
            </w: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64,247</w:t>
            </w: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40,492</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175,877</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94,186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80" w:type="dxa"/>
            <w:vAlign w:val="bottom"/>
          </w:tcPr>
          <w:p>
            <w:pPr>
              <w:ind w:left="20"/>
              <w:spacing w:after="0"/>
              <w:rPr>
                <w:sz w:val="20"/>
                <w:szCs w:val="20"/>
                <w:color w:val="auto"/>
              </w:rPr>
            </w:pPr>
            <w:r>
              <w:rPr>
                <w:rFonts w:ascii="Arial" w:cs="Arial" w:eastAsia="Arial" w:hAnsi="Arial"/>
                <w:sz w:val="14"/>
                <w:szCs w:val="14"/>
                <w:color w:val="auto"/>
              </w:rPr>
              <w:t>Management fees waived (Note 3)</w:t>
            </w:r>
          </w:p>
        </w:tc>
        <w:tc>
          <w:tcPr>
            <w:tcW w:w="36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(267 )</w:t>
            </w:r>
          </w:p>
        </w:tc>
        <w:tc>
          <w:tcPr>
            <w:tcW w:w="5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(189 )</w:t>
            </w:r>
          </w:p>
        </w:tc>
        <w:tc>
          <w:tcPr>
            <w:tcW w:w="360" w:type="dxa"/>
            <w:vAlign w:val="bottom"/>
          </w:tcPr>
          <w:p>
            <w:pPr>
              <w:spacing w:after="0"/>
              <w:rPr>
                <w:sz w:val="14"/>
                <w:szCs w:val="1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(822 )</w:t>
            </w:r>
          </w:p>
        </w:tc>
        <w:tc>
          <w:tcPr>
            <w:tcW w:w="5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(201 )</w:t>
            </w:r>
          </w:p>
        </w:tc>
      </w:tr>
      <w:tr>
        <w:trPr>
          <w:trHeight w:val="169"/>
        </w:trPr>
        <w:tc>
          <w:tcPr>
            <w:tcW w:w="52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Net Expenses</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63,980</w:t>
            </w: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40,303</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175,055</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93,985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 Before Income Taxes</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50,455</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37,536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143,491</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115,170</w:t>
            </w:r>
          </w:p>
        </w:tc>
        <w:tc>
          <w:tcPr>
            <w:tcW w:w="100" w:type="dxa"/>
            <w:vAlign w:val="bottom"/>
          </w:tcPr>
          <w:p>
            <w:pPr>
              <w:spacing w:after="0"/>
              <w:rPr>
                <w:sz w:val="14"/>
                <w:szCs w:val="14"/>
                <w:color w:val="auto"/>
              </w:rPr>
            </w:pPr>
          </w:p>
        </w:tc>
      </w:tr>
      <w:tr>
        <w:trPr>
          <w:trHeight w:val="176"/>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 including excise taxes</w:t>
            </w:r>
          </w:p>
        </w:tc>
        <w:tc>
          <w:tcPr>
            <w:tcW w:w="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260" w:type="dxa"/>
            <w:vAlign w:val="bottom"/>
            <w:tcBorders>
              <w:bottom w:val="single" w:sz="8" w:color="CFF0FC"/>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356</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1,777</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49,994</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37,180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141,714</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113,714</w:t>
            </w:r>
          </w:p>
        </w:tc>
        <w:tc>
          <w:tcPr>
            <w:tcW w:w="100" w:type="dxa"/>
            <w:vAlign w:val="bottom"/>
          </w:tcPr>
          <w:p>
            <w:pPr>
              <w:spacing w:after="0"/>
              <w:rPr>
                <w:sz w:val="14"/>
                <w:szCs w:val="14"/>
                <w:color w:val="auto"/>
              </w:rPr>
            </w:pPr>
          </w:p>
        </w:tc>
      </w:tr>
      <w:tr>
        <w:trPr>
          <w:trHeight w:val="175"/>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Unrealized and Realized Gains (Losses)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5280" w:type="dxa"/>
            <w:vAlign w:val="bottom"/>
          </w:tcPr>
          <w:p>
            <w:pPr>
              <w:ind w:left="20"/>
              <w:spacing w:after="0"/>
              <w:rPr>
                <w:sz w:val="20"/>
                <w:szCs w:val="20"/>
                <w:color w:val="auto"/>
              </w:rPr>
            </w:pPr>
            <w:r>
              <w:rPr>
                <w:rFonts w:ascii="Arial" w:cs="Arial" w:eastAsia="Arial" w:hAnsi="Arial"/>
                <w:sz w:val="14"/>
                <w:szCs w:val="14"/>
                <w:color w:val="auto"/>
              </w:rPr>
              <w:t>Net change in unrealized gains (losses):</w:t>
            </w: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13,067</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(9,080 )</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32,483</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(71,428 )</w:t>
            </w:r>
          </w:p>
        </w:tc>
      </w:tr>
      <w:tr>
        <w:trPr>
          <w:trHeight w:val="175"/>
        </w:trPr>
        <w:tc>
          <w:tcPr>
            <w:tcW w:w="5280" w:type="dxa"/>
            <w:vAlign w:val="bottom"/>
          </w:tcPr>
          <w:p>
            <w:pPr>
              <w:ind w:left="200"/>
              <w:spacing w:after="0"/>
              <w:rPr>
                <w:sz w:val="20"/>
                <w:szCs w:val="20"/>
                <w:color w:val="auto"/>
              </w:rPr>
            </w:pPr>
            <w:r>
              <w:rPr>
                <w:rFonts w:ascii="Arial" w:cs="Arial" w:eastAsia="Arial" w:hAnsi="Arial"/>
                <w:sz w:val="14"/>
                <w:szCs w:val="14"/>
                <w:color w:val="auto"/>
              </w:rPr>
              <w:t>Non-controlled, affiliated investments</w:t>
            </w:r>
          </w:p>
        </w:tc>
        <w:tc>
          <w:tcPr>
            <w:tcW w:w="3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(14,350 )</w:t>
            </w:r>
          </w:p>
        </w:tc>
      </w:tr>
      <w:tr>
        <w:trPr>
          <w:trHeight w:val="175"/>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Controlled, affiliated investments</w:t>
            </w:r>
          </w:p>
        </w:tc>
        <w:tc>
          <w:tcPr>
            <w:tcW w:w="3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(8,797 )</w:t>
            </w: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(2,686 )</w:t>
            </w: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(17,783 )</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9,488</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20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5,470</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9,223</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2,466</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15,095</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(2,591 )</w:t>
            </w:r>
          </w:p>
        </w:tc>
        <w:tc>
          <w:tcPr>
            <w:tcW w:w="36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w:t>
            </w: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(7,184 )</w:t>
            </w:r>
          </w:p>
        </w:tc>
      </w:tr>
      <w:tr>
        <w:trPr>
          <w:trHeight w:val="20"/>
        </w:trPr>
        <w:tc>
          <w:tcPr>
            <w:tcW w:w="5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5280" w:type="dxa"/>
            <w:vAlign w:val="bottom"/>
          </w:tcPr>
          <w:p>
            <w:pPr>
              <w:ind w:left="560"/>
              <w:spacing w:after="0"/>
              <w:rPr>
                <w:sz w:val="20"/>
                <w:szCs w:val="20"/>
                <w:color w:val="auto"/>
              </w:rPr>
            </w:pPr>
            <w:r>
              <w:rPr>
                <w:rFonts w:ascii="Arial" w:cs="Arial" w:eastAsia="Arial" w:hAnsi="Arial"/>
                <w:sz w:val="14"/>
                <w:szCs w:val="14"/>
                <w:color w:val="auto"/>
              </w:rPr>
              <w:t>Total net change in unrealized gains (losses)</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9,740</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(5,134 )</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17,340</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(68,379 )</w:t>
            </w:r>
          </w:p>
        </w:tc>
      </w:tr>
      <w:tr>
        <w:trPr>
          <w:trHeight w:val="169"/>
        </w:trPr>
        <w:tc>
          <w:tcPr>
            <w:tcW w:w="5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gains (losses):</w:t>
            </w:r>
          </w:p>
        </w:tc>
        <w:tc>
          <w:tcPr>
            <w:tcW w:w="3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6"/>
        </w:trPr>
        <w:tc>
          <w:tcPr>
            <w:tcW w:w="5280" w:type="dxa"/>
            <w:vAlign w:val="bottom"/>
          </w:tcPr>
          <w:p>
            <w:pPr>
              <w:ind w:left="200"/>
              <w:spacing w:after="0"/>
              <w:rPr>
                <w:sz w:val="20"/>
                <w:szCs w:val="20"/>
                <w:color w:val="auto"/>
              </w:rPr>
            </w:pPr>
            <w:r>
              <w:rPr>
                <w:rFonts w:ascii="Arial" w:cs="Arial" w:eastAsia="Arial" w:hAnsi="Arial"/>
                <w:sz w:val="14"/>
                <w:szCs w:val="14"/>
                <w:color w:val="auto"/>
              </w:rPr>
              <w:t>Non-controlled, non-affiliated investments</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5,332</w:t>
            </w: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11,768</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708</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Non-controlled, affiliated investments</w:t>
            </w:r>
          </w:p>
        </w:tc>
        <w:tc>
          <w:tcPr>
            <w:tcW w:w="3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13,673</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200"/>
              <w:spacing w:after="0"/>
              <w:rPr>
                <w:sz w:val="20"/>
                <w:szCs w:val="20"/>
                <w:color w:val="auto"/>
              </w:rPr>
            </w:pPr>
            <w:r>
              <w:rPr>
                <w:rFonts w:ascii="Arial" w:cs="Arial" w:eastAsia="Arial" w:hAnsi="Arial"/>
                <w:sz w:val="14"/>
                <w:szCs w:val="14"/>
                <w:color w:val="auto"/>
              </w:rPr>
              <w:t>Controlled, affiliated investments</w:t>
            </w:r>
          </w:p>
        </w:tc>
        <w:tc>
          <w:tcPr>
            <w:tcW w:w="36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5"/>
                <w:szCs w:val="15"/>
                <w:color w:val="auto"/>
              </w:rPr>
            </w:pPr>
          </w:p>
        </w:tc>
      </w:tr>
      <w:tr>
        <w:trPr>
          <w:trHeight w:val="175"/>
        </w:trPr>
        <w:tc>
          <w:tcPr>
            <w:tcW w:w="5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rate swaps</w:t>
            </w:r>
          </w:p>
        </w:tc>
        <w:tc>
          <w:tcPr>
            <w:tcW w:w="3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2,251</w:t>
            </w:r>
          </w:p>
        </w:tc>
        <w:tc>
          <w:tcPr>
            <w:tcW w:w="100" w:type="dxa"/>
            <w:vAlign w:val="bottom"/>
            <w:shd w:val="clear" w:color="auto" w:fill="CFF0FC"/>
          </w:tcPr>
          <w:p>
            <w:pPr>
              <w:spacing w:after="0"/>
              <w:rPr>
                <w:sz w:val="15"/>
                <w:szCs w:val="15"/>
                <w:color w:val="auto"/>
              </w:rPr>
            </w:pPr>
          </w:p>
        </w:tc>
      </w:tr>
      <w:tr>
        <w:trPr>
          <w:trHeight w:val="175"/>
        </w:trPr>
        <w:tc>
          <w:tcPr>
            <w:tcW w:w="5280" w:type="dxa"/>
            <w:vAlign w:val="bottom"/>
          </w:tcPr>
          <w:p>
            <w:pPr>
              <w:ind w:left="200"/>
              <w:spacing w:after="0"/>
              <w:rPr>
                <w:sz w:val="20"/>
                <w:szCs w:val="20"/>
                <w:color w:val="auto"/>
              </w:rPr>
            </w:pPr>
            <w:r>
              <w:rPr>
                <w:rFonts w:ascii="Arial" w:cs="Arial" w:eastAsia="Arial" w:hAnsi="Arial"/>
                <w:sz w:val="14"/>
                <w:szCs w:val="14"/>
                <w:color w:val="auto"/>
              </w:rPr>
              <w:t>Foreign currency transactions</w:t>
            </w:r>
          </w:p>
        </w:tc>
        <w:tc>
          <w:tcPr>
            <w:tcW w:w="360" w:type="dxa"/>
            <w:vAlign w:val="bottom"/>
          </w:tcPr>
          <w:p>
            <w:pPr>
              <w:spacing w:after="0"/>
              <w:rPr>
                <w:sz w:val="15"/>
                <w:szCs w:val="15"/>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(246 )</w:t>
            </w:r>
          </w:p>
        </w:tc>
        <w:tc>
          <w:tcPr>
            <w:tcW w:w="580" w:type="dxa"/>
            <w:vAlign w:val="bottom"/>
          </w:tcPr>
          <w:p>
            <w:pPr>
              <w:spacing w:after="0"/>
              <w:rPr>
                <w:sz w:val="15"/>
                <w:szCs w:val="15"/>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(199 )</w:t>
            </w:r>
          </w:p>
        </w:tc>
        <w:tc>
          <w:tcPr>
            <w:tcW w:w="3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(231 )</w:t>
            </w:r>
          </w:p>
        </w:tc>
      </w:tr>
      <w:tr>
        <w:trPr>
          <w:trHeight w:val="169"/>
        </w:trPr>
        <w:tc>
          <w:tcPr>
            <w:tcW w:w="528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Total net realized gains (losses)</w:t>
            </w: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5,086</w:t>
            </w: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top w:val="single" w:sz="8" w:color="auto"/>
              <w:bottom w:val="single" w:sz="8" w:color="auto"/>
            </w:tcBorders>
            <w:shd w:val="clear" w:color="auto" w:fill="CFF0FC"/>
          </w:tcPr>
          <w:p>
            <w:pPr>
              <w:spacing w:after="0"/>
              <w:rPr>
                <w:sz w:val="14"/>
                <w:szCs w:val="14"/>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2,385</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top w:val="single" w:sz="8" w:color="auto"/>
              <w:bottom w:val="single" w:sz="8" w:color="auto"/>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11,808</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top w:val="single" w:sz="8" w:color="auto"/>
              <w:bottom w:val="single" w:sz="8" w:color="auto"/>
            </w:tcBorders>
            <w:shd w:val="clear" w:color="auto" w:fill="CFF0FC"/>
          </w:tcPr>
          <w:p>
            <w:pPr>
              <w:spacing w:after="0"/>
              <w:rPr>
                <w:sz w:val="14"/>
                <w:szCs w:val="14"/>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16,456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5280" w:type="dxa"/>
            <w:vAlign w:val="bottom"/>
          </w:tcPr>
          <w:p>
            <w:pPr>
              <w:ind w:left="740"/>
              <w:spacing w:after="0"/>
              <w:rPr>
                <w:sz w:val="20"/>
                <w:szCs w:val="20"/>
                <w:color w:val="auto"/>
              </w:rPr>
            </w:pPr>
            <w:r>
              <w:rPr>
                <w:rFonts w:ascii="Arial" w:cs="Arial" w:eastAsia="Arial" w:hAnsi="Arial"/>
                <w:sz w:val="14"/>
                <w:szCs w:val="14"/>
                <w:b w:val="1"/>
                <w:bCs w:val="1"/>
                <w:color w:val="auto"/>
              </w:rPr>
              <w:t>Total Net Unrealized and Realized Gains (Losses)</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14,826</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(2,749 )</w:t>
            </w: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29,148</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rPr>
              <w:t>(51,923 )</w:t>
            </w:r>
          </w:p>
        </w:tc>
      </w:tr>
      <w:tr>
        <w:trPr>
          <w:trHeight w:val="209"/>
        </w:trPr>
        <w:tc>
          <w:tcPr>
            <w:tcW w:w="52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4"/>
                <w:szCs w:val="14"/>
                <w:b w:val="1"/>
                <w:bCs w:val="1"/>
                <w:color w:val="auto"/>
              </w:rPr>
              <w:t>Increase (Decrease) in Net Assets Resulting from Operations</w:t>
            </w: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64,820</w:t>
            </w:r>
          </w:p>
        </w:tc>
        <w:tc>
          <w:tcPr>
            <w:tcW w:w="2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ind w:right="42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34,431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170,862</w:t>
            </w:r>
          </w:p>
        </w:tc>
        <w:tc>
          <w:tcPr>
            <w:tcW w:w="2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61,791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5280" w:type="dxa"/>
            <w:vAlign w:val="bottom"/>
          </w:tcPr>
          <w:p>
            <w:pPr>
              <w:ind w:left="20"/>
              <w:spacing w:after="0" w:line="156" w:lineRule="exact"/>
              <w:rPr>
                <w:sz w:val="20"/>
                <w:szCs w:val="20"/>
                <w:color w:val="auto"/>
              </w:rPr>
            </w:pPr>
            <w:r>
              <w:rPr>
                <w:rFonts w:ascii="Arial" w:cs="Arial" w:eastAsia="Arial" w:hAnsi="Arial"/>
                <w:sz w:val="14"/>
                <w:szCs w:val="14"/>
                <w:color w:val="auto"/>
              </w:rPr>
              <w:t>Earnings (Loss) per common share—basic and diluted</w:t>
            </w:r>
          </w:p>
        </w:tc>
        <w:tc>
          <w:tcPr>
            <w:tcW w:w="360" w:type="dxa"/>
            <w:vAlign w:val="bottom"/>
            <w:tcBorders>
              <w:bottom w:val="single" w:sz="8" w:color="auto"/>
            </w:tcBorders>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0.74</w:t>
            </w: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ind w:right="428"/>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0.43</w:t>
            </w:r>
          </w:p>
        </w:tc>
        <w:tc>
          <w:tcPr>
            <w:tcW w:w="260" w:type="dxa"/>
            <w:vAlign w:val="bottom"/>
          </w:tcPr>
          <w:p>
            <w:pPr>
              <w:spacing w:after="0"/>
              <w:rPr>
                <w:sz w:val="13"/>
                <w:szCs w:val="13"/>
                <w:color w:val="auto"/>
              </w:rPr>
            </w:pPr>
          </w:p>
        </w:tc>
        <w:tc>
          <w:tcPr>
            <w:tcW w:w="360" w:type="dxa"/>
            <w:vAlign w:val="bottom"/>
            <w:tcBorders>
              <w:bottom w:val="single" w:sz="8" w:color="auto"/>
            </w:tcBorders>
          </w:tcPr>
          <w:p>
            <w:pPr>
              <w:jc w:val="right"/>
              <w:ind w:right="188"/>
              <w:spacing w:after="0" w:line="156"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2.03</w:t>
            </w:r>
          </w:p>
        </w:tc>
        <w:tc>
          <w:tcPr>
            <w:tcW w:w="220" w:type="dxa"/>
            <w:vAlign w:val="bottom"/>
          </w:tcPr>
          <w:p>
            <w:pPr>
              <w:spacing w:after="0"/>
              <w:rPr>
                <w:sz w:val="13"/>
                <w:szCs w:val="13"/>
                <w:color w:val="auto"/>
              </w:rPr>
            </w:pPr>
          </w:p>
        </w:tc>
        <w:tc>
          <w:tcPr>
            <w:tcW w:w="560" w:type="dxa"/>
            <w:vAlign w:val="bottom"/>
            <w:tcBorders>
              <w:bottom w:val="single" w:sz="8" w:color="auto"/>
            </w:tcBorders>
          </w:tcPr>
          <w:p>
            <w:pPr>
              <w:jc w:val="right"/>
              <w:ind w:right="408"/>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color w:val="auto"/>
              </w:rPr>
              <w:t>0.80</w:t>
            </w:r>
          </w:p>
        </w:tc>
        <w:tc>
          <w:tcPr>
            <w:tcW w:w="100" w:type="dxa"/>
            <w:vAlign w:val="bottom"/>
          </w:tcPr>
          <w:p>
            <w:pPr>
              <w:spacing w:after="0"/>
              <w:rPr>
                <w:sz w:val="13"/>
                <w:szCs w:val="13"/>
                <w:color w:val="auto"/>
              </w:rPr>
            </w:pPr>
          </w:p>
        </w:tc>
      </w:tr>
      <w:tr>
        <w:trPr>
          <w:trHeight w:val="169"/>
        </w:trPr>
        <w:tc>
          <w:tcPr>
            <w:tcW w:w="5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Weighted average shares of common stock outstanding—basic and diluted</w:t>
            </w: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87,251,340</w:t>
            </w:r>
          </w:p>
        </w:tc>
        <w:tc>
          <w:tcPr>
            <w:tcW w:w="2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79,476,419</w:t>
            </w:r>
          </w:p>
        </w:tc>
        <w:tc>
          <w:tcPr>
            <w:tcW w:w="26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84,313,169</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77,250,889</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425"/>
        </w:trPr>
        <w:tc>
          <w:tcPr>
            <w:tcW w:w="5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304"/>
        </w:trPr>
        <w:tc>
          <w:tcPr>
            <w:tcW w:w="5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-5331460</wp:posOffset>
            </wp:positionV>
            <wp:extent cx="77470" cy="1200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-5331460</wp:posOffset>
            </wp:positionV>
            <wp:extent cx="76835" cy="1200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-5331460</wp:posOffset>
            </wp:positionV>
            <wp:extent cx="68580" cy="1200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-5331460</wp:posOffset>
            </wp:positionV>
            <wp:extent cx="6858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-4413885</wp:posOffset>
            </wp:positionV>
            <wp:extent cx="7747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-4413885</wp:posOffset>
            </wp:positionV>
            <wp:extent cx="7683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-4413885</wp:posOffset>
            </wp:positionV>
            <wp:extent cx="68580"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-4413885</wp:posOffset>
            </wp:positionV>
            <wp:extent cx="68580"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-3274060</wp:posOffset>
            </wp:positionV>
            <wp:extent cx="77470"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-3274060</wp:posOffset>
            </wp:positionV>
            <wp:extent cx="7683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-3274060</wp:posOffset>
            </wp:positionV>
            <wp:extent cx="68580"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-3034030</wp:posOffset>
            </wp:positionV>
            <wp:extent cx="77470" cy="1200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-3034030</wp:posOffset>
            </wp:positionV>
            <wp:extent cx="76835" cy="1200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-3034030</wp:posOffset>
            </wp:positionV>
            <wp:extent cx="68580" cy="1200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1200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-2802255</wp:posOffset>
            </wp:positionV>
            <wp:extent cx="77470" cy="1200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2001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-2802255</wp:posOffset>
            </wp:positionV>
            <wp:extent cx="76835" cy="1200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200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-2802255</wp:posOffset>
            </wp:positionV>
            <wp:extent cx="68580" cy="1200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1200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2001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-1902460</wp:posOffset>
            </wp:positionV>
            <wp:extent cx="7747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-1902460</wp:posOffset>
            </wp:positionV>
            <wp:extent cx="7683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-1902460</wp:posOffset>
            </wp:positionV>
            <wp:extent cx="68580"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-985520</wp:posOffset>
            </wp:positionV>
            <wp:extent cx="77470"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-985520</wp:posOffset>
            </wp:positionV>
            <wp:extent cx="7683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12890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-985520</wp:posOffset>
            </wp:positionV>
            <wp:extent cx="6858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28905"/>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-745490</wp:posOffset>
            </wp:positionV>
            <wp:extent cx="2966085"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966085" cy="14605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-488315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-488315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-488315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1" w:name="page12"/>
    <w:bookmarkEnd w:id="11"/>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The Company’s investment actvity for quarter ended September 30, 2023 and 2022 is presented below (informaton presented herein is at par value unless otherwise indicated).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0" w:type="dxa"/>
            <w:vAlign w:val="bottom"/>
            <w:gridSpan w:val="6"/>
          </w:tcPr>
          <w:p>
            <w:pPr>
              <w:jc w:val="right"/>
              <w:ind w:right="1200"/>
              <w:spacing w:after="0"/>
              <w:rPr>
                <w:sz w:val="20"/>
                <w:szCs w:val="20"/>
                <w:color w:val="auto"/>
              </w:rPr>
            </w:pPr>
            <w:r>
              <w:rPr>
                <w:rFonts w:ascii="Arial" w:cs="Arial" w:eastAsia="Arial" w:hAnsi="Arial"/>
                <w:sz w:val="14"/>
                <w:szCs w:val="14"/>
                <w:b w:val="1"/>
                <w:bCs w:val="1"/>
                <w:color w:val="auto"/>
              </w:rPr>
              <w:t>Three Months Ended</w:t>
            </w:r>
          </w:p>
        </w:tc>
      </w:tr>
      <w:tr>
        <w:trPr>
          <w:trHeight w:val="169"/>
        </w:trPr>
        <w:tc>
          <w:tcPr>
            <w:tcW w:w="7780" w:type="dxa"/>
            <w:vAlign w:val="bottom"/>
          </w:tcPr>
          <w:p>
            <w:pPr>
              <w:ind w:left="20"/>
              <w:spacing w:after="0"/>
              <w:rPr>
                <w:sz w:val="20"/>
                <w:szCs w:val="20"/>
                <w:color w:val="auto"/>
              </w:rPr>
            </w:pPr>
            <w:r>
              <w:rPr>
                <w:rFonts w:ascii="Arial" w:cs="Arial" w:eastAsia="Arial" w:hAnsi="Arial"/>
                <w:sz w:val="14"/>
                <w:szCs w:val="14"/>
                <w:color w:val="auto"/>
              </w:rPr>
              <w:t>($ in millions)</w:t>
            </w:r>
          </w:p>
        </w:tc>
        <w:tc>
          <w:tcPr>
            <w:tcW w:w="12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1"/>
              </w:rPr>
              <w:t>September 30, 2023</w:t>
            </w:r>
          </w:p>
        </w:tc>
        <w:tc>
          <w:tcPr>
            <w:tcW w:w="14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4"/>
              </w:rPr>
              <w:t>September 30, 2022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New investment commitments:</w:t>
            </w:r>
          </w:p>
        </w:tc>
        <w:tc>
          <w:tcPr>
            <w:tcW w:w="120" w:type="dxa"/>
            <w:vAlign w:val="bottom"/>
            <w:tcBorders>
              <w:top w:val="single" w:sz="8" w:color="auto"/>
            </w:tcBorders>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80" w:type="dxa"/>
            <w:vAlign w:val="bottom"/>
          </w:tcPr>
          <w:p>
            <w:pPr>
              <w:ind w:left="200"/>
              <w:spacing w:after="0" w:line="243" w:lineRule="exact"/>
              <w:rPr>
                <w:sz w:val="20"/>
                <w:szCs w:val="20"/>
                <w:color w:val="auto"/>
              </w:rPr>
            </w:pPr>
            <w:r>
              <w:rPr>
                <w:rFonts w:ascii="Arial" w:cs="Arial" w:eastAsia="Arial" w:hAnsi="Arial"/>
                <w:sz w:val="18"/>
                <w:szCs w:val="18"/>
                <w:color w:val="auto"/>
              </w:rPr>
              <w:t xml:space="preserve">Gross originations </w:t>
            </w:r>
            <w:r>
              <w:rPr>
                <w:rFonts w:ascii="Arial" w:cs="Arial" w:eastAsia="Arial" w:hAnsi="Arial"/>
                <w:sz w:val="24"/>
                <w:szCs w:val="24"/>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1,004.2</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1,910.1</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80" w:type="dxa"/>
            <w:vAlign w:val="bottom"/>
            <w:tcBorders>
              <w:bottom w:val="single" w:sz="8" w:color="CFF0FC"/>
            </w:tcBorders>
            <w:shd w:val="clear" w:color="auto" w:fill="CFF0FC"/>
          </w:tcPr>
          <w:p>
            <w:pPr>
              <w:ind w:left="200"/>
              <w:spacing w:after="0" w:line="243" w:lineRule="exact"/>
              <w:rPr>
                <w:sz w:val="20"/>
                <w:szCs w:val="20"/>
                <w:color w:val="auto"/>
              </w:rPr>
            </w:pPr>
            <w:r>
              <w:rPr>
                <w:rFonts w:ascii="Arial" w:cs="Arial" w:eastAsia="Arial" w:hAnsi="Arial"/>
                <w:sz w:val="18"/>
                <w:szCs w:val="18"/>
                <w:color w:val="auto"/>
              </w:rPr>
              <w:t xml:space="preserve">Less: Syndications/sell downs </w:t>
            </w:r>
            <w:r>
              <w:rPr>
                <w:rFonts w:ascii="Arial" w:cs="Arial" w:eastAsia="Arial" w:hAnsi="Arial"/>
                <w:sz w:val="24"/>
                <w:szCs w:val="24"/>
                <w:color w:val="auto"/>
                <w:vertAlign w:val="superscript"/>
              </w:rPr>
              <w:t>(1)</w:t>
            </w:r>
          </w:p>
        </w:tc>
        <w:tc>
          <w:tcPr>
            <w:tcW w:w="1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798.4</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1,525.5</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780" w:type="dxa"/>
            <w:vAlign w:val="bottom"/>
          </w:tcPr>
          <w:p>
            <w:pPr>
              <w:ind w:left="380"/>
              <w:spacing w:after="0"/>
              <w:rPr>
                <w:sz w:val="20"/>
                <w:szCs w:val="20"/>
                <w:color w:val="auto"/>
              </w:rPr>
            </w:pPr>
            <w:r>
              <w:rPr>
                <w:rFonts w:ascii="Arial" w:cs="Arial" w:eastAsia="Arial" w:hAnsi="Arial"/>
                <w:sz w:val="18"/>
                <w:szCs w:val="18"/>
                <w:color w:val="auto"/>
              </w:rPr>
              <w:t>Total new investment commitments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205.8</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384.6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9"/>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Principal amount of investments funded:</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First-lien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151.0</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6"/>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Second-lien</w:t>
            </w:r>
          </w:p>
        </w:tc>
        <w:tc>
          <w:tcPr>
            <w:tcW w:w="12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Mezzanine</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and other</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7"/>
        </w:trPr>
        <w:tc>
          <w:tcPr>
            <w:tcW w:w="7780" w:type="dxa"/>
            <w:vAlign w:val="bottom"/>
          </w:tcPr>
          <w:p>
            <w:pPr>
              <w:ind w:left="200"/>
              <w:spacing w:after="0"/>
              <w:rPr>
                <w:sz w:val="20"/>
                <w:szCs w:val="20"/>
                <w:color w:val="auto"/>
              </w:rPr>
            </w:pPr>
            <w:r>
              <w:rPr>
                <w:rFonts w:ascii="Arial" w:cs="Arial" w:eastAsia="Arial" w:hAnsi="Arial"/>
                <w:sz w:val="18"/>
                <w:szCs w:val="18"/>
                <w:color w:val="auto"/>
              </w:rPr>
              <w:t>Structured Credit</w:t>
            </w:r>
          </w:p>
        </w:tc>
        <w:tc>
          <w:tcPr>
            <w:tcW w:w="1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151.6</w:t>
            </w:r>
          </w:p>
        </w:tc>
        <w:tc>
          <w:tcPr>
            <w:tcW w:w="28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First-lien</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Second-lien</w:t>
            </w:r>
          </w:p>
        </w:tc>
        <w:tc>
          <w:tcPr>
            <w:tcW w:w="120" w:type="dxa"/>
            <w:vAlign w:val="bottom"/>
          </w:tcPr>
          <w:p>
            <w:pPr>
              <w:spacing w:after="0"/>
              <w:rPr>
                <w:sz w:val="20"/>
                <w:szCs w:val="20"/>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56"/>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Mezzanine</w:t>
            </w:r>
          </w:p>
        </w:tc>
        <w:tc>
          <w:tcPr>
            <w:tcW w:w="12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Equity and other</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49"/>
        </w:trPr>
        <w:tc>
          <w:tcPr>
            <w:tcW w:w="7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Structured Credit</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37"/>
        </w:trPr>
        <w:tc>
          <w:tcPr>
            <w:tcW w:w="778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28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11"/>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Number of new investment commitments in</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77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new portfolio companies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Average new investment commitment amount in</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new portfolio companies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8"/>
        </w:trPr>
        <w:tc>
          <w:tcPr>
            <w:tcW w:w="7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Weighted average term for new investment</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7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commitments in new portfolio companies</w:t>
            </w: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778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(in years)</w:t>
            </w:r>
          </w:p>
        </w:tc>
        <w:tc>
          <w:tcPr>
            <w:tcW w:w="1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11"/>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Percentage of new debt investment commitments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at floating rates</w:t>
            </w:r>
          </w:p>
        </w:tc>
        <w:tc>
          <w:tcPr>
            <w:tcW w:w="12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98.7 %</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97.0 %</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Weighted average interest rate of new</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investment commitments</w:t>
            </w:r>
          </w:p>
        </w:tc>
        <w:tc>
          <w:tcPr>
            <w:tcW w:w="12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12.9 %</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10.4 %</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Weighted average spread over reference rate of new</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floating rate investment commitments</w:t>
            </w:r>
          </w:p>
        </w:tc>
        <w:tc>
          <w:tcPr>
            <w:tcW w:w="12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7.7 %</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7.8 %</w:t>
            </w:r>
          </w:p>
        </w:tc>
      </w:tr>
      <w:tr>
        <w:trPr>
          <w:trHeight w:val="225"/>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Weighted average interest rate on investments</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7780" w:type="dxa"/>
            <w:vAlign w:val="bottom"/>
          </w:tcPr>
          <w:p>
            <w:pPr>
              <w:ind w:left="160"/>
              <w:spacing w:after="0"/>
              <w:rPr>
                <w:sz w:val="20"/>
                <w:szCs w:val="20"/>
                <w:color w:val="auto"/>
              </w:rPr>
            </w:pPr>
            <w:r>
              <w:rPr>
                <w:rFonts w:ascii="Arial" w:cs="Arial" w:eastAsia="Arial" w:hAnsi="Arial"/>
                <w:sz w:val="18"/>
                <w:szCs w:val="18"/>
                <w:b w:val="1"/>
                <w:bCs w:val="1"/>
                <w:color w:val="auto"/>
              </w:rPr>
              <w:t>fully sold or paid down</w:t>
            </w:r>
          </w:p>
        </w:tc>
        <w:tc>
          <w:tcPr>
            <w:tcW w:w="120" w:type="dxa"/>
            <w:vAlign w:val="bottom"/>
          </w:tcPr>
          <w:p>
            <w:pPr>
              <w:spacing w:after="0"/>
              <w:rPr>
                <w:sz w:val="20"/>
                <w:szCs w:val="20"/>
                <w:color w:val="auto"/>
              </w:rPr>
            </w:pP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13.0 %</w:t>
            </w:r>
          </w:p>
        </w:tc>
        <w:tc>
          <w:tcPr>
            <w:tcW w:w="140" w:type="dxa"/>
            <w:vAlign w:val="bottom"/>
          </w:tcPr>
          <w:p>
            <w:pPr>
              <w:spacing w:after="0"/>
              <w:rPr>
                <w:sz w:val="20"/>
                <w:szCs w:val="20"/>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12.0 %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-4516755</wp:posOffset>
            </wp:positionV>
            <wp:extent cx="68580" cy="1625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1625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-2339340</wp:posOffset>
            </wp:positionV>
            <wp:extent cx="68580" cy="1714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-2339340</wp:posOffset>
            </wp:positionV>
            <wp:extent cx="6858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-865505</wp:posOffset>
            </wp:positionV>
            <wp:extent cx="7132320" cy="2914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2914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104"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afliates of Sixth Street.</w:t>
      </w:r>
    </w:p>
    <w:p>
      <w:pPr>
        <w:spacing w:after="0" w:line="242" w:lineRule="exact"/>
        <w:rPr>
          <w:sz w:val="20"/>
          <w:szCs w:val="20"/>
          <w:color w:val="auto"/>
        </w:rPr>
      </w:pPr>
    </w:p>
    <w:p>
      <w:pPr>
        <w:ind w:left="111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25"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71600" cy="411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11480"/>
                    </a:xfrm>
                    <a:prstGeom prst="rect">
                      <a:avLst/>
                    </a:prstGeom>
                    <a:noFill/>
                  </pic:spPr>
                </pic:pic>
              </a:graphicData>
            </a:graphic>
          </wp:anchor>
        </w:drawing>
        <w:t>About Sixth Street Specialty Lending</w:t>
      </w:r>
    </w:p>
    <w:p>
      <w:pPr>
        <w:spacing w:after="0" w:line="22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Sixth Street Specialty Lending is a specialty fnance company focused on lending to middle-market companies. The Company seeks to generate current income primarily in U.S.-domiciled middle-market companies through direct originatons of senior secured loans and, to a lesser extent, originatons of mezzanine loans and investments in corporate bonds and equity securites. The Company has elected to be regulated as a business development company, or a BDC, under the Investment Company Act of 1940 and the rules and regulatons promulgated thereunder. The Company is externally managed by Sixth Street Specialty Lending Advisers, LLC, an afliate of Sixth Street and a Securites and Exchange Commission (“SEC”) registered investment adviser. The Company leverages the deep investment, sector, and operatng resources of Sixth Street, a global investment frm with over $70 billion in assets under management and commited capital. For more informaton, visit the Company’s website at htps://sixthstreetspecialtylending.com.</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7" w:lineRule="exact"/>
        <w:rPr>
          <w:sz w:val="20"/>
          <w:szCs w:val="20"/>
          <w:color w:val="auto"/>
        </w:rPr>
      </w:pPr>
    </w:p>
    <w:p>
      <w:pPr>
        <w:ind w:right="440"/>
        <w:spacing w:after="0" w:line="258" w:lineRule="auto"/>
        <w:rPr>
          <w:sz w:val="20"/>
          <w:szCs w:val="20"/>
          <w:color w:val="auto"/>
        </w:rPr>
      </w:pPr>
      <w:r>
        <w:rPr>
          <w:rFonts w:ascii="Arial" w:cs="Arial" w:eastAsia="Arial" w:hAnsi="Arial"/>
          <w:sz w:val="18"/>
          <w:szCs w:val="18"/>
          <w:color w:val="auto"/>
        </w:rPr>
        <w:t>Sixth Street is a global investment frm with over $70 billion in assets under management and commited capital. The frm uses its long-term fexible capital, data-enabled capabilites, and One Team culture to develop themes and ofer solutons to companies across all stages of growth. Founded in 2009, Sixth Street has more than 500 team members including over 200 investment professionals around the world. For more informaton, visit htps://sixthstreet.com or follow Sixth Street on LinkedIn.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Statements included herein may consttute “forward-looking statements,” which relate to future events or the Company’s future performance or fnancial conditon. These statements are not guarantees of future performance, conditons or results and involve a number of risks and uncertaintes. Actual results may difer materially from those in the forward-looking statements as a result of a number of factors, including those described from tme to tme in the Company’s flings with the Securites and Exchange Commission. The Company assumes no obligaton to update any such forward-looking statements.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Adjusted net investment income and adjusted net income are each non-GAAP fnancial measures, which represent net investment income and net income, respectvely, in each case less the impact of accrued capital gains incentve fee expenses. The Company believes that adjusted net investment income and adjusted net income provide useful informaton to investors regarding the fundamental earnings power of the business, and these fgures are used by the Company to measure its fnancial conditon and results of operatons. The presentaton of this additonal informaton is not meant to be considered in isolaton or as a substtute for fnancial results prepared in accordance with GAAP.</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469-621-2033</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Cliford, 617-793-2004</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PCliford@sixthstreet.com</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189865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2023-11-02T16:21:18Z</dcterms:created>
  <dcterms:modified xsi:type="dcterms:W3CDTF">2023-11-02T16:21:18Z</dcterms:modified>
</cp:coreProperties>
</file>